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Viper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Teresa L. Dick</w:t>
              <w:br/>
              <w:t>Diamondback Energy, Inc., 900 NW 63rd Street, Suite 200</w:t>
              <w:br/>
              <w:t>Oklahoma City, OK, 73116</w:t>
              <w:br/>
              <w:t>(432) 221-7400</w:t>
            </w:r>
          </w:p>
          <w:p>
            <w:pPr>
              <w:pStyle w:val="TableContents"/>
              <w:bidi w:val="0"/>
              <w:jc w:val="left"/>
              <w:rPr/>
            </w:pPr>
            <w:r>
              <w:rPr/>
            </w:r>
          </w:p>
          <w:p>
            <w:pPr>
              <w:pStyle w:val="TableContents"/>
              <w:bidi w:val="0"/>
              <w:spacing w:before="0" w:after="0"/>
              <w:jc w:val="center"/>
              <w:rPr>
                <w:b/>
                <w:color w:val="0000FF"/>
              </w:rPr>
            </w:pPr>
            <w:r>
              <w:rPr>
                <w:b/>
                <w:color w:val="0000FF"/>
              </w:rPr>
              <w:t>Zachary S. Podolsky</w:t>
              <w:br/>
              <w:t>Latham &amp; Watkins LLP, 1271 Avenue of the Americas</w:t>
              <w:br/>
              <w:t>New York, NY, 10020</w:t>
              <w:br/>
              <w:t>(212) 906-1200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Diamondback Energy, Inc.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145,972,177.00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145,972,177.00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145,972,177.00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42.9 %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Diamondback E&amp;P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10,874,987.00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10,874,987.00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10,874,987.00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Endeavor Energy Resources,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70,633,640.00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70,633,640.00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70,633,640.00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$0.000001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Viper Energy,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West Texas Ave., Suite 100, Midland, TEXAS , 79701.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amends and supplements the statement on Schedule 13D originally filed with the United States Securities and Exchange Commission on August 26, 2025 (as amended, the "Schedule 13D"), relating to the Class A Common Stock, par value $0.000001 per share (the "Class A Common Stock") of Viper Energy, Inc., a Delaware corporation (the "Issuer"). Capitalized terms used herein without definition shall have the meaning set forth in the Schedule 13D.</w:t>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3 of the Schedule 13D is hereby amended and supplemented as follows: The information contained in Item 4 is incorporated by reference to this Item 3.</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4 of the Schedule 13D is hereby amended and supplemented as follows: Closing of the Purchase Agreement On September 1, 2026, the previously disclosed Purchase Agreement closed. As a result, the Reporting Persons acquired an aggregate of 3,815,459 OpCo units and an equivalent number of shares of the Issuer's Class B Common Stock.</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0"/>
              <w:jc w:val="left"/>
              <w:rPr/>
            </w:pPr>
            <w:r>
              <w:rPr/>
              <w:t>The information contained on the cover pages is incorporated by reference to this Item 5. The information on the cover pages sets forth the aggregate number of shares of Class A Common Stock and percentage of Class A Common Stock outstanding beneficially owned by each of the Reporting Persons, based on 194,405,049 shares of Class A Common Stock outstanding as of July 31, 2026 as disclosed in the Issuer's Quarterly Report on Form 10-Q filed with the Securities and Exchange Commission on August 5, 2026. The beneficial ownership percentage of the Listed Persons is set forth on Exhibit 99.2 as filed with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0"/>
              <w:jc w:val="left"/>
              <w:rPr/>
            </w:pPr>
            <w:r>
              <w:rPr/>
              <w:t>Diamondback: Sole Voting Power: 145,972,177 Shared Voting Power: 0 Sole Dispositive Power: 145,972,177 Shared Dispositive Power: 0 Includes (i) 64,463,550 shares of Class B Common Stock and 64,463,550 New OpCo Units held by Diamondback, (ii) 10,874,987 shares of Class B Common Stock and 10,874,987 New OpCo Units held by Diamondback's wholly owned subsidiary, Diamondback E&amp;P and (iii) 70,633,640 shares of Class B Common Stock and 70,633,640 New OpCo Units held by Diamondback's wholly owned subsidiary, Endeavor. Diamondback, Diamondback E&amp;P and Endeavor have the right to exchange their shares of Class B Common Stock and an equal number of New OpCo Units on a one-for-one basis for shares of Class A Common Stock. Diamondback E&amp;P: Sole Voting Power: 10,874,987 Shared Voting Power: 0 Sole Dispositive Power: 10,874,987 Shared Dispositive Power: 0 Includes 10,874,987 shares of Class B Common Stock and 10,874,987 New OpCo Units held by Diamondback E&amp;P. Diamondback E&amp;P has the right to exchange its shares of Class B Common Stock and an equal number of New OpCo Units on a one-for-one basis for shares of Class A Common Stock. Endeavor: Sole Voting Power: 70,633,640 Shared Voting Power: 0 Sole Dispositive Power: 70,633,640 Shared Dispositive Power: 0 Includes 70,633,640 shares of Class B Common Stock and 70,633,640 New OpCo Units held by Endeavor. Endeavor has the right to exchange its shares of Class B Common Stock and an equal number of New OpCo Units on a one-for-one basis for shares of Class A Common Stock. The beneficial ownership of the Listed Persons is set forth in Exhibit 99.2.</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0"/>
              <w:jc w:val="left"/>
              <w:rPr/>
            </w:pPr>
            <w:r>
              <w:rPr/>
              <w:t>Except as described in Item 4, none of the Reporting Persons nor, to the Reporting Persons' knowledge, any of the Listed Persons, has effected any transaction in the Issuer's Common Stock since the filing of Amendment No. 3 to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7 of the Schedule 13D is hereby amended and supplemented as follows: Exhibit 99.2 - Beneficial Ownership of the Listed Persons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Diamondback Energy, Inc.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6"/>
        <w:gridCol w:w="4279"/>
      </w:tblGrid>
      <w:tr>
        <w:trPr/>
        <w:tc>
          <w:tcPr>
            <w:tcW w:w="59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Teresa L. Dick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Teresa L. Dick/Executive Vice President of Accounting and Assistant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279"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Diamondback E&amp;P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Teresa L. Dick</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Diamondback Energy, Inc., its sole member, Teresa L. Dick/Executive Vice President of Accounting and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Endeavor Energy Resources,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6"/>
        <w:gridCol w:w="4279"/>
      </w:tblGrid>
      <w:tr>
        <w:trPr/>
        <w:tc>
          <w:tcPr>
            <w:tcW w:w="59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Teresa L. Dick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Teresa L. Dick/Executive Vice President of Accounting and Assistant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2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bookmarkStart w:id="22" w:name="tm2624647d1_ex99-2.htm"/>
      <w:bookmarkStart w:id="23" w:name="kstm2624647d1_ex992"/>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Diamondback Energy,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Diamondback E&amp;P LLC and Endeavor Energy Resources, L.P.</w:t>
      </w:r>
    </w:p>
    <w:p>
      <w:pPr>
        <w:pStyle w:val="TextBody"/>
        <w:bidi w:val="0"/>
        <w:spacing w:before="0" w:after="0"/>
        <w:ind w:left="0" w:right="0" w:hanging="0"/>
        <w:jc w:val="left"/>
        <w:rPr>
          <w:caps w:val="false"/>
          <w:smallCaps w:val="false"/>
        </w:rPr>
      </w:pPr>
      <w:r>
        <w:rPr>
          <w:caps w:val="false"/>
          <w:smallCaps w:val="false"/>
        </w:rPr>
        <w:t> </w:t>
      </w:r>
    </w:p>
    <w:tbl>
      <w:tblPr>
        <w:tblW w:w="4995" w:type="dxa"/>
        <w:jc w:val="left"/>
        <w:tblInd w:w="-10" w:type="dxa"/>
        <w:tblLayout w:type="fixed"/>
        <w:tblCellMar>
          <w:top w:w="28" w:type="dxa"/>
          <w:left w:w="28" w:type="dxa"/>
          <w:bottom w:w="0" w:type="dxa"/>
          <w:right w:w="28" w:type="dxa"/>
        </w:tblCellMar>
      </w:tblPr>
      <w:tblGrid>
        <w:gridCol w:w="1760"/>
        <w:gridCol w:w="1550"/>
        <w:gridCol w:w="1685"/>
      </w:tblGrid>
      <w:tr>
        <w:trPr/>
        <w:tc>
          <w:tcPr>
            <w:tcW w:w="1760" w:type="dxa"/>
            <w:tcBorders>
              <w:top w:val="single" w:sz="8" w:space="0" w:color="010101"/>
              <w:left w:val="single" w:sz="8" w:space="0" w:color="010101"/>
              <w:right w:val="single" w:sz="8" w:space="0" w:color="010101"/>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1550" w:type="dxa"/>
            <w:tcBorders>
              <w:top w:val="single" w:sz="8" w:space="0" w:color="010101"/>
              <w:right w:val="single" w:sz="8" w:space="0" w:color="010101"/>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Common</w:t>
            </w:r>
          </w:p>
        </w:tc>
        <w:tc>
          <w:tcPr>
            <w:tcW w:w="1685" w:type="dxa"/>
            <w:tcBorders>
              <w:top w:val="single" w:sz="8" w:space="0" w:color="010101"/>
              <w:right w:val="single" w:sz="8" w:space="0" w:color="010101"/>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 Class</w:t>
            </w:r>
          </w:p>
        </w:tc>
      </w:tr>
      <w:tr>
        <w:trPr/>
        <w:tc>
          <w:tcPr>
            <w:tcW w:w="1760" w:type="dxa"/>
            <w:tcBorders>
              <w:left w:val="single" w:sz="8" w:space="0" w:color="010101"/>
              <w:right w:val="single" w:sz="8" w:space="0" w:color="010101"/>
            </w:tcBorders>
            <w:tcMar>
              <w:top w:w="0" w:type="dxa"/>
            </w:tcMar>
            <w:vAlign w:val="center"/>
          </w:tcPr>
          <w:p>
            <w:pPr>
              <w:pStyle w:val="TableContents"/>
              <w:bidi w:val="0"/>
              <w:spacing w:before="0" w:after="283"/>
              <w:jc w:val="left"/>
              <w:rPr/>
            </w:pPr>
            <w:r>
              <w:rPr/>
              <w:t> </w:t>
            </w:r>
          </w:p>
        </w:tc>
        <w:tc>
          <w:tcPr>
            <w:tcW w:w="1550" w:type="dxa"/>
            <w:tcBorders>
              <w:right w:val="single" w:sz="8" w:space="0" w:color="010101"/>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Beneficially</w:t>
            </w:r>
          </w:p>
        </w:tc>
        <w:tc>
          <w:tcPr>
            <w:tcW w:w="1685" w:type="dxa"/>
            <w:tcBorders>
              <w:right w:val="single" w:sz="8" w:space="0" w:color="010101"/>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 Owned</w:t>
            </w:r>
          </w:p>
        </w:tc>
      </w:tr>
      <w:tr>
        <w:trPr/>
        <w:tc>
          <w:tcPr>
            <w:tcW w:w="1760" w:type="dxa"/>
            <w:tcBorders>
              <w:left w:val="single" w:sz="8" w:space="0" w:color="010101"/>
              <w:bottom w:val="single" w:sz="8" w:space="0" w:color="010101"/>
              <w:right w:val="single" w:sz="8" w:space="0" w:color="010101"/>
            </w:tcBorders>
            <w:tcMar>
              <w:top w:w="0" w:type="dxa"/>
              <w:bottom w:w="28" w:type="dxa"/>
            </w:tcMar>
            <w:vAlign w:val="center"/>
          </w:tcPr>
          <w:p>
            <w:pPr>
              <w:pStyle w:val="TableContents"/>
              <w:bidi w:val="0"/>
              <w:spacing w:before="0" w:after="283"/>
              <w:jc w:val="left"/>
              <w:rPr/>
            </w:pPr>
            <w:r>
              <w:rPr/>
              <w:t> </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 (1)</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left"/>
              <w:rPr/>
            </w:pPr>
            <w:r>
              <w:rPr/>
              <w:t> </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Travis D. Stice</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106,169</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 Kaes Van’t Hof</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35,362</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N. Wesson</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451</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 Zmigrosky</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4,253</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Teresa L. Dick</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11,540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Albert Barkmann</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Chad McAllaster</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Jere W. Thompson III</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Vincent K. Brooks</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Darin G. Holderness</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Rebecca A. Klein</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Stephanie K. Mains</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A. Meloy</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 Plaumann</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K. Reeves</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Lance W. Robertson</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Melanie M. Trent</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Frank D. Tsuru</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1760" w:type="dxa"/>
            <w:tcBorders>
              <w:left w:val="single" w:sz="8" w:space="0" w:color="010101"/>
              <w:bottom w:val="single" w:sz="8" w:space="0" w:color="010101"/>
              <w:right w:val="single" w:sz="8" w:space="0" w:color="010101"/>
            </w:tcBorders>
            <w:tcMar>
              <w:top w:w="0" w:type="dxa"/>
              <w:left w:w="10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E. West</w:t>
            </w:r>
          </w:p>
        </w:tc>
        <w:tc>
          <w:tcPr>
            <w:tcW w:w="1550"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18,481</w:t>
            </w:r>
          </w:p>
        </w:tc>
        <w:tc>
          <w:tcPr>
            <w:tcW w:w="1685" w:type="dxa"/>
            <w:tcBorders>
              <w:bottom w:val="single" w:sz="8" w:space="0" w:color="010101"/>
              <w:right w:val="single" w:sz="8" w:space="0" w:color="010101"/>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960"/>
        <w:gridCol w:w="8985"/>
      </w:tblGrid>
      <w:tr>
        <w:trPr/>
        <w:tc>
          <w:tcPr>
            <w:tcW w:w="2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pPr>
            <w:r>
              <w:rPr/>
              <w:t>*</w:t>
            </w:r>
          </w:p>
        </w:tc>
        <w:tc>
          <w:tcPr>
            <w:tcW w:w="8985"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70"/>
        <w:gridCol w:w="9561"/>
      </w:tblGrid>
      <w:tr>
        <w:trPr/>
        <w:tc>
          <w:tcPr>
            <w:tcW w:w="7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pPr>
            <w:r>
              <w:rPr/>
              <w:t>(1)</w:t>
            </w:r>
          </w:p>
        </w:tc>
        <w:tc>
          <w:tcPr>
            <w:tcW w:w="9561" w:type="dxa"/>
            <w:tcBorders/>
            <w:vAlign w:val="center"/>
          </w:tcPr>
          <w:p>
            <w:pPr>
              <w:pStyle w:val="TableContents"/>
              <w:bidi w:val="0"/>
              <w:spacing w:before="0" w:after="283"/>
              <w:jc w:val="both"/>
              <w:rPr/>
            </w:pPr>
            <w:r>
              <w:rPr/>
              <w:t>Excludes interests that will not vest within 60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Diamondback’s knowledge, each of the listed in the table above has sole voting power and dispositive power with respect to all of the Class A Common Stock reported for him or her in such table as of the date of this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1555</Words>
  <Characters>7873</Characters>
  <CharactersWithSpaces>9274</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