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115570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VIPER ENERGY,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7" w:lineRule="exact"/>
        <w:rPr>
          <w:sz w:val="24"/>
          <w:szCs w:val="24"/>
          <w:color w:val="auto"/>
        </w:rPr>
      </w:pPr>
    </w:p>
    <w:tbl>
      <w:tblPr>
        <w:tblLayout w:type="fixed"/>
        <w:tblInd w:w="680" w:type="dxa"/>
        <w:tblCellMar>
          <w:top w:w="0" w:type="dxa"/>
          <w:left w:w="0" w:type="dxa"/>
          <w:bottom w:w="0" w:type="dxa"/>
          <w:right w:w="0" w:type="dxa"/>
        </w:tblCellMar>
      </w:tblPr>
      <w:tr>
        <w:trPr>
          <w:trHeight w:val="214"/>
        </w:trPr>
        <w:tc>
          <w:tcPr>
            <w:tcW w:w="2580" w:type="dxa"/>
            <w:vAlign w:val="bottom"/>
          </w:tcPr>
          <w:p>
            <w:pPr>
              <w:jc w:val="center"/>
              <w:ind w:right="1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60" w:type="dxa"/>
            <w:vAlign w:val="bottom"/>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001-42807</w:t>
            </w:r>
          </w:p>
        </w:tc>
        <w:tc>
          <w:tcPr>
            <w:tcW w:w="17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39-2596878</w:t>
            </w:r>
          </w:p>
        </w:tc>
      </w:tr>
      <w:tr>
        <w:trPr>
          <w:trHeight w:val="148"/>
        </w:trPr>
        <w:tc>
          <w:tcPr>
            <w:tcW w:w="258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86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4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8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700" w:type="dxa"/>
            <w:vAlign w:val="bottom"/>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2580" w:type="dxa"/>
            <w:vAlign w:val="bottom"/>
          </w:tcPr>
          <w:p>
            <w:pPr>
              <w:jc w:val="center"/>
              <w:ind w:right="138"/>
              <w:spacing w:after="0"/>
              <w:rPr>
                <w:sz w:val="20"/>
                <w:szCs w:val="20"/>
                <w:color w:val="auto"/>
              </w:rPr>
            </w:pPr>
            <w:r>
              <w:rPr>
                <w:rFonts w:ascii="Times New Roman" w:cs="Times New Roman" w:eastAsia="Times New Roman" w:hAnsi="Times New Roman"/>
                <w:sz w:val="18"/>
                <w:szCs w:val="18"/>
                <w:b w:val="1"/>
                <w:bCs w:val="1"/>
                <w:color w:val="auto"/>
                <w:w w:val="97"/>
              </w:rPr>
              <w:t>500 West Texas Ave.,</w:t>
            </w:r>
          </w:p>
        </w:tc>
        <w:tc>
          <w:tcPr>
            <w:tcW w:w="48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6"/>
        </w:trPr>
        <w:tc>
          <w:tcPr>
            <w:tcW w:w="2580" w:type="dxa"/>
            <w:vAlign w:val="bottom"/>
          </w:tcPr>
          <w:p>
            <w:pPr>
              <w:jc w:val="center"/>
              <w:ind w:right="118"/>
              <w:spacing w:after="0"/>
              <w:rPr>
                <w:sz w:val="20"/>
                <w:szCs w:val="20"/>
                <w:color w:val="auto"/>
              </w:rPr>
            </w:pPr>
            <w:r>
              <w:rPr>
                <w:rFonts w:ascii="Times New Roman" w:cs="Times New Roman" w:eastAsia="Times New Roman" w:hAnsi="Times New Roman"/>
                <w:sz w:val="18"/>
                <w:szCs w:val="18"/>
                <w:b w:val="1"/>
                <w:bCs w:val="1"/>
                <w:color w:val="auto"/>
                <w:w w:val="99"/>
              </w:rPr>
              <w:t>Suite 100</w:t>
            </w:r>
          </w:p>
        </w:tc>
        <w:tc>
          <w:tcPr>
            <w:tcW w:w="48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7"/>
        </w:trPr>
        <w:tc>
          <w:tcPr>
            <w:tcW w:w="2580" w:type="dxa"/>
            <w:vAlign w:val="bottom"/>
          </w:tcPr>
          <w:p>
            <w:pPr>
              <w:jc w:val="center"/>
              <w:ind w:right="138"/>
              <w:spacing w:after="0"/>
              <w:rPr>
                <w:sz w:val="20"/>
                <w:szCs w:val="20"/>
                <w:color w:val="auto"/>
              </w:rPr>
            </w:pPr>
            <w:r>
              <w:rPr>
                <w:rFonts w:ascii="Times New Roman" w:cs="Times New Roman" w:eastAsia="Times New Roman" w:hAnsi="Times New Roman"/>
                <w:sz w:val="18"/>
                <w:szCs w:val="18"/>
                <w:b w:val="1"/>
                <w:bCs w:val="1"/>
                <w:color w:val="auto"/>
                <w:w w:val="99"/>
              </w:rPr>
              <w:t>Midland, TX</w:t>
            </w:r>
          </w:p>
        </w:tc>
        <w:tc>
          <w:tcPr>
            <w:tcW w:w="4860" w:type="dxa"/>
            <w:vAlign w:val="bottom"/>
          </w:tcPr>
          <w:p>
            <w:pPr>
              <w:spacing w:after="0"/>
              <w:rPr>
                <w:sz w:val="19"/>
                <w:szCs w:val="19"/>
                <w:color w:val="auto"/>
              </w:rPr>
            </w:pPr>
          </w:p>
        </w:tc>
        <w:tc>
          <w:tcPr>
            <w:tcW w:w="17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79701</w:t>
            </w:r>
          </w:p>
        </w:tc>
      </w:tr>
      <w:tr>
        <w:trPr>
          <w:trHeight w:val="190"/>
        </w:trPr>
        <w:tc>
          <w:tcPr>
            <w:tcW w:w="25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860" w:type="dxa"/>
            <w:vAlign w:val="bottom"/>
          </w:tcPr>
          <w:p>
            <w:pPr>
              <w:spacing w:after="0"/>
              <w:rPr>
                <w:sz w:val="16"/>
                <w:szCs w:val="16"/>
                <w:color w:val="auto"/>
              </w:rPr>
            </w:pPr>
          </w:p>
        </w:tc>
        <w:tc>
          <w:tcPr>
            <w:tcW w:w="1700" w:type="dxa"/>
            <w:vAlign w:val="bottom"/>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09"/>
        </w:trPr>
        <w:tc>
          <w:tcPr>
            <w:tcW w:w="2580" w:type="dxa"/>
            <w:vAlign w:val="bottom"/>
          </w:tcPr>
          <w:p>
            <w:pPr>
              <w:spacing w:after="0"/>
              <w:rPr>
                <w:sz w:val="24"/>
                <w:szCs w:val="24"/>
                <w:color w:val="auto"/>
              </w:rPr>
            </w:pPr>
          </w:p>
        </w:tc>
        <w:tc>
          <w:tcPr>
            <w:tcW w:w="4860" w:type="dxa"/>
            <w:vAlign w:val="bottom"/>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(432) 221-7400</w:t>
            </w:r>
          </w:p>
        </w:tc>
        <w:tc>
          <w:tcPr>
            <w:tcW w:w="1700" w:type="dxa"/>
            <w:vAlign w:val="bottom"/>
          </w:tcPr>
          <w:p>
            <w:pPr>
              <w:spacing w:after="0"/>
              <w:rPr>
                <w:sz w:val="24"/>
                <w:szCs w:val="24"/>
                <w:color w:val="auto"/>
              </w:rPr>
            </w:pPr>
          </w:p>
        </w:tc>
      </w:tr>
      <w:tr>
        <w:trPr>
          <w:trHeight w:val="190"/>
        </w:trPr>
        <w:tc>
          <w:tcPr>
            <w:tcW w:w="2580" w:type="dxa"/>
            <w:vAlign w:val="bottom"/>
          </w:tcPr>
          <w:p>
            <w:pPr>
              <w:spacing w:after="0"/>
              <w:rPr>
                <w:sz w:val="16"/>
                <w:szCs w:val="16"/>
                <w:color w:val="auto"/>
              </w:rPr>
            </w:pPr>
          </w:p>
        </w:tc>
        <w:tc>
          <w:tcPr>
            <w:tcW w:w="4860" w:type="dxa"/>
            <w:vAlign w:val="bottom"/>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323"/>
        </w:trPr>
        <w:tc>
          <w:tcPr>
            <w:tcW w:w="2580" w:type="dxa"/>
            <w:vAlign w:val="bottom"/>
          </w:tcPr>
          <w:p>
            <w:pPr>
              <w:spacing w:after="0"/>
              <w:rPr>
                <w:sz w:val="24"/>
                <w:szCs w:val="24"/>
                <w:color w:val="auto"/>
              </w:rPr>
            </w:pPr>
          </w:p>
        </w:tc>
        <w:tc>
          <w:tcPr>
            <w:tcW w:w="4860" w:type="dxa"/>
            <w:vAlign w:val="bottom"/>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N/A</w:t>
            </w:r>
          </w:p>
        </w:tc>
        <w:tc>
          <w:tcPr>
            <w:tcW w:w="1700" w:type="dxa"/>
            <w:vAlign w:val="bottom"/>
          </w:tcPr>
          <w:p>
            <w:pPr>
              <w:spacing w:after="0"/>
              <w:rPr>
                <w:sz w:val="24"/>
                <w:szCs w:val="24"/>
                <w:color w:val="auto"/>
              </w:rPr>
            </w:pPr>
          </w:p>
        </w:tc>
      </w:tr>
      <w:tr>
        <w:trPr>
          <w:trHeight w:val="190"/>
        </w:trPr>
        <w:tc>
          <w:tcPr>
            <w:tcW w:w="2580" w:type="dxa"/>
            <w:vAlign w:val="bottom"/>
          </w:tcPr>
          <w:p>
            <w:pPr>
              <w:spacing w:after="0"/>
              <w:rPr>
                <w:sz w:val="16"/>
                <w:szCs w:val="16"/>
                <w:color w:val="auto"/>
              </w:rPr>
            </w:pPr>
          </w:p>
        </w:tc>
        <w:tc>
          <w:tcPr>
            <w:tcW w:w="4860" w:type="dxa"/>
            <w:vAlign w:val="bottom"/>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135255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6" w:lineRule="exact"/>
        <w:rPr>
          <w:sz w:val="24"/>
          <w:szCs w:val="24"/>
          <w:color w:val="auto"/>
        </w:rPr>
      </w:pPr>
    </w:p>
    <w:p>
      <w:pPr>
        <w:ind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4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$0.000001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VNOM</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30"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111125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121"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On August 19, 2025, Viper Energy, Inc. (f/k/a New Cobra Pubco, Inc.), a Delaware corporation (“New Viper”) filed a Current Report on Form 8-K (the “Form 8-K”) in connection with the completion of its previously announced transactions contemplated by the Agreement and Plan of Merger, dated June 2, 2025, by and among VNOM Sub, Inc. (f/k/a Viper Energy, Inc.), a Delaware corporation (“Former Viper”), Viper Energy Partners LLC, a Delaware limited liability company, Sitio Royalties Corp., a Delaware corporation (“Sitio”), Sitio Royalties Operating Partnership, LP, a Delaware limited partnership, New Viper, Cobra Merger Sub, Inc., a Delaware corporation, and Scorpion Merger Sub, Inc., a Delaware corporation.</w:t>
      </w:r>
    </w:p>
    <w:p>
      <w:pPr>
        <w:spacing w:after="0" w:line="183" w:lineRule="exact"/>
        <w:rPr>
          <w:sz w:val="20"/>
          <w:szCs w:val="20"/>
          <w:color w:val="auto"/>
        </w:rPr>
      </w:pPr>
    </w:p>
    <w:p>
      <w:pPr>
        <w:ind w:left="4" w:right="180" w:firstLine="991"/>
        <w:spacing w:after="0" w:line="256" w:lineRule="auto"/>
        <w:rPr>
          <w:sz w:val="20"/>
          <w:szCs w:val="20"/>
          <w:color w:val="auto"/>
        </w:rPr>
      </w:pPr>
      <w:r>
        <w:rPr>
          <w:rFonts w:ascii="Times New Roman" w:cs="Times New Roman" w:eastAsia="Times New Roman" w:hAnsi="Times New Roman"/>
          <w:sz w:val="18"/>
          <w:szCs w:val="18"/>
          <w:color w:val="auto"/>
        </w:rPr>
        <w:t>This Current Report on Form 8-K/A is being filed to amend the Form 8-K to provide the financial statements and pro forma financial information described below, in accordance with the requirements of Item 9.01 of Form 8-K. The pro forma financial information included in this Form 8-K/A has been presented for informational purposes only, as required by Form 8-K. It does not purport to represent the actual results of operations that Former Viper and Sitio would have achieved had the companies been combined during the periods presented in the pro forma financial information and is not intended to project the future results of operations that the combined company may achieve after the business combination transaction. Except as described above, all other information in the Form 8-K filed on August 19, 2025 remains unchanged.</w:t>
      </w:r>
    </w:p>
    <w:p>
      <w:pPr>
        <w:spacing w:after="0" w:line="332"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 of Business Acquired</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line="266"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Audited consolidated financial statements of Sitio, as of December 31, 2024 and 2023 and for each of the years in the three-year period ended December 31, 2024 are incorporated by reference to </w:t>
      </w:r>
      <w:hyperlink r:id="rId18">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Former Viper’s Current Report on Form 8-K, filed with the U.S. Securities and Exchange Commission on June 30, 2025; and</w:t>
      </w:r>
    </w:p>
    <w:p>
      <w:pPr>
        <w:spacing w:after="0" w:line="81" w:lineRule="exact"/>
        <w:rPr>
          <w:rFonts w:ascii="Times New Roman" w:cs="Times New Roman" w:eastAsia="Times New Roman" w:hAnsi="Times New Roman"/>
          <w:sz w:val="18"/>
          <w:szCs w:val="18"/>
          <w:color w:val="auto"/>
        </w:rPr>
      </w:pPr>
    </w:p>
    <w:p>
      <w:pPr>
        <w:ind w:left="964" w:right="100" w:hanging="424"/>
        <w:spacing w:after="0" w:line="282"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consolidated financial statements of Sitio, as of June 30, 2025 and for the three and six months ended June 30, 2025 and 2024, and the related notes to the condensed and consolidated financial statements, attached as Exhibit 99.1 hereto.</w:t>
      </w:r>
    </w:p>
    <w:p>
      <w:pPr>
        <w:spacing w:after="0" w:line="26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Financial Information</w:t>
      </w:r>
    </w:p>
    <w:p>
      <w:pPr>
        <w:spacing w:after="0" w:line="121" w:lineRule="exact"/>
        <w:rPr>
          <w:sz w:val="20"/>
          <w:szCs w:val="20"/>
          <w:color w:val="auto"/>
        </w:rPr>
      </w:pPr>
    </w:p>
    <w:p>
      <w:pPr>
        <w:ind w:left="4" w:right="460" w:firstLine="991"/>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giving effect to the business combination transaction, attached as Exhibit 99.2 hereto, are incorporated herein by reference:</w:t>
      </w:r>
    </w:p>
    <w:p>
      <w:pPr>
        <w:spacing w:after="0" w:line="67" w:lineRule="exact"/>
        <w:rPr>
          <w:sz w:val="20"/>
          <w:szCs w:val="20"/>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combined pro forma balance sheet as of June 30, 2025;</w:t>
      </w:r>
    </w:p>
    <w:p>
      <w:pPr>
        <w:spacing w:after="0" w:line="130" w:lineRule="exact"/>
        <w:rPr>
          <w:rFonts w:ascii="Times New Roman" w:cs="Times New Roman" w:eastAsia="Times New Roman" w:hAnsi="Times New Roman"/>
          <w:sz w:val="18"/>
          <w:szCs w:val="18"/>
          <w:color w:val="auto"/>
        </w:rPr>
      </w:pPr>
    </w:p>
    <w:p>
      <w:pPr>
        <w:ind w:left="964" w:right="480" w:hanging="424"/>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pro forma condensed combined statements of operations for the year ended December 31, 2024 and the six months ended June 30, 2025; and</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the unaudited pro forma condensed combined financial statements.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 Exhibits.</w:t>
      </w: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06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4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99.1</w:t>
            </w:r>
          </w:p>
        </w:tc>
        <w:tc>
          <w:tcPr>
            <w:tcW w:w="320" w:type="dxa"/>
            <w:vAlign w:val="bottom"/>
          </w:tcPr>
          <w:p>
            <w:pPr>
              <w:spacing w:after="0"/>
              <w:rPr>
                <w:sz w:val="24"/>
                <w:szCs w:val="24"/>
                <w:color w:val="auto"/>
              </w:rPr>
            </w:pPr>
          </w:p>
        </w:tc>
        <w:tc>
          <w:tcPr>
            <w:tcW w:w="94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Interim unaudited condensed consolidated financial statements of Sitio as of June 30, 2025, and for the three and six months ended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7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June 30, 2025 and 2024.</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99.2</w:t>
            </w:r>
          </w:p>
        </w:tc>
        <w:tc>
          <w:tcPr>
            <w:tcW w:w="320" w:type="dxa"/>
            <w:vAlign w:val="bottom"/>
          </w:tcPr>
          <w:p>
            <w:pPr>
              <w:spacing w:after="0"/>
              <w:rPr>
                <w:sz w:val="24"/>
                <w:szCs w:val="24"/>
                <w:color w:val="auto"/>
              </w:rPr>
            </w:pPr>
          </w:p>
        </w:tc>
        <w:tc>
          <w:tcPr>
            <w:tcW w:w="97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Unaudited pro forma condensed combined financial statements (a) as of June 30, 2025 and for the six months ended June 30, 2025 and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(b) for the year ended December 31, 2024.</w:t>
            </w:r>
          </w:p>
        </w:tc>
        <w:tc>
          <w:tcPr>
            <w:tcW w:w="66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right"/>
        <w:ind w:left="5460" w:right="5260" w:hanging="5235"/>
        <w:spacing w:after="0" w:line="367" w:lineRule="auto"/>
        <w:tabs>
          <w:tab w:leader="none" w:pos="109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3</w:t>
      </w:r>
    </w:p>
    <w:p>
      <w:pPr>
        <w:sectPr>
          <w:pgSz w:w="11900" w:h="16838" w:orient="portrait"/>
          <w:cols w:equalWidth="0" w:num="1">
            <w:col w:w="10800"/>
          </w:cols>
          <w:pgMar w:left="440" w:top="293" w:right="6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480" w:type="dxa"/>
            <w:vAlign w:val="bottom"/>
            <w:gridSpan w:val="2"/>
          </w:tcPr>
          <w:p>
            <w:pPr>
              <w:ind w:left="2320"/>
              <w:spacing w:after="0"/>
              <w:rPr>
                <w:sz w:val="20"/>
                <w:szCs w:val="20"/>
                <w:color w:val="auto"/>
              </w:rPr>
            </w:pPr>
            <w:r>
              <w:rPr>
                <w:rFonts w:ascii="Times New Roman" w:cs="Times New Roman" w:eastAsia="Times New Roman" w:hAnsi="Times New Roman"/>
                <w:sz w:val="18"/>
                <w:szCs w:val="18"/>
                <w:b w:val="1"/>
                <w:bCs w:val="1"/>
                <w:color w:val="auto"/>
              </w:rPr>
              <w:t>VIPER ENERGY,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25, 2025</w:t>
            </w:r>
          </w:p>
        </w:tc>
        <w:tc>
          <w:tcPr>
            <w:tcW w:w="29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Zmigrosky</w:t>
            </w:r>
          </w:p>
        </w:tc>
      </w:tr>
      <w:tr>
        <w:trPr>
          <w:trHeight w:val="205"/>
        </w:trPr>
        <w:tc>
          <w:tcPr>
            <w:tcW w:w="3540" w:type="dxa"/>
            <w:vAlign w:val="bottom"/>
          </w:tcPr>
          <w:p>
            <w:pPr>
              <w:spacing w:after="0"/>
              <w:rPr>
                <w:sz w:val="17"/>
                <w:szCs w:val="17"/>
                <w:color w:val="auto"/>
              </w:rPr>
            </w:pPr>
          </w:p>
        </w:tc>
        <w:tc>
          <w:tcPr>
            <w:tcW w:w="2960" w:type="dxa"/>
            <w:vAlign w:val="bottom"/>
          </w:tcPr>
          <w:p>
            <w:pPr>
              <w:ind w:left="23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Matt Zmigrosky</w:t>
            </w:r>
          </w:p>
        </w:tc>
      </w:tr>
      <w:tr>
        <w:trPr>
          <w:trHeight w:val="234"/>
        </w:trPr>
        <w:tc>
          <w:tcPr>
            <w:tcW w:w="3540" w:type="dxa"/>
            <w:vAlign w:val="bottom"/>
          </w:tcPr>
          <w:p>
            <w:pPr>
              <w:spacing w:after="0"/>
              <w:rPr>
                <w:sz w:val="20"/>
                <w:szCs w:val="20"/>
                <w:color w:val="auto"/>
              </w:rPr>
            </w:pPr>
          </w:p>
        </w:tc>
        <w:tc>
          <w:tcPr>
            <w:tcW w:w="29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364"/>
        </w:trPr>
        <w:tc>
          <w:tcPr>
            <w:tcW w:w="3540" w:type="dxa"/>
            <w:vAlign w:val="bottom"/>
          </w:tcPr>
          <w:p>
            <w:pPr>
              <w:spacing w:after="0"/>
              <w:rPr>
                <w:sz w:val="24"/>
                <w:szCs w:val="24"/>
                <w:color w:val="auto"/>
              </w:rPr>
            </w:pPr>
          </w:p>
        </w:tc>
        <w:tc>
          <w:tcPr>
            <w:tcW w:w="29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4</w:t>
            </w:r>
          </w:p>
        </w:tc>
        <w:tc>
          <w:tcPr>
            <w:tcW w:w="4520" w:type="dxa"/>
            <w:vAlign w:val="bottom"/>
          </w:tcPr>
          <w:p>
            <w:pPr>
              <w:spacing w:after="0"/>
              <w:rPr>
                <w:sz w:val="24"/>
                <w:szCs w:val="24"/>
                <w:color w:val="auto"/>
              </w:rPr>
            </w:pP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GLOSSARY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abbreviations and definitions of certain terms used in this document, which are commonly used in the oil and natural gas industry: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Barrel or Bbl</w:t>
      </w:r>
      <w:r>
        <w:rPr>
          <w:rFonts w:ascii="Times New Roman" w:cs="Times New Roman" w:eastAsia="Times New Roman" w:hAnsi="Times New Roman"/>
          <w:sz w:val="18"/>
          <w:szCs w:val="18"/>
          <w:color w:val="auto"/>
        </w:rPr>
        <w:t>. Stock tank barrel, or 42 U.S. gallons liquid volume, used in this quarterly report in reference to crude oil or other liquid hydrocarbons.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Basin</w:t>
      </w:r>
      <w:r>
        <w:rPr>
          <w:rFonts w:ascii="Times New Roman" w:cs="Times New Roman" w:eastAsia="Times New Roman" w:hAnsi="Times New Roman"/>
          <w:sz w:val="18"/>
          <w:szCs w:val="18"/>
          <w:color w:val="auto"/>
        </w:rPr>
        <w:t>. A large natural depression on the earth’s surface in which sediments generally brought by water accumulate.</w:t>
      </w:r>
    </w:p>
    <w:p>
      <w:pPr>
        <w:spacing w:after="0" w:line="225"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BOE</w:t>
      </w:r>
      <w:r>
        <w:rPr>
          <w:rFonts w:ascii="Times New Roman" w:cs="Times New Roman" w:eastAsia="Times New Roman" w:hAnsi="Times New Roman"/>
          <w:sz w:val="18"/>
          <w:szCs w:val="18"/>
          <w:color w:val="auto"/>
        </w:rPr>
        <w:t>. One barrel of oil equivalent, calculated by converting natural gas to oil equivalent barrels at a ratio of six Mcf of natural gas to one Bbl of crude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oil. This is an energy content correlation and does not reflect a value or price relationship between the commodities.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BOE/d</w:t>
      </w:r>
      <w:r>
        <w:rPr>
          <w:rFonts w:ascii="Times New Roman" w:cs="Times New Roman" w:eastAsia="Times New Roman" w:hAnsi="Times New Roman"/>
          <w:sz w:val="18"/>
          <w:szCs w:val="18"/>
          <w:color w:val="auto"/>
        </w:rPr>
        <w:t>. BOE per day.</w:t>
      </w:r>
    </w:p>
    <w:p>
      <w:pPr>
        <w:spacing w:after="0" w:line="225"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Completion</w:t>
      </w:r>
      <w:r>
        <w:rPr>
          <w:rFonts w:ascii="Times New Roman" w:cs="Times New Roman" w:eastAsia="Times New Roman" w:hAnsi="Times New Roman"/>
          <w:sz w:val="18"/>
          <w:szCs w:val="18"/>
          <w:color w:val="auto"/>
        </w:rPr>
        <w:t>. The process of treating a drilled well followed by the installation of permanent equipment for the production of natural gas or oil, or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of a dry hole, the reporting of abandonment to the appropriate agency.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Crude oil</w:t>
      </w:r>
      <w:r>
        <w:rPr>
          <w:rFonts w:ascii="Times New Roman" w:cs="Times New Roman" w:eastAsia="Times New Roman" w:hAnsi="Times New Roman"/>
          <w:sz w:val="18"/>
          <w:szCs w:val="18"/>
          <w:color w:val="auto"/>
        </w:rPr>
        <w:t>. Liquid hydrocarbons retrieved from geological structures underground to be refined into fuel sources.</w:t>
      </w:r>
    </w:p>
    <w:p>
      <w:pPr>
        <w:spacing w:after="0" w:line="225"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Development costs</w:t>
      </w:r>
      <w:r>
        <w:rPr>
          <w:rFonts w:ascii="Times New Roman" w:cs="Times New Roman" w:eastAsia="Times New Roman" w:hAnsi="Times New Roman"/>
          <w:sz w:val="18"/>
          <w:szCs w:val="18"/>
          <w:color w:val="auto"/>
        </w:rPr>
        <w:t>. Costs incurred to obtain access to proved reserves and to provide facilities for extracting, treating, gathering and storing crude oil,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natural gas and NGLs. For a complete definition of development costs, refer to the SEC’s Regulation S-X, Rule 4-10(a)(7).</w:t>
      </w:r>
    </w:p>
    <w:p>
      <w:pPr>
        <w:spacing w:after="0" w:line="15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Development project</w:t>
      </w:r>
      <w:r>
        <w:rPr>
          <w:rFonts w:ascii="Times New Roman" w:cs="Times New Roman" w:eastAsia="Times New Roman" w:hAnsi="Times New Roman"/>
          <w:sz w:val="18"/>
          <w:szCs w:val="18"/>
          <w:color w:val="auto"/>
        </w:rPr>
        <w:t>. The means by which petroleum resources are brought to the status of economically producible. As examples, the development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single reservoir or field, an incremental development in a producing field or the integrated development of a group of several fields and associated facilities with a common ownership may constitute a development project.</w:t>
      </w:r>
    </w:p>
    <w:p>
      <w:pPr>
        <w:spacing w:after="0" w:line="173"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Dry hole</w:t>
      </w:r>
      <w:r>
        <w:rPr>
          <w:rFonts w:ascii="Times New Roman" w:cs="Times New Roman" w:eastAsia="Times New Roman" w:hAnsi="Times New Roman"/>
          <w:sz w:val="18"/>
          <w:szCs w:val="18"/>
          <w:color w:val="auto"/>
        </w:rPr>
        <w:t>. A well found to be incapable of producing hydrocarbons in sufficient quantities such that proceeds from the sale of such production exceed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expenses and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E&amp;P. </w:t>
      </w:r>
      <w:r>
        <w:rPr>
          <w:rFonts w:ascii="Times New Roman" w:cs="Times New Roman" w:eastAsia="Times New Roman" w:hAnsi="Times New Roman"/>
          <w:sz w:val="18"/>
          <w:szCs w:val="18"/>
          <w:color w:val="auto"/>
        </w:rPr>
        <w:t>Exploration and production.</w:t>
      </w:r>
    </w:p>
    <w:p>
      <w:pPr>
        <w:spacing w:after="0" w:line="22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Economically producible</w:t>
      </w:r>
      <w:r>
        <w:rPr>
          <w:rFonts w:ascii="Times New Roman" w:cs="Times New Roman" w:eastAsia="Times New Roman" w:hAnsi="Times New Roman"/>
          <w:sz w:val="18"/>
          <w:szCs w:val="18"/>
          <w:color w:val="auto"/>
        </w:rPr>
        <w:t>. The term economically producible, as it relates to a resource, means a resource that generates revenue that exceeds, or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expected to exceed, the costs of the operation. For a complete definition of economically producible, refer to the SEC’s Regulation S-X, Rule 4-10(a)(10).</w:t>
      </w:r>
    </w:p>
    <w:p>
      <w:pPr>
        <w:spacing w:after="0" w:line="17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Field</w:t>
      </w:r>
      <w:r>
        <w:rPr>
          <w:rFonts w:ascii="Times New Roman" w:cs="Times New Roman" w:eastAsia="Times New Roman" w:hAnsi="Times New Roman"/>
          <w:sz w:val="18"/>
          <w:szCs w:val="18"/>
          <w:color w:val="auto"/>
        </w:rPr>
        <w:t>. An area consisting of a single reservoir or multiple reservoirs all grouped on, or related to, the same individual geological structural feature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stratigraphic condition. The field name refers to the surface area, although it may refer to both the surface and the underground productive formations. For a complete definition of field, refer to the SEC’s Regulation S-X, Rule 4-10(a)(15).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Formation</w:t>
      </w:r>
      <w:r>
        <w:rPr>
          <w:rFonts w:ascii="Times New Roman" w:cs="Times New Roman" w:eastAsia="Times New Roman" w:hAnsi="Times New Roman"/>
          <w:sz w:val="18"/>
          <w:szCs w:val="18"/>
          <w:color w:val="auto"/>
        </w:rPr>
        <w:t>. A layer of rock that has distinct characteristics that differs from nearby rock.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Generally accepted accounting principles in the United States.</w:t>
      </w:r>
    </w:p>
    <w:p>
      <w:pPr>
        <w:spacing w:after="0" w:line="225"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Horizontal drilling</w:t>
      </w:r>
      <w:r>
        <w:rPr>
          <w:rFonts w:ascii="Times New Roman" w:cs="Times New Roman" w:eastAsia="Times New Roman" w:hAnsi="Times New Roman"/>
          <w:sz w:val="18"/>
          <w:szCs w:val="18"/>
          <w:color w:val="auto"/>
        </w:rPr>
        <w:t>. A drilling technique used in certain formations where a well is drilled vertically to a certain depth and then drilled at a right angle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a specified interval.</w:t>
      </w:r>
    </w:p>
    <w:p>
      <w:pPr>
        <w:spacing w:after="0" w:line="158"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Horizontal wells</w:t>
      </w:r>
      <w:r>
        <w:rPr>
          <w:rFonts w:ascii="Times New Roman" w:cs="Times New Roman" w:eastAsia="Times New Roman" w:hAnsi="Times New Roman"/>
          <w:sz w:val="18"/>
          <w:szCs w:val="18"/>
          <w:color w:val="auto"/>
        </w:rPr>
        <w:t>. The number of horizontal wells, normalized to a 5,000 foot lateral length basis, where we have ownership in a mineral or royalty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MBbl</w:t>
      </w:r>
      <w:r>
        <w:rPr>
          <w:rFonts w:ascii="Times New Roman" w:cs="Times New Roman" w:eastAsia="Times New Roman" w:hAnsi="Times New Roman"/>
          <w:sz w:val="18"/>
          <w:szCs w:val="18"/>
          <w:color w:val="auto"/>
        </w:rPr>
        <w:t>. Thousand barrels of crude oil or other liquid hydrocarbons.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MBOE</w:t>
      </w:r>
      <w:r>
        <w:rPr>
          <w:rFonts w:ascii="Times New Roman" w:cs="Times New Roman" w:eastAsia="Times New Roman" w:hAnsi="Times New Roman"/>
          <w:sz w:val="18"/>
          <w:szCs w:val="18"/>
          <w:color w:val="auto"/>
        </w:rPr>
        <w:t>. One thousand BOE.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Mcf</w:t>
      </w:r>
      <w:r>
        <w:rPr>
          <w:rFonts w:ascii="Times New Roman" w:cs="Times New Roman" w:eastAsia="Times New Roman" w:hAnsi="Times New Roman"/>
          <w:sz w:val="18"/>
          <w:szCs w:val="18"/>
          <w:color w:val="auto"/>
        </w:rPr>
        <w:t>. One thousand cubic feet of natural gas.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Mcf/d</w:t>
      </w:r>
      <w:r>
        <w:rPr>
          <w:rFonts w:ascii="Times New Roman" w:cs="Times New Roman" w:eastAsia="Times New Roman" w:hAnsi="Times New Roman"/>
          <w:sz w:val="18"/>
          <w:szCs w:val="18"/>
          <w:color w:val="auto"/>
        </w:rPr>
        <w:t>. Mcf per day.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MMcf</w:t>
      </w:r>
      <w:r>
        <w:rPr>
          <w:rFonts w:ascii="Times New Roman" w:cs="Times New Roman" w:eastAsia="Times New Roman" w:hAnsi="Times New Roman"/>
          <w:sz w:val="18"/>
          <w:szCs w:val="18"/>
          <w:color w:val="auto"/>
        </w:rPr>
        <w:t>. One million cubic feet of natural gas.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liquids or NGLs</w:t>
      </w:r>
      <w:r>
        <w:rPr>
          <w:rFonts w:ascii="Times New Roman" w:cs="Times New Roman" w:eastAsia="Times New Roman" w:hAnsi="Times New Roman"/>
          <w:sz w:val="18"/>
          <w:szCs w:val="18"/>
          <w:color w:val="auto"/>
        </w:rPr>
        <w:t>. Hydrocarbons found in natural gas that may be extracted as liquefied petroleum gas and natural gasoline.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royalty acres or NRAs</w:t>
      </w:r>
      <w:r>
        <w:rPr>
          <w:rFonts w:ascii="Times New Roman" w:cs="Times New Roman" w:eastAsia="Times New Roman" w:hAnsi="Times New Roman"/>
          <w:sz w:val="18"/>
          <w:szCs w:val="18"/>
          <w:color w:val="auto"/>
        </w:rPr>
        <w:t>. Mineral ownership standardized to a 12.5%, or 1/8th, royalty interest.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Operator</w:t>
      </w:r>
      <w:r>
        <w:rPr>
          <w:rFonts w:ascii="Times New Roman" w:cs="Times New Roman" w:eastAsia="Times New Roman" w:hAnsi="Times New Roman"/>
          <w:sz w:val="18"/>
          <w:szCs w:val="18"/>
          <w:color w:val="auto"/>
        </w:rPr>
        <w:t>. The individual or company responsible for the development and/or production of a crude oil or natural gas well or lease.</w:t>
      </w:r>
    </w:p>
    <w:p>
      <w:pPr>
        <w:spacing w:after="0" w:line="225" w:lineRule="exact"/>
        <w:rPr>
          <w:sz w:val="20"/>
          <w:szCs w:val="20"/>
          <w:color w:val="auto"/>
        </w:rPr>
      </w:pPr>
    </w:p>
    <w:p>
      <w:pPr>
        <w:jc w:val="both"/>
        <w:ind w:right="560"/>
        <w:spacing w:after="0" w:line="267" w:lineRule="auto"/>
        <w:rPr>
          <w:sz w:val="20"/>
          <w:szCs w:val="20"/>
          <w:color w:val="auto"/>
        </w:rPr>
      </w:pPr>
      <w:r>
        <w:rPr>
          <w:rFonts w:ascii="Times New Roman" w:cs="Times New Roman" w:eastAsia="Times New Roman" w:hAnsi="Times New Roman"/>
          <w:sz w:val="18"/>
          <w:szCs w:val="18"/>
          <w:i w:val="1"/>
          <w:iCs w:val="1"/>
          <w:color w:val="auto"/>
        </w:rPr>
        <w:t>Proved reserves</w:t>
      </w:r>
      <w:r>
        <w:rPr>
          <w:rFonts w:ascii="Times New Roman" w:cs="Times New Roman" w:eastAsia="Times New Roman" w:hAnsi="Times New Roman"/>
          <w:sz w:val="18"/>
          <w:szCs w:val="18"/>
          <w:color w:val="auto"/>
        </w:rPr>
        <w:t>. Those quantities of crude oil, natural gas and NGLs that, by analysis of geoscience and engineering data, can be estimated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certainty to be economically producible—from a given date forward, from known reservoirs, and under existing economic conditions, operating methods and government regulations—prior to the time at</w:t>
      </w:r>
    </w:p>
    <w:p>
      <w:pPr>
        <w:sectPr>
          <w:pgSz w:w="11900" w:h="16838" w:orient="portrait"/>
          <w:cols w:equalWidth="0" w:num="1">
            <w:col w:w="11020"/>
          </w:cols>
          <w:pgMar w:left="440" w:top="117" w:right="439" w:bottom="1132" w:gutter="0" w:footer="0" w:header="0"/>
        </w:sectPr>
      </w:pP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020"/>
          </w:cols>
          <w:pgMar w:left="440" w:top="117" w:right="439" w:bottom="1132" w:gutter="0" w:footer="0" w:header="0"/>
          <w:type w:val="continuous"/>
        </w:sectPr>
      </w:pPr>
    </w:p>
    <w:bookmarkStart w:id="5" w:name="page6"/>
    <w:bookmarkEnd w:id="5"/>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contracts providing the right to operate expire, unless evidence indicates that renewal is reasonably certain, regardless of whether deterministic or probabilistic methods are used for the estimation. The project to extract the hydrocarbons must have commenced or the E&amp;P operator must be reasonably certain that it will commence the project within a reasonable time. For a complete definition of proved crude oil and natural gas reserves, refer to the SEC’s Regulation S-X, Rule 4-10(a)(22).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price</w:t>
      </w:r>
      <w:r>
        <w:rPr>
          <w:rFonts w:ascii="Times New Roman" w:cs="Times New Roman" w:eastAsia="Times New Roman" w:hAnsi="Times New Roman"/>
          <w:sz w:val="18"/>
          <w:szCs w:val="18"/>
          <w:color w:val="auto"/>
        </w:rPr>
        <w:t>. The cash market price less all expected quality, transportation and demand adjustments.</w:t>
      </w:r>
    </w:p>
    <w:p>
      <w:pPr>
        <w:spacing w:after="0" w:line="22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Reasonable certainty</w:t>
      </w:r>
      <w:r>
        <w:rPr>
          <w:rFonts w:ascii="Times New Roman" w:cs="Times New Roman" w:eastAsia="Times New Roman" w:hAnsi="Times New Roman"/>
          <w:sz w:val="18"/>
          <w:szCs w:val="18"/>
          <w:color w:val="auto"/>
        </w:rPr>
        <w:t>. A high degree of confidence that quantities will be recovered. For a complete definition of reasonable certainty, refer to the SEC’s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S-X, Rule 4-10(a)(24).</w:t>
      </w:r>
    </w:p>
    <w:p>
      <w:pPr>
        <w:spacing w:after="0" w:line="15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Reserves</w:t>
      </w:r>
      <w:r>
        <w:rPr>
          <w:rFonts w:ascii="Times New Roman" w:cs="Times New Roman" w:eastAsia="Times New Roman" w:hAnsi="Times New Roman"/>
          <w:sz w:val="18"/>
          <w:szCs w:val="18"/>
          <w:color w:val="auto"/>
        </w:rPr>
        <w:t>. Estimated remaining quantities of crude oil and natural gas and related substances anticipated to be economically producible, as of a given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by application of development projects to known accumulations. In addition, there must exist, or there must be a reasonable expectation that there will exist, the legal right to produce or a revenue interest in the production, installed means of delivering crude oil and natural gas or related substances to market and all permits and financing required to implement the project.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p>
      <w:pPr>
        <w:spacing w:after="0" w:line="183"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Reservoir</w:t>
      </w:r>
      <w:r>
        <w:rPr>
          <w:rFonts w:ascii="Times New Roman" w:cs="Times New Roman" w:eastAsia="Times New Roman" w:hAnsi="Times New Roman"/>
          <w:sz w:val="18"/>
          <w:szCs w:val="18"/>
          <w:color w:val="auto"/>
        </w:rPr>
        <w:t>. A porous and permeable underground formation containing a natural accumulation of producible crude oil and/or natural gas that is confined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impermeable rock or water barriers and is individual and separate from other reservoirs.</w:t>
      </w:r>
    </w:p>
    <w:p>
      <w:pPr>
        <w:spacing w:after="0" w:line="158"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Resources</w:t>
      </w:r>
      <w:r>
        <w:rPr>
          <w:rFonts w:ascii="Times New Roman" w:cs="Times New Roman" w:eastAsia="Times New Roman" w:hAnsi="Times New Roman"/>
          <w:sz w:val="18"/>
          <w:szCs w:val="18"/>
          <w:color w:val="auto"/>
        </w:rPr>
        <w:t>. Quantities of crude oil, natural gas and NGLs estimated to exist in naturally occurring accumulations. A portion of the resources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to be recoverable and another portion may be considered to be unrecoverable. Resources include both discovered and undiscovered accumulations.</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Royalty</w:t>
      </w:r>
      <w:r>
        <w:rPr>
          <w:rFonts w:ascii="Times New Roman" w:cs="Times New Roman" w:eastAsia="Times New Roman" w:hAnsi="Times New Roman"/>
          <w:sz w:val="18"/>
          <w:szCs w:val="18"/>
          <w:color w:val="auto"/>
        </w:rPr>
        <w:t>. An interest in a crude oil and natural gas lease that gives the owner the right to receive a portion of the production from the leased acreage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proceeds from the sale thereof), but does not require the owner to pay any portion of the production or development costs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U.S.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SOFR or Term SOFR rate</w:t>
      </w:r>
      <w:r>
        <w:rPr>
          <w:rFonts w:ascii="Times New Roman" w:cs="Times New Roman" w:eastAsia="Times New Roman" w:hAnsi="Times New Roman"/>
          <w:sz w:val="18"/>
          <w:szCs w:val="18"/>
          <w:color w:val="auto"/>
        </w:rPr>
        <w:t>. A borrowing rate equal to the secured overnight financing rate as administered by the Federal Reserve Bank of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Spot market price</w:t>
      </w:r>
      <w:r>
        <w:rPr>
          <w:rFonts w:ascii="Times New Roman" w:cs="Times New Roman" w:eastAsia="Times New Roman" w:hAnsi="Times New Roman"/>
          <w:sz w:val="18"/>
          <w:szCs w:val="18"/>
          <w:color w:val="auto"/>
        </w:rPr>
        <w:t>. The cash market price without reduction for expected quality, transportation and demand adjustments.</w:t>
      </w:r>
    </w:p>
    <w:p>
      <w:pPr>
        <w:spacing w:after="0" w:line="225"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Working interest</w:t>
      </w:r>
      <w:r>
        <w:rPr>
          <w:rFonts w:ascii="Times New Roman" w:cs="Times New Roman" w:eastAsia="Times New Roman" w:hAnsi="Times New Roman"/>
          <w:sz w:val="18"/>
          <w:szCs w:val="18"/>
          <w:color w:val="auto"/>
        </w:rPr>
        <w:t>. The right granted to the lessee of a property to develop, produce and own crude oil, natural gas, NGLs or other minerals. The working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owners bear the exploration, development and operating expenses on either a cash, penalty or carried basis.</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Sitio Royalties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par and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June 30,</w:t>
            </w:r>
          </w:p>
        </w:tc>
        <w:tc>
          <w:tcPr>
            <w:tcW w:w="8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9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4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383</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3,290</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revenue and accounts receivable</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125,807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123,361</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6,760</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asset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134,643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135,222</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and natural gas properties, successful efforts method: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Unproved properties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2,373,097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2,464,836</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Proved properties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3,055,145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2,941,347</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3,737</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depletion, amortization, and impairment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(972,012)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(818,633)</w:t>
            </w:r>
          </w:p>
        </w:tc>
        <w:tc>
          <w:tcPr>
            <w:tcW w:w="0" w:type="dxa"/>
            <w:vAlign w:val="bottom"/>
          </w:tcPr>
          <w:p>
            <w:pPr>
              <w:spacing w:after="0"/>
              <w:rPr>
                <w:sz w:val="1"/>
                <w:szCs w:val="1"/>
                <w:color w:val="auto"/>
              </w:rPr>
            </w:pPr>
          </w:p>
        </w:tc>
      </w:tr>
      <w:tr>
        <w:trPr>
          <w:trHeight w:val="230"/>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4,460,539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4,591,287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8,525</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5,940</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2,746</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long-term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17,211</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4,610,415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4,743,720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31,556</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46,385</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33,348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48,031</w:t>
            </w:r>
          </w:p>
        </w:tc>
        <w:tc>
          <w:tcPr>
            <w:tcW w:w="0" w:type="dxa"/>
            <w:vAlign w:val="bottom"/>
          </w:tcPr>
          <w:p>
            <w:pPr>
              <w:spacing w:after="0"/>
              <w:rPr>
                <w:sz w:val="1"/>
                <w:szCs w:val="1"/>
                <w:color w:val="auto"/>
              </w:rPr>
            </w:pPr>
          </w:p>
        </w:tc>
      </w:tr>
      <w:tr>
        <w:trPr>
          <w:trHeight w:val="223"/>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1,079,618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1,078,181</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247,255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253,778</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Non-current operating lease liability</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5,462</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1,333,087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1,338,571</w:t>
            </w:r>
          </w:p>
        </w:tc>
        <w:tc>
          <w:tcPr>
            <w:tcW w:w="0" w:type="dxa"/>
            <w:vAlign w:val="bottom"/>
          </w:tcPr>
          <w:p>
            <w:pPr>
              <w:spacing w:after="0"/>
              <w:rPr>
                <w:sz w:val="1"/>
                <w:szCs w:val="1"/>
                <w:color w:val="auto"/>
              </w:rPr>
            </w:pPr>
          </w:p>
        </w:tc>
      </w:tr>
      <w:tr>
        <w:trPr>
          <w:trHeight w:val="20"/>
        </w:trPr>
        <w:tc>
          <w:tcPr>
            <w:tcW w:w="904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04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1,366,435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1,386,602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Commitments and contingencies (see Note 15)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 share; 240,000,000 shares authorized; 83,454,563 and 83,205,330 shares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77,578,656 and 78,980,516 outstanding at June 30, 2025 and December 31, 2024, respectively</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8"/>
        </w:trPr>
        <w:tc>
          <w:tcPr>
            <w:tcW w:w="9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C Common Stock, par value $0.0001 per share; 120,000,000 shares authorized; 73,443,992 and 73,443,992 shares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73,367,602 and 73,391,244 outstanding at June 30, 2025 and December 31, 2024, respectively</w:t>
            </w: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1,660,081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1,710,372</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(129,236)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(146,792)</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Treasury Shares, 5,875,907 and 4,224,814 shares at June 30, 2025 and December 31, 2024, respectively</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(128,364)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(96,910)</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Class C Treasury Shares, 76,390 and 52,748 shares at June 30, 2025 and December 31, 2024, respectively</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1,843,219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1,891,697</w:t>
            </w:r>
          </w:p>
        </w:tc>
        <w:tc>
          <w:tcPr>
            <w:tcW w:w="0" w:type="dxa"/>
            <w:vAlign w:val="bottom"/>
          </w:tcPr>
          <w:p>
            <w:pPr>
              <w:spacing w:after="0"/>
              <w:rPr>
                <w:sz w:val="1"/>
                <w:szCs w:val="1"/>
                <w:color w:val="auto"/>
              </w:rPr>
            </w:pPr>
          </w:p>
        </w:tc>
      </w:tr>
      <w:tr>
        <w:trPr>
          <w:trHeight w:val="230"/>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3,243,980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3,357,118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4,610,415</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4,743,720</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020"/>
          </w:cols>
          <w:pgMar w:left="440" w:top="270" w:right="439" w:bottom="1440" w:gutter="0" w:footer="0" w:header="0"/>
        </w:sectPr>
      </w:pP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020"/>
          </w:cols>
          <w:pgMar w:left="440" w:top="270" w:right="439" w:bottom="1440" w:gutter="0" w:footer="0" w:header="0"/>
          <w:type w:val="continuous"/>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Sitio Royalties Corp.</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color w:val="auto"/>
              </w:rPr>
              <w:t>Three Months Ended</w:t>
            </w:r>
          </w:p>
        </w:tc>
        <w:tc>
          <w:tcPr>
            <w:tcW w:w="80" w:type="dxa"/>
            <w:vAlign w:val="bottom"/>
          </w:tcPr>
          <w:p>
            <w:pPr>
              <w:spacing w:after="0"/>
              <w:rPr>
                <w:sz w:val="13"/>
                <w:szCs w:val="13"/>
                <w:color w:val="auto"/>
              </w:rPr>
            </w:pPr>
          </w:p>
        </w:tc>
        <w:tc>
          <w:tcPr>
            <w:tcW w:w="162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71"/>
        </w:trPr>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color w:val="auto"/>
              </w:rPr>
              <w:t>June 30,</w:t>
            </w:r>
          </w:p>
        </w:tc>
        <w:tc>
          <w:tcPr>
            <w:tcW w:w="80" w:type="dxa"/>
            <w:vAlign w:val="bottom"/>
          </w:tcPr>
          <w:p>
            <w:pPr>
              <w:spacing w:after="0"/>
              <w:rPr>
                <w:sz w:val="14"/>
                <w:szCs w:val="14"/>
                <w:color w:val="auto"/>
              </w:rPr>
            </w:pPr>
          </w:p>
        </w:tc>
        <w:tc>
          <w:tcPr>
            <w:tcW w:w="162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color w:val="auto"/>
              </w:rPr>
              <w:t>June 30,</w:t>
            </w:r>
          </w:p>
        </w:tc>
      </w:tr>
      <w:tr>
        <w:trPr>
          <w:trHeight w:val="142"/>
        </w:trPr>
        <w:tc>
          <w:tcPr>
            <w:tcW w:w="7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2"/>
                <w:szCs w:val="12"/>
                <w:color w:val="auto"/>
              </w:rPr>
            </w:pPr>
          </w:p>
        </w:tc>
      </w:tr>
      <w:tr>
        <w:trPr>
          <w:trHeight w:val="196"/>
        </w:trPr>
        <w:tc>
          <w:tcPr>
            <w:tcW w:w="7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natural gas and natural gas liquids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140,805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165,516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299,118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313,487</w:t>
            </w:r>
          </w:p>
        </w:tc>
      </w:tr>
      <w:tr>
        <w:trPr>
          <w:trHeight w:val="216"/>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bonus and other income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6,452</w:t>
            </w:r>
          </w:p>
        </w:tc>
      </w:tr>
      <w:tr>
        <w:trPr>
          <w:trHeight w:val="230"/>
        </w:trPr>
        <w:tc>
          <w:tcPr>
            <w:tcW w:w="7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145,659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168,548</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309,174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319,939</w:t>
            </w:r>
          </w:p>
        </w:tc>
        <w:tc>
          <w:tcPr>
            <w:tcW w:w="120" w:type="dxa"/>
            <w:vAlign w:val="bottom"/>
          </w:tcPr>
          <w:p>
            <w:pPr>
              <w:spacing w:after="0"/>
              <w:rPr>
                <w:sz w:val="20"/>
                <w:szCs w:val="20"/>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75,901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85,485</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153,380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161,803</w:t>
            </w:r>
          </w:p>
        </w:tc>
      </w:tr>
      <w:tr>
        <w:trPr>
          <w:trHeight w:val="216"/>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13,456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35,861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26,467</w:t>
            </w:r>
          </w:p>
        </w:tc>
      </w:tr>
      <w:tr>
        <w:trPr>
          <w:trHeight w:val="216"/>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Production taxes and other</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24,459</w:t>
            </w:r>
          </w:p>
        </w:tc>
      </w:tr>
      <w:tr>
        <w:trPr>
          <w:trHeight w:val="27"/>
        </w:trPr>
        <w:tc>
          <w:tcPr>
            <w:tcW w:w="7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108,454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111,374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214,677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212,729</w:t>
            </w:r>
          </w:p>
        </w:tc>
      </w:tr>
      <w:tr>
        <w:trPr>
          <w:trHeight w:val="22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57,174</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107,210</w:t>
            </w:r>
          </w:p>
        </w:tc>
        <w:tc>
          <w:tcPr>
            <w:tcW w:w="120" w:type="dxa"/>
            <w:vAlign w:val="bottom"/>
          </w:tcPr>
          <w:p>
            <w:pPr>
              <w:spacing w:after="0"/>
              <w:rPr>
                <w:sz w:val="19"/>
                <w:szCs w:val="19"/>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(22,688)</w:t>
            </w: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(46,318)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(41,198)</w:t>
            </w:r>
          </w:p>
        </w:tc>
      </w:tr>
      <w:tr>
        <w:trPr>
          <w:trHeight w:val="216"/>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Commodity derivatives gains (losses)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(10,657)</w:t>
            </w:r>
          </w:p>
        </w:tc>
      </w:tr>
      <w:tr>
        <w:trPr>
          <w:trHeight w:val="23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33,879</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55,355</w:t>
            </w:r>
          </w:p>
        </w:tc>
        <w:tc>
          <w:tcPr>
            <w:tcW w:w="120" w:type="dxa"/>
            <w:vAlign w:val="bottom"/>
          </w:tcPr>
          <w:p>
            <w:pPr>
              <w:spacing w:after="0"/>
              <w:rPr>
                <w:sz w:val="20"/>
                <w:szCs w:val="20"/>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(4,838)</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(7,622)</w:t>
            </w:r>
          </w:p>
        </w:tc>
      </w:tr>
      <w:tr>
        <w:trPr>
          <w:trHeight w:val="22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29,041</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47,733</w:t>
            </w:r>
          </w:p>
        </w:tc>
        <w:tc>
          <w:tcPr>
            <w:tcW w:w="120" w:type="dxa"/>
            <w:vAlign w:val="bottom"/>
          </w:tcPr>
          <w:p>
            <w:pPr>
              <w:spacing w:after="0"/>
              <w:rPr>
                <w:sz w:val="19"/>
                <w:szCs w:val="19"/>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(16,187)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(23,293)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(26,411)</w:t>
            </w:r>
          </w:p>
        </w:tc>
      </w:tr>
      <w:tr>
        <w:trPr>
          <w:trHeight w:val="22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Class A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12,854</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21,322</w:t>
            </w:r>
          </w:p>
        </w:tc>
        <w:tc>
          <w:tcPr>
            <w:tcW w:w="12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of Class A Common Stock</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0.25</w:t>
            </w:r>
          </w:p>
        </w:tc>
      </w:tr>
      <w:tr>
        <w:trPr>
          <w:trHeight w:val="216"/>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0.25</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Class A Common Stock outstanding</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77,575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80,751</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77,961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81,578</w:t>
            </w:r>
          </w:p>
        </w:tc>
      </w:tr>
      <w:tr>
        <w:trPr>
          <w:trHeight w:val="234"/>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77,844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80,879</w:t>
            </w:r>
          </w:p>
        </w:tc>
        <w:tc>
          <w:tcPr>
            <w:tcW w:w="8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78,192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81,761</w:t>
            </w:r>
          </w:p>
        </w:tc>
      </w:tr>
    </w:tbl>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Sitio Royalties Corp.</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141"/>
              <w:spacing w:after="0"/>
              <w:rPr>
                <w:sz w:val="20"/>
                <w:szCs w:val="20"/>
                <w:color w:val="auto"/>
              </w:rPr>
            </w:pPr>
            <w:r>
              <w:rPr>
                <w:rFonts w:ascii="Times New Roman" w:cs="Times New Roman" w:eastAsia="Times New Roman" w:hAnsi="Times New Roman"/>
                <w:sz w:val="14"/>
                <w:szCs w:val="14"/>
                <w:color w:val="auto"/>
              </w:rPr>
              <w:t>Six Months Ended June 30,</w:t>
            </w:r>
          </w:p>
        </w:tc>
      </w:tr>
      <w:tr>
        <w:trPr>
          <w:trHeight w:val="142"/>
        </w:trPr>
        <w:tc>
          <w:tcPr>
            <w:tcW w:w="9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2"/>
                <w:szCs w:val="12"/>
                <w:color w:val="auto"/>
              </w:rPr>
            </w:pPr>
          </w:p>
        </w:tc>
      </w:tr>
      <w:tr>
        <w:trPr>
          <w:trHeight w:val="196"/>
        </w:trPr>
        <w:tc>
          <w:tcPr>
            <w:tcW w:w="9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40,832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47,733</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153,380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161,803</w:t>
            </w: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deferred financing costs and long-term debt discount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2,603</w:t>
            </w: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Share-based compensation</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11,307</w:t>
            </w: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Commodity derivatives losses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10,657</w:t>
            </w: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received for commodity derivatives settlements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6,316</w:t>
            </w: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tax benefit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revenue and accounts receivable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(22,107)</w:t>
            </w: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assets</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10,547</w:t>
            </w: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long-term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667</w:t>
            </w: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(3,487)</w:t>
            </w: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liabilities and other long-term liabilities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188,970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218,052</w:t>
            </w:r>
          </w:p>
        </w:tc>
        <w:tc>
          <w:tcPr>
            <w:tcW w:w="120" w:type="dxa"/>
            <w:vAlign w:val="bottom"/>
          </w:tcPr>
          <w:p>
            <w:pPr>
              <w:spacing w:after="0"/>
              <w:rPr>
                <w:sz w:val="20"/>
                <w:szCs w:val="20"/>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oil and gas properties, net of post-close adjustments</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(177,424)</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(177,661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 on credit facilities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279,000</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on credit facilities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(149,650)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(96,000)</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issuance costs</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(72,887)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(68,402)</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paid to Class A stockholders</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(75,016)</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equivalent rights paid</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Repurchases of Class A Common Stock</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(54,075)</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of Sitio OpCo Partnership Units (including associated Class C Common Shares)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(22,142)</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taxes related to net settlement of share-based compensation awards</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(1,770)</w:t>
            </w: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(169,246)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(39,238)</w:t>
            </w:r>
          </w:p>
        </w:tc>
      </w:tr>
      <w:tr>
        <w:trPr>
          <w:trHeight w:val="22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15,195</w:t>
            </w:r>
          </w:p>
        </w:tc>
      </w:tr>
      <w:tr>
        <w:trPr>
          <w:trHeight w:val="22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16,348</w:t>
            </w:r>
          </w:p>
        </w:tc>
        <w:tc>
          <w:tcPr>
            <w:tcW w:w="120" w:type="dxa"/>
            <w:vAlign w:val="bottom"/>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transactions: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 in current liabilities for additions to property and equipment: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29,632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2,769</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interest expense: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42,549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41,230</w:t>
            </w: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9" w:name="page10"/>
    <w:bookmarkEnd w:id="9"/>
    <w:p>
      <w:pPr>
        <w:jc w:val="center"/>
        <w:ind w:right="1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Sitio Royalties Corp.</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Condensed Consolidated Statements of Equity</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8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Class A</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Class C</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Additional</w:t>
            </w:r>
          </w:p>
        </w:tc>
        <w:tc>
          <w:tcPr>
            <w:tcW w:w="4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Accumulated</w:t>
            </w:r>
          </w:p>
        </w:tc>
        <w:tc>
          <w:tcPr>
            <w:tcW w:w="160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color w:val="auto"/>
              </w:rPr>
              <w:t>Class A</w:t>
            </w:r>
          </w:p>
        </w:tc>
        <w:tc>
          <w:tcPr>
            <w:tcW w:w="122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Class C</w:t>
            </w:r>
          </w:p>
        </w:tc>
        <w:tc>
          <w:tcPr>
            <w:tcW w:w="60" w:type="dxa"/>
            <w:vAlign w:val="bottom"/>
          </w:tcPr>
          <w:p>
            <w:pPr>
              <w:spacing w:after="0"/>
              <w:rPr>
                <w:sz w:val="13"/>
                <w:szCs w:val="13"/>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Noncontrolling</w:t>
            </w:r>
          </w:p>
        </w:tc>
        <w:tc>
          <w:tcPr>
            <w:tcW w:w="40" w:type="dxa"/>
            <w:vAlign w:val="bottom"/>
          </w:tcPr>
          <w:p>
            <w:pPr>
              <w:spacing w:after="0"/>
              <w:rPr>
                <w:sz w:val="13"/>
                <w:szCs w:val="13"/>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320" w:type="dxa"/>
            <w:vAlign w:val="bottom"/>
            <w:gridSpan w:val="6"/>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132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Paid-in</w:t>
            </w:r>
          </w:p>
        </w:tc>
        <w:tc>
          <w:tcPr>
            <w:tcW w:w="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0" w:type="dxa"/>
            <w:vAlign w:val="bottom"/>
            <w:gridSpan w:val="6"/>
          </w:tcPr>
          <w:p>
            <w:pPr>
              <w:ind w:left="260"/>
              <w:spacing w:after="0"/>
              <w:rPr>
                <w:sz w:val="20"/>
                <w:szCs w:val="20"/>
                <w:color w:val="auto"/>
              </w:rPr>
            </w:pPr>
            <w:r>
              <w:rPr>
                <w:rFonts w:ascii="Times New Roman" w:cs="Times New Roman" w:eastAsia="Times New Roman" w:hAnsi="Times New Roman"/>
                <w:sz w:val="14"/>
                <w:szCs w:val="14"/>
                <w:color w:val="auto"/>
              </w:rPr>
              <w:t>Treasury Shares</w:t>
            </w:r>
          </w:p>
        </w:tc>
        <w:tc>
          <w:tcPr>
            <w:tcW w:w="1220" w:type="dxa"/>
            <w:vAlign w:val="bottom"/>
            <w:gridSpan w:val="5"/>
          </w:tcPr>
          <w:p>
            <w:pPr>
              <w:ind w:left="100"/>
              <w:spacing w:after="0"/>
              <w:rPr>
                <w:sz w:val="20"/>
                <w:szCs w:val="20"/>
                <w:color w:val="auto"/>
              </w:rPr>
            </w:pPr>
            <w:r>
              <w:rPr>
                <w:rFonts w:ascii="Times New Roman" w:cs="Times New Roman" w:eastAsia="Times New Roman" w:hAnsi="Times New Roman"/>
                <w:sz w:val="14"/>
                <w:szCs w:val="14"/>
                <w:color w:val="auto"/>
              </w:rPr>
              <w:t>Treasury Shares</w:t>
            </w:r>
          </w:p>
        </w:tc>
        <w:tc>
          <w:tcPr>
            <w:tcW w:w="6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70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color w:val="auto"/>
              </w:rPr>
              <w:t>Shares</w:t>
            </w:r>
          </w:p>
        </w:tc>
        <w:tc>
          <w:tcPr>
            <w:tcW w:w="4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2"/>
                <w:szCs w:val="12"/>
                <w:color w:val="auto"/>
              </w:rPr>
            </w:pPr>
          </w:p>
        </w:tc>
        <w:tc>
          <w:tcPr>
            <w:tcW w:w="70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Shares</w:t>
            </w:r>
          </w:p>
        </w:tc>
        <w:tc>
          <w:tcPr>
            <w:tcW w:w="4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2"/>
                <w:szCs w:val="12"/>
                <w:color w:val="auto"/>
              </w:rPr>
            </w:pPr>
          </w:p>
        </w:tc>
        <w:tc>
          <w:tcPr>
            <w:tcW w:w="94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Capital</w:t>
            </w:r>
          </w:p>
        </w:tc>
        <w:tc>
          <w:tcPr>
            <w:tcW w:w="40" w:type="dxa"/>
            <w:vAlign w:val="bottom"/>
          </w:tcPr>
          <w:p>
            <w:pPr>
              <w:spacing w:after="0"/>
              <w:rPr>
                <w:sz w:val="12"/>
                <w:szCs w:val="12"/>
                <w:color w:val="auto"/>
              </w:rPr>
            </w:pPr>
          </w:p>
        </w:tc>
        <w:tc>
          <w:tcPr>
            <w:tcW w:w="9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Deficit</w:t>
            </w:r>
          </w:p>
        </w:tc>
        <w:tc>
          <w:tcPr>
            <w:tcW w:w="64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Shares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Shares</w:t>
            </w: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Interest</w:t>
            </w:r>
          </w:p>
        </w:tc>
        <w:tc>
          <w:tcPr>
            <w:tcW w:w="40" w:type="dxa"/>
            <w:vAlign w:val="bottom"/>
          </w:tcPr>
          <w:p>
            <w:pPr>
              <w:spacing w:after="0"/>
              <w:rPr>
                <w:sz w:val="12"/>
                <w:szCs w:val="12"/>
                <w:color w:val="auto"/>
              </w:rPr>
            </w:pPr>
          </w:p>
        </w:tc>
        <w:tc>
          <w:tcPr>
            <w:tcW w:w="94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78"/>
        </w:trPr>
        <w:tc>
          <w:tcPr>
            <w:tcW w:w="17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at January 1,</w:t>
            </w:r>
          </w:p>
        </w:tc>
        <w:tc>
          <w:tcPr>
            <w:tcW w:w="5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83,205</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8</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73,444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8</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1,710,372</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(146,792)</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(4,225)</w:t>
            </w:r>
          </w:p>
        </w:tc>
        <w:tc>
          <w:tcPr>
            <w:tcW w:w="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(96,910)</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(53)</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(1,265)</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1,891,697</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3,357,118</w:t>
            </w:r>
          </w:p>
        </w:tc>
        <w:tc>
          <w:tcPr>
            <w:tcW w:w="0" w:type="dxa"/>
            <w:vAlign w:val="bottom"/>
          </w:tcPr>
          <w:p>
            <w:pPr>
              <w:spacing w:after="0"/>
              <w:rPr>
                <w:sz w:val="1"/>
                <w:szCs w:val="1"/>
                <w:color w:val="auto"/>
              </w:rPr>
            </w:pPr>
          </w:p>
        </w:tc>
      </w:tr>
      <w:tr>
        <w:trPr>
          <w:trHeight w:val="20"/>
        </w:trPr>
        <w:tc>
          <w:tcPr>
            <w:tcW w:w="17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16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compensation</w:t>
            </w:r>
          </w:p>
        </w:tc>
        <w:tc>
          <w:tcPr>
            <w:tcW w:w="7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6,419</w:t>
            </w:r>
          </w:p>
        </w:tc>
        <w:tc>
          <w:tcPr>
            <w:tcW w:w="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555</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6,974</w:t>
            </w:r>
          </w:p>
        </w:tc>
        <w:tc>
          <w:tcPr>
            <w:tcW w:w="0" w:type="dxa"/>
            <w:vAlign w:val="bottom"/>
          </w:tcPr>
          <w:p>
            <w:pPr>
              <w:spacing w:after="0"/>
              <w:rPr>
                <w:sz w:val="1"/>
                <w:szCs w:val="1"/>
                <w:color w:val="auto"/>
              </w:rPr>
            </w:pPr>
          </w:p>
        </w:tc>
      </w:tr>
      <w:tr>
        <w:trPr>
          <w:trHeight w:val="198"/>
        </w:trPr>
        <w:tc>
          <w:tcPr>
            <w:tcW w:w="17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Class A</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Common</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 upon</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vesting of</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share-based</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awards, net of</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withheld for</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income taxes</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(1,314)</w:t>
            </w:r>
          </w:p>
        </w:tc>
        <w:tc>
          <w:tcPr>
            <w:tcW w:w="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Dividends to</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Class A</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stockholders</w:t>
            </w:r>
          </w:p>
        </w:tc>
        <w:tc>
          <w:tcPr>
            <w:tcW w:w="7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(31,977)</w:t>
            </w:r>
          </w:p>
        </w:tc>
        <w:tc>
          <w:tcPr>
            <w:tcW w:w="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(31,977)</w:t>
            </w:r>
          </w:p>
        </w:tc>
        <w:tc>
          <w:tcPr>
            <w:tcW w:w="0" w:type="dxa"/>
            <w:vAlign w:val="bottom"/>
          </w:tcPr>
          <w:p>
            <w:pPr>
              <w:spacing w:after="0"/>
              <w:rPr>
                <w:sz w:val="1"/>
                <w:szCs w:val="1"/>
                <w:color w:val="auto"/>
              </w:rPr>
            </w:pPr>
          </w:p>
        </w:tc>
      </w:tr>
      <w:tr>
        <w:trPr>
          <w:trHeight w:val="198"/>
        </w:trPr>
        <w:tc>
          <w:tcPr>
            <w:tcW w:w="17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Dividend</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equivalent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rights</w:t>
            </w:r>
          </w:p>
        </w:tc>
        <w:tc>
          <w:tcPr>
            <w:tcW w:w="7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Distributions to</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noncontrolling</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interest</w:t>
            </w:r>
          </w:p>
        </w:tc>
        <w:tc>
          <w:tcPr>
            <w:tcW w:w="7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(30,143)</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(30,143)</w:t>
            </w:r>
          </w:p>
        </w:tc>
        <w:tc>
          <w:tcPr>
            <w:tcW w:w="0" w:type="dxa"/>
            <w:vAlign w:val="bottom"/>
          </w:tcPr>
          <w:p>
            <w:pPr>
              <w:spacing w:after="0"/>
              <w:rPr>
                <w:sz w:val="1"/>
                <w:szCs w:val="1"/>
                <w:color w:val="auto"/>
              </w:rPr>
            </w:pPr>
          </w:p>
        </w:tc>
      </w:tr>
      <w:tr>
        <w:trPr>
          <w:trHeight w:val="198"/>
        </w:trPr>
        <w:tc>
          <w:tcPr>
            <w:tcW w:w="17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Repurchases of</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Class A</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Common</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w:t>
            </w:r>
          </w:p>
        </w:tc>
        <w:tc>
          <w:tcPr>
            <w:tcW w:w="7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(22,466)</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(22,466)</w:t>
            </w: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at March 31,</w:t>
            </w: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83,321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8</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73,444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8</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1,683,097</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(136,509)</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(5,328)</w:t>
            </w:r>
          </w:p>
        </w:tc>
        <w:tc>
          <w:tcPr>
            <w:tcW w:w="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(119,376)</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(53)</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(1,265)</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1,878,127</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3,304,090</w:t>
            </w:r>
          </w:p>
        </w:tc>
        <w:tc>
          <w:tcPr>
            <w:tcW w:w="0" w:type="dxa"/>
            <w:vAlign w:val="bottom"/>
          </w:tcPr>
          <w:p>
            <w:pPr>
              <w:spacing w:after="0"/>
              <w:rPr>
                <w:sz w:val="1"/>
                <w:szCs w:val="1"/>
                <w:color w:val="auto"/>
              </w:rPr>
            </w:pPr>
          </w:p>
        </w:tc>
      </w:tr>
      <w:tr>
        <w:trPr>
          <w:trHeight w:val="20"/>
        </w:trPr>
        <w:tc>
          <w:tcPr>
            <w:tcW w:w="17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6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compensation</w:t>
            </w:r>
          </w:p>
        </w:tc>
        <w:tc>
          <w:tcPr>
            <w:tcW w:w="7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6,901</w:t>
            </w:r>
          </w:p>
        </w:tc>
        <w:tc>
          <w:tcPr>
            <w:tcW w:w="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561</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7,462</w:t>
            </w:r>
          </w:p>
        </w:tc>
        <w:tc>
          <w:tcPr>
            <w:tcW w:w="0" w:type="dxa"/>
            <w:vAlign w:val="bottom"/>
          </w:tcPr>
          <w:p>
            <w:pPr>
              <w:spacing w:after="0"/>
              <w:rPr>
                <w:sz w:val="1"/>
                <w:szCs w:val="1"/>
                <w:color w:val="auto"/>
              </w:rPr>
            </w:pPr>
          </w:p>
        </w:tc>
      </w:tr>
      <w:tr>
        <w:trPr>
          <w:trHeight w:val="198"/>
        </w:trPr>
        <w:tc>
          <w:tcPr>
            <w:tcW w:w="17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Class A</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Common</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 upon</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vesting of</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share-based</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awards, net of</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withheld for</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income taxes</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(1,483)</w:t>
            </w:r>
          </w:p>
        </w:tc>
        <w:tc>
          <w:tcPr>
            <w:tcW w:w="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(1,483)</w:t>
            </w: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C</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Common</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withheld for</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income taxes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upon vesting</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of RSAs and</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held in</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treasury</w:t>
            </w:r>
          </w:p>
        </w:tc>
        <w:tc>
          <w:tcPr>
            <w:tcW w:w="7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(23)</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(471)</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198"/>
        </w:trPr>
        <w:tc>
          <w:tcPr>
            <w:tcW w:w="17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Dividends to</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Class A</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stockholders</w:t>
            </w:r>
          </w:p>
        </w:tc>
        <w:tc>
          <w:tcPr>
            <w:tcW w:w="7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(27,106)</w:t>
            </w:r>
          </w:p>
        </w:tc>
        <w:tc>
          <w:tcPr>
            <w:tcW w:w="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(27,106)</w:t>
            </w: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Dividend</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equivalent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rights</w:t>
            </w:r>
          </w:p>
        </w:tc>
        <w:tc>
          <w:tcPr>
            <w:tcW w:w="7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(1,328)</w:t>
            </w:r>
          </w:p>
        </w:tc>
        <w:tc>
          <w:tcPr>
            <w:tcW w:w="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198"/>
        </w:trPr>
        <w:tc>
          <w:tcPr>
            <w:tcW w:w="17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Distributions to</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noncontrolling</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interest</w:t>
            </w:r>
          </w:p>
        </w:tc>
        <w:tc>
          <w:tcPr>
            <w:tcW w:w="7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(42,744)</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(42,744)</w:t>
            </w: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Repurchases of</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Class A</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Common</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w:t>
            </w:r>
          </w:p>
        </w:tc>
        <w:tc>
          <w:tcPr>
            <w:tcW w:w="7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(8,988)</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(8,988)</w:t>
            </w:r>
          </w:p>
        </w:tc>
        <w:tc>
          <w:tcPr>
            <w:tcW w:w="0" w:type="dxa"/>
            <w:vAlign w:val="bottom"/>
          </w:tcPr>
          <w:p>
            <w:pPr>
              <w:spacing w:after="0"/>
              <w:rPr>
                <w:sz w:val="1"/>
                <w:szCs w:val="1"/>
                <w:color w:val="auto"/>
              </w:rPr>
            </w:pPr>
          </w:p>
        </w:tc>
      </w:tr>
      <w:tr>
        <w:trPr>
          <w:trHeight w:val="205"/>
        </w:trPr>
        <w:tc>
          <w:tcPr>
            <w:tcW w:w="170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Balance at</w:t>
            </w:r>
          </w:p>
        </w:tc>
        <w:tc>
          <w:tcPr>
            <w:tcW w:w="5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June 30, 2025</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83,454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8</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73,444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8</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1,660,081</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(129,236)</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(5,876)</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(128,364)</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(76)</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(1,736)</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1,843,219</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3,243,980</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20"/>
          </w:cols>
          <w:pgMar w:left="440" w:top="270" w:right="339" w:bottom="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019"/>
          </w:cols>
          <w:pgMar w:left="1440" w:top="121"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86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Class A</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4"/>
          </w:tcPr>
          <w:p>
            <w:pPr>
              <w:jc w:val="center"/>
              <w:ind w:left="253"/>
              <w:spacing w:after="0"/>
              <w:rPr>
                <w:sz w:val="20"/>
                <w:szCs w:val="20"/>
                <w:color w:val="auto"/>
              </w:rPr>
            </w:pPr>
            <w:r>
              <w:rPr>
                <w:rFonts w:ascii="Times New Roman" w:cs="Times New Roman" w:eastAsia="Times New Roman" w:hAnsi="Times New Roman"/>
                <w:sz w:val="14"/>
                <w:szCs w:val="14"/>
                <w:color w:val="auto"/>
              </w:rPr>
              <w:t>Class C</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Additional</w:t>
            </w:r>
          </w:p>
        </w:tc>
        <w:tc>
          <w:tcPr>
            <w:tcW w:w="6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Accumulated</w:t>
            </w:r>
          </w:p>
        </w:tc>
        <w:tc>
          <w:tcPr>
            <w:tcW w:w="152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color w:val="auto"/>
              </w:rPr>
              <w:t>Class A</w:t>
            </w:r>
          </w:p>
        </w:tc>
        <w:tc>
          <w:tcPr>
            <w:tcW w:w="78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w w:val="97"/>
              </w:rPr>
              <w:t>Class C</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Noncontrolling</w:t>
            </w:r>
          </w:p>
        </w:tc>
        <w:tc>
          <w:tcPr>
            <w:tcW w:w="60" w:type="dxa"/>
            <w:vAlign w:val="bottom"/>
          </w:tcPr>
          <w:p>
            <w:pPr>
              <w:spacing w:after="0"/>
              <w:rPr>
                <w:sz w:val="13"/>
                <w:szCs w:val="13"/>
                <w:color w:val="auto"/>
              </w:rPr>
            </w:pP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32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134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color w:val="auto"/>
              </w:rPr>
              <w:t>Common Stock</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Paid-in</w:t>
            </w:r>
          </w:p>
        </w:tc>
        <w:tc>
          <w:tcPr>
            <w:tcW w:w="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52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color w:val="auto"/>
              </w:rPr>
              <w:t>Treasury Shares</w:t>
            </w:r>
          </w:p>
        </w:tc>
        <w:tc>
          <w:tcPr>
            <w:tcW w:w="12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Treasury Shares</w:t>
            </w:r>
          </w:p>
        </w:tc>
        <w:tc>
          <w:tcPr>
            <w:tcW w:w="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70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Shares</w:t>
            </w:r>
          </w:p>
        </w:tc>
        <w:tc>
          <w:tcPr>
            <w:tcW w:w="4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Shares</w:t>
            </w: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w w:val="95"/>
              </w:rPr>
              <w:t>Amount</w:t>
            </w:r>
          </w:p>
        </w:tc>
        <w:tc>
          <w:tcPr>
            <w:tcW w:w="160" w:type="dxa"/>
            <w:vAlign w:val="bottom"/>
          </w:tcPr>
          <w:p>
            <w:pPr>
              <w:spacing w:after="0"/>
              <w:rPr>
                <w:sz w:val="12"/>
                <w:szCs w:val="12"/>
                <w:color w:val="auto"/>
              </w:rPr>
            </w:pPr>
          </w:p>
        </w:tc>
        <w:tc>
          <w:tcPr>
            <w:tcW w:w="94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Capital</w:t>
            </w:r>
          </w:p>
        </w:tc>
        <w:tc>
          <w:tcPr>
            <w:tcW w:w="60" w:type="dxa"/>
            <w:vAlign w:val="bottom"/>
          </w:tcPr>
          <w:p>
            <w:pPr>
              <w:spacing w:after="0"/>
              <w:rPr>
                <w:sz w:val="12"/>
                <w:szCs w:val="12"/>
                <w:color w:val="auto"/>
              </w:rPr>
            </w:pPr>
          </w:p>
        </w:tc>
        <w:tc>
          <w:tcPr>
            <w:tcW w:w="9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Deficit</w:t>
            </w:r>
          </w:p>
        </w:tc>
        <w:tc>
          <w:tcPr>
            <w:tcW w:w="64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Shares</w:t>
            </w: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Shares</w:t>
            </w: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Interest</w:t>
            </w:r>
          </w:p>
        </w:tc>
        <w:tc>
          <w:tcPr>
            <w:tcW w:w="60" w:type="dxa"/>
            <w:vAlign w:val="bottom"/>
          </w:tcPr>
          <w:p>
            <w:pPr>
              <w:spacing w:after="0"/>
              <w:rPr>
                <w:sz w:val="12"/>
                <w:szCs w:val="12"/>
                <w:color w:val="auto"/>
              </w:rPr>
            </w:pPr>
          </w:p>
        </w:tc>
        <w:tc>
          <w:tcPr>
            <w:tcW w:w="92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78"/>
        </w:trPr>
        <w:tc>
          <w:tcPr>
            <w:tcW w:w="17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at January 1,</w:t>
            </w: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8</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74,965</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1,796,147</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(187,738)</w:t>
            </w:r>
          </w:p>
        </w:tc>
        <w:tc>
          <w:tcPr>
            <w:tcW w:w="64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81"/>
              </w:rPr>
              <w:t>— </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(677)</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$ 1,987,526</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3,595,274</w:t>
            </w:r>
          </w:p>
        </w:tc>
        <w:tc>
          <w:tcPr>
            <w:tcW w:w="0" w:type="dxa"/>
            <w:vAlign w:val="bottom"/>
          </w:tcPr>
          <w:p>
            <w:pPr>
              <w:spacing w:after="0"/>
              <w:rPr>
                <w:sz w:val="1"/>
                <w:szCs w:val="1"/>
                <w:color w:val="auto"/>
              </w:rPr>
            </w:pPr>
          </w:p>
        </w:tc>
      </w:tr>
      <w:tr>
        <w:trPr>
          <w:trHeight w:val="20"/>
        </w:trPr>
        <w:tc>
          <w:tcPr>
            <w:tcW w:w="17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160" w:type="dxa"/>
            <w:vAlign w:val="bottom"/>
          </w:tcPr>
          <w:p>
            <w:pPr>
              <w:spacing w:after="0"/>
              <w:rPr>
                <w:sz w:val="18"/>
                <w:szCs w:val="18"/>
                <w:color w:val="auto"/>
              </w:rPr>
            </w:pPr>
          </w:p>
        </w:tc>
        <w:tc>
          <w:tcPr>
            <w:tcW w:w="54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compensation</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4,543</w:t>
            </w: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81"/>
              </w:rPr>
              <w:t>— </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— </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5,104</w:t>
            </w:r>
          </w:p>
        </w:tc>
        <w:tc>
          <w:tcPr>
            <w:tcW w:w="0" w:type="dxa"/>
            <w:vAlign w:val="bottom"/>
          </w:tcPr>
          <w:p>
            <w:pPr>
              <w:spacing w:after="0"/>
              <w:rPr>
                <w:sz w:val="1"/>
                <w:szCs w:val="1"/>
                <w:color w:val="auto"/>
              </w:rPr>
            </w:pPr>
          </w:p>
        </w:tc>
      </w:tr>
      <w:tr>
        <w:trPr>
          <w:trHeight w:val="198"/>
        </w:trPr>
        <w:tc>
          <w:tcPr>
            <w:tcW w:w="17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Conversion of</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Class C</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Common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 to</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Class A</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Common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3,265</w:t>
            </w:r>
          </w:p>
        </w:tc>
        <w:tc>
          <w:tcPr>
            <w:tcW w:w="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81"/>
              </w:rPr>
              <w:t>— </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8"/>
              </w:rPr>
              <w:t>— </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(3,265)</w:t>
            </w:r>
          </w:p>
        </w:tc>
        <w:tc>
          <w:tcPr>
            <w:tcW w:w="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Class A</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Common</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 upon</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vesting of</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share-based</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awards, net of</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withheld for</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income taxes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w:t>
            </w: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81"/>
              </w:rPr>
              <w:t>— </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— </w:t>
            </w:r>
          </w:p>
        </w:tc>
        <w:tc>
          <w:tcPr>
            <w:tcW w:w="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198"/>
        </w:trPr>
        <w:tc>
          <w:tcPr>
            <w:tcW w:w="17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Change in</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taxes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from</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conversion of</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Class C</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Common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 to</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Class A</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Common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81"/>
              </w:rPr>
              <w:t>— </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8"/>
              </w:rPr>
              <w:t>— </w:t>
            </w:r>
          </w:p>
        </w:tc>
        <w:tc>
          <w:tcPr>
            <w:tcW w:w="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Dividends to</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Class A</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stockholders</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(41,950)</w:t>
            </w: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81"/>
              </w:rPr>
              <w:t>— </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— </w:t>
            </w:r>
          </w:p>
        </w:tc>
        <w:tc>
          <w:tcPr>
            <w:tcW w:w="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(41,950)</w:t>
            </w:r>
          </w:p>
        </w:tc>
        <w:tc>
          <w:tcPr>
            <w:tcW w:w="0" w:type="dxa"/>
            <w:vAlign w:val="bottom"/>
          </w:tcPr>
          <w:p>
            <w:pPr>
              <w:spacing w:after="0"/>
              <w:rPr>
                <w:sz w:val="1"/>
                <w:szCs w:val="1"/>
                <w:color w:val="auto"/>
              </w:rPr>
            </w:pPr>
          </w:p>
        </w:tc>
      </w:tr>
      <w:tr>
        <w:trPr>
          <w:trHeight w:val="198"/>
        </w:trPr>
        <w:tc>
          <w:tcPr>
            <w:tcW w:w="17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Dividend</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equivalent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rights</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w:t>
            </w:r>
          </w:p>
        </w:tc>
        <w:tc>
          <w:tcPr>
            <w:tcW w:w="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81"/>
              </w:rPr>
              <w:t>— </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8"/>
              </w:rPr>
              <w:t>— </w:t>
            </w:r>
          </w:p>
        </w:tc>
        <w:tc>
          <w:tcPr>
            <w:tcW w:w="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Distributions to</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noncontrolling</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interest</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81"/>
              </w:rPr>
              <w:t>— </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— </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(38,157)</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(38,157)</w:t>
            </w:r>
          </w:p>
        </w:tc>
        <w:tc>
          <w:tcPr>
            <w:tcW w:w="0" w:type="dxa"/>
            <w:vAlign w:val="bottom"/>
          </w:tcPr>
          <w:p>
            <w:pPr>
              <w:spacing w:after="0"/>
              <w:rPr>
                <w:sz w:val="1"/>
                <w:szCs w:val="1"/>
                <w:color w:val="auto"/>
              </w:rPr>
            </w:pPr>
          </w:p>
        </w:tc>
      </w:tr>
      <w:tr>
        <w:trPr>
          <w:trHeight w:val="198"/>
        </w:trPr>
        <w:tc>
          <w:tcPr>
            <w:tcW w:w="17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Repurchases of</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Class A</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Common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auto"/>
              </w:rPr>
              <w:t>(546)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(13,057)</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(13,057)</w:t>
            </w: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at March 31,</w:t>
            </w: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8</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74,830</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1,760,949</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(179,270)</w:t>
            </w:r>
          </w:p>
        </w:tc>
        <w:tc>
          <w:tcPr>
            <w:tcW w:w="64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rPr>
              <w:t>(546)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(13,057)</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(677)</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$ 1,956,889</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3,524,850</w:t>
            </w:r>
          </w:p>
        </w:tc>
        <w:tc>
          <w:tcPr>
            <w:tcW w:w="0" w:type="dxa"/>
            <w:vAlign w:val="bottom"/>
          </w:tcPr>
          <w:p>
            <w:pPr>
              <w:spacing w:after="0"/>
              <w:rPr>
                <w:sz w:val="1"/>
                <w:szCs w:val="1"/>
                <w:color w:val="auto"/>
              </w:rPr>
            </w:pPr>
          </w:p>
        </w:tc>
      </w:tr>
      <w:tr>
        <w:trPr>
          <w:trHeight w:val="20"/>
        </w:trPr>
        <w:tc>
          <w:tcPr>
            <w:tcW w:w="17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12,854</w:t>
            </w:r>
          </w:p>
        </w:tc>
        <w:tc>
          <w:tcPr>
            <w:tcW w:w="160" w:type="dxa"/>
            <w:vAlign w:val="bottom"/>
          </w:tcPr>
          <w:p>
            <w:pPr>
              <w:spacing w:after="0"/>
              <w:rPr>
                <w:sz w:val="18"/>
                <w:szCs w:val="18"/>
                <w:color w:val="auto"/>
              </w:rPr>
            </w:pPr>
          </w:p>
        </w:tc>
        <w:tc>
          <w:tcPr>
            <w:tcW w:w="54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81"/>
              </w:rPr>
              <w:t>— 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compensation</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5,642</w:t>
            </w: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81"/>
              </w:rPr>
              <w:t>— </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— </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6,203</w:t>
            </w:r>
          </w:p>
        </w:tc>
        <w:tc>
          <w:tcPr>
            <w:tcW w:w="0" w:type="dxa"/>
            <w:vAlign w:val="bottom"/>
          </w:tcPr>
          <w:p>
            <w:pPr>
              <w:spacing w:after="0"/>
              <w:rPr>
                <w:sz w:val="1"/>
                <w:szCs w:val="1"/>
                <w:color w:val="auto"/>
              </w:rPr>
            </w:pPr>
          </w:p>
        </w:tc>
      </w:tr>
      <w:tr>
        <w:trPr>
          <w:trHeight w:val="198"/>
        </w:trPr>
        <w:tc>
          <w:tcPr>
            <w:tcW w:w="17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Conversion of</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Class C</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Common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 to</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Class A</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Common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3,820</w:t>
            </w:r>
          </w:p>
        </w:tc>
        <w:tc>
          <w:tcPr>
            <w:tcW w:w="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81"/>
              </w:rPr>
              <w:t>— </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8"/>
              </w:rPr>
              <w:t>— </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(3,820)</w:t>
            </w:r>
          </w:p>
        </w:tc>
        <w:tc>
          <w:tcPr>
            <w:tcW w:w="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Class A</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Common</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 upon</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vesting of</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share-based</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awards, net of</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withheld for</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income taxes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(382)</w:t>
            </w: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81"/>
              </w:rPr>
              <w:t>— </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— </w:t>
            </w:r>
          </w:p>
        </w:tc>
        <w:tc>
          <w:tcPr>
            <w:tcW w:w="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60"/>
          </w:cols>
          <w:pgMar w:left="440" w:top="262" w:right="399" w:bottom="919"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216"/>
        </w:trPr>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C</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Common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withheld for</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income taxes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upon vesting</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 RSAs and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held in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treasury</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(27)</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(588)</w:t>
            </w:r>
          </w:p>
        </w:tc>
        <w:tc>
          <w:tcPr>
            <w:tcW w:w="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(588)</w:t>
            </w:r>
          </w:p>
        </w:tc>
      </w:tr>
      <w:tr>
        <w:trPr>
          <w:trHeight w:val="198"/>
        </w:trPr>
        <w:tc>
          <w:tcPr>
            <w:tcW w:w="17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Change in</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deferred taxes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from</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conversion of</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Class C</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Common</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 to</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Class A</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Common</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— </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17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Dividends to</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Class A</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stockholders</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— </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(33,066)</w:t>
            </w:r>
          </w:p>
        </w:tc>
        <w:tc>
          <w:tcPr>
            <w:tcW w:w="60" w:type="dxa"/>
            <w:vAlign w:val="bottom"/>
          </w:tcPr>
          <w:p>
            <w:pPr>
              <w:spacing w:after="0"/>
              <w:rPr>
                <w:sz w:val="20"/>
                <w:szCs w:val="20"/>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(33,066)</w:t>
            </w:r>
          </w:p>
        </w:tc>
      </w:tr>
      <w:tr>
        <w:trPr>
          <w:trHeight w:val="198"/>
        </w:trPr>
        <w:tc>
          <w:tcPr>
            <w:tcW w:w="17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Dividend</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equivalent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rights</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— </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r>
      <w:tr>
        <w:trPr>
          <w:trHeight w:val="198"/>
        </w:trPr>
        <w:tc>
          <w:tcPr>
            <w:tcW w:w="17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Distributions to</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noncontrolling</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interest</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(30,245)</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(30,245)</w:t>
            </w:r>
          </w:p>
        </w:tc>
      </w:tr>
      <w:tr>
        <w:trPr>
          <w:trHeight w:val="198"/>
        </w:trPr>
        <w:tc>
          <w:tcPr>
            <w:tcW w:w="17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Repurchases of</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Class A</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Common</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— </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(1,684)</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(41,526)</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(41,526)</w:t>
            </w:r>
          </w:p>
        </w:tc>
      </w:tr>
      <w:tr>
        <w:trPr>
          <w:trHeight w:val="198"/>
        </w:trPr>
        <w:tc>
          <w:tcPr>
            <w:tcW w:w="17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Repurchases of</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Sitio OpCo</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Partnership</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Units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(including</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associated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Class C</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Common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1,329</w:t>
            </w:r>
          </w:p>
        </w:tc>
        <w:tc>
          <w:tcPr>
            <w:tcW w:w="60" w:type="dxa"/>
            <w:vAlign w:val="bottom"/>
          </w:tcPr>
          <w:p>
            <w:pPr>
              <w:spacing w:after="0"/>
              <w:rPr>
                <w:sz w:val="20"/>
                <w:szCs w:val="20"/>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 </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(23,691)</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(22,363)</w:t>
            </w:r>
          </w:p>
        </w:tc>
      </w:tr>
      <w:tr>
        <w:trPr>
          <w:trHeight w:val="198"/>
        </w:trPr>
        <w:tc>
          <w:tcPr>
            <w:tcW w:w="1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at June 30,</w:t>
            </w: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82,826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73,771</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1,737,960</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(166,416)</w:t>
            </w: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(2,230)</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(54,583)</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(53)</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(1,265)</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$ 1,915,881</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3,431,592</w:t>
            </w:r>
          </w:p>
        </w:tc>
      </w:tr>
      <w:tr>
        <w:trPr>
          <w:trHeight w:val="20"/>
        </w:trPr>
        <w:tc>
          <w:tcPr>
            <w:tcW w:w="1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60"/>
          </w:cols>
          <w:pgMar w:left="440" w:top="121" w:right="39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Sitio Royalties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Sitio Royalties Corp., together with its wholly-owned subsidiaries and any entities in which the company owns a controlling interest (collectively, “Sitio” or the “Company”), including Sitio Royalties Operating Partnership, LP (“Sitio OpCo”), have been prepared pursuant to the rules and regulations of the SEC applicable to interim financial information. Accordingly, such consolidated financial statements reflect all adjustments (consisting of normal and recurring accruals) which are, in the opinion of management, necessary for a fair presentation of the financial results for the interim periods presented. Certain information and notes normally included in financial statements prepared in accordance with GAAP have been condensed or omitted pursuant to such rules and regulations. However, management believes that the disclosures included either on the face of the financial statements or in these notes are sufficient to make the interim information presented not misleading. The accompanying unaudited condensed consolidated financial statements and notes thereto should be read in conjunction with the financial statements and notes thereto in our Annual Report on Form 10-K for the year ended December 31, 2024, filed with the SEC on February 26, 2025 (the “Annual Report”).</w:t>
      </w:r>
    </w:p>
    <w:p>
      <w:pPr>
        <w:spacing w:after="0" w:line="194"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GAAP requires management to make estimates and assumptions that affect the reported amounts of assets and liabilities at the date of the unaudited condensed consolidated financial statements and the reported amounts of revenues and expenses during the reporting periods. Actual results could differ from those estimates. The results of operations for the three and six months ended June 30, 2025 are not necessarily indicative of the results to be expected for the entire fiscal year ending December 31, 2025.</w:t>
      </w:r>
    </w:p>
    <w:p>
      <w:pPr>
        <w:spacing w:after="0" w:line="183"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indicated or required by the context, all references in this quarterly report to the “Company,” “Sitio,” “we,” “us,” “our” or similar terms refer to Sitio Royalties Corp. and its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Merger Agreement</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On June 2, 2025, Sitio and Sitio OpCo entered into an Agreement and Plan of Merger, dated as of June 2, 2025, (the “Merger Agreement”) with Viper Energy, Inc., a Delaware corporation (“Viper”), Viper Energy Partners LLC, a Delaware limited liability company (“Viper Opco”), New Cobra Pubco, Inc., a Delaware corporation and a wholly owned subsidiary of Viper (“New Viper”), Cobra Merger Sub, Inc., a Delaware corporation and a wholly owned subsidiary of New Viper (“Viper Merger Sub”), and Scorpion Merger Sub, Inc., a Delaware corporation and a wholly owned subsidiary of New Viper (“Sitio Merger Sub”).</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Pursuant to the terms of the Merger Agreement, Viper and Sitio will combine in an all-equity transaction through: (i) the merger of Sitio Merger Sub with and into Sitio (the “Sitio Pubco Merger”), with Sitio surviving the Sitio Pubco Merger as a wholly owned subsidiary of New Viper, (ii) the merger of Viper Merger Sub with and into Viper (the “Viper Pubco Merger” and together with the Sitio Pubco Merger, the “Pubco Mergers”), with Viper surviving the Viper Pubco Merger as a wholly owned subsidiary of New Viper, and (iii) following the Pubco Mergers, the merger of Sitio OpCo with and into Viper Opco (the “Opco Merger”, and, together with the Pubco Mergers, the “Mergers”), with Viper Opco continuing as the surviving entity, in each case on the terms set forth in the Merger Agreement.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the terms and subject to the conditions set forth in the Merger Agreement:</w:t>
      </w:r>
    </w:p>
    <w:p>
      <w:pPr>
        <w:spacing w:after="0" w:line="131" w:lineRule="exact"/>
        <w:rPr>
          <w:sz w:val="20"/>
          <w:szCs w:val="20"/>
          <w:color w:val="auto"/>
        </w:rPr>
      </w:pPr>
    </w:p>
    <w:p>
      <w:pPr>
        <w:ind w:left="960" w:right="120" w:hanging="424"/>
        <w:spacing w:after="0" w:line="258"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of the Sitio Pubco Merger (the “Sitio Pubco Merger Effective Time”), (A) each share of our Class A Common Stock issued and outstanding immediately prior to the Sitio Pubco Merger Effective Time will be cancelled and automatically converted into the right to receive 0.4855 fully-paid and nonassessable shares of Class A common stock, par value $0.000001 per share, of New Viper (the “New Viper Class A Common Stock”), and (B) each share of our Class C common stock issued and outstanding immediately prior to the Sitio Pubco Merger Effective Time will be automatically cancelled and cease to exist;</w:t>
      </w:r>
    </w:p>
    <w:p>
      <w:pPr>
        <w:spacing w:after="0" w:line="88" w:lineRule="exact"/>
        <w:rPr>
          <w:rFonts w:ascii="Times New Roman" w:cs="Times New Roman" w:eastAsia="Times New Roman" w:hAnsi="Times New Roman"/>
          <w:sz w:val="18"/>
          <w:szCs w:val="18"/>
          <w:color w:val="auto"/>
        </w:rPr>
      </w:pPr>
    </w:p>
    <w:p>
      <w:pPr>
        <w:ind w:left="960" w:right="40" w:hanging="424"/>
        <w:spacing w:after="0" w:line="273" w:lineRule="auto"/>
        <w:tabs>
          <w:tab w:leader="none" w:pos="9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effective time of the Viper Pubco Merger (the “Viper Pubco Merger Effective Time”), (A) each share of Viper’s Class A common stock, par value $0.000001 per share (the “Viper Class A Common Stock”), issued and outstanding immediately prior to the Viper Pubco Merger Effective Time will be cancelled and automatically converted into one share of New Viper Class A Common Stock and (B) each share of Viper’s Class B common stock, par value $0.000001 per share (“Viper Class B Common Stock” and together with the Viper Class A Common Stock, the “Viper Common Stock”), issued and outstanding immediately prior to the Viper Pubco Merger Effective Time will be automatically cancelled and converted into one share of New Viper Class B Common Stock, par value $0.000001 per share (the “New Viper Class B Common Stock” and together with the New Viper Class A Common Stock, the “ New Viper Common Stock”); and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6" w:right="439" w:bottom="1440" w:gutter="0" w:footer="0" w:header="0"/>
        </w:sectPr>
      </w:pPr>
    </w:p>
    <w:bookmarkStart w:id="14" w:name="page15"/>
    <w:bookmarkEnd w:id="14"/>
    <w:p>
      <w:pPr>
        <w:ind w:left="960" w:right="140" w:hanging="424"/>
        <w:spacing w:after="0" w:line="25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following the Pubco Mergers, at the effective time of the Opco Merger (the “Opco Merger Effective Time”), (A) all common units representing limited partner interests in Sitio OpCo (the “Sitio OpCo Partnership Units”) held by Viper, Sitio, New Viper, or any of their wholly owned subsidiaries immediately prior to the Opco Merger Effective Time shall automatically convert into 0.4855 common units representing limited liability company interests in Viper Opco (the “Viper Opco Units”) and (B) each Sitio OpCo Partnership Unit issued and outstanding immediately prior to the Opco Merger Effective Time will be converted into the right to receive (i) 0.4855 Viper Opco Units and (ii) 0.4855 shares of New Viper Class B Common Stock.</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As a result of the Mergers and as of the closing of the Mergers (the “Closing”), Sitio stockholders immediately prior to the Sitio Pubco Merger Effective Time will own approximately 20% of the outstanding shares of New Viper Common Stock, and Viper stockholders immediately prior to the Viper Pubco Merger Effective Time will own approximately 80% of the outstanding shares of New Viper Common Stock. Following the Closing, New Viper will operate under the name “Viper Energy, Inc.” and have the same board of directors and executive officers as Viper did prior to the Viper Pubco Merger.</w:t>
      </w:r>
    </w:p>
    <w:p>
      <w:pPr>
        <w:spacing w:after="0" w:line="183" w:lineRule="exact"/>
        <w:rPr>
          <w:sz w:val="20"/>
          <w:szCs w:val="20"/>
          <w:color w:val="auto"/>
        </w:rPr>
      </w:pPr>
    </w:p>
    <w:p>
      <w:pPr>
        <w:ind w:right="100" w:firstLine="440"/>
        <w:spacing w:after="0" w:line="289" w:lineRule="auto"/>
        <w:rPr>
          <w:sz w:val="20"/>
          <w:szCs w:val="20"/>
          <w:color w:val="auto"/>
        </w:rPr>
      </w:pPr>
      <w:r>
        <w:rPr>
          <w:rFonts w:ascii="Times New Roman" w:cs="Times New Roman" w:eastAsia="Times New Roman" w:hAnsi="Times New Roman"/>
          <w:sz w:val="17"/>
          <w:szCs w:val="17"/>
          <w:color w:val="auto"/>
        </w:rPr>
        <w:t>The Mergers have been unanimously approved by the boards of directors of both Viper and Sitio. Consummation of the Mergers is subject to the satisfaction or waiver of various customary conditions set forth in the Merger Agreements, including regulatory clearance and approvals by the shareholders of Sitio. For the three and six months ended June 30, 2025, the Company incurred $3.6 million in transaction costs related to the Mergers.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Significant accounting policies are disclosed in the Company’s consolidated financial statements and notes thereto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presented in the Annual Report. There have been no material changes in such policies or the application of such policies during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 months ended June 30, 2025.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1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disaggregated information related to the effective tax rate reconciliation as well as information on income taxes paid. This ASU is effective for annual periods beginning after December 15, 2024, and requires prospective application with the option to apply the standard retrospectively. We are currently evaluating the impact of the ASU on our consolidated financial statements.</w:t>
      </w:r>
    </w:p>
    <w:p>
      <w:pPr>
        <w:spacing w:after="0" w:line="18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(Subtopic 220-40): Reporting Comprehensive Income—Expense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w:t>
      </w:r>
      <w:r>
        <w:rPr>
          <w:rFonts w:ascii="Times New Roman" w:cs="Times New Roman" w:eastAsia="Times New Roman" w:hAnsi="Times New Roman"/>
          <w:sz w:val="18"/>
          <w:szCs w:val="18"/>
          <w:color w:val="auto"/>
        </w:rPr>
        <w:t>, which requires disclosure of additional information about specific expense categories underlying certain income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line items. This ASU is effective for annual periods beginning after December 15, 2026, and requires either prospective or retrospective application. We are currently evaluating the impact of the ASU on our consolidated financial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from Contracts with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natural gas and natural gas liquids revenues</w:t>
      </w:r>
    </w:p>
    <w:p>
      <w:pPr>
        <w:spacing w:after="0" w:line="121"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and 2024, the disaggregated revenues from sales of oil, natural gas and NGLs were as follows (in thousands):</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3"/>
                <w:szCs w:val="13"/>
                <w:color w:val="auto"/>
              </w:rPr>
            </w:pPr>
          </w:p>
        </w:tc>
        <w:tc>
          <w:tcPr>
            <w:tcW w:w="186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Borders>
              <w:bottom w:val="single" w:sz="8" w:color="CCEEFF"/>
            </w:tcBorders>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sales</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110,833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$ 230,369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Natural gas sales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9,992</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5,945</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26,310</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11,732</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NGLs sales</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19,980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16,075</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42,439</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30,966</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 royalty revenues</w:t>
            </w:r>
          </w:p>
        </w:tc>
        <w:tc>
          <w:tcPr>
            <w:tcW w:w="2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140,805</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165,516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$ 299,118</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66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70"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5. Oil and Natural Gas Properties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of oil and natural gas properties as of June 30, 2025 and December 31, 2024 (in thousands):</w:t>
      </w:r>
    </w:p>
    <w:p>
      <w:pPr>
        <w:spacing w:after="0" w:line="255" w:lineRule="exact"/>
        <w:rPr>
          <w:sz w:val="20"/>
          <w:szCs w:val="20"/>
          <w:color w:val="auto"/>
        </w:rPr>
      </w:pPr>
    </w:p>
    <w:tbl>
      <w:tblPr>
        <w:tblLayout w:type="fixed"/>
        <w:tblInd w:w="132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4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Oil and natural gas properties:</w:t>
            </w:r>
          </w:p>
        </w:tc>
        <w:tc>
          <w:tcPr>
            <w:tcW w:w="2460" w:type="dxa"/>
            <w:vAlign w:val="bottom"/>
            <w:gridSpan w:val="2"/>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213"/>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Unproved properties</w:t>
            </w:r>
          </w:p>
        </w:tc>
        <w:tc>
          <w:tcPr>
            <w:tcW w:w="16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$2,373,097</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2,464,836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Proved properties</w:t>
            </w:r>
          </w:p>
        </w:tc>
        <w:tc>
          <w:tcPr>
            <w:tcW w:w="164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3,055,145</w:t>
            </w: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2,941,347</w:t>
            </w:r>
          </w:p>
        </w:tc>
      </w:tr>
      <w:tr>
        <w:trPr>
          <w:trHeight w:val="27"/>
        </w:trPr>
        <w:tc>
          <w:tcPr>
            <w:tcW w:w="4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and natural gas properties, gross</w:t>
            </w:r>
          </w:p>
        </w:tc>
        <w:tc>
          <w:tcPr>
            <w:tcW w:w="1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5,428,242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5,406,183</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depletion and impairment</w:t>
            </w:r>
          </w:p>
        </w:tc>
        <w:tc>
          <w:tcPr>
            <w:tcW w:w="16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(969,796)</w:t>
            </w: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(816,664)</w:t>
            </w:r>
          </w:p>
        </w:tc>
      </w:tr>
      <w:tr>
        <w:trPr>
          <w:trHeight w:val="27"/>
        </w:trPr>
        <w:tc>
          <w:tcPr>
            <w:tcW w:w="4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and natural gas properties, net</w:t>
            </w:r>
          </w:p>
        </w:tc>
        <w:tc>
          <w:tcPr>
            <w:tcW w:w="1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4,458,446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4,589,519</w:t>
            </w:r>
          </w:p>
        </w:tc>
      </w:tr>
      <w:tr>
        <w:trPr>
          <w:trHeight w:val="20"/>
        </w:trPr>
        <w:tc>
          <w:tcPr>
            <w:tcW w:w="4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560" w:firstLine="440"/>
        <w:spacing w:after="0" w:line="266" w:lineRule="auto"/>
        <w:rPr>
          <w:sz w:val="20"/>
          <w:szCs w:val="20"/>
          <w:color w:val="auto"/>
        </w:rPr>
      </w:pPr>
      <w:r>
        <w:rPr>
          <w:rFonts w:ascii="Times New Roman" w:cs="Times New Roman" w:eastAsia="Times New Roman" w:hAnsi="Times New Roman"/>
          <w:sz w:val="18"/>
          <w:szCs w:val="18"/>
          <w:color w:val="auto"/>
        </w:rPr>
        <w:t>As presented in the unaudited condensed consolidated statements of cash flows for the six months ended June 30, 2025, the Company paid $22.4 million for purchases of oil and gas properties, net of post-close adjustments. For the six months ended June 30, 2024, the Company paid $189.0 million for purchases of oil and gas properties, and received purchase price adjustments from acquisitions of $11.6 million.</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Depletion expense was $75.8 million and $153.1 million for the three and six months ended June 30, 2025, respectively. Depletion expense was $85.4 million and $161.5 million for the three and six months ended June 30, 2024,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Acquisitions and Divestitures</w:t>
      </w:r>
    </w:p>
    <w:p>
      <w:pPr>
        <w:spacing w:after="0" w:line="121"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the Company closed on acquisitions of oil and gas properties for an aggregate purchase price of $26.6 million, prior to the impact of purchase price adjustments, the significant majority of which was allocated to proved properties.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Debt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of long-term debt as of June 30, 2025 and December 31, 2024 (in thousands):</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Sitio Revolving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488,150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487,800</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2028 Senior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2028 Senior Notes unamortized issuance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(8,532)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(9,619)</w:t>
            </w: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1,079,618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1,078,181</w:t>
            </w:r>
          </w:p>
        </w:tc>
        <w:tc>
          <w:tcPr>
            <w:tcW w:w="100" w:type="dxa"/>
            <w:vAlign w:val="bottom"/>
          </w:tcPr>
          <w:p>
            <w:pPr>
              <w:spacing w:after="0"/>
              <w:rPr>
                <w:sz w:val="19"/>
                <w:szCs w:val="19"/>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Sitio Revolving Credit Facility</w:t>
      </w:r>
    </w:p>
    <w:p>
      <w:pPr>
        <w:spacing w:after="0" w:line="121"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Sitio OpCo maintains a revolving credit facility (the “Sitio Revolving Credit Facility”) with a syndicate of financial institutions. As of June 30, 2025 and December 31, 2024, the borrowing base under the Sitio Revolving Credit Facility as determined by the lenders was $925.0 million and the outstanding balance under the Sitio Revolving Credit Facility was $488.2 million and $487.8 million, respectively.</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As of June 30, 2025 and December 31, 2024, the weighted average interest rate related to our outstanding borrowings under the Sitio Revolving Credit Facility was 7.44% and 7.50%, respectively. As of June 30, 2025 and December 31, 2024, the Company had unamortized debt issuance costs of $7.0 million and $8.5 million, respectively, in connection with its entry into the Sitio Revolving Credit Facility and subsequent amendments. Such costs are capitalized as deferred financing costs within long-term assets and are amortized over the life of the facility. For the three months ended June 30, 2025 and 2024, the Company recognized $0.9 million and $0.8 million, respectively, in interest expense related to the amortization of deferred financing costs under the Sitio Revolving Credit Facility. For the six months ended June 30, 2025 and 2024, the Company recognized $1.7 million and $1.6 million, respectively, in interest expense related to the amortization of deferred financing costs under the Sitio Revolving Credit Facility.</w:t>
      </w:r>
    </w:p>
    <w:p>
      <w:pPr>
        <w:spacing w:after="0" w:line="189"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Sitio Revolving Credit Facility is subject to a borrowing base established by the lenders to reflect the loan value of our oil and gas mineral interests. The borrowing base under the Sitio Revolving Credit Facility is redetermined by the lenders on an at least semi-annual basis. Additionally, lenders holding two-thirds of the aggregate commitments are able to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66" w:right="479" w:bottom="1440" w:gutter="0" w:footer="0" w:header="0"/>
        </w:sectPr>
      </w:pPr>
    </w:p>
    <w:bookmarkStart w:id="16" w:name="page17"/>
    <w:bookmarkEnd w:id="16"/>
    <w:p>
      <w:pPr>
        <w:ind w:right="1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request one additional redetermination between regularly scheduled redeterminations. Sitio OpCo could also request one additional redetermination between regularly scheduled redeterminations, and such other redeterminations as appropriate when significant acquisition opportunities arise. The borrowing base is subject to adjustments for asset dispositions, material title deficiencies, certain terminations of hedge agreements and issuances of certain additional indebtedness. Increases to the borrowing base require unanimous approval of the lenders, while maintenance of the same borrowing base or decreases in the borrowing base only require approval of lenders holding two-thirds of the aggregate commitments at such time. The determination of the borrowing base takes into consideration the estimated value of the Company’s oil and gas mineral interests in accordance with the lenders’ customary practices for oil and gas loans. The Sitio Revolving Credit Facility is collateralized by substantially all of the assets of Sitio OpCo and its restricted subsidiaries.</w:t>
      </w:r>
    </w:p>
    <w:p>
      <w:pPr>
        <w:spacing w:after="0" w:line="192"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Sitio Revolving Credit Facility includes a financial covenant limiting, as of the last day of each fiscal quarter, the ratio of (a) (i) Total Net Debt (as defined in the Sitio Revolving Credit Facility) as of such date to (ii) EBITDA (as defined in the Sitio Revolving Credit Facility) for the period of four fiscal quarters ending on such day, to not more than 3.50 to 1.00, and (b) (i) consolidated current assets (including the available commitments under the Sitio Revolving Credit Facility) to (ii) consolidated current liabilities (excluding current maturities under the Sitio Revolving Credit Facility), to not less than 1.00 to 1.00, in each case, with certain rights to cure. The Company was in compliance with the terms and covenants of the Sitio Revolving Credit Facility at June 30, 2025 and December 31,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2028 Senior Notes</w:t>
      </w:r>
    </w:p>
    <w:p>
      <w:pPr>
        <w:spacing w:after="0" w:line="1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As of June 30, 2025 and December 31, 2024, Sitio OpCo had $600.0 million aggregate principal amount of 7.875% Senior Notes due 2028 (the “2028 Senior Notes”). As of June 30, 2025 and December 31, 2024, the Company had unamortized debt issuance costs of $8.5 million and $9.6 million, respectively, in connection with the issuance of the 2028 Senior Notes. Debt issuance costs are reported as a reduction to long-term debt on our consolidated balance sheets and are amortized over the life of the 2028 Senior Notes. For the three months ended June 30, 2025 and 2024, the Company recognized $0.5 million of interest expense attributable to the amortization of debt issuance costs related to the 2028 Senior Notes. For the six months ended June 30, 2025 and 2024, the Company recognized $1.1 million and $1.0 million, respectively, of interest expense attributable to the amortization of debt issuance costs related to the 2028 Senior Notes.</w:t>
      </w:r>
    </w:p>
    <w:p>
      <w:pPr>
        <w:spacing w:after="0" w:line="18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2028 Senior Notes contain covenants that limit Sitio OpCo’s ability and the ability of Sitio OpCo’s restricted subsidiaries to engage in certain transactions and activities. The Company was in compliance with the terms and covenants of the 2028 Senior Notes as of June 30, 2025 and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Accounts Payable and Accrued 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the Company’s accounts payable and accrued expenses as of the dates indicated (in thousands):</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80" w:type="dxa"/>
            <w:vAlign w:val="bottom"/>
          </w:tcPr>
          <w:p>
            <w:pPr>
              <w:spacing w:after="0"/>
              <w:rPr>
                <w:sz w:val="15"/>
                <w:szCs w:val="15"/>
                <w:color w:val="auto"/>
              </w:rPr>
            </w:pPr>
          </w:p>
        </w:tc>
        <w:tc>
          <w:tcPr>
            <w:tcW w:w="60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$10,025</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Ad valorem taxes payable</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6,120</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12,281</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seller for pre-effective monies</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3,393</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Accrued general and administrative</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7,098</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2,006</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16,918</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Other taxes payable</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891</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1,117</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1,016</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1,606</w:t>
            </w:r>
          </w:p>
        </w:tc>
      </w:tr>
      <w:tr>
        <w:trPr>
          <w:trHeight w:val="223"/>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31,556</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46,385</w:t>
            </w:r>
          </w:p>
        </w:tc>
        <w:tc>
          <w:tcPr>
            <w:tcW w:w="4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Company had 77,578,656 shares of its Class A Common Stock outstanding as of June 30, 2025. Holders of Class A Common Stock, par value $0.0001 per share (“Class A Common Stock”), are entitled to one vote per share on all matters to be voted upon by the stockholders and are entitled to ratably receive dividends when and if declared by the Company’s board of directors (the “Board”).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Class C Common Stock</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Company had 73,367,602 shares of its Class C Common Stock outstanding as of June 30, 2025. Shares of Class C Common Stock, par value $0.0001 per share (“Class C Common Stock” and, together with Class A Common Stock, the “Common Stock”), are non-economic but entitle the holder to one vote per share. Current holders of Class C Common Stock also hold an equivalent number of Sitio OpCo Partnership Units which receive pro rata distributions. Sitio OpCo Partnership Units are redeemable, at the option of the holder, on a one-for-one basis for shares of Class A Common Stock or, at our election, an equivalent amount of cash on terms and conditions set forth in the Second Amended and Restated Limited Partnership Agreement of Sitio OpCo, as amended. Upon the redemption by any holder of Sitio OpCo Partnership Units for shares of Class A Common Stock, a corresponding number of shares of Class C Common Stock held by such holder will be canceled. During the six months ended June 30, 2025, no Sitio OpCo Partnership Units were redeemed for shares of Class A Common Stock, and no shares of Class C Common Stock were canceled. During the six months ended June 30, 2024, 296,651 Sitio OpCo Partnership Units were redeemed for shares of Class A Common Stock, and an equivalent number of shares of Class C Common Stock were canceled.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On February 28, 2024, the Board authorized a share repurchase program that allows us to repurchase up to $200.0 million of our Class A Common Stock and Sitio OpCo Partnership Units (the “Share Repurchase Program”). On May 7, 2025, the Board extended the Share Repurchase Program with an additional authorization of $300.0 million of our Class A Common Stock and Sitio OpCo Partnership Units, resulting in $500.0 million total authorization. The shares may be repurchased from time to time through various methods including, but not limited to, in open market transactions, through privately negotiated transactions or by other means in accordance with applicable securities laws, certain of which may be made pursuant to trading plans meeting the requirements of Rule 10b5-1 and 10b-18 under the Securities Exchange Act of 1934 (the “Exchange Act”). The 1% U.S. federal excise tax on certain repurchases of stock by publicly traded U.S. corporations enacted as part of the Inflation Reduction Act of 2022 (the “IRA 2022”) applies to repurchases of our Class A Common Stock and Sitio OpCo Partnership Units pursuant to our Share Repurchase Program. The excise tax is reflected as a component of the repurchased amounts within our Condensed Consolidated Statements of Equity. The timing of repurchases under the program, as well as the number and value of shares repurchased under the program, will be determined by the Company at its discretion and will depend on a variety of factors, including the market price of our common stock, oil and gas commodity prices, general market and economic conditions, available liquidity, compliance with the Company’s debt and other agreements, applicable legal requirements and other considerations. The exact number of shares to be repurchased by us is not guaranteed, and the program may be modified, suspended or discontinued at any time without prior notice. The Company is not obligated to repurchase any dollar amount or number of shares under the program.</w:t>
      </w:r>
    </w:p>
    <w:p>
      <w:pPr>
        <w:spacing w:after="0" w:line="197"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repurchased 548,266 and 1,651,093 shares of its Class A Common Stock, respectively. The shares were recorded at a weighted average price of $16.30 and $18.90, respectively, upon repurchase by the Company, inclusive of third-party commissions.</w:t>
      </w:r>
    </w:p>
    <w:p>
      <w:pPr>
        <w:spacing w:after="0" w:line="176"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 repurchased 1,684,610 and 2,230,137 shares of its Class A Common Stock, respectively, in connection with the Share Repurchase Program. The shares were recorded at a weighted average price of $24.41 and $24.25, respectively, upon repurchase by the Company, inclusive of third-party commissions.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Treasury Shares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2025, 5,875,907 shares of Class A Common Stock were held in treasury at a weighted average price of $21.66.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C Treasury Shares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2025, 76,390 shares of Class C Common Stock were held in treasury at a weighted average price of $22.88.</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Dividends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quarterly dividends related to the Company’s quarterly financial results (in thousands, except per share data):</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Quarterly Dividend per</w:t>
            </w:r>
          </w:p>
        </w:tc>
        <w:tc>
          <w:tcPr>
            <w:tcW w:w="1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Class A Cash Dividends</w:t>
            </w:r>
          </w:p>
        </w:tc>
        <w:tc>
          <w:tcPr>
            <w:tcW w:w="1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Quarter Ended</w:t>
            </w:r>
          </w:p>
        </w:tc>
        <w:tc>
          <w:tcPr>
            <w:tcW w:w="134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color w:val="auto"/>
              </w:rPr>
              <w:t>Class A Common</w:t>
            </w:r>
          </w:p>
        </w:tc>
        <w:tc>
          <w:tcPr>
            <w:tcW w:w="1920" w:type="dxa"/>
            <w:vAlign w:val="bottom"/>
            <w:gridSpan w:val="3"/>
            <w:vMerge w:val="continue"/>
          </w:tcPr>
          <w:p>
            <w:pPr>
              <w:spacing w:after="0"/>
              <w:rPr>
                <w:sz w:val="12"/>
                <w:szCs w:val="12"/>
                <w:color w:val="auto"/>
              </w:rPr>
            </w:pPr>
          </w:p>
        </w:tc>
        <w:tc>
          <w:tcPr>
            <w:tcW w:w="19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color w:val="auto"/>
              </w:rPr>
              <w:t>Payment Date</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Stockholder Record Date</w:t>
            </w:r>
          </w:p>
        </w:tc>
        <w:tc>
          <w:tcPr>
            <w:tcW w:w="0" w:type="dxa"/>
            <w:vAlign w:val="bottom"/>
          </w:tcPr>
          <w:p>
            <w:pPr>
              <w:spacing w:after="0"/>
              <w:rPr>
                <w:sz w:val="1"/>
                <w:szCs w:val="1"/>
                <w:color w:val="auto"/>
              </w:rPr>
            </w:pPr>
          </w:p>
        </w:tc>
      </w:tr>
      <w:tr>
        <w:trPr>
          <w:trHeight w:val="178"/>
        </w:trPr>
        <w:tc>
          <w:tcPr>
            <w:tcW w:w="860" w:type="dxa"/>
            <w:vAlign w:val="bottom"/>
            <w:tcBorders>
              <w:bottom w:val="single" w:sz="8" w:color="auto"/>
            </w:tcBorders>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center"/>
              <w:ind w:right="660"/>
              <w:spacing w:after="0" w:line="158" w:lineRule="exact"/>
              <w:rPr>
                <w:sz w:val="20"/>
                <w:szCs w:val="20"/>
                <w:color w:val="auto"/>
              </w:rPr>
            </w:pPr>
            <w:r>
              <w:rPr>
                <w:rFonts w:ascii="Times New Roman" w:cs="Times New Roman" w:eastAsia="Times New Roman" w:hAnsi="Times New Roman"/>
                <w:sz w:val="14"/>
                <w:szCs w:val="14"/>
                <w:color w:val="auto"/>
              </w:rPr>
              <w:t>Share</w:t>
            </w:r>
          </w:p>
        </w:tc>
        <w:tc>
          <w:tcPr>
            <w:tcW w:w="320" w:type="dxa"/>
            <w:vAlign w:val="bottom"/>
          </w:tcPr>
          <w:p>
            <w:pPr>
              <w:spacing w:after="0"/>
              <w:rPr>
                <w:sz w:val="15"/>
                <w:szCs w:val="15"/>
                <w:color w:val="auto"/>
              </w:rPr>
            </w:pPr>
          </w:p>
        </w:tc>
        <w:tc>
          <w:tcPr>
            <w:tcW w:w="1600" w:type="dxa"/>
            <w:vAlign w:val="bottom"/>
            <w:gridSpan w:val="2"/>
          </w:tcPr>
          <w:p>
            <w:pPr>
              <w:ind w:left="240"/>
              <w:spacing w:after="0" w:line="158" w:lineRule="exact"/>
              <w:rPr>
                <w:sz w:val="20"/>
                <w:szCs w:val="20"/>
                <w:color w:val="auto"/>
              </w:rPr>
            </w:pPr>
            <w:r>
              <w:rPr>
                <w:rFonts w:ascii="Times New Roman" w:cs="Times New Roman" w:eastAsia="Times New Roman" w:hAnsi="Times New Roman"/>
                <w:sz w:val="14"/>
                <w:szCs w:val="14"/>
                <w:color w:val="auto"/>
              </w:rPr>
              <w:t>Paid</w:t>
            </w:r>
          </w:p>
        </w:tc>
        <w:tc>
          <w:tcPr>
            <w:tcW w:w="1920" w:type="dxa"/>
            <w:vAlign w:val="bottom"/>
            <w:gridSpan w:val="2"/>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March 31, 2025</w:t>
            </w: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0.35</w:t>
            </w:r>
          </w:p>
        </w:tc>
        <w:tc>
          <w:tcPr>
            <w:tcW w:w="5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27,106</w:t>
            </w:r>
          </w:p>
        </w:tc>
        <w:tc>
          <w:tcPr>
            <w:tcW w:w="5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May 30, 2025</w:t>
            </w:r>
          </w:p>
        </w:tc>
        <w:tc>
          <w:tcPr>
            <w:tcW w:w="4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May 20, 2025</w:t>
            </w: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8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0.41</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31,977</w:t>
            </w:r>
          </w:p>
        </w:tc>
        <w:tc>
          <w:tcPr>
            <w:tcW w:w="19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March 28, 2025</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2025</w:t>
            </w: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8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0.28</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22,185</w:t>
            </w:r>
          </w:p>
        </w:tc>
        <w:tc>
          <w:tcPr>
            <w:tcW w:w="192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rPr>
              <w:t>November 27, 2024</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19, 2024</w:t>
            </w:r>
          </w:p>
        </w:tc>
        <w:tc>
          <w:tcPr>
            <w:tcW w:w="0" w:type="dxa"/>
            <w:vAlign w:val="bottom"/>
          </w:tcPr>
          <w:p>
            <w:pPr>
              <w:spacing w:after="0"/>
              <w:rPr>
                <w:sz w:val="1"/>
                <w:szCs w:val="1"/>
                <w:color w:val="auto"/>
              </w:rPr>
            </w:pPr>
          </w:p>
        </w:tc>
      </w:tr>
      <w:tr>
        <w:trPr>
          <w:trHeight w:val="234"/>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8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0.30</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24,071</w:t>
            </w:r>
          </w:p>
        </w:tc>
        <w:tc>
          <w:tcPr>
            <w:tcW w:w="19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August 30, 2024</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19, 2024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“Note 17 – Subsequent Events” for additional information regarding cash dividends.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sets forth the calculation of basic and diluted earnings per share for the periods indicated (in thousands, except per share data):</w:t>
      </w:r>
    </w:p>
    <w:p>
      <w:pPr>
        <w:spacing w:after="0" w:line="24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3"/>
                <w:szCs w:val="13"/>
                <w:color w:val="auto"/>
              </w:rPr>
            </w:pPr>
          </w:p>
        </w:tc>
        <w:tc>
          <w:tcPr>
            <w:tcW w:w="150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Class A stockholders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2"/>
              </w:rPr>
              <w:t>12,854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17,539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21,322</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Earnings allocated to participating securities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(707)</w:t>
            </w:r>
          </w:p>
        </w:tc>
      </w:tr>
      <w:tr>
        <w:trPr>
          <w:trHeight w:val="223"/>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Class A stockholders - basic and diluted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12,523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15,808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20,615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77,575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2"/>
              </w:rPr>
              <w:t>80,751</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77,961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81,578</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77,844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80,879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78,192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81,761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 - basic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 - 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bl>
    <w:p>
      <w:pPr>
        <w:spacing w:after="0" w:line="17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Company had the following shares that were excluded from the computation of diluted earnings per share because their inclusion would have been anti-dilutive for the periods presented but could potentially dilute basic earnings per share in future periods (in thousands):</w:t>
      </w:r>
    </w:p>
    <w:p>
      <w:pPr>
        <w:spacing w:after="0" w:line="17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16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color w:val="auto"/>
              </w:rPr>
              <w:t>Three Months Ended</w:t>
            </w:r>
          </w:p>
        </w:tc>
        <w:tc>
          <w:tcPr>
            <w:tcW w:w="14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6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color w:val="auto"/>
              </w:rPr>
              <w:t>June 30,</w:t>
            </w:r>
          </w:p>
        </w:tc>
        <w:tc>
          <w:tcPr>
            <w:tcW w:w="14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2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share-based compensation awards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Shares of Class C Common Stock if converted</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73,385</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73,883</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73,388</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74,380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74,171</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75,108</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74,026</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75,821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Diluted net income per share also excludes the effects of Sitio OpCo Partnership Units (and related Class C Common Stock) associated with the earn-out, which are convertible into Class A Common Stock, because they are considered contingently issuable shares and the conditions for issuance were not satisfied as of June 30,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Noncontrolling Interest</w:t>
      </w:r>
    </w:p>
    <w:p>
      <w:pPr>
        <w:spacing w:after="0" w:line="11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Noncontrolling interest represents the 48.6% economic interest of Sitio OpCo Partnership Units not owned by Sitio in the consolidated balance sheets as of June 30, 2025. These interests are held in the form of Class C Common Stock and Sitio OpCo Partnership Units.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8"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11. Share-Based Compensation</w:t>
      </w:r>
    </w:p>
    <w:p>
      <w:pPr>
        <w:spacing w:after="0" w:line="117"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The Sitio Royalties Corp. Long Term Incentive Plan (the “Plan”) is administered by the Compensation Committee of the Board (the “Compensation Committee”). As of June 30, 2025, a total of 5,053,561 shares of Class A Common Stock remain available for future grant under the Plan.</w:t>
      </w:r>
    </w:p>
    <w:p>
      <w:pPr>
        <w:spacing w:after="0" w:line="176"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Share-based compensation expense is included in general and administrative expense in the accompanying unaudited condensed consolidated statements of operations. The following table summarizes the share-based compensation expense recorded for each type of award for the three and six months ended June 30, 2025 and 2024 (in thousands):</w:t>
      </w:r>
    </w:p>
    <w:p>
      <w:pPr>
        <w:spacing w:after="0" w:line="18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74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color w:val="auto"/>
              </w:rPr>
              <w:t>Three Months Ended</w:t>
            </w:r>
          </w:p>
        </w:tc>
        <w:tc>
          <w:tcPr>
            <w:tcW w:w="80" w:type="dxa"/>
            <w:vAlign w:val="bottom"/>
          </w:tcPr>
          <w:p>
            <w:pPr>
              <w:spacing w:after="0"/>
              <w:rPr>
                <w:sz w:val="13"/>
                <w:szCs w:val="13"/>
                <w:color w:val="auto"/>
              </w:rPr>
            </w:pPr>
          </w:p>
        </w:tc>
        <w:tc>
          <w:tcPr>
            <w:tcW w:w="146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74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color w:val="auto"/>
              </w:rPr>
              <w:t>June 30,</w:t>
            </w:r>
          </w:p>
        </w:tc>
        <w:tc>
          <w:tcPr>
            <w:tcW w:w="8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52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$ 1,565</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PSUs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4,115</w:t>
            </w: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3,375</w:t>
            </w: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7,733</w:t>
            </w: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DSUs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616</w:t>
            </w:r>
          </w:p>
        </w:tc>
        <w:tc>
          <w:tcPr>
            <w:tcW w:w="10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1,219</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Sitio OpCo Restricted Stock Awards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561</w:t>
            </w: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1,117</w:t>
            </w: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Converted in the Brigham Merger</w:t>
            </w:r>
          </w:p>
        </w:tc>
        <w:tc>
          <w:tcPr>
            <w:tcW w:w="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PSUs Converted in the Brigham Merger</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7,462</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$ 6,203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14,436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11,307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activity related to unvested restricted stock units (“RSUs”) for the six months ended June 30, 2025.</w:t>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740" w:type="dxa"/>
            <w:vAlign w:val="bottom"/>
            <w:gridSpan w:val="5"/>
          </w:tcPr>
          <w:p>
            <w:pPr>
              <w:ind w:left="200"/>
              <w:spacing w:after="0"/>
              <w:rPr>
                <w:sz w:val="20"/>
                <w:szCs w:val="20"/>
                <w:color w:val="auto"/>
              </w:rPr>
            </w:pPr>
            <w:r>
              <w:rPr>
                <w:rFonts w:ascii="Times New Roman" w:cs="Times New Roman" w:eastAsia="Times New Roman" w:hAnsi="Times New Roman"/>
                <w:sz w:val="14"/>
                <w:szCs w:val="14"/>
                <w:color w:val="auto"/>
              </w:rPr>
              <w:t>Restricted Stock Units</w:t>
            </w:r>
          </w:p>
        </w:tc>
      </w:tr>
      <w:tr>
        <w:trPr>
          <w:trHeight w:val="119"/>
        </w:trPr>
        <w:tc>
          <w:tcPr>
            <w:tcW w:w="662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380"/>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660" w:type="dxa"/>
            <w:vAlign w:val="bottom"/>
            <w:tcBorders>
              <w:top w:val="single" w:sz="8" w:color="auto"/>
            </w:tcBorders>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Grant Date</w:t>
            </w:r>
          </w:p>
        </w:tc>
        <w:tc>
          <w:tcPr>
            <w:tcW w:w="40" w:type="dxa"/>
            <w:vAlign w:val="bottom"/>
          </w:tcPr>
          <w:p>
            <w:pPr>
              <w:spacing w:after="0"/>
              <w:rPr>
                <w:sz w:val="10"/>
                <w:szCs w:val="10"/>
                <w:color w:val="auto"/>
              </w:rPr>
            </w:pPr>
          </w:p>
        </w:tc>
      </w:tr>
      <w:tr>
        <w:trPr>
          <w:trHeight w:val="171"/>
        </w:trPr>
        <w:tc>
          <w:tcPr>
            <w:tcW w:w="662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Shares</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Fair Value</w:t>
            </w: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awarded and unvested at January 1, 2025</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653,542</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225,331</w:t>
            </w: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19.92</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(208,320)</w:t>
            </w:r>
          </w:p>
        </w:tc>
        <w:tc>
          <w:tcPr>
            <w:tcW w:w="1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23.61</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awarded and unvested at June 30, 2025</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670,553</w:t>
            </w: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40" w:type="dxa"/>
            <w:vAlign w:val="bottom"/>
            <w:shd w:val="clear" w:color="auto" w:fill="CCEEFF"/>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As of June 30, 2025, there was approximately $11.5 million of unamortized equity-based compensation expense related to unvested RSUs, which is expected to be recognized over a weighted average period of approximately 1.5 years.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Share Units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activity related to unvested deferred share units (“DSUs”) for the six months ended June 30,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40" w:type="dxa"/>
            <w:vAlign w:val="bottom"/>
          </w:tcPr>
          <w:p>
            <w:pPr>
              <w:spacing w:after="0"/>
              <w:rPr>
                <w:sz w:val="14"/>
                <w:szCs w:val="14"/>
                <w:color w:val="auto"/>
              </w:rPr>
            </w:pPr>
          </w:p>
        </w:tc>
        <w:tc>
          <w:tcPr>
            <w:tcW w:w="1680" w:type="dxa"/>
            <w:vAlign w:val="bottom"/>
            <w:gridSpan w:val="5"/>
          </w:tcPr>
          <w:p>
            <w:pPr>
              <w:ind w:left="200"/>
              <w:spacing w:after="0"/>
              <w:rPr>
                <w:sz w:val="20"/>
                <w:szCs w:val="20"/>
                <w:color w:val="auto"/>
              </w:rPr>
            </w:pPr>
            <w:r>
              <w:rPr>
                <w:rFonts w:ascii="Times New Roman" w:cs="Times New Roman" w:eastAsia="Times New Roman" w:hAnsi="Times New Roman"/>
                <w:sz w:val="14"/>
                <w:szCs w:val="14"/>
                <w:color w:val="auto"/>
              </w:rPr>
              <w:t>Deferred Share Units</w:t>
            </w:r>
          </w:p>
        </w:tc>
      </w:tr>
      <w:tr>
        <w:trPr>
          <w:trHeight w:val="119"/>
        </w:trPr>
        <w:tc>
          <w:tcPr>
            <w:tcW w:w="9340" w:type="dxa"/>
            <w:vAlign w:val="bottom"/>
          </w:tcPr>
          <w:p>
            <w:pPr>
              <w:spacing w:after="0"/>
              <w:rPr>
                <w:sz w:val="10"/>
                <w:szCs w:val="10"/>
                <w:color w:val="auto"/>
              </w:rPr>
            </w:pPr>
          </w:p>
        </w:tc>
        <w:tc>
          <w:tcPr>
            <w:tcW w:w="960" w:type="dxa"/>
            <w:vAlign w:val="bottom"/>
            <w:tcBorders>
              <w:top w:val="single" w:sz="8" w:color="auto"/>
            </w:tcBorders>
            <w:gridSpan w:val="2"/>
          </w:tcPr>
          <w:p>
            <w:pPr>
              <w:jc w:val="right"/>
              <w:ind w:right="320"/>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660" w:type="dxa"/>
            <w:vAlign w:val="bottom"/>
            <w:tcBorders>
              <w:top w:val="single" w:sz="8" w:color="auto"/>
            </w:tcBorders>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Grant Date</w:t>
            </w:r>
          </w:p>
        </w:tc>
        <w:tc>
          <w:tcPr>
            <w:tcW w:w="60" w:type="dxa"/>
            <w:vAlign w:val="bottom"/>
          </w:tcPr>
          <w:p>
            <w:pPr>
              <w:spacing w:after="0"/>
              <w:rPr>
                <w:sz w:val="10"/>
                <w:szCs w:val="10"/>
                <w:color w:val="auto"/>
              </w:rPr>
            </w:pPr>
          </w:p>
        </w:tc>
      </w:tr>
      <w:tr>
        <w:trPr>
          <w:trHeight w:val="171"/>
        </w:trPr>
        <w:tc>
          <w:tcPr>
            <w:tcW w:w="934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Shares</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Fair Value</w:t>
            </w:r>
          </w:p>
        </w:tc>
      </w:tr>
      <w:tr>
        <w:trPr>
          <w:trHeight w:val="209"/>
        </w:trPr>
        <w:tc>
          <w:tcPr>
            <w:tcW w:w="9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awarded and unvested at January 1, 2025</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129,728</w:t>
            </w:r>
          </w:p>
        </w:tc>
        <w:tc>
          <w:tcPr>
            <w:tcW w:w="1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18.82</w:t>
            </w: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(50,720)</w:t>
            </w:r>
          </w:p>
        </w:tc>
        <w:tc>
          <w:tcPr>
            <w:tcW w:w="1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24.12</w:t>
            </w:r>
          </w:p>
        </w:tc>
      </w:tr>
      <w:tr>
        <w:trPr>
          <w:trHeight w:val="27"/>
        </w:trPr>
        <w:tc>
          <w:tcPr>
            <w:tcW w:w="9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awarded and unvested at June 30, 2025</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129,728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18.82</w:t>
            </w:r>
          </w:p>
        </w:tc>
      </w:tr>
      <w:tr>
        <w:trPr>
          <w:trHeight w:val="20"/>
        </w:trPr>
        <w:tc>
          <w:tcPr>
            <w:tcW w:w="9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As of June 30, 2025, there was approximately $2.1 million of unamortized equity-based compensation expense related to unvested DSUs, which is expected to be recognized over a weighted average period of 0.9 years.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Stock Units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assumptions used to determine the fair values of the performance stock units (“PSUs”):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8"/>
              </w:rPr>
              <w:t>Grant Year</w:t>
            </w:r>
          </w:p>
        </w:tc>
        <w:tc>
          <w:tcPr>
            <w:tcW w:w="27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Average Expected Volatility</w:t>
            </w:r>
          </w:p>
        </w:tc>
        <w:tc>
          <w:tcPr>
            <w:tcW w:w="286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Risk-Free Interest Rate</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Expected Dividend Yield</w:t>
            </w:r>
          </w:p>
        </w:tc>
      </w:tr>
      <w:tr>
        <w:trPr>
          <w:trHeight w:val="209"/>
        </w:trPr>
        <w:tc>
          <w:tcPr>
            <w:tcW w:w="2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38.38% - 41.09%</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4.23% - 4.48%</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34"/>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60" w:type="dxa"/>
            <w:vAlign w:val="bottom"/>
          </w:tcPr>
          <w:p>
            <w:pPr>
              <w:spacing w:after="0"/>
              <w:rPr>
                <w:sz w:val="20"/>
                <w:szCs w:val="20"/>
                <w:color w:val="auto"/>
              </w:rPr>
            </w:pPr>
          </w:p>
        </w:tc>
        <w:tc>
          <w:tcPr>
            <w:tcW w:w="262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rPr>
              <w:t>37.10%</w:t>
            </w:r>
          </w:p>
        </w:tc>
        <w:tc>
          <w:tcPr>
            <w:tcW w:w="120" w:type="dxa"/>
            <w:vAlign w:val="bottom"/>
          </w:tcPr>
          <w:p>
            <w:pPr>
              <w:spacing w:after="0"/>
              <w:rPr>
                <w:sz w:val="20"/>
                <w:szCs w:val="20"/>
                <w:color w:val="auto"/>
              </w:rPr>
            </w:pPr>
          </w:p>
        </w:tc>
        <w:tc>
          <w:tcPr>
            <w:tcW w:w="276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activity related to unvested PSUs for the six months ended June 30, 2025.</w:t>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82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Performance Stock Units</w:t>
            </w:r>
          </w:p>
        </w:tc>
      </w:tr>
      <w:tr>
        <w:trPr>
          <w:trHeight w:val="119"/>
        </w:trPr>
        <w:tc>
          <w:tcPr>
            <w:tcW w:w="654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420"/>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660" w:type="dxa"/>
            <w:vAlign w:val="bottom"/>
            <w:tcBorders>
              <w:top w:val="single" w:sz="8" w:color="auto"/>
            </w:tcBorders>
          </w:tcPr>
          <w:p>
            <w:pPr>
              <w:ind w:left="20"/>
              <w:spacing w:after="0" w:line="119" w:lineRule="exact"/>
              <w:rPr>
                <w:sz w:val="20"/>
                <w:szCs w:val="20"/>
                <w:color w:val="auto"/>
              </w:rPr>
            </w:pPr>
            <w:r>
              <w:rPr>
                <w:rFonts w:ascii="Times New Roman" w:cs="Times New Roman" w:eastAsia="Times New Roman" w:hAnsi="Times New Roman"/>
                <w:sz w:val="13"/>
                <w:szCs w:val="13"/>
                <w:color w:val="auto"/>
              </w:rPr>
              <w:t>Grant Date</w:t>
            </w:r>
          </w:p>
        </w:tc>
        <w:tc>
          <w:tcPr>
            <w:tcW w:w="40" w:type="dxa"/>
            <w:vAlign w:val="bottom"/>
          </w:tcPr>
          <w:p>
            <w:pPr>
              <w:spacing w:after="0"/>
              <w:rPr>
                <w:sz w:val="10"/>
                <w:szCs w:val="10"/>
                <w:color w:val="auto"/>
              </w:rPr>
            </w:pPr>
          </w:p>
        </w:tc>
      </w:tr>
      <w:tr>
        <w:trPr>
          <w:trHeight w:val="171"/>
        </w:trPr>
        <w:tc>
          <w:tcPr>
            <w:tcW w:w="6540" w:type="dxa"/>
            <w:vAlign w:val="bottom"/>
          </w:tcPr>
          <w:p>
            <w:pPr>
              <w:spacing w:after="0"/>
              <w:rPr>
                <w:sz w:val="14"/>
                <w:szCs w:val="14"/>
                <w:color w:val="auto"/>
              </w:rPr>
            </w:pPr>
          </w:p>
        </w:tc>
        <w:tc>
          <w:tcPr>
            <w:tcW w:w="112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Shares</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Fair Value</w:t>
            </w:r>
          </w:p>
        </w:tc>
      </w:tr>
      <w:tr>
        <w:trPr>
          <w:trHeight w:val="209"/>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awarded and unvested at January 1, 2025</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1,405,463</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28.20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632,691</w:t>
            </w:r>
          </w:p>
        </w:tc>
        <w:tc>
          <w:tcPr>
            <w:tcW w:w="3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21.18</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(16,647)</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25.13</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(167,965)</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39.11</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 (unearned)</w:t>
            </w:r>
          </w:p>
        </w:tc>
        <w:tc>
          <w:tcPr>
            <w:tcW w:w="11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(132,948)</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39.11</w:t>
            </w: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Total awarded and unvested at June 30, 2025</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1,720,594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4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As of June 30, 2025, there was approximately $22.8 million of unamortized equity-based compensation expense related to unvested PSUs, which is expected to be recognized over a weighted average period of 2.1 years.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Sitio OpCo Restricted Stock Awards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activity related to unvested Sitio OpCo restricted stock awards (“RSAs”) for the six months ended June 30, 2025.</w:t>
      </w:r>
    </w:p>
    <w:p>
      <w:pPr>
        <w:spacing w:after="0" w:line="248"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color w:val="auto"/>
        </w:rPr>
        <w:t>Sitio OpCo</w:t>
      </w:r>
    </w:p>
    <w:p>
      <w:pPr>
        <w:jc w:val="center"/>
        <w:ind w:left="6520"/>
        <w:spacing w:after="0" w:line="236" w:lineRule="auto"/>
        <w:rPr>
          <w:sz w:val="20"/>
          <w:szCs w:val="20"/>
          <w:color w:val="auto"/>
        </w:rPr>
      </w:pPr>
      <w:r>
        <w:rPr>
          <w:rFonts w:ascii="Times New Roman" w:cs="Times New Roman" w:eastAsia="Times New Roman" w:hAnsi="Times New Roman"/>
          <w:sz w:val="14"/>
          <w:szCs w:val="14"/>
          <w:color w:val="auto"/>
        </w:rPr>
        <w:t>Restricted Stock Awards</w:t>
      </w:r>
    </w:p>
    <w:tbl>
      <w:tblPr>
        <w:tblLayout w:type="fixed"/>
        <w:tblInd w:w="1320" w:type="dxa"/>
        <w:tblCellMar>
          <w:top w:w="0" w:type="dxa"/>
          <w:left w:w="0" w:type="dxa"/>
          <w:bottom w:w="0" w:type="dxa"/>
          <w:right w:w="0" w:type="dxa"/>
        </w:tblCellMar>
      </w:tblPr>
      <w:tr>
        <w:trPr>
          <w:trHeight w:val="119"/>
        </w:trPr>
        <w:tc>
          <w:tcPr>
            <w:tcW w:w="6580" w:type="dxa"/>
            <w:vAlign w:val="bottom"/>
          </w:tcPr>
          <w:p>
            <w:pPr>
              <w:spacing w:after="0"/>
              <w:rPr>
                <w:sz w:val="10"/>
                <w:szCs w:val="10"/>
                <w:color w:val="auto"/>
              </w:rPr>
            </w:pPr>
          </w:p>
        </w:tc>
        <w:tc>
          <w:tcPr>
            <w:tcW w:w="1080" w:type="dxa"/>
            <w:vAlign w:val="bottom"/>
            <w:tcBorders>
              <w:top w:val="single" w:sz="8" w:color="auto"/>
            </w:tcBorders>
            <w:gridSpan w:val="2"/>
          </w:tcPr>
          <w:p>
            <w:pPr>
              <w:jc w:val="right"/>
              <w:ind w:right="440"/>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660" w:type="dxa"/>
            <w:vAlign w:val="bottom"/>
            <w:tcBorders>
              <w:top w:val="single" w:sz="8" w:color="auto"/>
            </w:tcBorders>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Grant Date</w:t>
            </w:r>
          </w:p>
        </w:tc>
        <w:tc>
          <w:tcPr>
            <w:tcW w:w="40" w:type="dxa"/>
            <w:vAlign w:val="bottom"/>
          </w:tcPr>
          <w:p>
            <w:pPr>
              <w:spacing w:after="0"/>
              <w:rPr>
                <w:sz w:val="10"/>
                <w:szCs w:val="10"/>
                <w:color w:val="auto"/>
              </w:rPr>
            </w:pPr>
          </w:p>
        </w:tc>
      </w:tr>
      <w:tr>
        <w:trPr>
          <w:trHeight w:val="171"/>
        </w:trPr>
        <w:tc>
          <w:tcPr>
            <w:tcW w:w="658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Shares</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Fair Value</w:t>
            </w: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awarded and unvested at January 1, 2025</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154,763</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(77,382)</w:t>
            </w:r>
          </w:p>
        </w:tc>
        <w:tc>
          <w:tcPr>
            <w:tcW w:w="1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29.12</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awarded and unvested at June 30, 2025</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77,381</w:t>
            </w: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40" w:type="dxa"/>
            <w:vAlign w:val="bottom"/>
            <w:shd w:val="clear" w:color="auto" w:fill="CCEEFF"/>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As of June 30, 2025, there was approximately $2.1 million of unamortized equity-based compensation expense related to the unvested Sitio OpCo RSAs, which is expected to be recognized over a weighted average period of approximately 0.9 years.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Derivative Instruments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Derivatives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30, 2025, the Company did not have any outstanding derivative financial instruments.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68"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Summary</w:t>
      </w:r>
    </w:p>
    <w:p>
      <w:pPr>
        <w:spacing w:after="0" w:line="119"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Company’s derivative instruments and where such values are recorded on the condensed consolidated balance sheets as of June 30, 2025 and December 31, 2024 (in thousands):</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Balance sheet</w:t>
            </w:r>
          </w:p>
        </w:tc>
        <w:tc>
          <w:tcPr>
            <w:tcW w:w="56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June 30, 2025</w:t>
            </w:r>
          </w:p>
        </w:tc>
        <w:tc>
          <w:tcPr>
            <w:tcW w:w="56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location</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Asset derivatives not designated as hedges for</w:t>
            </w:r>
          </w:p>
        </w:tc>
        <w:tc>
          <w:tcPr>
            <w:tcW w:w="15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accounting purposes:</w:t>
            </w:r>
          </w:p>
        </w:tc>
        <w:tc>
          <w:tcPr>
            <w:tcW w:w="1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Commodity contracts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Current assets</w:t>
            </w:r>
          </w:p>
        </w:tc>
        <w:tc>
          <w:tcPr>
            <w:tcW w:w="6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6"/>
              </w:rPr>
              <w:t>— </w:t>
            </w:r>
          </w:p>
        </w:tc>
        <w:tc>
          <w:tcPr>
            <w:tcW w:w="7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Commodity contracts</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Long-term assets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6"/>
              </w:rPr>
              <w:t>— </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 derivatives</w:t>
            </w:r>
          </w:p>
        </w:tc>
        <w:tc>
          <w:tcPr>
            <w:tcW w:w="1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6"/>
              </w:rPr>
              <w:t>— </w:t>
            </w:r>
          </w:p>
        </w:tc>
        <w:tc>
          <w:tcPr>
            <w:tcW w:w="5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Liability derivatives not designated as hedges for</w:t>
            </w:r>
          </w:p>
        </w:tc>
        <w:tc>
          <w:tcPr>
            <w:tcW w:w="1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accounting purposes:</w:t>
            </w:r>
          </w:p>
        </w:tc>
        <w:tc>
          <w:tcPr>
            <w:tcW w:w="1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Commodity contracts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Current liabilities</w:t>
            </w:r>
          </w:p>
        </w:tc>
        <w:tc>
          <w:tcPr>
            <w:tcW w:w="6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6"/>
              </w:rPr>
              <w:t>— </w:t>
            </w:r>
          </w:p>
        </w:tc>
        <w:tc>
          <w:tcPr>
            <w:tcW w:w="7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Commodity contracts</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Long-term liabilities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6"/>
              </w:rPr>
              <w:t>— </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1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6"/>
              </w:rPr>
              <w:t>— </w:t>
            </w: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derivatives</w:t>
            </w:r>
          </w:p>
        </w:tc>
        <w:tc>
          <w:tcPr>
            <w:tcW w:w="1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6"/>
              </w:rPr>
              <w:t>— </w:t>
            </w:r>
          </w:p>
        </w:tc>
        <w:tc>
          <w:tcPr>
            <w:tcW w:w="7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80" w:firstLine="440"/>
        <w:spacing w:after="0" w:line="312" w:lineRule="auto"/>
        <w:rPr>
          <w:sz w:val="20"/>
          <w:szCs w:val="20"/>
          <w:color w:val="auto"/>
        </w:rPr>
      </w:pPr>
      <w:r>
        <w:rPr>
          <w:rFonts w:ascii="Times New Roman" w:cs="Times New Roman" w:eastAsia="Times New Roman" w:hAnsi="Times New Roman"/>
          <w:sz w:val="17"/>
          <w:szCs w:val="17"/>
          <w:color w:val="auto"/>
        </w:rPr>
        <w:t>The following table presents the gross fair values of recognized derivative assets and liabilities, the amounts offset under master netting arrangements with counterparties, and the resulting net amounts presented on the unaudited condensed consolidated balance sheets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June 30, 2025</w:t>
            </w: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Gross Fair</w:t>
            </w:r>
          </w:p>
        </w:tc>
        <w:tc>
          <w:tcPr>
            <w:tcW w:w="380" w:type="dxa"/>
            <w:vAlign w:val="bottom"/>
          </w:tcPr>
          <w:p>
            <w:pPr>
              <w:spacing w:after="0"/>
              <w:rPr>
                <w:sz w:val="10"/>
                <w:szCs w:val="10"/>
                <w:color w:val="auto"/>
              </w:rPr>
            </w:pPr>
          </w:p>
        </w:tc>
        <w:tc>
          <w:tcPr>
            <w:tcW w:w="130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Gross Amounts</w:t>
            </w: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Net Fair Value</w:t>
            </w:r>
          </w:p>
        </w:tc>
        <w:tc>
          <w:tcPr>
            <w:tcW w:w="1040" w:type="dxa"/>
            <w:vAlign w:val="bottom"/>
            <w:gridSpan w:val="2"/>
          </w:tcPr>
          <w:p>
            <w:pPr>
              <w:jc w:val="right"/>
              <w:ind w:right="420"/>
              <w:spacing w:after="0" w:line="119" w:lineRule="exact"/>
              <w:rPr>
                <w:sz w:val="20"/>
                <w:szCs w:val="20"/>
                <w:color w:val="auto"/>
              </w:rPr>
            </w:pPr>
            <w:r>
              <w:rPr>
                <w:rFonts w:ascii="Times New Roman" w:cs="Times New Roman" w:eastAsia="Times New Roman" w:hAnsi="Times New Roman"/>
                <w:sz w:val="13"/>
                <w:szCs w:val="13"/>
                <w:color w:val="auto"/>
              </w:rPr>
              <w:t>Gross Fair</w:t>
            </w:r>
          </w:p>
        </w:tc>
        <w:tc>
          <w:tcPr>
            <w:tcW w:w="134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3"/>
                <w:szCs w:val="13"/>
                <w:color w:val="auto"/>
              </w:rPr>
              <w:t>Gross Amounts</w:t>
            </w: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Net Fair Value</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14"/>
                <w:szCs w:val="14"/>
                <w:color w:val="auto"/>
              </w:rPr>
              <w:t>Value</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Offset</w:t>
            </w:r>
          </w:p>
        </w:tc>
        <w:tc>
          <w:tcPr>
            <w:tcW w:w="1220" w:type="dxa"/>
            <w:vAlign w:val="bottom"/>
            <w:gridSpan w:val="3"/>
            <w:vMerge w:val="continue"/>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Value</w:t>
            </w:r>
          </w:p>
        </w:tc>
        <w:tc>
          <w:tcPr>
            <w:tcW w:w="180" w:type="dxa"/>
            <w:vAlign w:val="bottom"/>
          </w:tcPr>
          <w:p>
            <w:pPr>
              <w:spacing w:after="0"/>
              <w:rPr>
                <w:sz w:val="14"/>
                <w:szCs w:val="14"/>
                <w:color w:val="auto"/>
              </w:rPr>
            </w:pPr>
          </w:p>
        </w:tc>
        <w:tc>
          <w:tcPr>
            <w:tcW w:w="11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color w:val="auto"/>
              </w:rPr>
              <w:t>Offset</w:t>
            </w: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derivative assets</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— </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— </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$ 1,916</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Commodity derivative liabilities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0"/>
                <w:szCs w:val="20"/>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tcPr>
          <w:p>
            <w:pPr>
              <w:spacing w:after="0"/>
              <w:rPr>
                <w:sz w:val="20"/>
                <w:szCs w:val="20"/>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derivative gains and losses, and where such values are recorded in the unaudited condensed consolidated statements of operations for the three and six months ended June 30, 2025 and 2024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Statement of</w:t>
            </w:r>
          </w:p>
        </w:tc>
        <w:tc>
          <w:tcPr>
            <w:tcW w:w="220" w:type="dxa"/>
            <w:vAlign w:val="bottom"/>
          </w:tcPr>
          <w:p>
            <w:pPr>
              <w:spacing w:after="0"/>
              <w:rPr>
                <w:sz w:val="14"/>
                <w:szCs w:val="14"/>
                <w:color w:val="auto"/>
              </w:rPr>
            </w:pPr>
          </w:p>
        </w:tc>
        <w:tc>
          <w:tcPr>
            <w:tcW w:w="17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color w:val="auto"/>
              </w:rPr>
              <w:t>Six Months Ended June 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516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2025</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2024</w:t>
            </w:r>
          </w:p>
        </w:tc>
        <w:tc>
          <w:tcPr>
            <w:tcW w:w="180" w:type="dxa"/>
            <w:vAlign w:val="bottom"/>
          </w:tcPr>
          <w:p>
            <w:pPr>
              <w:spacing w:after="0"/>
              <w:rPr>
                <w:sz w:val="9"/>
                <w:szCs w:val="9"/>
                <w:color w:val="auto"/>
              </w:rPr>
            </w:pPr>
          </w:p>
        </w:tc>
        <w:tc>
          <w:tcPr>
            <w:tcW w:w="64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tcPr>
          <w:p>
            <w:pPr>
              <w:spacing w:after="0"/>
              <w:rPr>
                <w:sz w:val="9"/>
                <w:szCs w:val="9"/>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income location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derivatives gains (losses)</w:t>
            </w: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income (expense)</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(101)</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(10,657)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fair values of commodity derivative instruments were determined using Level 2 inputs.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Fair Value Measurement</w:t>
      </w:r>
    </w:p>
    <w:p>
      <w:pPr>
        <w:spacing w:after="0" w:line="11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Company’s proved oil and gas properties are assessed for impairment on a periodic basis. If the Company’s proved properties are determined to be impaired, the carrying basis of the properties is adjusted down to fair value. This represents a fair value measurement that would qualify as a non-recurring Level 3 fair value measurement. No impairment of proved properties was recorded for the three and six months ended June 30, 2025 and 2024. If pricing conditions decline or are depressed, or if there is a decrease in estimated future production volumes, we may incur proved property impairments in future periods.</w:t>
      </w:r>
    </w:p>
    <w:p>
      <w:pPr>
        <w:spacing w:after="0" w:line="183"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The fair value of debt outstanding pursuant to our 2028 Senior Notes was $628.7 million as of June 30, 2025 and $618.7 million as of December 31, 2024 based on quoted prices for markets that are not active (Level 2). The fair value of debt outstanding pursuant to our Sitio Revolving Credit Facility was $488.2 million as of June 30, 2025 and $487.8 million as of December 31, 2024. The carrying amount of debt outstanding pursuant to the Sitio Revolving Credit Facility approximates fair value as the borrowings bear interest at variable rates and are reflective of market rates (Level 2).</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68"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 14. Income Taxes</w:t>
      </w:r>
    </w:p>
    <w:p>
      <w:pPr>
        <w:spacing w:after="0" w:line="117"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Company recorded income tax expense of $0.4 million and $7.2 million for the three and six months ended June 30, 2025, respectively. The Company recorded income tax expense of $4.8 million and $7.6 million for the three and six months ended June 30, 2024, respectively. Our provisions for income taxes differ from amounts that would be provided by applying the U.S. federal statutory tax rate of 21% to pre-tax book income primarily due to (i) the portion of pre-tax income that is attributable to our non-controlling interest holders which is not taxable to the Company; (ii) share-based compensation expense: (iii) other permanent differences; and (iv) state income taxes.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15. Commitments and Contingencies</w:t>
      </w:r>
    </w:p>
    <w:p>
      <w:pPr>
        <w:spacing w:after="0" w:line="11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involved in various legal proceedings, lawsuits, and other claims in the ordinary course of business. Such matters are subject to many uncertainties, and outcomes are not predictable with assurance. Management does not believe that the resolution of these matters will have a material adverse impact on the Company’s financial condition, results of operations, or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16. Segments</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Sitio’s chief operating decision maker (“CODM”) is the executive leadership team that includes the chief executive officer, chief financial officer, and each of our executive vice presidents. The executive leadership team manages the business as a whole and assesses financial performance as a single enterprise and not on an area-by-area basis. Therefore, the Company identified one reportable segment: oil and natural gas minerals. The CODM assesses performance of the oil and natural gas minerals segment and decides how to allocate resources based on net income and income from operations that is reported on the condensed consolidated statements of operations. The measure of segment assets is reported on the consolidated balance sheets as total assets. The CODM evaluates significant expenses and assets based off the consolidated financial statements and does not further disaggregate expenses or assets in deciding how to allocate resources and assess performance.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17. Subsequent Events</w:t>
      </w:r>
    </w:p>
    <w:p>
      <w:pPr>
        <w:spacing w:after="0" w:line="117"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Management has evaluated all subsequent events from the balance sheet date through the date these financial statements were available to be issued for disclosure or recognition within these financial statements and no items requiring disclosure were identified except for the events identified below.</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Legislation</w:t>
      </w:r>
    </w:p>
    <w:p>
      <w:pPr>
        <w:spacing w:after="0" w:line="11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On July 4, 2025, the United States Congress enacted the One Big Beautiful Bill Act (the “Act”) which includes a wide range of tax changes, including changes to corporate income taxes. The Company is currently unable to estimate the full financial impact of the Act, which could be material to the Company’s future financial position and results of operations. The Company is currently evaluating the effects of the law and will reflect any required adjustments on a prospective basis. In accordance with ASC 740, the financial statement impact of the Act will be recognized beginning in the third quarter of 2025.</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Dividends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August 4, 2025, the Board declared a cash dividend of $0.36 per share of Class A Common Stock with respect to the second quarter of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dividend is payable on August 19, 2025 to the stockholders of record at the close of business on August 14, 2025.</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3" w:name="page24"/>
    <w:bookmarkEnd w:id="23"/>
    <w:p>
      <w:pPr>
        <w:ind w:left="10100"/>
        <w:spacing w:after="0"/>
        <w:rPr>
          <w:sz w:val="20"/>
          <w:szCs w:val="20"/>
          <w:color w:val="auto"/>
        </w:rPr>
      </w:pPr>
      <w:r>
        <w:rPr>
          <w:rFonts w:ascii="Times New Roman" w:cs="Times New Roman" w:eastAsia="Times New Roman" w:hAnsi="Times New Roman"/>
          <w:sz w:val="18"/>
          <w:szCs w:val="18"/>
          <w:b w:val="1"/>
          <w:bCs w:val="1"/>
          <w:i w:val="1"/>
          <w:i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Sitio Transaction</w:t>
      </w:r>
    </w:p>
    <w:p>
      <w:pPr>
        <w:spacing w:after="0" w:line="12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7"/>
          <w:szCs w:val="17"/>
          <w:color w:val="auto"/>
        </w:rPr>
        <w:t>On August 19, 2025, VNOM Sub, Inc. (f/k/a Viper Energy, Inc.), a Delaware corporation (“Viper”), Viper Energy Partners LLC, a Delaware limited liability company (“Viper OpCo”), Viper Energy, Inc. (f/k/a New Cobra Pubco, Inc.), a Delaware corporation and a wholly owned subsidiary of Viper (“New Viper”) Cobra Merger Sub, Inc., a Delaware corporation and a wholly owned subsidiary of New Viper, Scorpion Merger Sub, Inc., a Delaware corporation and wholly owned subsidiary of New Viper, Sitio Royalties Corp., a Delaware corporation (“Sitio”), and Sitio Royalties Operating Partnership, LP, a Delaware limited partnership and a subsidiary of Sitio, (“Sitio OpCo”), completed a series of transactions pursuant to which New Viper acquired Sitio and Sitio OpCo (the “Sitio Transaction”) in an all-equity transaction including the retirement of Sitio’s debt, which totaled</w:t>
      </w:r>
    </w:p>
    <w:p>
      <w:pPr>
        <w:spacing w:after="0" w:line="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$1.1 billion as of June 30, 2025. As a result of the Sitio Transaction, Viper and Sitio became direct wholly owned subsidiaries of New Viper, which was renamed “Viper Energy, Inc.” upon completion of the Sitio Transaction. Additionally, upon completion of the Sitio Transaction, former Viper stockholders and former Sitio stockholders own equity interests in New Viper, whose Class A common stock, par value $0.000001 per share (“New Viper Class A Common Stock”), is listed for trading on the Nasdaq. For pro forma purposes, the term “Viper” may be used in reference to both historical Viper Energy, Inc. prior to the consummation of the Sitio Transaction and New Viper following the consummation of the Sitio Transaction as the context requires.</w:t>
      </w:r>
    </w:p>
    <w:p>
      <w:pPr>
        <w:spacing w:after="0" w:line="190"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Consideration for the Sitio Transaction for Sitio equityholders consisted of the right to receive 0.4855 shares of New Viper Class A Common Stock, for each share of Sitio Class A common stock, par value $0.0001 per share (“Sitio Class A Common Stock”), and 0.4855 units representing limited liability company interests in Viper OpCo (“Viper OpCo Units”), along with a corresponding amount of Class B common stock, par value $0.000001 per share, of New Viper (“New Viper Class B Common Stock” and together with the New Viper Class A Common Stock, “New Viper Common Stock”), for each unit representing limited partnership interests of Sitio OpCo (each, a “Sitio OpCo Unit”), subject to certain exclusions. Each share of Sitio Class C common stock was automatically cancelled in the transaction for no consideration and ceased to exist upon closing of the Sitio Transaction.</w:t>
      </w:r>
    </w:p>
    <w:p>
      <w:pPr>
        <w:spacing w:after="0" w:line="18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mineral and royalty interests owned by Sitio and acquired in the Sitio Transaction represent approximately 25,300 net royalty acres in the Permian Basin, plus an additional ~9,000 net royalty acres in other major basins (DJ, Eagle Ford, Williston) for total acreage of approximately 34,300 net royalty acres. On a pro forma basis, New Viper owns approximately 85,700 net royalty acres in the Permian Basin, approximately 43% of which are operated by Diamondback Energy, Inc. (“Diamondback”), and an average 1.8% net royalty interest in approximately 33,300 gross producing horizontal wells (~608 net wells) with estimated Q4 2025 average production of 64 – 68 MBO/d (122 – 130 MBOE/d).</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For pro forma purposes, the repayment of Sitio’s outstanding debt at June 30, 2025 was assumed to be funded partially with the proceeds of Viper OpCo’s July 2025 underwritten public offering of $1.6 billion in aggregate principal amount of senior notes consisting of (i) $500 million aggregate principal amount of 4.900% Senior Notes due August 1, 2030 (the “2030 Notes”), and (ii) $1.1 billion aggregate principal amount of 5.700% Senior Notes due August 1, 2035 (the “2035 Notes” and together with the 2030 Notes, the “New Notes”), as well as proceeds from a $500 million, two-year senior unsecured delayed draw term loan facility between Viper OpCo as borrower, Viper as guarantor, and Goldman Sachs Bank USA as administrative agent, (the “2025 Term Loan Credit Agreement”).</w:t>
      </w:r>
    </w:p>
    <w:p>
      <w:pPr>
        <w:spacing w:after="0" w:line="18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In addition to funding the repayment of Sitio’s outstanding debt, proceeds from the New Notes were also used to (i) redeem all of Viper’s 7.375% Senior Notes due 2031 (the “2031 Notes”) at a redemption price of 106.872% of the principal amount of the 2031 Notes and including any accrued and unpaid interest up to, but not including the redemption date, and (ii) satisfy and discharge Viper’s $380 million 5.375% Senior Notes due 2027 (the “2027 Notes”), at a redemption price of 100% of the principal amount of the 2027 Notes, including any accrued and unpaid interest through the redemption date, which is set as November 1, 2025.</w:t>
      </w:r>
    </w:p>
    <w:p>
      <w:pPr>
        <w:spacing w:after="0" w:line="183"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The Sitio Transaction was unanimously approved by the board of directors of each of Viper and Sitio, approved by the written consent of Diamondback (and certain of its subsidiaries) as Viper’s majority stockholders, and approved by a majority of Sitio’s stockholders at the Sitio special meeting of stockholders held on August 18, 2025.</w:t>
      </w:r>
    </w:p>
    <w:p>
      <w:pPr>
        <w:spacing w:after="0" w:line="176"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The Sitio Transaction will be accounted for as an asset acquisition in accordance with ASC 805, with Viper as the accounting acquirer. As such, for pro forma purposes, the fair value of the consideration paid by Viper for the Sitio Transaction and the allocation of that amount to the underlying assets acquired was recorded on a relative fair value basis. Additionally, transaction costs directly related to the Sitio Transaction were capitalized as a component of the purchase price.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24" w:name="page25"/>
    <w:bookmarkEnd w:id="24"/>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Recently Completed Significant Acquisitions</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2025 Drop Down</w:t>
      </w:r>
    </w:p>
    <w:p>
      <w:pPr>
        <w:spacing w:after="0" w:line="227" w:lineRule="exact"/>
        <w:rPr>
          <w:sz w:val="20"/>
          <w:szCs w:val="20"/>
          <w:color w:val="auto"/>
        </w:rPr>
      </w:pPr>
    </w:p>
    <w:p>
      <w:pPr>
        <w:ind w:left="4" w:right="100" w:firstLine="440"/>
        <w:spacing w:after="0" w:line="273" w:lineRule="auto"/>
        <w:rPr>
          <w:sz w:val="20"/>
          <w:szCs w:val="20"/>
          <w:color w:val="auto"/>
        </w:rPr>
      </w:pPr>
      <w:r>
        <w:rPr>
          <w:rFonts w:ascii="Times New Roman" w:cs="Times New Roman" w:eastAsia="Times New Roman" w:hAnsi="Times New Roman"/>
          <w:sz w:val="17"/>
          <w:szCs w:val="17"/>
          <w:color w:val="auto"/>
        </w:rPr>
        <w:t>As previously disclosed in its Current Report on Form 8-K filed with the U.S. Securities and Exchange Commission (“SEC”) on May 5, 2025, Viper and Viper OpCo, as buyer parties, on May 1, 2025 (the “2025 Drop Down Closing Date”) acquired all of the issued and outstanding equity interests in 1979 Royalties LP and 1979 Royalties GP, LLC (collectively, the “Endeavor Subsidiaries”) from Endeavor Energy Resources, LP (the “Endeavor Seller”), each of which is a subsidiary of Viper’s parent, Diamondback, pursuant to a definitive equity purchase agreement for consideration consisting of (i) $1.0 billion in cash, and (ii) the issuance of 69,626,640 Viper OpCo Units and an equivalent number of shares of Viper’s Class B common stock, par value $0.000001 per share (“Viper Class B Common Stock”) (collectively, the “Endeavor Equity Issuance”), in each case subject to customary post-closing adjustments including, among other things, for net title benefits (such transaction, the “2025 Drop Down”).</w:t>
      </w:r>
    </w:p>
    <w:p>
      <w:pPr>
        <w:spacing w:after="0" w:line="171"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The Viper OpCo Units and Viper Class B Common Stock included in the Endeavor Equity Issuance, as well as the Viper OpCo Units and Viper Class B Common Stock otherwise beneficially owned by Diamondback, were exchangeable from time to time for shares of Viper’s Class A common stock, par value $0.000001 per share (“Viper Class A Common Stock”) (that is, one Viper OpCo Unit and one share of Viper Class B Common Stock, together, were exchangeable for one share of Viper Class A Common Stock). As a result of the Sitio Transaction, the Viper Class B Common Stock was converted into New Viper Class B Common Stock and, together with an equal number of Viper OpCo Units, is now exchangeable for shares of New Viper Class A Common Stock. The mineral and royalty interests owned by the Endeavor Subsidiaries and acquired in the 2025 Drop Down represent approximately 24,446 net royalty acres in the Permian Basin, approximately 69% of which are operated by Diamondback, and have an average net royalty interest of approximately 2.2% and oil production of approximately 17,097 BO/d (the “Endeavor Mineral and Royalty Interests”). Viper funded the $1.0 billion cash portion of the consideration for the 2025 Drop Down with a portion of the proceeds from its public equity offering completed on February 3, 2025 (the “2025 Equity Offering”) of 28,336,000 shares of Viper Class A Common Stock and borrowings on Viper OpCo’s revolving credit facility.</w:t>
      </w:r>
    </w:p>
    <w:p>
      <w:pPr>
        <w:spacing w:after="0" w:line="192" w:lineRule="exact"/>
        <w:rPr>
          <w:sz w:val="20"/>
          <w:szCs w:val="20"/>
          <w:color w:val="auto"/>
        </w:rPr>
      </w:pPr>
    </w:p>
    <w:p>
      <w:pPr>
        <w:jc w:val="both"/>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The 2025 Drop Down is accounted for as a transaction between entities under common control with the Endeavor Mineral and Royalty Interests recorded at the Endeavor Seller’s historical carrying value in Viper’s consolidated balance sheet as of June 30, 2025. As a common control transaction, transaction costs directly related to the 2025 Drop Down were expensed as incurred.</w:t>
      </w:r>
    </w:p>
    <w:p>
      <w:pPr>
        <w:spacing w:after="0" w:line="2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Tumbleweed Acquisitions</w:t>
      </w:r>
    </w:p>
    <w:p>
      <w:pPr>
        <w:spacing w:after="0" w:line="119" w:lineRule="exact"/>
        <w:rPr>
          <w:sz w:val="20"/>
          <w:szCs w:val="20"/>
          <w:color w:val="auto"/>
        </w:rPr>
      </w:pPr>
    </w:p>
    <w:p>
      <w:pPr>
        <w:ind w:left="4" w:firstLine="440"/>
        <w:spacing w:after="0" w:line="271" w:lineRule="auto"/>
        <w:rPr>
          <w:sz w:val="20"/>
          <w:szCs w:val="20"/>
          <w:color w:val="auto"/>
        </w:rPr>
      </w:pPr>
      <w:r>
        <w:rPr>
          <w:rFonts w:ascii="Times New Roman" w:cs="Times New Roman" w:eastAsia="Times New Roman" w:hAnsi="Times New Roman"/>
          <w:sz w:val="17"/>
          <w:szCs w:val="17"/>
          <w:color w:val="auto"/>
        </w:rPr>
        <w:t>As previously disclosed in its Current Report on Form 8-K filed with the SEC on October 2, 2024, Viper and Viper OpCo completed the acquisition, on October 1, 2024 (the “TWR Closing Date”), of all of the issued and outstanding equity interests in Tumbleweed Royalty IV, LLC and TWR IV SellCo LLC (collectively, “TWR”) pursuant to a definitive purchase and sale agreement (the “TWR Acquisition”). The mineral and royalty interests acquired in the TWR Acquisition represent approximately 3,067 net royalty acres in the Permian Basin. Consideration for the TWR Acquisition consisted of (i) cash consideration of approximately $464 million, including transaction costs and certain customary post-closing adjustments, (ii) 10,093,670 Viper OpCo Units and an option to acquire an equal number of shares of Viper Class B Common Stock, and (iii) contingent cash consideration of up to $41 million payable in January of 2026, based on the average price of West Texas Intermediate (“WTI”) sweet crude oil prompt month futures contracts for the calendar year 2025 (the “WTI 2025 Average”). The cash consideration was funded through a combination of cash on hand, borrowings under Viper OpCo’s revolving credit facility and proceeds from a public offering of Viper Class A Common Stock in September 2024.</w:t>
      </w:r>
    </w:p>
    <w:p>
      <w:pPr>
        <w:spacing w:after="0" w:line="173" w:lineRule="exact"/>
        <w:rPr>
          <w:sz w:val="20"/>
          <w:szCs w:val="20"/>
          <w:color w:val="auto"/>
        </w:rPr>
      </w:pPr>
    </w:p>
    <w:p>
      <w:pPr>
        <w:ind w:left="4" w:right="160" w:firstLine="440"/>
        <w:spacing w:after="0" w:line="276" w:lineRule="auto"/>
        <w:rPr>
          <w:sz w:val="20"/>
          <w:szCs w:val="20"/>
          <w:color w:val="auto"/>
        </w:rPr>
      </w:pPr>
      <w:r>
        <w:rPr>
          <w:rFonts w:ascii="Times New Roman" w:cs="Times New Roman" w:eastAsia="Times New Roman" w:hAnsi="Times New Roman"/>
          <w:sz w:val="17"/>
          <w:szCs w:val="17"/>
          <w:color w:val="auto"/>
        </w:rPr>
        <w:t>On September 3, 2024 (the “Q&amp;M Closing Date”), Viper and Viper OpCo completed the related acquisitions of all of the issued and outstanding equity interests in (i) Tumbleweed-Q Royalties, LLC (“Tumbleweed Q”) from Tumbleweed-Q Royalty Partners, LLC (the “Q Acquisition”), and</w:t>
      </w:r>
    </w:p>
    <w:p>
      <w:pPr>
        <w:spacing w:after="0" w:line="1" w:lineRule="exact"/>
        <w:rPr>
          <w:sz w:val="20"/>
          <w:szCs w:val="20"/>
          <w:color w:val="auto"/>
        </w:rPr>
      </w:pPr>
    </w:p>
    <w:p>
      <w:pPr>
        <w:ind w:left="4" w:right="820" w:hanging="4"/>
        <w:spacing w:after="0" w:line="260" w:lineRule="auto"/>
        <w:tabs>
          <w:tab w:leader="none" w:pos="2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 TWR Royalties, LP and MC TWR Intermediate, LLC (collectively, “Tumbleweed M”) from MC Tumbleweed Royalty, LLC (the “M Acquisition”), pursuant to definitive purchase and sale agreements (collectively, the “Q&amp;M Acquisitions”).</w:t>
      </w:r>
    </w:p>
    <w:p>
      <w:pPr>
        <w:spacing w:after="0" w:line="181"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The mineral and royalty interests acquired in the Q Acquisition represent approximately 406 net royalty acres in the Permian Basin. Consideration for the Q Acquisition consisted of (i) $114 million in cash, including transaction costs and certain customary post-closing adjustments, and (ii) contingent cash consideration of up to $5 million payable in January of 2026, based on the WTI 2025 Average.</w:t>
      </w:r>
    </w:p>
    <w:p>
      <w:pPr>
        <w:spacing w:after="0" w:line="176"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The mineral and royalty interests acquired in the M Acquisition represent approximately 267 net royalty acres in the Permian Basin. Consideration for the M Acquisition consisted of (i) $76 million in cash, including transaction costs and certain customary post-closing adjustments, and (ii) contingent cash consideration of up to $4 million payable in January of 2026, based on the WTI 2025 Average.</w:t>
      </w:r>
    </w:p>
    <w:p>
      <w:pPr>
        <w:spacing w:after="0" w:line="176" w:lineRule="exact"/>
        <w:rPr>
          <w:sz w:val="20"/>
          <w:szCs w:val="20"/>
          <w:color w:val="auto"/>
        </w:rPr>
      </w:pPr>
    </w:p>
    <w:p>
      <w:pPr>
        <w:jc w:val="both"/>
        <w:ind w:left="4" w:right="60" w:firstLine="440"/>
        <w:spacing w:after="0" w:line="281" w:lineRule="auto"/>
        <w:rPr>
          <w:sz w:val="20"/>
          <w:szCs w:val="20"/>
          <w:color w:val="auto"/>
        </w:rPr>
      </w:pPr>
      <w:r>
        <w:rPr>
          <w:rFonts w:ascii="Times New Roman" w:cs="Times New Roman" w:eastAsia="Times New Roman" w:hAnsi="Times New Roman"/>
          <w:sz w:val="17"/>
          <w:szCs w:val="17"/>
          <w:color w:val="auto"/>
        </w:rPr>
        <w:t>The TWR Acquisition, Q Acquisition and M Acquisition, which are considered related businesses, (collectively, the “Tumbleweed Acquisitions”) were accounted for as asset acquisitions in accordance with ASC 805. As such, for pro forma purposes, the fair value of the consideration paid by Viper for each of the Tumbleweed Acquisitions and the allocation of that amount to the underlying assets acquired was recorded on a relative fair value basis. Additionally, transaction costs directly related to the Tumbleweed Acquisitions were capitalized as a component of the purchase price.</w:t>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25" w:name="page26"/>
    <w:bookmarkEnd w:id="25"/>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 Forma Financial Statement Presentation</w:t>
      </w:r>
    </w:p>
    <w:p>
      <w:pPr>
        <w:spacing w:after="0" w:line="121" w:lineRule="exact"/>
        <w:rPr>
          <w:sz w:val="20"/>
          <w:szCs w:val="20"/>
          <w:color w:val="auto"/>
        </w:rPr>
      </w:pPr>
    </w:p>
    <w:p>
      <w:pPr>
        <w:ind w:left="4" w:right="160" w:firstLine="440"/>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(the “pro forma financial statements”) are based on Viper’s historical consolidated financial statements, adjusted to give effect to transaction adjustments for (i) the assets and liabilities acquired in the Sitio Transaction, (ii) the issuance of the New Notes and the 2025 Term Loan Credit Agreement to fund the repayment of Sitio’s outstanding debt as of June 30, 2025, (iii) the impacts of the previously completed 2025 Drop Down and 2025 Equity Offering not reflected in Viper’s historical consolidated financial statements for the year ended December 31, 2024 and the six months ended June 30, 2025, (iv) the impacts of the previously completed Tumbleweed Acquisitions not reflected in Viper’s historical consolidated financial statements for the year ended December 31, 2024.</w:t>
      </w:r>
    </w:p>
    <w:p>
      <w:pPr>
        <w:spacing w:after="0" w:line="187"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The following pro forma financial statements present (i) Viper’s unaudited condensed combined pro forma balance sheet as of June 30, 2025 (the “pro forma balance sheet”), (ii) Viper’s unaudited pro forma condensed combined statement of operations for the year ended December 31, 2024, and (iii) Viper’s unaudited pro forma condensed combined statement of operations for the six months ended June 30, 2025.</w:t>
      </w:r>
    </w:p>
    <w:p>
      <w:pPr>
        <w:spacing w:after="0" w:line="176"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The pro forma balance sheet assumes that the Sitio Transaction, issuance of the New Notes and full borrowing of the 2025 Term Loan Credit Agreement each occurred on June 30, 2025.</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pro forma statements of operations for the year ended December 31, 2024 and the six months ended June 30, 2025 give pro forma effect to</w:t>
      </w:r>
    </w:p>
    <w:p>
      <w:pPr>
        <w:spacing w:after="0" w:line="27" w:lineRule="exact"/>
        <w:rPr>
          <w:sz w:val="20"/>
          <w:szCs w:val="20"/>
          <w:color w:val="auto"/>
        </w:rPr>
      </w:pPr>
    </w:p>
    <w:p>
      <w:pPr>
        <w:ind w:left="4" w:right="20" w:hanging="4"/>
        <w:spacing w:after="0" w:line="255" w:lineRule="auto"/>
        <w:tabs>
          <w:tab w:leader="none" w:pos="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Sitio Transaction, (ii) the issuance of the New Notes, (iii) borrowings under the 2025 Term Loan Credit Agreement, (iv) the 2025 Drop Down and related 2025 Equity Offering, and (v) the Tumbleweed Acquisitions through their respective closing dates, as if all such transactions had occurred on January 1, 2024, the beginning of the earliest period presented.</w:t>
      </w:r>
    </w:p>
    <w:p>
      <w:pPr>
        <w:spacing w:after="0" w:line="186"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The pro forma adjustments related to the Sitio Transaction, the New Notes, the 2025 Term Loan Credit Agreement, the 2025 Drop Down, the 2025 Equity Offering and the Tumbleweed Acquisitions are based on available information and certain assumptions that management believes are factually supportable, as further described below in Note 3—Pro Forma Adjustments and Assumptions. In the opinion of management, all adjustments necessary to present fairly the pro forma financial statements have been made.</w:t>
      </w:r>
    </w:p>
    <w:p>
      <w:pPr>
        <w:spacing w:after="0" w:line="180"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These pro forma financial statements are for informational purposes only and do not purport to represent what Viper’s financial position and results of operations would have been had the Sitio Transaction, the New Notes, the 2025 Term Loan Credit Agreement, the 2025 Drop Down, the 2025 Equity Offering and the Tumbleweed Acquisitions occurred on the dates indicated. The pro forma financial statements do not reflect the benefits of potential cost savings or the costs that may be necessary to achieve such savings, and, accordingly, do not attempt to predict or suggest future results. As such, these pro forma financial statements should not be used to project Viper or New Viper’s financial performance for any future period. A number of factors may affect the results.</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pro forma financial statements have been developed from and should be read in conjunction with:</w:t>
      </w:r>
    </w:p>
    <w:p>
      <w:pPr>
        <w:spacing w:after="0" w:line="131" w:lineRule="exact"/>
        <w:rPr>
          <w:sz w:val="20"/>
          <w:szCs w:val="20"/>
          <w:color w:val="auto"/>
        </w:rPr>
      </w:pPr>
    </w:p>
    <w:p>
      <w:pPr>
        <w:ind w:left="1424" w:hanging="439"/>
        <w:spacing w:after="0"/>
        <w:tabs>
          <w:tab w:leader="none" w:pos="1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separate historical consolidated financial statements and related notes thereto in Viper’s and New Viper’s filings with the SEC;</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separate historical consolidated financial statements and related notes thereto in Sitio’s filings with the SEC;</w:t>
      </w:r>
    </w:p>
    <w:p>
      <w:pPr>
        <w:spacing w:after="0" w:line="130" w:lineRule="exact"/>
        <w:rPr>
          <w:rFonts w:ascii="Times New Roman" w:cs="Times New Roman" w:eastAsia="Times New Roman" w:hAnsi="Times New Roman"/>
          <w:sz w:val="18"/>
          <w:szCs w:val="18"/>
          <w:color w:val="auto"/>
        </w:rPr>
      </w:pPr>
    </w:p>
    <w:p>
      <w:pPr>
        <w:ind w:left="1424" w:right="120" w:hanging="439"/>
        <w:spacing w:after="0" w:line="266" w:lineRule="auto"/>
        <w:tabs>
          <w:tab w:leader="none" w:pos="1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consolidated financial statements of TWR and related notes for the nine months ended September 30, 2024, which are incorporated by reference from Exhibit 99.3 to Viper’s Current Report on Form 8-K filed with the SEC on January 30, 2025;</w:t>
      </w:r>
    </w:p>
    <w:p>
      <w:pPr>
        <w:spacing w:after="0" w:line="81" w:lineRule="exact"/>
        <w:rPr>
          <w:rFonts w:ascii="Times New Roman" w:cs="Times New Roman" w:eastAsia="Times New Roman" w:hAnsi="Times New Roman"/>
          <w:sz w:val="18"/>
          <w:szCs w:val="18"/>
          <w:color w:val="auto"/>
        </w:rPr>
      </w:pPr>
    </w:p>
    <w:p>
      <w:pPr>
        <w:ind w:left="1424" w:right="260" w:hanging="439"/>
        <w:spacing w:after="0" w:line="261" w:lineRule="auto"/>
        <w:tabs>
          <w:tab w:leader="none" w:pos="1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consolidated financial statements of Tumbleweed-Q Royalty Partners, LLC as of and for the six months ended June 30, 2024 and the unaudited consolidated financial statements of MC Tumbleweed Royalty, LLC as of and for the six months ended June 30, 2024, which unaudited financial statements are included as Exhibits 99.5 and 99.6, respectively to Viper’s Current Report on Form 8-K, filed with the SEC on September 11, 2024;</w:t>
      </w:r>
    </w:p>
    <w:p>
      <w:pPr>
        <w:spacing w:after="0" w:line="85" w:lineRule="exact"/>
        <w:rPr>
          <w:rFonts w:ascii="Times New Roman" w:cs="Times New Roman" w:eastAsia="Times New Roman" w:hAnsi="Times New Roman"/>
          <w:sz w:val="18"/>
          <w:szCs w:val="18"/>
          <w:color w:val="auto"/>
        </w:rPr>
      </w:pPr>
    </w:p>
    <w:p>
      <w:pPr>
        <w:ind w:left="1424" w:right="100" w:hanging="439"/>
        <w:spacing w:after="0" w:line="266" w:lineRule="auto"/>
        <w:tabs>
          <w:tab w:leader="none" w:pos="1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statements of revenues and direct operating expenses and related notes for the Endeavor Mineral and Royalty Interests for the years ended December 31, 2024 and 2023, which were included in Viper’s Definitive Proxy Statement Relating to Merger or Acquisition on Form DEFM14A filed with the SEC on March 31, 2025; and</w:t>
      </w:r>
    </w:p>
    <w:p>
      <w:pPr>
        <w:spacing w:after="0" w:line="81" w:lineRule="exact"/>
        <w:rPr>
          <w:rFonts w:ascii="Times New Roman" w:cs="Times New Roman" w:eastAsia="Times New Roman" w:hAnsi="Times New Roman"/>
          <w:sz w:val="18"/>
          <w:szCs w:val="18"/>
          <w:color w:val="auto"/>
        </w:rPr>
      </w:pPr>
    </w:p>
    <w:p>
      <w:pPr>
        <w:ind w:left="1424" w:hanging="439"/>
        <w:spacing w:after="0" w:line="266" w:lineRule="auto"/>
        <w:tabs>
          <w:tab w:leader="none" w:pos="1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consolidated financial statements of revenues and direct operating expenses and related notes for the Endeavor Mineral and Royalty Interests for the three months ended March 31, 2025, which unaudited financial statements are included as Exhibit 99.4 to Viper’s Current Report on Form 8-K containing this exhibit.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66" w:right="439" w:bottom="1440" w:gutter="0" w:footer="0" w:header="0"/>
        </w:sectPr>
      </w:pPr>
    </w:p>
    <w:bookmarkStart w:id="26" w:name="page27"/>
    <w:bookmarkEnd w:id="2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Viper Energy,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7"/>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500" w:type="dxa"/>
            <w:vAlign w:val="bottom"/>
            <w:gridSpan w:val="6"/>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Acquisition Transaction</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7"/>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0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Adjustments (Note 3)</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1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Viper</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Reclass</w:t>
            </w:r>
          </w:p>
        </w:tc>
        <w:tc>
          <w:tcPr>
            <w:tcW w:w="120" w:type="dxa"/>
            <w:vAlign w:val="bottom"/>
          </w:tcPr>
          <w:p>
            <w:pPr>
              <w:spacing w:after="0"/>
              <w:rPr>
                <w:sz w:val="12"/>
                <w:szCs w:val="12"/>
                <w:color w:val="auto"/>
              </w:rPr>
            </w:pPr>
          </w:p>
        </w:tc>
        <w:tc>
          <w:tcPr>
            <w:tcW w:w="2300" w:type="dxa"/>
            <w:vAlign w:val="bottom"/>
            <w:gridSpan w:val="3"/>
          </w:tcPr>
          <w:p>
            <w:pPr>
              <w:jc w:val="center"/>
              <w:ind w:right="15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Transaction</w:t>
            </w: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Viper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Sitio</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8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2"/>
          </w:tcPr>
          <w:p>
            <w:pPr>
              <w:jc w:val="center"/>
              <w:ind w:right="162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0" w:type="dxa"/>
            <w:vAlign w:val="bottom"/>
            <w:tcBorders>
              <w:top w:val="single" w:sz="8" w:color="auto"/>
            </w:tcBorders>
            <w:gridSpan w:val="8"/>
          </w:tcPr>
          <w:p>
            <w:pPr>
              <w:jc w:val="right"/>
              <w:ind w:right="9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par values and share data)</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103  </w:t>
            </w:r>
            <w:r>
              <w:rPr>
                <w:rFonts w:ascii="Times New Roman" w:cs="Times New Roman" w:eastAsia="Times New Roman" w:hAnsi="Times New Roman"/>
                <w:sz w:val="18"/>
                <w:szCs w:val="18"/>
                <w:i w:val="1"/>
                <w:iCs w:val="1"/>
                <w:color w:val="auto"/>
              </w:rPr>
              <w:t>(c)(e)(f)(h)</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391  </w:t>
            </w:r>
            <w:r>
              <w:rPr>
                <w:rFonts w:ascii="Times New Roman" w:cs="Times New Roman" w:eastAsia="Times New Roman" w:hAnsi="Times New Roman"/>
                <w:sz w:val="18"/>
                <w:szCs w:val="18"/>
                <w:i w:val="1"/>
                <w:iCs w:val="1"/>
                <w:color w:val="auto"/>
              </w:rPr>
              <w:t>(e)</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198"/>
        </w:trPr>
        <w:tc>
          <w:tcPr>
            <w:tcW w:w="49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Royalty income receivable (net of allowance for credit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i w:val="1"/>
                <w:iCs w:val="1"/>
                <w:color w:val="auto"/>
              </w:rPr>
              <w:t>(a)</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losses)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Royalty income receivable—related party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revenue and 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i w:val="1"/>
                <w:iCs w:val="1"/>
                <w:color w:val="auto"/>
              </w:rPr>
              <w:t>(a)</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instruments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494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Property: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 and natural gas interests, full cost method of accounting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10,560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5,428  </w:t>
            </w:r>
            <w:r>
              <w:rPr>
                <w:rFonts w:ascii="Times New Roman" w:cs="Times New Roman" w:eastAsia="Times New Roman" w:hAnsi="Times New Roman"/>
                <w:sz w:val="18"/>
                <w:szCs w:val="18"/>
                <w:i w:val="1"/>
                <w:iCs w:val="1"/>
                <w:color w:val="auto"/>
              </w:rPr>
              <w:t>(a)</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(1,524) </w:t>
            </w:r>
            <w:r>
              <w:rPr>
                <w:rFonts w:ascii="Times New Roman" w:cs="Times New Roman" w:eastAsia="Times New Roman" w:hAnsi="Times New Roman"/>
                <w:sz w:val="18"/>
                <w:szCs w:val="18"/>
                <w:i w:val="1"/>
                <w:iCs w:val="1"/>
                <w:color w:val="auto"/>
              </w:rPr>
              <w:t>(b)(c)(d)(f)(g)(i)</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14,464</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depletion and impairment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(972) </w:t>
            </w:r>
            <w:r>
              <w:rPr>
                <w:rFonts w:ascii="Times New Roman" w:cs="Times New Roman" w:eastAsia="Times New Roman" w:hAnsi="Times New Roman"/>
                <w:sz w:val="18"/>
                <w:szCs w:val="18"/>
                <w:i w:val="1"/>
                <w:iCs w:val="1"/>
                <w:color w:val="auto"/>
              </w:rPr>
              <w:t>(a)</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972  </w:t>
            </w:r>
            <w:r>
              <w:rPr>
                <w:rFonts w:ascii="Times New Roman" w:cs="Times New Roman" w:eastAsia="Times New Roman" w:hAnsi="Times New Roman"/>
                <w:sz w:val="18"/>
                <w:szCs w:val="18"/>
                <w:i w:val="1"/>
                <w:iCs w:val="1"/>
                <w:color w:val="auto"/>
              </w:rPr>
              <w:t>(g)</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and natural gas properties, successful efforts method: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Unproved properties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2,373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(2,373) </w:t>
            </w:r>
            <w:r>
              <w:rPr>
                <w:rFonts w:ascii="Times New Roman" w:cs="Times New Roman" w:eastAsia="Times New Roman" w:hAnsi="Times New Roman"/>
                <w:sz w:val="18"/>
                <w:szCs w:val="18"/>
                <w:i w:val="1"/>
                <w:iCs w:val="1"/>
                <w:color w:val="auto"/>
              </w:rPr>
              <w:t>(a)</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Proved properties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3,055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(3,055) </w:t>
            </w:r>
            <w:r>
              <w:rPr>
                <w:rFonts w:ascii="Times New Roman" w:cs="Times New Roman" w:eastAsia="Times New Roman" w:hAnsi="Times New Roman"/>
                <w:sz w:val="18"/>
                <w:szCs w:val="18"/>
                <w:i w:val="1"/>
                <w:iCs w:val="1"/>
                <w:color w:val="auto"/>
              </w:rPr>
              <w:t>(a)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49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Accumulated depreciation, depletion, amortization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972  </w:t>
            </w:r>
            <w:r>
              <w:rPr>
                <w:rFonts w:ascii="Times New Roman" w:cs="Times New Roman" w:eastAsia="Times New Roman" w:hAnsi="Times New Roman"/>
                <w:sz w:val="18"/>
                <w:szCs w:val="18"/>
                <w:i w:val="1"/>
                <w:iCs w:val="1"/>
                <w:color w:val="auto"/>
              </w:rPr>
              <w:t>(a)</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impairment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Property,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4,460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440"/>
              <w:spacing w:after="0"/>
              <w:rPr>
                <w:sz w:val="20"/>
                <w:szCs w:val="20"/>
                <w:color w:val="auto"/>
              </w:rPr>
            </w:pPr>
            <w:r>
              <w:rPr>
                <w:rFonts w:ascii="Times New Roman" w:cs="Times New Roman" w:eastAsia="Times New Roman" w:hAnsi="Times New Roman"/>
                <w:sz w:val="18"/>
                <w:szCs w:val="18"/>
                <w:color w:val="auto"/>
              </w:rPr>
              <w:t>(552)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13,202</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 of allowances)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i w:val="1"/>
                <w:iCs w:val="1"/>
                <w:color w:val="auto"/>
              </w:rPr>
              <w:t>(a)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i w:val="1"/>
                <w:iCs w:val="1"/>
                <w:color w:val="auto"/>
              </w:rPr>
              <w:t>(f)</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49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4,610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73"/>
              </w:rPr>
              <w:t>(42)</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Liabilities and Unitholders’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i w:val="1"/>
                <w:iCs w:val="1"/>
                <w:color w:val="auto"/>
              </w:rPr>
              <w:t>(a)</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i w:val="1"/>
                <w:iCs w:val="1"/>
                <w:color w:val="auto"/>
              </w:rPr>
              <w:t>(d)(e)(f)</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i w:val="1"/>
                <w:iCs w:val="1"/>
                <w:color w:val="auto"/>
              </w:rPr>
              <w:t>(a)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instruments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378  </w:t>
            </w:r>
            <w:r>
              <w:rPr>
                <w:rFonts w:ascii="Times New Roman" w:cs="Times New Roman" w:eastAsia="Times New Roman" w:hAnsi="Times New Roman"/>
                <w:sz w:val="18"/>
                <w:szCs w:val="18"/>
                <w:i w:val="1"/>
                <w:iCs w:val="1"/>
                <w:color w:val="auto"/>
              </w:rPr>
              <w:t>(e)</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1,080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i w:val="1"/>
                <w:iCs w:val="1"/>
                <w:color w:val="auto"/>
              </w:rPr>
              <w:t>(e)(f)</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2,406</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i w:val="1"/>
                <w:iCs w:val="1"/>
                <w:color w:val="auto"/>
              </w:rPr>
              <w:t>(a)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i w:val="1"/>
                <w:iCs w:val="1"/>
                <w:color w:val="auto"/>
              </w:rPr>
              <w:t>(i)(j)</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1,366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2,959</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Viper Class A Common Stock, $0.000001 par value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Viper Class B Common Stock, $0.000001 par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Sitio Class A Common Stock, par value $0.0001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Sitio Class C Common Stock, par value $0.0001 per share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1,660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(235) </w:t>
            </w:r>
            <w:r>
              <w:rPr>
                <w:rFonts w:ascii="Times New Roman" w:cs="Times New Roman" w:eastAsia="Times New Roman" w:hAnsi="Times New Roman"/>
                <w:sz w:val="18"/>
                <w:szCs w:val="18"/>
                <w:i w:val="1"/>
                <w:iCs w:val="1"/>
                <w:color w:val="auto"/>
              </w:rPr>
              <w:t>(b)(c)(j)</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4,775</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85  </w:t>
            </w:r>
            <w:r>
              <w:rPr>
                <w:rFonts w:ascii="Times New Roman" w:cs="Times New Roman" w:eastAsia="Times New Roman" w:hAnsi="Times New Roman"/>
                <w:sz w:val="18"/>
                <w:szCs w:val="18"/>
                <w:i w:val="1"/>
                <w:iCs w:val="1"/>
                <w:color w:val="auto"/>
              </w:rPr>
              <w:t>(b)(e)(h)</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A Treasury Shares, 5,875,907 shares at June 30, 2025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i w:val="1"/>
                <w:iCs w:val="1"/>
                <w:color w:val="auto"/>
              </w:rPr>
              <w:t>(b)</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C Treasury Shares, 76,390 shares at June 30, 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(b)</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Viper Energy, Inc.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1,401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44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4,801</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1,843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(503) </w:t>
            </w:r>
            <w:r>
              <w:rPr>
                <w:rFonts w:ascii="Times New Roman" w:cs="Times New Roman" w:eastAsia="Times New Roman" w:hAnsi="Times New Roman"/>
                <w:sz w:val="18"/>
                <w:szCs w:val="18"/>
                <w:i w:val="1"/>
                <w:iCs w:val="1"/>
                <w:color w:val="auto"/>
              </w:rPr>
              <w:t>(b)(c)(j)</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6,531</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3,244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440"/>
              <w:spacing w:after="0"/>
              <w:rPr>
                <w:sz w:val="20"/>
                <w:szCs w:val="20"/>
                <w:color w:val="auto"/>
              </w:rPr>
            </w:pPr>
            <w:r>
              <w:rPr>
                <w:rFonts w:ascii="Times New Roman" w:cs="Times New Roman" w:eastAsia="Times New Roman" w:hAnsi="Times New Roman"/>
                <w:sz w:val="18"/>
                <w:szCs w:val="18"/>
                <w:color w:val="auto"/>
              </w:rPr>
              <w:t>(523)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11,332</w:t>
            </w:r>
          </w:p>
        </w:tc>
        <w:tc>
          <w:tcPr>
            <w:tcW w:w="0" w:type="dxa"/>
            <w:vAlign w:val="bottom"/>
          </w:tcPr>
          <w:p>
            <w:pPr>
              <w:spacing w:after="0"/>
              <w:rPr>
                <w:sz w:val="1"/>
                <w:szCs w:val="1"/>
                <w:color w:val="auto"/>
              </w:rPr>
            </w:pPr>
          </w:p>
        </w:tc>
      </w:tr>
      <w:tr>
        <w:trPr>
          <w:trHeight w:val="223"/>
        </w:trPr>
        <w:tc>
          <w:tcPr>
            <w:tcW w:w="49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liabilities and unitholders’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4,610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73"/>
              </w:rPr>
              <w:t>(42)</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020"/>
          </w:cols>
          <w:pgMar w:left="440" w:top="266" w:right="439" w:bottom="1440" w:gutter="0" w:footer="0" w:header="0"/>
        </w:sect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020"/>
          </w:cols>
          <w:pgMar w:left="440" w:top="266" w:right="439" w:bottom="1440" w:gutter="0" w:footer="0" w:header="0"/>
          <w:type w:val="continuous"/>
        </w:sectPr>
      </w:pPr>
    </w:p>
    <w:bookmarkStart w:id="27" w:name="page28"/>
    <w:bookmarkEnd w:id="2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Viper Energy,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3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20" w:type="dxa"/>
            <w:vAlign w:val="bottom"/>
            <w:gridSpan w:val="5"/>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Transaction Accounting</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Adjustments (Note 3)</w:t>
            </w:r>
          </w:p>
        </w:tc>
        <w:tc>
          <w:tcPr>
            <w:tcW w:w="42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Viper Pro</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TWR</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Q</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w:t>
            </w:r>
          </w:p>
        </w:tc>
        <w:tc>
          <w:tcPr>
            <w:tcW w:w="14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Reclass</w:t>
            </w:r>
          </w:p>
        </w:tc>
        <w:tc>
          <w:tcPr>
            <w:tcW w:w="128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Viper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8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60" w:type="dxa"/>
            <w:vAlign w:val="bottom"/>
          </w:tcPr>
          <w:p>
            <w:pPr>
              <w:spacing w:after="0"/>
              <w:rPr>
                <w:sz w:val="15"/>
                <w:szCs w:val="15"/>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Acquisition</w:t>
            </w:r>
          </w:p>
        </w:tc>
        <w:tc>
          <w:tcPr>
            <w:tcW w:w="240" w:type="dxa"/>
            <w:vAlign w:val="bottom"/>
          </w:tcPr>
          <w:p>
            <w:pPr>
              <w:spacing w:after="0"/>
              <w:rPr>
                <w:sz w:val="15"/>
                <w:szCs w:val="15"/>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140" w:type="dxa"/>
            <w:vAlign w:val="bottom"/>
          </w:tcPr>
          <w:p>
            <w:pPr>
              <w:spacing w:after="0"/>
              <w:rPr>
                <w:sz w:val="15"/>
                <w:szCs w:val="15"/>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940" w:type="dxa"/>
            <w:vAlign w:val="bottom"/>
            <w:tcBorders>
              <w:top w:val="single" w:sz="8" w:color="auto"/>
            </w:tcBorders>
            <w:gridSpan w:val="12"/>
          </w:tcPr>
          <w:p>
            <w:pPr>
              <w:jc w:val="right"/>
              <w:ind w:right="105"/>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amounts, shares in thousands)</w:t>
            </w:r>
          </w:p>
        </w:tc>
        <w:tc>
          <w:tcPr>
            <w:tcW w:w="4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Royalty income</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854</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4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(a)</w:t>
            </w:r>
          </w:p>
        </w:tc>
        <w:tc>
          <w:tcPr>
            <w:tcW w:w="380" w:type="dxa"/>
            <w:vAlign w:val="bottom"/>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bonus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i w:val="1"/>
                <w:iCs w:val="1"/>
                <w:color w:val="auto"/>
              </w:rPr>
              <w:t>  (a)</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bonus and other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i w:val="1"/>
                <w:iCs w:val="1"/>
                <w:color w:val="auto"/>
              </w:rPr>
              <w:t> (a)</w:t>
            </w:r>
          </w:p>
        </w:tc>
        <w:tc>
          <w:tcPr>
            <w:tcW w:w="38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6"/>
              </w:rPr>
              <w:t>— </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operating income</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20"/>
                <w:szCs w:val="20"/>
                <w:color w:val="auto"/>
              </w:rPr>
            </w:pPr>
          </w:p>
        </w:tc>
        <w:tc>
          <w:tcPr>
            <w:tcW w:w="4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— </w:t>
            </w:r>
          </w:p>
        </w:tc>
        <w:tc>
          <w:tcPr>
            <w:tcW w:w="4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Gathering and transportation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i w:val="1"/>
                <w:iCs w:val="1"/>
                <w:color w:val="auto"/>
              </w:rPr>
              <w:t> (a)</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Depletion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w:t>
            </w:r>
            <w:r>
              <w:rPr>
                <w:rFonts w:ascii="Times New Roman" w:cs="Times New Roman" w:eastAsia="Times New Roman" w:hAnsi="Times New Roman"/>
                <w:sz w:val="18"/>
                <w:szCs w:val="18"/>
                <w:i w:val="1"/>
                <w:iCs w:val="1"/>
                <w:color w:val="auto"/>
              </w:rPr>
              <w:t>  (a)</w:t>
            </w:r>
          </w:p>
        </w:tc>
        <w:tc>
          <w:tcPr>
            <w:tcW w:w="380" w:type="dxa"/>
            <w:vAlign w:val="bottom"/>
          </w:tcPr>
          <w:p>
            <w:pPr>
              <w:spacing w:after="0"/>
              <w:rPr>
                <w:sz w:val="18"/>
                <w:szCs w:val="18"/>
                <w:color w:val="auto"/>
              </w:rPr>
            </w:pP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i w:val="1"/>
                <w:iCs w:val="1"/>
                <w:color w:val="auto"/>
              </w:rPr>
              <w:t>(l)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198"/>
        </w:trPr>
        <w:tc>
          <w:tcPr>
            <w:tcW w:w="33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Depletion, depreciation and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w:t>
            </w:r>
            <w:r>
              <w:rPr>
                <w:rFonts w:ascii="Times New Roman" w:cs="Times New Roman" w:eastAsia="Times New Roman" w:hAnsi="Times New Roman"/>
                <w:sz w:val="18"/>
                <w:szCs w:val="18"/>
                <w:i w:val="1"/>
                <w:iCs w:val="1"/>
                <w:color w:val="auto"/>
              </w:rPr>
              <w:t> (a)</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3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related party</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0"/>
                <w:szCs w:val="20"/>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i w:val="1"/>
                <w:iCs w:val="1"/>
                <w:color w:val="auto"/>
              </w:rPr>
              <w:t>(k)</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i w:val="1"/>
                <w:iCs w:val="1"/>
                <w:color w:val="auto"/>
              </w:rPr>
              <w:t>(m)</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33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Gain (loss) on derivative instruments,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(n)</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8"/>
        </w:trPr>
        <w:tc>
          <w:tcPr>
            <w:tcW w:w="33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Earnings from equity method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i w:val="1"/>
                <w:iCs w:val="1"/>
                <w:color w:val="auto"/>
              </w:rPr>
              <w:t> (k)</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investment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5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6"/>
              </w:rPr>
              <w:t>101</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3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Provision for (benefit from) income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(o)</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taxes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5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3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i w:val="1"/>
                <w:iCs w:val="1"/>
                <w:color w:val="auto"/>
              </w:rPr>
              <w:t>(p)</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01"/>
        </w:trPr>
        <w:tc>
          <w:tcPr>
            <w:tcW w:w="33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income (loss) attributable to Viper</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Energy, Inc.</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359</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4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3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income (loss) attributable to common</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194"/>
        </w:trPr>
        <w:tc>
          <w:tcPr>
            <w:tcW w:w="33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common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shares outstanding:</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93,932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8,044  </w:t>
            </w:r>
            <w:r>
              <w:rPr>
                <w:rFonts w:ascii="Times New Roman" w:cs="Times New Roman" w:eastAsia="Times New Roman" w:hAnsi="Times New Roman"/>
                <w:sz w:val="18"/>
                <w:szCs w:val="18"/>
                <w:i w:val="1"/>
                <w:iCs w:val="1"/>
                <w:color w:val="auto"/>
                <w:w w:val="98"/>
              </w:rPr>
              <w:t>(q)</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101,976</w:t>
            </w:r>
          </w:p>
        </w:tc>
        <w:tc>
          <w:tcPr>
            <w:tcW w:w="0" w:type="dxa"/>
            <w:vAlign w:val="bottom"/>
          </w:tcPr>
          <w:p>
            <w:pPr>
              <w:spacing w:after="0"/>
              <w:rPr>
                <w:sz w:val="1"/>
                <w:szCs w:val="1"/>
                <w:color w:val="auto"/>
              </w:rPr>
            </w:pPr>
          </w:p>
        </w:tc>
      </w:tr>
      <w:tr>
        <w:trPr>
          <w:trHeight w:val="236"/>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93,932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8,044  </w:t>
            </w:r>
            <w:r>
              <w:rPr>
                <w:rFonts w:ascii="Times New Roman" w:cs="Times New Roman" w:eastAsia="Times New Roman" w:hAnsi="Times New Roman"/>
                <w:sz w:val="18"/>
                <w:szCs w:val="18"/>
                <w:i w:val="1"/>
                <w:iCs w:val="1"/>
                <w:color w:val="auto"/>
                <w:w w:val="98"/>
              </w:rPr>
              <w:t>(q)</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101,976</w:t>
            </w:r>
          </w:p>
        </w:tc>
        <w:tc>
          <w:tcPr>
            <w:tcW w:w="0" w:type="dxa"/>
            <w:vAlign w:val="bottom"/>
          </w:tcPr>
          <w:p>
            <w:pPr>
              <w:spacing w:after="0"/>
              <w:rPr>
                <w:sz w:val="1"/>
                <w:szCs w:val="1"/>
                <w:color w:val="auto"/>
              </w:rPr>
            </w:pPr>
          </w:p>
        </w:tc>
      </w:tr>
      <w:tr>
        <w:trPr>
          <w:trHeight w:val="344"/>
        </w:trPr>
        <w:tc>
          <w:tcPr>
            <w:tcW w:w="3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8" w:name="page29"/>
    <w:bookmarkEnd w:id="2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Viper Energy,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 Continued</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2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8"/>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4"/>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Historical</w:t>
            </w:r>
          </w:p>
        </w:tc>
        <w:tc>
          <w:tcPr>
            <w:tcW w:w="1300" w:type="dxa"/>
            <w:vAlign w:val="bottom"/>
            <w:gridSpan w:val="3"/>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Historical</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3"/>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3"/>
            <w:vMerge w:val="restart"/>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940" w:type="dxa"/>
            <w:vAlign w:val="bottom"/>
            <w:gridSpan w:val="3"/>
            <w:vMerge w:val="restart"/>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Viper Pro</w:t>
            </w: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gridSpan w:val="3"/>
            <w:vMerge w:val="restart"/>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120" w:type="dxa"/>
            <w:vAlign w:val="bottom"/>
          </w:tcPr>
          <w:p>
            <w:pPr>
              <w:spacing w:after="0"/>
              <w:rPr>
                <w:sz w:val="2"/>
                <w:szCs w:val="2"/>
                <w:color w:val="auto"/>
              </w:rPr>
            </w:pPr>
          </w:p>
        </w:tc>
        <w:tc>
          <w:tcPr>
            <w:tcW w:w="800" w:type="dxa"/>
            <w:vAlign w:val="bottom"/>
            <w:gridSpan w:val="3"/>
            <w:vMerge w:val="restart"/>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Viper Pro</w:t>
            </w:r>
          </w:p>
        </w:tc>
        <w:tc>
          <w:tcPr>
            <w:tcW w:w="0" w:type="dxa"/>
            <w:vAlign w:val="bottom"/>
          </w:tcPr>
          <w:p>
            <w:pPr>
              <w:spacing w:after="0"/>
              <w:rPr>
                <w:sz w:val="1"/>
                <w:szCs w:val="1"/>
                <w:color w:val="auto"/>
              </w:rPr>
            </w:pPr>
          </w:p>
        </w:tc>
      </w:tr>
      <w:tr>
        <w:trPr>
          <w:trHeight w:val="104"/>
        </w:trPr>
        <w:tc>
          <w:tcPr>
            <w:tcW w:w="2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Drop</w:t>
            </w:r>
          </w:p>
        </w:tc>
        <w:tc>
          <w:tcPr>
            <w:tcW w:w="1300" w:type="dxa"/>
            <w:vAlign w:val="bottom"/>
            <w:gridSpan w:val="3"/>
            <w:vMerge w:val="continue"/>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Reclass</w:t>
            </w: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Viper</w:t>
            </w:r>
            <w:r>
              <w:rPr>
                <w:rFonts w:ascii="Times New Roman" w:cs="Times New Roman" w:eastAsia="Times New Roman" w:hAnsi="Times New Roman"/>
                <w:sz w:val="10"/>
                <w:szCs w:val="10"/>
                <w:b w:val="1"/>
                <w:bCs w:val="1"/>
                <w:color w:val="auto"/>
              </w:rPr>
              <w:t>(1)</w:t>
            </w:r>
          </w:p>
        </w:tc>
        <w:tc>
          <w:tcPr>
            <w:tcW w:w="600" w:type="dxa"/>
            <w:vAlign w:val="bottom"/>
            <w:gridSpan w:val="2"/>
            <w:vMerge w:val="continue"/>
          </w:tcPr>
          <w:p>
            <w:pPr>
              <w:spacing w:after="0"/>
              <w:rPr>
                <w:sz w:val="12"/>
                <w:szCs w:val="12"/>
                <w:color w:val="auto"/>
              </w:rPr>
            </w:pPr>
          </w:p>
        </w:tc>
        <w:tc>
          <w:tcPr>
            <w:tcW w:w="130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2"/>
                <w:szCs w:val="12"/>
                <w:color w:val="auto"/>
              </w:rPr>
            </w:pPr>
          </w:p>
        </w:tc>
        <w:tc>
          <w:tcPr>
            <w:tcW w:w="8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120" w:type="dxa"/>
            <w:vAlign w:val="bottom"/>
          </w:tcPr>
          <w:p>
            <w:pPr>
              <w:spacing w:after="0"/>
              <w:rPr>
                <w:sz w:val="12"/>
                <w:szCs w:val="12"/>
                <w:color w:val="auto"/>
              </w:rPr>
            </w:pPr>
          </w:p>
        </w:tc>
        <w:tc>
          <w:tcPr>
            <w:tcW w:w="7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Sitio</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73"/>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Down</w:t>
            </w:r>
          </w:p>
        </w:tc>
        <w:tc>
          <w:tcPr>
            <w:tcW w:w="120" w:type="dxa"/>
            <w:vAlign w:val="bottom"/>
          </w:tcPr>
          <w:p>
            <w:pPr>
              <w:spacing w:after="0"/>
              <w:rPr>
                <w:sz w:val="15"/>
                <w:szCs w:val="15"/>
                <w:color w:val="auto"/>
              </w:rPr>
            </w:pPr>
          </w:p>
        </w:tc>
        <w:tc>
          <w:tcPr>
            <w:tcW w:w="118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120" w:type="dxa"/>
            <w:vAlign w:val="bottom"/>
          </w:tcPr>
          <w:p>
            <w:pPr>
              <w:spacing w:after="0"/>
              <w:rPr>
                <w:sz w:val="15"/>
                <w:szCs w:val="15"/>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40" w:type="dxa"/>
            <w:vAlign w:val="bottom"/>
            <w:tcBorders>
              <w:top w:val="single" w:sz="8" w:color="auto"/>
            </w:tcBorders>
            <w:gridSpan w:val="11"/>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amounts, shares in thousands)</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Royalty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919</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4"/>
              </w:rPr>
              <w:t>$461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bonus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i w:val="1"/>
                <w:iCs w:val="1"/>
                <w:color w:val="auto"/>
              </w:rPr>
              <w:t>(a)</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bonus and other income</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i w:val="1"/>
                <w:iCs w:val="1"/>
                <w:color w:val="auto"/>
              </w:rPr>
              <w:t>(a)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i w:val="1"/>
                <w:iCs w:val="1"/>
                <w:color w:val="auto"/>
              </w:rPr>
              <w:t>(a)</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2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income</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6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461</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6"/>
              </w:rPr>
              <w:t>— </w:t>
            </w:r>
          </w:p>
        </w:tc>
        <w:tc>
          <w:tcPr>
            <w:tcW w:w="5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Production and ad valorem</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0"/>
                <w:szCs w:val="20"/>
                <w:color w:val="auto"/>
              </w:rPr>
            </w:pPr>
          </w:p>
        </w:tc>
        <w:tc>
          <w:tcPr>
            <w:tcW w:w="1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Depletion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239</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i w:val="1"/>
                <w:iCs w:val="1"/>
                <w:color w:val="auto"/>
              </w:rPr>
              <w:t>(r)</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320  </w:t>
            </w:r>
            <w:r>
              <w:rPr>
                <w:rFonts w:ascii="Times New Roman" w:cs="Times New Roman" w:eastAsia="Times New Roman" w:hAnsi="Times New Roman"/>
                <w:sz w:val="18"/>
                <w:szCs w:val="18"/>
                <w:i w:val="1"/>
                <w:iCs w:val="1"/>
                <w:color w:val="auto"/>
              </w:rPr>
              <w:t>(a)</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9"/>
              </w:rPr>
              <w:t xml:space="preserve">(74) </w:t>
            </w:r>
            <w:r>
              <w:rPr>
                <w:rFonts w:ascii="Times New Roman" w:cs="Times New Roman" w:eastAsia="Times New Roman" w:hAnsi="Times New Roman"/>
                <w:sz w:val="18"/>
                <w:szCs w:val="18"/>
                <w:i w:val="1"/>
                <w:iCs w:val="1"/>
                <w:color w:val="auto"/>
                <w:w w:val="99"/>
              </w:rPr>
              <w:t>(w)</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198"/>
        </w:trPr>
        <w:tc>
          <w:tcPr>
            <w:tcW w:w="28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Depletion, depreciation and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i w:val="1"/>
                <w:iCs w:val="1"/>
                <w:color w:val="auto"/>
              </w:rPr>
              <w:t>(a)</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28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expenses— related party</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8"/>
        </w:trPr>
        <w:tc>
          <w:tcPr>
            <w:tcW w:w="28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20"/>
                <w:szCs w:val="20"/>
                <w:color w:val="auto"/>
              </w:rPr>
            </w:pPr>
          </w:p>
        </w:tc>
        <w:tc>
          <w:tcPr>
            <w:tcW w:w="1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expenses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211"/>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i w:val="1"/>
                <w:iCs w:val="1"/>
                <w:color w:val="auto"/>
              </w:rPr>
              <w:t>(h)</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2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6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6"/>
              </w:rPr>
              <w:t>231</w:t>
            </w:r>
          </w:p>
        </w:tc>
        <w:tc>
          <w:tcPr>
            <w:tcW w:w="5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608</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7"/>
              </w:rPr>
              <w:t xml:space="preserve">(16) </w:t>
            </w:r>
            <w:r>
              <w:rPr>
                <w:rFonts w:ascii="Times New Roman" w:cs="Times New Roman" w:eastAsia="Times New Roman" w:hAnsi="Times New Roman"/>
                <w:sz w:val="18"/>
                <w:szCs w:val="18"/>
                <w:i w:val="1"/>
                <w:iCs w:val="1"/>
                <w:color w:val="auto"/>
                <w:w w:val="97"/>
              </w:rPr>
              <w: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i w:val="1"/>
                <w:iCs w:val="1"/>
                <w:color w:val="auto"/>
              </w:rPr>
              <w:t> (x)</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198"/>
        </w:trPr>
        <w:tc>
          <w:tcPr>
            <w:tcW w:w="28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Gain (loss) on extinguishment</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vMerge w:val="restart"/>
          </w:tcPr>
          <w:p>
            <w:pPr>
              <w:jc w:val="center"/>
              <w:ind w:left="131"/>
              <w:spacing w:after="0"/>
              <w:rPr>
                <w:sz w:val="20"/>
                <w:szCs w:val="20"/>
                <w:color w:val="auto"/>
              </w:rPr>
            </w:pPr>
            <w:r>
              <w:rPr>
                <w:rFonts w:ascii="Times New Roman" w:cs="Times New Roman" w:eastAsia="Times New Roman" w:hAnsi="Times New Roman"/>
                <w:sz w:val="18"/>
                <w:szCs w:val="18"/>
                <w:color w:val="auto"/>
                <w:w w:val="99"/>
              </w:rPr>
              <w:t xml:space="preserve">(32) </w:t>
            </w:r>
            <w:r>
              <w:rPr>
                <w:rFonts w:ascii="Times New Roman" w:cs="Times New Roman" w:eastAsia="Times New Roman" w:hAnsi="Times New Roman"/>
                <w:sz w:val="18"/>
                <w:szCs w:val="18"/>
                <w:i w:val="1"/>
                <w:iCs w:val="1"/>
                <w:color w:val="auto"/>
                <w:w w:val="99"/>
              </w:rPr>
              <w:t>(y)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 debt</w:t>
            </w: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1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8"/>
        </w:trPr>
        <w:tc>
          <w:tcPr>
            <w:tcW w:w="28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Gain (loss) on derivative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instruments, net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5"/>
        </w:trPr>
        <w:tc>
          <w:tcPr>
            <w:tcW w:w="2860" w:type="dxa"/>
            <w:vAlign w:val="bottom"/>
          </w:tcPr>
          <w:p>
            <w:pPr>
              <w:ind w:left="720"/>
              <w:spacing w:after="0" w:line="205" w:lineRule="exact"/>
              <w:rPr>
                <w:sz w:val="20"/>
                <w:szCs w:val="20"/>
                <w:color w:val="auto"/>
              </w:rPr>
            </w:pPr>
            <w:r>
              <w:rPr>
                <w:rFonts w:ascii="Times New Roman" w:cs="Times New Roman" w:eastAsia="Times New Roman" w:hAnsi="Times New Roman"/>
                <w:sz w:val="18"/>
                <w:szCs w:val="18"/>
                <w:color w:val="auto"/>
              </w:rPr>
              <w:t>Total other income</w:t>
            </w: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(expense), net</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20"/>
                <w:szCs w:val="20"/>
                <w:color w:val="auto"/>
              </w:rPr>
            </w:pPr>
          </w:p>
        </w:tc>
        <w:tc>
          <w:tcPr>
            <w:tcW w:w="1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530</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198"/>
        </w:trPr>
        <w:tc>
          <w:tcPr>
            <w:tcW w:w="28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Provision for (benefit from)</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i w:val="1"/>
                <w:iCs w:val="1"/>
                <w:color w:val="auto"/>
              </w:rPr>
              <w:t>(t)</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vMerge w:val="restart"/>
          </w:tcPr>
          <w:p>
            <w:pPr>
              <w:jc w:val="center"/>
              <w:ind w:left="191"/>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i w:val="1"/>
                <w:iCs w:val="1"/>
                <w:color w:val="auto"/>
              </w:rPr>
              <w:t>(z)</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0"/>
                <w:szCs w:val="20"/>
                <w:color w:val="auto"/>
              </w:rPr>
            </w:pPr>
          </w:p>
        </w:tc>
        <w:tc>
          <w:tcPr>
            <w:tcW w:w="1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627</w:t>
            </w:r>
          </w:p>
        </w:tc>
        <w:tc>
          <w:tcPr>
            <w:tcW w:w="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198"/>
        </w:trPr>
        <w:tc>
          <w:tcPr>
            <w:tcW w:w="28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income (loss) attributable</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restart"/>
          </w:tcPr>
          <w:p>
            <w:pPr>
              <w:jc w:val="center"/>
              <w:ind w:left="111"/>
              <w:spacing w:after="0"/>
              <w:rPr>
                <w:sz w:val="20"/>
                <w:szCs w:val="20"/>
                <w:color w:val="auto"/>
              </w:rPr>
            </w:pPr>
            <w:r>
              <w:rPr>
                <w:rFonts w:ascii="Times New Roman" w:cs="Times New Roman" w:eastAsia="Times New Roman" w:hAnsi="Times New Roman"/>
                <w:sz w:val="18"/>
                <w:szCs w:val="18"/>
                <w:color w:val="auto"/>
              </w:rPr>
              <w:t>141</w:t>
            </w:r>
            <w:r>
              <w:rPr>
                <w:rFonts w:ascii="Times New Roman" w:cs="Times New Roman" w:eastAsia="Times New Roman" w:hAnsi="Times New Roman"/>
                <w:sz w:val="18"/>
                <w:szCs w:val="18"/>
                <w:i w:val="1"/>
                <w:iCs w:val="1"/>
                <w:color w:val="auto"/>
              </w:rPr>
              <w:t>  (u)</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i w:val="1"/>
                <w:iCs w:val="1"/>
                <w:color w:val="auto"/>
              </w:rPr>
              <w:t>  (aa)</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 non-controlling interest</w:t>
            </w: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257</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20"/>
                <w:szCs w:val="20"/>
                <w:color w:val="auto"/>
              </w:rPr>
            </w:pPr>
          </w:p>
        </w:tc>
        <w:tc>
          <w:tcPr>
            <w:tcW w:w="1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194"/>
        </w:trPr>
        <w:tc>
          <w:tcPr>
            <w:tcW w:w="28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 attributable to</w:t>
            </w: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Viper Energy, Inc.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370</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429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2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3.62</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194"/>
        </w:trPr>
        <w:tc>
          <w:tcPr>
            <w:tcW w:w="28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shares outstanding:</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5"/>
              </w:rPr>
              <w:t>101,976</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28,336  </w:t>
            </w:r>
            <w:r>
              <w:rPr>
                <w:rFonts w:ascii="Times New Roman" w:cs="Times New Roman" w:eastAsia="Times New Roman" w:hAnsi="Times New Roman"/>
                <w:sz w:val="18"/>
                <w:szCs w:val="18"/>
                <w:i w:val="1"/>
                <w:iCs w:val="1"/>
                <w:color w:val="auto"/>
              </w:rPr>
              <w:t>(v)</w:t>
            </w: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130,312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38,536  </w:t>
            </w:r>
            <w:r>
              <w:rPr>
                <w:rFonts w:ascii="Times New Roman" w:cs="Times New Roman" w:eastAsia="Times New Roman" w:hAnsi="Times New Roman"/>
                <w:sz w:val="18"/>
                <w:szCs w:val="18"/>
                <w:i w:val="1"/>
                <w:iCs w:val="1"/>
                <w:color w:val="auto"/>
              </w:rPr>
              <w:t>(bb)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168,848</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101,976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28,336  </w:t>
            </w:r>
            <w:r>
              <w:rPr>
                <w:rFonts w:ascii="Times New Roman" w:cs="Times New Roman" w:eastAsia="Times New Roman" w:hAnsi="Times New Roman"/>
                <w:sz w:val="18"/>
                <w:szCs w:val="18"/>
                <w:i w:val="1"/>
                <w:iCs w:val="1"/>
                <w:color w:val="auto"/>
              </w:rPr>
              <w:t>(v)</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130,312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38,536  </w:t>
            </w:r>
            <w:r>
              <w:rPr>
                <w:rFonts w:ascii="Times New Roman" w:cs="Times New Roman" w:eastAsia="Times New Roman" w:hAnsi="Times New Roman"/>
                <w:sz w:val="18"/>
                <w:szCs w:val="18"/>
                <w:i w:val="1"/>
                <w:iCs w:val="1"/>
                <w:color w:val="auto"/>
              </w:rPr>
              <w:t>(bb)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168,848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540" w:hanging="424"/>
        <w:spacing w:after="0" w:line="282"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Viper’s historical income statement for the year ended December 31, 2024 in this table includes the effects of pro forma adjustments for the Tumbleweed Acquisitions from the pro forma condensed combined statement of operations above.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66" w:right="439" w:bottom="1440" w:gutter="0" w:footer="0" w:header="0"/>
        </w:sectPr>
      </w:pPr>
    </w:p>
    <w:bookmarkStart w:id="29" w:name="page30"/>
    <w:bookmarkEnd w:id="2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Viper Energy,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 Continued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9"/>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5"/>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14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9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Viper Pro</w:t>
            </w: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Viper Pro</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Drop</w:t>
            </w:r>
          </w:p>
        </w:tc>
        <w:tc>
          <w:tcPr>
            <w:tcW w:w="114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Reclass</w:t>
            </w:r>
          </w:p>
        </w:tc>
        <w:tc>
          <w:tcPr>
            <w:tcW w:w="1200" w:type="dxa"/>
            <w:vAlign w:val="bottom"/>
            <w:gridSpan w:val="3"/>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1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Viper</w:t>
            </w: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140" w:type="dxa"/>
            <w:vAlign w:val="bottom"/>
          </w:tcPr>
          <w:p>
            <w:pPr>
              <w:spacing w:after="0"/>
              <w:rPr>
                <w:sz w:val="12"/>
                <w:szCs w:val="12"/>
                <w:color w:val="auto"/>
              </w:rPr>
            </w:pPr>
          </w:p>
        </w:tc>
        <w:tc>
          <w:tcPr>
            <w:tcW w:w="6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Sitio</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73"/>
        </w:trPr>
        <w:tc>
          <w:tcPr>
            <w:tcW w:w="2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Down</w:t>
            </w:r>
          </w:p>
        </w:tc>
        <w:tc>
          <w:tcPr>
            <w:tcW w:w="12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100" w:type="dxa"/>
            <w:vAlign w:val="bottom"/>
          </w:tcPr>
          <w:p>
            <w:pPr>
              <w:spacing w:after="0"/>
              <w:rPr>
                <w:sz w:val="15"/>
                <w:szCs w:val="15"/>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120" w:type="dxa"/>
            <w:vAlign w:val="bottom"/>
          </w:tcPr>
          <w:p>
            <w:pPr>
              <w:spacing w:after="0"/>
              <w:rPr>
                <w:sz w:val="15"/>
                <w:szCs w:val="15"/>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40" w:type="dxa"/>
            <w:vAlign w:val="bottom"/>
            <w:tcBorders>
              <w:top w:val="single" w:sz="8" w:color="auto"/>
            </w:tcBorders>
            <w:gridSpan w:val="13"/>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amounts, shares in thousands)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Royalty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531</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bonus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i w:val="1"/>
                <w:iCs w:val="1"/>
                <w:color w:val="auto"/>
              </w:rPr>
              <w:t>(a)</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bonus and other income</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i w:val="1"/>
                <w:iCs w:val="1"/>
                <w:color w:val="auto"/>
              </w:rPr>
              <w:t>(a)</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i w:val="1"/>
                <w:iCs w:val="1"/>
                <w:color w:val="auto"/>
              </w:rPr>
              <w:t>(a)</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income</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151</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Depletion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72</w:t>
            </w:r>
            <w:r>
              <w:rPr>
                <w:rFonts w:ascii="Times New Roman" w:cs="Times New Roman" w:eastAsia="Times New Roman" w:hAnsi="Times New Roman"/>
                <w:sz w:val="18"/>
                <w:szCs w:val="18"/>
                <w:i w:val="1"/>
                <w:iCs w:val="1"/>
                <w:color w:val="auto"/>
              </w:rPr>
              <w:t>(r)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153</w:t>
            </w:r>
            <w:r>
              <w:rPr>
                <w:rFonts w:ascii="Times New Roman" w:cs="Times New Roman" w:eastAsia="Times New Roman" w:hAnsi="Times New Roman"/>
                <w:sz w:val="18"/>
                <w:szCs w:val="18"/>
                <w:i w:val="1"/>
                <w:iCs w:val="1"/>
                <w:color w:val="auto"/>
              </w:rPr>
              <w:t>(a)</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r>
              <w:rPr>
                <w:rFonts w:ascii="Times New Roman" w:cs="Times New Roman" w:eastAsia="Times New Roman" w:hAnsi="Times New Roman"/>
                <w:sz w:val="18"/>
                <w:szCs w:val="18"/>
                <w:i w:val="1"/>
                <w:iCs w:val="1"/>
                <w:color w:val="auto"/>
              </w:rPr>
              <w:t>(w)</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198"/>
        </w:trPr>
        <w:tc>
          <w:tcPr>
            <w:tcW w:w="29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Depletion, depreciation and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(153)</w:t>
            </w:r>
            <w:r>
              <w:rPr>
                <w:rFonts w:ascii="Times New Roman" w:cs="Times New Roman" w:eastAsia="Times New Roman" w:hAnsi="Times New Roman"/>
                <w:sz w:val="18"/>
                <w:szCs w:val="18"/>
                <w:i w:val="1"/>
                <w:iCs w:val="1"/>
                <w:color w:val="auto"/>
              </w:rPr>
              <w:t>(a)</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29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expenses— related party</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8"/>
        </w:trPr>
        <w:tc>
          <w:tcPr>
            <w:tcW w:w="29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expenses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88"/>
              </w:rPr>
              <w:t>72</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w:t>
            </w:r>
          </w:p>
        </w:tc>
        <w:tc>
          <w:tcPr>
            <w:tcW w:w="7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9"/>
              </w:rPr>
              <w:t>(5)</w:t>
            </w:r>
            <w:r>
              <w:rPr>
                <w:rFonts w:ascii="Times New Roman" w:cs="Times New Roman" w:eastAsia="Times New Roman" w:hAnsi="Times New Roman"/>
                <w:sz w:val="18"/>
                <w:szCs w:val="18"/>
                <w:i w:val="1"/>
                <w:iCs w:val="1"/>
                <w:color w:val="auto"/>
                <w:w w:val="99"/>
              </w:rPr>
              <w: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i w:val="1"/>
                <w:iCs w:val="1"/>
                <w:color w:val="auto"/>
              </w:rPr>
              <w:t>(x)</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8"/>
        </w:trPr>
        <w:tc>
          <w:tcPr>
            <w:tcW w:w="29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Gain (loss) on derivative</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instruments, net</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296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Total other income</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(expense), net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141</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Provision for (benefit from)</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center"/>
              <w:ind w:left="311"/>
              <w:spacing w:after="0"/>
              <w:rPr>
                <w:sz w:val="20"/>
                <w:szCs w:val="20"/>
                <w:color w:val="auto"/>
              </w:rPr>
            </w:pPr>
            <w:r>
              <w:rPr>
                <w:rFonts w:ascii="Times New Roman" w:cs="Times New Roman" w:eastAsia="Times New Roman" w:hAnsi="Times New Roman"/>
                <w:sz w:val="18"/>
                <w:szCs w:val="18"/>
                <w:color w:val="auto"/>
                <w:w w:val="99"/>
              </w:rPr>
              <w:t>9</w:t>
            </w:r>
            <w:r>
              <w:rPr>
                <w:rFonts w:ascii="Times New Roman" w:cs="Times New Roman" w:eastAsia="Times New Roman" w:hAnsi="Times New Roman"/>
                <w:sz w:val="18"/>
                <w:szCs w:val="18"/>
                <w:i w:val="1"/>
                <w:iCs w:val="1"/>
                <w:color w:val="auto"/>
                <w:w w:val="99"/>
              </w:rPr>
              <w:t>(t)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(z)</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141</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18"/>
                <w:szCs w:val="18"/>
                <w:i w:val="1"/>
                <w:iCs w:val="1"/>
                <w:color w:val="auto"/>
              </w:rPr>
              <w:t>(u)</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r>
              <w:rPr>
                <w:rFonts w:ascii="Times New Roman" w:cs="Times New Roman" w:eastAsia="Times New Roman" w:hAnsi="Times New Roman"/>
                <w:sz w:val="18"/>
                <w:szCs w:val="18"/>
                <w:i w:val="1"/>
                <w:iCs w:val="1"/>
                <w:color w:val="auto"/>
              </w:rPr>
              <w:t>(aa)</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1"/>
        </w:trPr>
        <w:tc>
          <w:tcPr>
            <w:tcW w:w="296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income (loss) attributable to</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Viper Energy, Inc.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96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income (loss) attributable to</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194"/>
        </w:trPr>
        <w:tc>
          <w:tcPr>
            <w:tcW w:w="29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shares outstanding:</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126,045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5,166</w:t>
            </w:r>
            <w:r>
              <w:rPr>
                <w:rFonts w:ascii="Times New Roman" w:cs="Times New Roman" w:eastAsia="Times New Roman" w:hAnsi="Times New Roman"/>
                <w:sz w:val="18"/>
                <w:szCs w:val="18"/>
                <w:i w:val="1"/>
                <w:iCs w:val="1"/>
                <w:color w:val="auto"/>
              </w:rPr>
              <w:t>(v)</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131,211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38,536</w:t>
            </w:r>
            <w:r>
              <w:rPr>
                <w:rFonts w:ascii="Times New Roman" w:cs="Times New Roman" w:eastAsia="Times New Roman" w:hAnsi="Times New Roman"/>
                <w:sz w:val="18"/>
                <w:szCs w:val="18"/>
                <w:i w:val="1"/>
                <w:iCs w:val="1"/>
                <w:color w:val="auto"/>
              </w:rPr>
              <w:t>(bb)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169,747</w:t>
            </w:r>
          </w:p>
        </w:tc>
        <w:tc>
          <w:tcPr>
            <w:tcW w:w="0" w:type="dxa"/>
            <w:vAlign w:val="bottom"/>
          </w:tcPr>
          <w:p>
            <w:pPr>
              <w:spacing w:after="0"/>
              <w:rPr>
                <w:sz w:val="1"/>
                <w:szCs w:val="1"/>
                <w:color w:val="auto"/>
              </w:rPr>
            </w:pPr>
          </w:p>
        </w:tc>
      </w:tr>
      <w:tr>
        <w:trPr>
          <w:trHeight w:val="236"/>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126,160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5,166</w:t>
            </w:r>
            <w:r>
              <w:rPr>
                <w:rFonts w:ascii="Times New Roman" w:cs="Times New Roman" w:eastAsia="Times New Roman" w:hAnsi="Times New Roman"/>
                <w:sz w:val="18"/>
                <w:szCs w:val="18"/>
                <w:i w:val="1"/>
                <w:iCs w:val="1"/>
                <w:color w:val="auto"/>
              </w:rPr>
              <w:t>(v)</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131,326</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38,536</w:t>
            </w:r>
            <w:r>
              <w:rPr>
                <w:rFonts w:ascii="Times New Roman" w:cs="Times New Roman" w:eastAsia="Times New Roman" w:hAnsi="Times New Roman"/>
                <w:sz w:val="18"/>
                <w:szCs w:val="18"/>
                <w:i w:val="1"/>
                <w:iCs w:val="1"/>
                <w:color w:val="auto"/>
              </w:rPr>
              <w:t>(bb)</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169,862</w:t>
            </w:r>
          </w:p>
        </w:tc>
        <w:tc>
          <w:tcPr>
            <w:tcW w:w="0" w:type="dxa"/>
            <w:vAlign w:val="bottom"/>
          </w:tcPr>
          <w:p>
            <w:pPr>
              <w:spacing w:after="0"/>
              <w:rPr>
                <w:sz w:val="1"/>
                <w:szCs w:val="1"/>
                <w:color w:val="auto"/>
              </w:rPr>
            </w:pPr>
          </w:p>
        </w:tc>
      </w:tr>
      <w:tr>
        <w:trPr>
          <w:trHeight w:val="344"/>
        </w:trPr>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0" w:name="page31"/>
    <w:bookmarkEnd w:id="30"/>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UNAUDITED PRO FORMA CONDENSED COMBINED FINANCIAL STATEMENTS</w:t>
      </w:r>
    </w:p>
    <w:p>
      <w:pPr>
        <w:spacing w:after="0" w:line="252"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w:t>
      </w:r>
    </w:p>
    <w:p>
      <w:pPr>
        <w:spacing w:after="0" w:line="229"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The accompanying pro forma financial statements were prepared based on the historical consolidated financial statements of Viper, Sitio, TWR, Tumbleweed Q, Tumbleweed M (together with TWR and Tumbleweed Q, the “Tumbleweed Entities”), and the historical statements of revenues and direct operating expenses of the Endeavor Mineral and Royalty Interests. Pro forma adjustments have been made to reflect certain transaction accounting adjustments, as discussed further in Notes 2 and 3.</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pro forma balance sheet gives effect to the Sitio Transaction as if it had been completed on June 30, 2025.</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pro forma statements of operations for the year ended December 31, 2024 and the six months ended June 30, 2025 give pro forma effect to</w:t>
      </w:r>
    </w:p>
    <w:p>
      <w:pPr>
        <w:spacing w:after="0" w:line="27" w:lineRule="exact"/>
        <w:rPr>
          <w:sz w:val="20"/>
          <w:szCs w:val="20"/>
          <w:color w:val="auto"/>
        </w:rPr>
      </w:pPr>
    </w:p>
    <w:p>
      <w:pPr>
        <w:jc w:val="both"/>
        <w:ind w:left="4" w:hanging="4"/>
        <w:spacing w:after="0" w:line="255" w:lineRule="auto"/>
        <w:tabs>
          <w:tab w:leader="none" w:pos="2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Q&amp;M Acquisitions through the Q&amp;M Closing Date, (ii) the TWR Acquisition through the TWR Closing Date, (iii) the 2025 Drop Down through the 2025 Drop Down Closing Date, (iv) the 2025 Equity Offering, (v) the Sitio Transaction, and (vi) the issuance of the New Notes and 2025 Term Loan Credit Agreement as if each such transaction had occurred on January 1, 2024, the beginning of the earliest period presented.</w:t>
      </w:r>
    </w:p>
    <w:p>
      <w:pPr>
        <w:spacing w:after="0" w:line="186" w:lineRule="exact"/>
        <w:rPr>
          <w:sz w:val="20"/>
          <w:szCs w:val="20"/>
          <w:color w:val="auto"/>
        </w:rPr>
      </w:pPr>
    </w:p>
    <w:p>
      <w:pPr>
        <w:ind w:left="4" w:right="320" w:firstLine="440"/>
        <w:spacing w:after="0" w:line="289" w:lineRule="auto"/>
        <w:rPr>
          <w:sz w:val="20"/>
          <w:szCs w:val="20"/>
          <w:color w:val="auto"/>
        </w:rPr>
      </w:pPr>
      <w:r>
        <w:rPr>
          <w:rFonts w:ascii="Times New Roman" w:cs="Times New Roman" w:eastAsia="Times New Roman" w:hAnsi="Times New Roman"/>
          <w:sz w:val="17"/>
          <w:szCs w:val="17"/>
          <w:color w:val="auto"/>
        </w:rPr>
        <w:t>The Tumbleweed Acquisitions and the Sitio Transaction are accounted for as acquisitions of assets under ASC 805. Viper or New Viper, as applicable, therefore recognized the assets acquired and liabilities assumed in the Tumbleweed Acquisitions and the Sitio Transaction based on their costs to Viper or New Viper, as applicable, which includes the total consideration paid as well as capitalization of all transaction costs incurred.</w:t>
      </w:r>
    </w:p>
    <w:p>
      <w:pPr>
        <w:spacing w:after="0" w:line="158" w:lineRule="exact"/>
        <w:rPr>
          <w:sz w:val="20"/>
          <w:szCs w:val="20"/>
          <w:color w:val="auto"/>
        </w:rPr>
      </w:pPr>
    </w:p>
    <w:p>
      <w:pPr>
        <w:jc w:val="both"/>
        <w:ind w:left="4" w:right="500" w:firstLine="440"/>
        <w:spacing w:after="0" w:line="266" w:lineRule="auto"/>
        <w:rPr>
          <w:sz w:val="20"/>
          <w:szCs w:val="20"/>
          <w:color w:val="auto"/>
        </w:rPr>
      </w:pPr>
      <w:r>
        <w:rPr>
          <w:rFonts w:ascii="Times New Roman" w:cs="Times New Roman" w:eastAsia="Times New Roman" w:hAnsi="Times New Roman"/>
          <w:sz w:val="18"/>
          <w:szCs w:val="18"/>
          <w:color w:val="auto"/>
        </w:rPr>
        <w:t>The 2025 Drop Down is accounted for as a transaction between entities under common control with the acquired properties recorded at the Endeavor Seller’s historical carrying value in the pro forma consolidated balance sheet. All transaction costs related to the 2025 Drop Down were expensed as incurred.</w:t>
      </w:r>
    </w:p>
    <w:p>
      <w:pPr>
        <w:spacing w:after="0" w:line="176"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material adjustments have been made that are necessary to present fairly, in accordance with Article 11 of Regulation S-X, the pro forma financial statements. The pro forma financial statements are provided for illustrative purposes only and do not purport to be indicative of what Viper’s actual results of operations and financial position would have been on a consolidated basis if the Tumbleweed Acquisitions, the 2025 Drop Down, the 2025 Equity Offering, the Sitio Transaction, the issuance of the New Notes and the 2025 Term Loan Credit Agreement had occurred on the dates indicated, nor are they indicative of the future results of operations or financial position.</w:t>
      </w:r>
    </w:p>
    <w:p>
      <w:pPr>
        <w:spacing w:after="0" w:line="183" w:lineRule="exact"/>
        <w:rPr>
          <w:sz w:val="20"/>
          <w:szCs w:val="20"/>
          <w:color w:val="auto"/>
        </w:rPr>
      </w:pPr>
    </w:p>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The pro forma basic and diluted earnings per share amounts presented in the unaudited pro forma statements of operations are based on the weighted average number of shares of Viper Class A Common Stock outstanding, assuming the Tumbleweed Acquisitions and related equity offering, the 2025 Drop Down, the 2025 Equity Offering, and the Sitio Transaction occurred at the beginning of the earliest period presented.</w:t>
      </w:r>
    </w:p>
    <w:p>
      <w:pPr>
        <w:spacing w:after="0" w:line="199" w:lineRule="exact"/>
        <w:rPr>
          <w:sz w:val="20"/>
          <w:szCs w:val="20"/>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AND PURCHASE PRICE ALLOCATION</w:t>
      </w:r>
    </w:p>
    <w:p>
      <w:pPr>
        <w:spacing w:after="0" w:line="229"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Viper has performed a preliminary analysis of the total consideration paid for the assets and liabilities acquired in the Sitio Transaction, including all estimated associated transaction costs, and has allocated the total consideration to the assets acquired and liabilities assumed. Due to the fact that the pro forma financial statements have been prepared based on these preliminary estimates, the final purchase price allocation and the resulting effect on Viper’s financial position and results of operations may differ significantly from the pro forma amounts included herein.</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66" w:right="479" w:bottom="1440" w:gutter="0" w:footer="0" w:header="0"/>
        </w:sectPr>
      </w:pPr>
    </w:p>
    <w:bookmarkStart w:id="31" w:name="page32"/>
    <w:bookmarkEnd w:id="31"/>
    <w:p>
      <w:pPr>
        <w:ind w:left="4" w:right="5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table summarizes the preliminary purchase price for the Sitio Transaction as of June 30, 2025, and the allocation of the total consideration to the assets acquired and liabilities assumed (in millions except shares, Viper OpCo Units and per share and per unit amounts, respectively):</w:t>
      </w:r>
    </w:p>
    <w:p>
      <w:pPr>
        <w:sectPr>
          <w:pgSz w:w="11900" w:h="16838" w:orient="portrait"/>
          <w:cols w:equalWidth="0" w:num="1">
            <w:col w:w="11004"/>
          </w:cols>
          <w:pgMar w:left="436" w:top="270" w:right="459" w:bottom="1440" w:gutter="0" w:footer="0" w:header="0"/>
        </w:sectPr>
      </w:pPr>
    </w:p>
    <w:p>
      <w:pPr>
        <w:spacing w:after="0" w:line="196"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4"/>
          <w:szCs w:val="14"/>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7620</wp:posOffset>
            </wp:positionV>
            <wp:extent cx="4749165"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ind w:left="1944" w:right="1177" w:hanging="179"/>
        <w:spacing w:after="0" w:line="204" w:lineRule="auto"/>
        <w:rPr>
          <w:sz w:val="20"/>
          <w:szCs w:val="20"/>
          <w:color w:val="auto"/>
        </w:rPr>
      </w:pPr>
      <w:r>
        <w:rPr>
          <w:rFonts w:ascii="Times New Roman" w:cs="Times New Roman" w:eastAsia="Times New Roman" w:hAnsi="Times New Roman"/>
          <w:sz w:val="18"/>
          <w:szCs w:val="18"/>
          <w:color w:val="auto"/>
        </w:rPr>
        <w:t>Shares of New Viper Class A Common Stock issued as merger consideration</w:t>
      </w:r>
      <w:r>
        <w:rPr>
          <w:rFonts w:ascii="Times New Roman" w:cs="Times New Roman" w:eastAsia="Times New Roman" w:hAnsi="Times New Roman"/>
          <w:sz w:val="26"/>
          <w:szCs w:val="26"/>
          <w:color w:val="auto"/>
          <w:vertAlign w:val="superscript"/>
        </w:rPr>
        <w:t>(1)</w:t>
      </w:r>
    </w:p>
    <w:p>
      <w:pPr>
        <w:spacing w:after="0" w:line="2" w:lineRule="exact"/>
        <w:rPr>
          <w:sz w:val="20"/>
          <w:szCs w:val="20"/>
          <w:color w:val="auto"/>
        </w:rPr>
      </w:pPr>
    </w:p>
    <w:p>
      <w:pPr>
        <w:ind w:left="1944" w:right="257" w:hanging="179"/>
        <w:spacing w:after="0" w:line="217" w:lineRule="auto"/>
        <w:rPr>
          <w:sz w:val="20"/>
          <w:szCs w:val="20"/>
          <w:color w:val="auto"/>
        </w:rPr>
      </w:pPr>
      <w:r>
        <w:rPr>
          <w:rFonts w:ascii="Times New Roman" w:cs="Times New Roman" w:eastAsia="Times New Roman" w:hAnsi="Times New Roman"/>
          <w:sz w:val="18"/>
          <w:szCs w:val="18"/>
          <w:color w:val="auto"/>
        </w:rPr>
        <w:t>Shares of New Viper Class B Common Stock and Viper OpCo Units issued as merger consideration</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0</wp:posOffset>
            </wp:positionV>
            <wp:extent cx="4749165"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ind w:left="2304" w:right="117" w:hanging="179"/>
        <w:spacing w:after="0" w:line="249" w:lineRule="auto"/>
        <w:rPr>
          <w:sz w:val="20"/>
          <w:szCs w:val="20"/>
          <w:color w:val="auto"/>
        </w:rPr>
      </w:pPr>
      <w:r>
        <w:rPr>
          <w:rFonts w:ascii="Times New Roman" w:cs="Times New Roman" w:eastAsia="Times New Roman" w:hAnsi="Times New Roman"/>
          <w:sz w:val="18"/>
          <w:szCs w:val="18"/>
          <w:color w:val="auto"/>
        </w:rPr>
        <w:t>Total shares of New Viper Common Stock and Viper OpCo Units issued as merger consideration</w:t>
      </w:r>
    </w:p>
    <w:p>
      <w:pPr>
        <w:ind w:left="1764"/>
        <w:spacing w:after="0" w:line="197" w:lineRule="auto"/>
        <w:rPr>
          <w:sz w:val="20"/>
          <w:szCs w:val="20"/>
          <w:color w:val="auto"/>
        </w:rPr>
      </w:pPr>
      <w:r>
        <w:rPr>
          <w:rFonts w:ascii="Times New Roman" w:cs="Times New Roman" w:eastAsia="Times New Roman" w:hAnsi="Times New Roman"/>
          <w:sz w:val="18"/>
          <w:szCs w:val="18"/>
          <w:color w:val="auto"/>
        </w:rPr>
        <w:t>Closing price per share of Viper Class A Common Stock</w:t>
      </w:r>
      <w:r>
        <w:rPr>
          <w:rFonts w:ascii="Times New Roman" w:cs="Times New Roman" w:eastAsia="Times New Roman" w:hAnsi="Times New Roman"/>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-635</wp:posOffset>
            </wp:positionV>
            <wp:extent cx="474916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764"/>
        <w:spacing w:after="0"/>
        <w:rPr>
          <w:sz w:val="20"/>
          <w:szCs w:val="20"/>
          <w:color w:val="auto"/>
        </w:rPr>
      </w:pPr>
      <w:r>
        <w:rPr>
          <w:rFonts w:ascii="Times New Roman" w:cs="Times New Roman" w:eastAsia="Times New Roman" w:hAnsi="Times New Roman"/>
          <w:sz w:val="18"/>
          <w:szCs w:val="18"/>
          <w:color w:val="auto"/>
        </w:rPr>
        <w:t>Fair value of New Viper Common Stock issued</w:t>
      </w:r>
    </w:p>
    <w:p>
      <w:pPr>
        <w:ind w:left="1764"/>
        <w:spacing w:after="0" w:line="180" w:lineRule="auto"/>
        <w:rPr>
          <w:sz w:val="20"/>
          <w:szCs w:val="20"/>
          <w:color w:val="auto"/>
        </w:rPr>
      </w:pPr>
      <w:r>
        <w:rPr>
          <w:rFonts w:ascii="Times New Roman" w:cs="Times New Roman" w:eastAsia="Times New Roman" w:hAnsi="Times New Roman"/>
          <w:sz w:val="18"/>
          <w:szCs w:val="18"/>
          <w:color w:val="auto"/>
        </w:rPr>
        <w:t>Cash transferred at close</w:t>
      </w:r>
      <w:r>
        <w:rPr>
          <w:rFonts w:ascii="Times New Roman" w:cs="Times New Roman" w:eastAsia="Times New Roman" w:hAnsi="Times New Roman"/>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0</wp:posOffset>
            </wp:positionV>
            <wp:extent cx="474916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764"/>
        <w:spacing w:after="0"/>
        <w:rPr>
          <w:sz w:val="20"/>
          <w:szCs w:val="20"/>
          <w:color w:val="auto"/>
        </w:rPr>
      </w:pPr>
      <w:r>
        <w:rPr>
          <w:rFonts w:ascii="Times New Roman" w:cs="Times New Roman" w:eastAsia="Times New Roman" w:hAnsi="Times New Roman"/>
          <w:sz w:val="18"/>
          <w:szCs w:val="18"/>
          <w:color w:val="auto"/>
        </w:rPr>
        <w:t>Transaction costs to be capitalized in asset acquisition</w:t>
      </w:r>
    </w:p>
    <w:p>
      <w:pPr>
        <w:spacing w:after="0" w:line="12" w:lineRule="exact"/>
        <w:rPr>
          <w:sz w:val="20"/>
          <w:szCs w:val="20"/>
          <w:color w:val="auto"/>
        </w:rPr>
      </w:pPr>
    </w:p>
    <w:p>
      <w:pPr>
        <w:ind w:left="1944" w:right="197" w:hanging="179"/>
        <w:spacing w:after="0" w:line="281" w:lineRule="auto"/>
        <w:rPr>
          <w:sz w:val="20"/>
          <w:szCs w:val="20"/>
          <w:color w:val="auto"/>
        </w:rPr>
      </w:pPr>
      <w:r>
        <w:rPr>
          <w:rFonts w:ascii="Times New Roman" w:cs="Times New Roman" w:eastAsia="Times New Roman" w:hAnsi="Times New Roman"/>
          <w:sz w:val="18"/>
          <w:szCs w:val="18"/>
          <w:b w:val="1"/>
          <w:bCs w:val="1"/>
          <w:color w:val="auto"/>
        </w:rPr>
        <w:t>Total merger consideration (including fair value of New Viper Common Stock issued)</w:t>
      </w:r>
    </w:p>
    <w:p>
      <w:pPr>
        <w:spacing w:after="0" w:line="1"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b w:val="1"/>
          <w:bCs w:val="1"/>
          <w:color w:val="auto"/>
        </w:rPr>
        <w:t>Purchase price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-116840</wp:posOffset>
            </wp:positionV>
            <wp:extent cx="474916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1"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color w:val="auto"/>
        </w:rPr>
        <w:t>Royalty income receivable (net of 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5715</wp:posOffset>
            </wp:positionV>
            <wp:extent cx="474916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764"/>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9"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color w:val="auto"/>
        </w:rPr>
        <w:t>Oil &amp; natural gas interests, full cost method of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5715</wp:posOffset>
            </wp:positionV>
            <wp:extent cx="474916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764"/>
        <w:spacing w:after="0"/>
        <w:rPr>
          <w:sz w:val="20"/>
          <w:szCs w:val="20"/>
          <w:color w:val="auto"/>
        </w:rPr>
      </w:pPr>
      <w:r>
        <w:rPr>
          <w:rFonts w:ascii="Times New Roman" w:cs="Times New Roman" w:eastAsia="Times New Roman" w:hAnsi="Times New Roman"/>
          <w:sz w:val="18"/>
          <w:szCs w:val="18"/>
          <w:color w:val="auto"/>
        </w:rPr>
        <w:t>Other property and equipment</w:t>
      </w:r>
    </w:p>
    <w:p>
      <w:pPr>
        <w:spacing w:after="0" w:line="9"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color w:val="auto"/>
        </w:rPr>
        <w:t>Operating lease right-of-use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5715</wp:posOffset>
            </wp:positionV>
            <wp:extent cx="474916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764"/>
        <w:spacing w:after="0"/>
        <w:rPr>
          <w:sz w:val="20"/>
          <w:szCs w:val="20"/>
          <w:color w:val="auto"/>
        </w:rPr>
      </w:pPr>
      <w:r>
        <w:rPr>
          <w:rFonts w:ascii="Times New Roman" w:cs="Times New Roman" w:eastAsia="Times New Roman" w:hAnsi="Times New Roman"/>
          <w:sz w:val="18"/>
          <w:szCs w:val="18"/>
          <w:color w:val="auto"/>
        </w:rPr>
        <w:t>Other assets</w:t>
      </w:r>
    </w:p>
    <w:p>
      <w:pPr>
        <w:spacing w:after="0" w:line="18"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Amount attributable to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17145</wp:posOffset>
            </wp:positionV>
            <wp:extent cx="474916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color w:val="auto"/>
        </w:rPr>
        <w:t>Accrued liabilities</w:t>
      </w:r>
    </w:p>
    <w:p>
      <w:pPr>
        <w:spacing w:after="0" w:line="9"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color w:val="auto"/>
        </w:rPr>
        <w:t>Operating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5715</wp:posOffset>
            </wp:positionV>
            <wp:extent cx="474916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764"/>
        <w:spacing w:after="0"/>
        <w:rPr>
          <w:sz w:val="20"/>
          <w:szCs w:val="20"/>
          <w:color w:val="auto"/>
        </w:rPr>
      </w:pPr>
      <w:r>
        <w:rPr>
          <w:rFonts w:ascii="Times New Roman" w:cs="Times New Roman" w:eastAsia="Times New Roman" w:hAnsi="Times New Roman"/>
          <w:sz w:val="18"/>
          <w:szCs w:val="18"/>
          <w:color w:val="auto"/>
        </w:rPr>
        <w:t>Deferred tax liability</w:t>
      </w:r>
    </w:p>
    <w:p>
      <w:pPr>
        <w:spacing w:after="0" w:line="9"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color w:val="auto"/>
        </w:rPr>
        <w:t>Non-current operating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5715</wp:posOffset>
            </wp:positionV>
            <wp:extent cx="474916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764"/>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18"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Amount attributable to liabilities acquired</w:t>
      </w:r>
    </w:p>
    <w:p>
      <w:pPr>
        <w:spacing w:after="0" w:line="32"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b w:val="1"/>
          <w:bCs w:val="1"/>
          <w:color w:val="auto"/>
        </w:rPr>
        <w:t>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-116840</wp:posOffset>
            </wp:positionV>
            <wp:extent cx="474916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4"/>
          <w:szCs w:val="14"/>
          <w:b w:val="1"/>
          <w:bCs w:val="1"/>
          <w:color w:val="auto"/>
        </w:rPr>
        <w:t>Sitio Acquisition</w:t>
      </w:r>
    </w:p>
    <w:p>
      <w:pPr>
        <w:spacing w:after="0" w:line="210"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38,536,236</w:t>
      </w:r>
    </w:p>
    <w:p>
      <w:pPr>
        <w:spacing w:after="0" w:line="225"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35,619,951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43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232"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74,156,187</w:t>
      </w:r>
    </w:p>
    <w:p>
      <w:pPr>
        <w:spacing w:after="0" w:line="27" w:lineRule="exact"/>
        <w:rPr>
          <w:sz w:val="20"/>
          <w:szCs w:val="20"/>
          <w:color w:val="auto"/>
        </w:rPr>
      </w:pPr>
    </w:p>
    <w:p>
      <w:pPr>
        <w:ind w:left="603" w:hanging="603"/>
        <w:spacing w:after="0"/>
        <w:tabs>
          <w:tab w:leader="none" w:pos="60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37.24</w:t>
      </w:r>
    </w:p>
    <w:p>
      <w:pPr>
        <w:spacing w:after="0" w:line="29" w:lineRule="exact"/>
        <w:rPr>
          <w:rFonts w:ascii="Times New Roman" w:cs="Times New Roman" w:eastAsia="Times New Roman" w:hAnsi="Times New Roman"/>
          <w:sz w:val="17"/>
          <w:szCs w:val="17"/>
          <w:color w:val="auto"/>
        </w:rPr>
      </w:pPr>
    </w:p>
    <w:p>
      <w:pPr>
        <w:ind w:left="603" w:hanging="603"/>
        <w:spacing w:after="0"/>
        <w:tabs>
          <w:tab w:leader="none" w:pos="60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2,762</w:t>
      </w:r>
    </w:p>
    <w:p>
      <w:pPr>
        <w:spacing w:after="0" w:line="38" w:lineRule="exact"/>
        <w:rPr>
          <w:rFonts w:ascii="Times New Roman" w:cs="Times New Roman" w:eastAsia="Times New Roman" w:hAnsi="Times New Roman"/>
          <w:sz w:val="17"/>
          <w:szCs w:val="17"/>
          <w:color w:val="auto"/>
        </w:rPr>
      </w:pPr>
    </w:p>
    <w:p>
      <w:pPr>
        <w:ind w:left="60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1,143</w:t>
      </w:r>
    </w:p>
    <w:p>
      <w:pPr>
        <w:spacing w:after="0" w:line="20" w:lineRule="exact"/>
        <w:rPr>
          <w:rFonts w:ascii="Times New Roman" w:cs="Times New Roman" w:eastAsia="Times New Roman" w:hAnsi="Times New Roman"/>
          <w:sz w:val="17"/>
          <w:szCs w:val="17"/>
          <w:color w:val="auto"/>
        </w:rPr>
      </w:pPr>
    </w:p>
    <w:p>
      <w:pPr>
        <w:ind w:left="82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-422275</wp:posOffset>
            </wp:positionV>
            <wp:extent cx="643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643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214" w:lineRule="exact"/>
        <w:rPr>
          <w:sz w:val="20"/>
          <w:szCs w:val="20"/>
          <w:color w:val="auto"/>
        </w:rPr>
      </w:pPr>
    </w:p>
    <w:p>
      <w:pPr>
        <w:ind w:left="603" w:hanging="603"/>
        <w:spacing w:after="0"/>
        <w:tabs>
          <w:tab w:leader="none" w:pos="60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643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41910</wp:posOffset>
            </wp:positionV>
            <wp:extent cx="643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71"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126</w:t>
      </w:r>
    </w:p>
    <w:p>
      <w:pPr>
        <w:spacing w:after="0" w:line="27"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8</w:t>
      </w:r>
    </w:p>
    <w:p>
      <w:pPr>
        <w:spacing w:after="0" w:line="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3,910</w:t>
      </w:r>
    </w:p>
    <w:p>
      <w:pPr>
        <w:spacing w:after="0" w:line="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4</w:t>
      </w:r>
    </w:p>
    <w:p>
      <w:pPr>
        <w:spacing w:after="0" w:line="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6</w:t>
      </w:r>
    </w:p>
    <w:p>
      <w:pPr>
        <w:spacing w:after="0" w:line="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43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jc w:val="right"/>
        <w:ind w:right="1820"/>
        <w:spacing w:after="0"/>
        <w:rPr>
          <w:sz w:val="20"/>
          <w:szCs w:val="20"/>
          <w:color w:val="auto"/>
        </w:rPr>
      </w:pPr>
      <w:r>
        <w:rPr>
          <w:rFonts w:ascii="Times New Roman" w:cs="Times New Roman" w:eastAsia="Times New Roman" w:hAnsi="Times New Roman"/>
          <w:sz w:val="18"/>
          <w:szCs w:val="18"/>
          <w:color w:val="auto"/>
        </w:rPr>
        <w:t>4,057</w:t>
      </w:r>
    </w:p>
    <w:p>
      <w:pPr>
        <w:spacing w:after="0" w:line="27"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21</w:t>
      </w:r>
    </w:p>
    <w:p>
      <w:pPr>
        <w:spacing w:after="0" w:line="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2</w:t>
      </w:r>
    </w:p>
    <w:p>
      <w:pPr>
        <w:spacing w:after="0" w:line="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95</w:t>
      </w:r>
    </w:p>
    <w:p>
      <w:pPr>
        <w:spacing w:after="0" w:line="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5</w:t>
      </w:r>
    </w:p>
    <w:p>
      <w:pPr>
        <w:spacing w:after="0" w:line="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43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jc w:val="right"/>
        <w:ind w:right="182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43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16" w:lineRule="exact"/>
        <w:rPr>
          <w:sz w:val="20"/>
          <w:szCs w:val="20"/>
          <w:color w:val="auto"/>
        </w:rPr>
      </w:pPr>
    </w:p>
    <w:p>
      <w:pPr>
        <w:ind w:left="603" w:hanging="603"/>
        <w:spacing w:after="0"/>
        <w:tabs>
          <w:tab w:leader="none" w:pos="603"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643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41910</wp:posOffset>
            </wp:positionV>
            <wp:extent cx="643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7461" w:space="720"/>
            <w:col w:w="2823"/>
          </w:cols>
          <w:pgMar w:left="436" w:top="270" w:right="459" w:bottom="1440" w:gutter="0" w:footer="0" w:header="0"/>
          <w:type w:val="continuous"/>
        </w:sectPr>
      </w:pPr>
    </w:p>
    <w:p>
      <w:pPr>
        <w:spacing w:after="0" w:line="110" w:lineRule="exact"/>
        <w:rPr>
          <w:sz w:val="20"/>
          <w:szCs w:val="20"/>
          <w:color w:val="auto"/>
        </w:rPr>
      </w:pPr>
    </w:p>
    <w:p>
      <w:pPr>
        <w:ind w:left="424" w:hanging="424"/>
        <w:spacing w:after="0" w:line="253"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77,579,174 eligible shares of Sitio Class A Common Stock and (ii) 2,754,344 eligible shares of aggregate unvested Sitio restricted stock unit awards (“Sitio RSUs”), Sitio deferred stock unit awards (“Sitio DSUs”) and Sitio performance-based restricted stock unit awards (“Sitio PSUs”) outstanding as of August 18, 2025, which vested in full on the closing date of the Sitio Transaction and became eligible to receive merger consideration in respect of each share of Sitio Class A Common Stock, less 959,191 shares withheld for taxes. The eligible shares of Sitio Class A Common Stock, Sitio RSU Awards, Sitio DSU Awards and Sitio PSU Awards converted into shares of New Viper Class A Common Stock at a 0.4855 exchange ratio.</w:t>
      </w:r>
    </w:p>
    <w:p>
      <w:pPr>
        <w:spacing w:after="0" w:line="5"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73,367,602 eligible Sitio OpCo Units (including eligible Sitio OpCo restricted stock awards (“Sitio OpCo RSAs”)) outstanding as of August 18, 2025, which vested in full on the closing date of the Sitio Transaction and became eligible to receive merger consideration in respect of each Sitio OpCo Unit. The eligible Sitio OpCo Units and Sitio OpCo RSAs converted into Viper OpCo Units and shares of New Viper Class B Common Stock at a 0.4855 exchange ratio.</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Viper closing stock price as of August 18, 2025.</w:t>
      </w:r>
    </w:p>
    <w:p>
      <w:pPr>
        <w:spacing w:after="0" w:line="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transferred at close primarily represents (i) $628 million for the redemption of Sitio’s $600 million existing senior notes due 2028 at a current make whole redemption price of 104.59654% of par value, (ii) the repayment of approximately $488 million in outstanding borrowing to settle Sitio’s revolving credit facility as of June 30, 2025, (iii) $17 million for the payment of income taxes due on vested and converted Sitio long-term incentive plan awards in lieu of issuing additional equity and (iv) the payment of $10 million in accrued and unpaid interest on Sitio’s existing senior notes due 2028 and revolving credit facility as of June 30, 2025.</w:t>
      </w:r>
    </w:p>
    <w:p>
      <w:pPr>
        <w:spacing w:after="0" w:line="187"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The total consideration for the Sitio Transaction has been used to prepare the transaction accounting adjustments for the Sitio Transaction in the pro forma balance sheet and statements of operations. The total value of consideration is subject to change based on changes in the outstanding value of Sitio’s revolving credit facility and actual transaction costs incurred.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type w:val="continuous"/>
        </w:sectPr>
      </w:pPr>
    </w:p>
    <w:bookmarkStart w:id="32" w:name="page33"/>
    <w:bookmarkEnd w:id="32"/>
    <w:p>
      <w:pPr>
        <w:ind w:left="424" w:hanging="424"/>
        <w:spacing w:after="0"/>
        <w:tabs>
          <w:tab w:leader="none" w:pos="42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 FORMA ADJUSTMENTS AND ASSUMPTIONS</w:t>
      </w:r>
    </w:p>
    <w:p>
      <w:pPr>
        <w:spacing w:after="0" w:line="121"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The pro forma financial statements have been prepared to illustrate the effect of the Tumbleweed Acquisitions, the 2025 Drop Down, the 2025 Equity Offering, the Sitio Transaction, issuance of the New Notes and the 2025 Term Loan Credit Agreement and have been prepared for informational purposes only.</w:t>
      </w:r>
    </w:p>
    <w:p>
      <w:pPr>
        <w:spacing w:after="0" w:line="2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35" w:lineRule="exact"/>
        <w:rPr>
          <w:sz w:val="20"/>
          <w:szCs w:val="20"/>
          <w:color w:val="auto"/>
        </w:rPr>
      </w:pPr>
    </w:p>
    <w:p>
      <w:pPr>
        <w:ind w:left="964" w:right="160" w:hanging="532"/>
        <w:spacing w:after="0" w:line="282" w:lineRule="auto"/>
        <w:tabs>
          <w:tab w:leader="none" w:pos="9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reclassifications were made to conform the historical consolidated financial statements for the Sitio Transaction to Viper’s presentation: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Pro Forma Condensed Combined Balance Sheet as of June 30, 2025</w:t>
      </w:r>
    </w:p>
    <w:p>
      <w:pPr>
        <w:spacing w:after="0" w:line="133" w:lineRule="exact"/>
        <w:rPr>
          <w:sz w:val="20"/>
          <w:szCs w:val="20"/>
          <w:color w:val="auto"/>
        </w:rPr>
      </w:pPr>
    </w:p>
    <w:p>
      <w:pPr>
        <w:ind w:left="1424" w:right="140" w:hanging="331"/>
        <w:spacing w:after="0" w:line="284" w:lineRule="auto"/>
        <w:tabs>
          <w:tab w:leader="none" w:pos="1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$126 million from </w:t>
      </w:r>
      <w:r>
        <w:rPr>
          <w:rFonts w:ascii="Times New Roman" w:cs="Times New Roman" w:eastAsia="Times New Roman" w:hAnsi="Times New Roman"/>
          <w:sz w:val="18"/>
          <w:szCs w:val="18"/>
          <w:i w:val="1"/>
          <w:iCs w:val="1"/>
          <w:color w:val="auto"/>
        </w:rPr>
        <w:t>Accrued revenue and accounts receivable</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Royalty income receivable (net of allowance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1424" w:right="160" w:hanging="331"/>
        <w:spacing w:after="0" w:line="284" w:lineRule="auto"/>
        <w:tabs>
          <w:tab w:leader="none" w:pos="1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approximately $3.1 billion from P</w:t>
      </w:r>
      <w:r>
        <w:rPr>
          <w:rFonts w:ascii="Times New Roman" w:cs="Times New Roman" w:eastAsia="Times New Roman" w:hAnsi="Times New Roman"/>
          <w:sz w:val="18"/>
          <w:szCs w:val="18"/>
          <w:i w:val="1"/>
          <w:iCs w:val="1"/>
          <w:color w:val="auto"/>
        </w:rPr>
        <w:t>roved properties</w:t>
      </w:r>
      <w:r>
        <w:rPr>
          <w:rFonts w:ascii="Times New Roman" w:cs="Times New Roman" w:eastAsia="Times New Roman" w:hAnsi="Times New Roman"/>
          <w:sz w:val="18"/>
          <w:szCs w:val="18"/>
          <w:color w:val="auto"/>
        </w:rPr>
        <w:t xml:space="preserve"> and approximately $2.4 billion from </w:t>
      </w:r>
      <w:r>
        <w:rPr>
          <w:rFonts w:ascii="Times New Roman" w:cs="Times New Roman" w:eastAsia="Times New Roman" w:hAnsi="Times New Roman"/>
          <w:sz w:val="18"/>
          <w:szCs w:val="18"/>
          <w:i w:val="1"/>
          <w:iCs w:val="1"/>
          <w:color w:val="auto"/>
        </w:rPr>
        <w:t>Unproved properties</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Oil and natural gas interests, full cost method of accounting;</w:t>
      </w:r>
    </w:p>
    <w:p>
      <w:pPr>
        <w:spacing w:after="0" w:line="63" w:lineRule="exact"/>
        <w:rPr>
          <w:rFonts w:ascii="Times New Roman" w:cs="Times New Roman" w:eastAsia="Times New Roman" w:hAnsi="Times New Roman"/>
          <w:sz w:val="18"/>
          <w:szCs w:val="18"/>
          <w:color w:val="auto"/>
        </w:rPr>
      </w:pPr>
    </w:p>
    <w:p>
      <w:pPr>
        <w:ind w:left="1424" w:right="80" w:hanging="331"/>
        <w:spacing w:after="0" w:line="284" w:lineRule="auto"/>
        <w:tabs>
          <w:tab w:leader="none" w:pos="1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$972 million from </w:t>
      </w:r>
      <w:r>
        <w:rPr>
          <w:rFonts w:ascii="Times New Roman" w:cs="Times New Roman" w:eastAsia="Times New Roman" w:hAnsi="Times New Roman"/>
          <w:sz w:val="18"/>
          <w:szCs w:val="18"/>
          <w:i w:val="1"/>
          <w:iCs w:val="1"/>
          <w:color w:val="auto"/>
        </w:rPr>
        <w:t>Accumulated depreciation, depletion, amortization and impairment</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Accumulated depletion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impairment</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$31 million from </w:t>
      </w:r>
      <w:r>
        <w:rPr>
          <w:rFonts w:ascii="Times New Roman" w:cs="Times New Roman" w:eastAsia="Times New Roman" w:hAnsi="Times New Roman"/>
          <w:sz w:val="18"/>
          <w:szCs w:val="18"/>
          <w:i w:val="1"/>
          <w:iCs w:val="1"/>
          <w:color w:val="auto"/>
        </w:rPr>
        <w:t>Accounts payable and accrued expenses</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Accrued liabilities</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$42 million from </w:t>
      </w:r>
      <w:r>
        <w:rPr>
          <w:rFonts w:ascii="Times New Roman" w:cs="Times New Roman" w:eastAsia="Times New Roman" w:hAnsi="Times New Roman"/>
          <w:sz w:val="18"/>
          <w:szCs w:val="18"/>
          <w:i w:val="1"/>
          <w:iCs w:val="1"/>
          <w:color w:val="auto"/>
        </w:rPr>
        <w:t>Deferred income taxes (net of allowances)</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Deferred tax liability</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Pro Forma Condensed Combined Statement of Operations for the year ended December 31, 2024</w:t>
      </w:r>
    </w:p>
    <w:p>
      <w:pPr>
        <w:spacing w:after="0" w:line="121"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The below reclassifications were made to conform the historical consolidated statement of operations of the Tumbleweed Entities to Viper’s presentation for the year ended December 31, 2024.</w:t>
      </w:r>
    </w:p>
    <w:p>
      <w:pPr>
        <w:spacing w:after="0" w:line="65" w:lineRule="exact"/>
        <w:rPr>
          <w:sz w:val="20"/>
          <w:szCs w:val="20"/>
          <w:color w:val="auto"/>
        </w:rPr>
      </w:pPr>
    </w:p>
    <w:p>
      <w:pPr>
        <w:ind w:left="1424" w:hanging="331"/>
        <w:spacing w:after="0"/>
        <w:tabs>
          <w:tab w:leader="none" w:pos="1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$1 million from </w:t>
      </w:r>
      <w:r>
        <w:rPr>
          <w:rFonts w:ascii="Times New Roman" w:cs="Times New Roman" w:eastAsia="Times New Roman" w:hAnsi="Times New Roman"/>
          <w:sz w:val="18"/>
          <w:szCs w:val="18"/>
          <w:i w:val="1"/>
          <w:iCs w:val="1"/>
          <w:color w:val="auto"/>
        </w:rPr>
        <w:t>Gathering and transportation</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Royalty income;</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$6 million from </w:t>
      </w:r>
      <w:r>
        <w:rPr>
          <w:rFonts w:ascii="Times New Roman" w:cs="Times New Roman" w:eastAsia="Times New Roman" w:hAnsi="Times New Roman"/>
          <w:sz w:val="18"/>
          <w:szCs w:val="18"/>
          <w:i w:val="1"/>
          <w:iCs w:val="1"/>
          <w:color w:val="auto"/>
        </w:rPr>
        <w:t>Lease bonus and other income</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Lease bonus income</w:t>
      </w:r>
      <w:r>
        <w:rPr>
          <w:rFonts w:ascii="Times New Roman" w:cs="Times New Roman" w:eastAsia="Times New Roman" w:hAnsi="Times New Roman"/>
          <w:sz w:val="18"/>
          <w:szCs w:val="18"/>
          <w:color w:val="auto"/>
        </w:rPr>
        <w:t>; and</w:t>
      </w:r>
    </w:p>
    <w:p>
      <w:pPr>
        <w:spacing w:after="0" w:line="132"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$27 million from Depletion, depreciation and amortization to Depletion.</w:t>
      </w:r>
    </w:p>
    <w:p>
      <w:pPr>
        <w:spacing w:after="0" w:line="225"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The below reclassifications were made to conform the historical consolidated statement of operations of Sitio to Viper’s presentation for the year ended December 31, 2024.</w:t>
      </w:r>
    </w:p>
    <w:p>
      <w:pPr>
        <w:spacing w:after="0" w:line="65" w:lineRule="exact"/>
        <w:rPr>
          <w:sz w:val="20"/>
          <w:szCs w:val="20"/>
          <w:color w:val="auto"/>
        </w:rPr>
      </w:pPr>
    </w:p>
    <w:p>
      <w:pPr>
        <w:ind w:left="1424" w:hanging="331"/>
        <w:spacing w:after="0" w:line="284" w:lineRule="auto"/>
        <w:tabs>
          <w:tab w:leader="none" w:pos="1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$9 million to </w:t>
      </w:r>
      <w:r>
        <w:rPr>
          <w:rFonts w:ascii="Times New Roman" w:cs="Times New Roman" w:eastAsia="Times New Roman" w:hAnsi="Times New Roman"/>
          <w:sz w:val="18"/>
          <w:szCs w:val="18"/>
          <w:i w:val="1"/>
          <w:iCs w:val="1"/>
          <w:color w:val="auto"/>
        </w:rPr>
        <w:t>Lease bonus income</w:t>
      </w:r>
      <w:r>
        <w:rPr>
          <w:rFonts w:ascii="Times New Roman" w:cs="Times New Roman" w:eastAsia="Times New Roman" w:hAnsi="Times New Roman"/>
          <w:sz w:val="18"/>
          <w:szCs w:val="18"/>
          <w:color w:val="auto"/>
        </w:rPr>
        <w:t xml:space="preserve"> and $4 million to </w:t>
      </w:r>
      <w:r>
        <w:rPr>
          <w:rFonts w:ascii="Times New Roman" w:cs="Times New Roman" w:eastAsia="Times New Roman" w:hAnsi="Times New Roman"/>
          <w:sz w:val="18"/>
          <w:szCs w:val="18"/>
          <w:i w:val="1"/>
          <w:iCs w:val="1"/>
          <w:color w:val="auto"/>
        </w:rPr>
        <w:t>Other operating income</w:t>
      </w:r>
      <w:r>
        <w:rPr>
          <w:rFonts w:ascii="Times New Roman" w:cs="Times New Roman" w:eastAsia="Times New Roman" w:hAnsi="Times New Roman"/>
          <w:sz w:val="18"/>
          <w:szCs w:val="18"/>
          <w:color w:val="auto"/>
        </w:rPr>
        <w:t xml:space="preserve"> from </w:t>
      </w:r>
      <w:r>
        <w:rPr>
          <w:rFonts w:ascii="Times New Roman" w:cs="Times New Roman" w:eastAsia="Times New Roman" w:hAnsi="Times New Roman"/>
          <w:sz w:val="18"/>
          <w:szCs w:val="18"/>
          <w:i w:val="1"/>
          <w:iCs w:val="1"/>
          <w:color w:val="auto"/>
        </w:rPr>
        <w:t>Lease bonus and other income</w:t>
      </w:r>
      <w:r>
        <w:rPr>
          <w:rFonts w:ascii="Times New Roman" w:cs="Times New Roman" w:eastAsia="Times New Roman" w:hAnsi="Times New Roman"/>
          <w:sz w:val="18"/>
          <w:szCs w:val="18"/>
          <w:color w:val="auto"/>
        </w:rPr>
        <w:t>; and</w:t>
      </w:r>
    </w:p>
    <w:p>
      <w:pPr>
        <w:spacing w:after="0" w:line="63"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$320 million from </w:t>
      </w:r>
      <w:r>
        <w:rPr>
          <w:rFonts w:ascii="Times New Roman" w:cs="Times New Roman" w:eastAsia="Times New Roman" w:hAnsi="Times New Roman"/>
          <w:sz w:val="18"/>
          <w:szCs w:val="18"/>
          <w:i w:val="1"/>
          <w:iCs w:val="1"/>
          <w:color w:val="auto"/>
        </w:rPr>
        <w:t>Depletion, depreciation and amortization</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Depletion.</w:t>
      </w:r>
    </w:p>
    <w:p>
      <w:pPr>
        <w:spacing w:after="0" w:line="3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Pro Forma Condensed Combined Statement of Operations for the six months ended June 30, 2025</w:t>
      </w:r>
    </w:p>
    <w:p>
      <w:pPr>
        <w:spacing w:after="0" w:line="121" w:lineRule="exact"/>
        <w:rPr>
          <w:sz w:val="20"/>
          <w:szCs w:val="20"/>
          <w:color w:val="auto"/>
        </w:rPr>
      </w:pPr>
    </w:p>
    <w:p>
      <w:pPr>
        <w:ind w:left="444" w:right="40" w:firstLine="423"/>
        <w:spacing w:after="0" w:line="282" w:lineRule="auto"/>
        <w:rPr>
          <w:sz w:val="20"/>
          <w:szCs w:val="20"/>
          <w:color w:val="auto"/>
        </w:rPr>
      </w:pPr>
      <w:r>
        <w:rPr>
          <w:rFonts w:ascii="Times New Roman" w:cs="Times New Roman" w:eastAsia="Times New Roman" w:hAnsi="Times New Roman"/>
          <w:sz w:val="18"/>
          <w:szCs w:val="18"/>
          <w:color w:val="auto"/>
        </w:rPr>
        <w:t>The below reclassifications were made to conform the historical consolidated statement of operations of Sitio to Viper’s presentation for the six months ended June 30, 2025.</w:t>
      </w:r>
    </w:p>
    <w:p>
      <w:pPr>
        <w:spacing w:after="0" w:line="65" w:lineRule="exact"/>
        <w:rPr>
          <w:sz w:val="20"/>
          <w:szCs w:val="20"/>
          <w:color w:val="auto"/>
        </w:rPr>
      </w:pPr>
    </w:p>
    <w:p>
      <w:pPr>
        <w:ind w:left="1424" w:hanging="331"/>
        <w:spacing w:after="0" w:line="284" w:lineRule="auto"/>
        <w:tabs>
          <w:tab w:leader="none" w:pos="1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$6 million to </w:t>
      </w:r>
      <w:r>
        <w:rPr>
          <w:rFonts w:ascii="Times New Roman" w:cs="Times New Roman" w:eastAsia="Times New Roman" w:hAnsi="Times New Roman"/>
          <w:sz w:val="18"/>
          <w:szCs w:val="18"/>
          <w:i w:val="1"/>
          <w:iCs w:val="1"/>
          <w:color w:val="auto"/>
        </w:rPr>
        <w:t>Lease bonus income</w:t>
      </w:r>
      <w:r>
        <w:rPr>
          <w:rFonts w:ascii="Times New Roman" w:cs="Times New Roman" w:eastAsia="Times New Roman" w:hAnsi="Times New Roman"/>
          <w:sz w:val="18"/>
          <w:szCs w:val="18"/>
          <w:color w:val="auto"/>
        </w:rPr>
        <w:t xml:space="preserve"> and $4 million to </w:t>
      </w:r>
      <w:r>
        <w:rPr>
          <w:rFonts w:ascii="Times New Roman" w:cs="Times New Roman" w:eastAsia="Times New Roman" w:hAnsi="Times New Roman"/>
          <w:sz w:val="18"/>
          <w:szCs w:val="18"/>
          <w:i w:val="1"/>
          <w:iCs w:val="1"/>
          <w:color w:val="auto"/>
        </w:rPr>
        <w:t>Other operating income</w:t>
      </w:r>
      <w:r>
        <w:rPr>
          <w:rFonts w:ascii="Times New Roman" w:cs="Times New Roman" w:eastAsia="Times New Roman" w:hAnsi="Times New Roman"/>
          <w:sz w:val="18"/>
          <w:szCs w:val="18"/>
          <w:color w:val="auto"/>
        </w:rPr>
        <w:t xml:space="preserve"> from </w:t>
      </w:r>
      <w:r>
        <w:rPr>
          <w:rFonts w:ascii="Times New Roman" w:cs="Times New Roman" w:eastAsia="Times New Roman" w:hAnsi="Times New Roman"/>
          <w:sz w:val="18"/>
          <w:szCs w:val="18"/>
          <w:i w:val="1"/>
          <w:iCs w:val="1"/>
          <w:color w:val="auto"/>
        </w:rPr>
        <w:t>Lease bonus and other income</w:t>
      </w:r>
      <w:r>
        <w:rPr>
          <w:rFonts w:ascii="Times New Roman" w:cs="Times New Roman" w:eastAsia="Times New Roman" w:hAnsi="Times New Roman"/>
          <w:sz w:val="18"/>
          <w:szCs w:val="18"/>
          <w:color w:val="auto"/>
        </w:rPr>
        <w:t>; and</w:t>
      </w:r>
    </w:p>
    <w:p>
      <w:pPr>
        <w:spacing w:after="0" w:line="63"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Reclassification of $153 million from </w:t>
      </w:r>
      <w:r>
        <w:rPr>
          <w:rFonts w:ascii="Times New Roman" w:cs="Times New Roman" w:eastAsia="Times New Roman" w:hAnsi="Times New Roman"/>
          <w:sz w:val="18"/>
          <w:szCs w:val="18"/>
          <w:i w:val="1"/>
          <w:iCs w:val="1"/>
          <w:color w:val="auto"/>
        </w:rPr>
        <w:t>Depletion, depreciation and amortization</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Depletion.</w:t>
      </w:r>
    </w:p>
    <w:p>
      <w:pPr>
        <w:spacing w:after="0" w:line="3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Pro Forma Condensed Combined Balance Sheet as of June 30, 2025</w:t>
      </w:r>
    </w:p>
    <w:p>
      <w:pPr>
        <w:spacing w:after="0" w:line="135" w:lineRule="exact"/>
        <w:rPr>
          <w:sz w:val="20"/>
          <w:szCs w:val="20"/>
          <w:color w:val="auto"/>
        </w:rPr>
      </w:pPr>
    </w:p>
    <w:p>
      <w:pPr>
        <w:ind w:left="964" w:hanging="532"/>
        <w:spacing w:after="0"/>
        <w:tabs>
          <w:tab w:leader="none" w:pos="9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for the elimination of Sitio’s equity as follows:</w:t>
      </w:r>
    </w:p>
    <w:p>
      <w:pPr>
        <w:spacing w:after="0" w:line="128"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$1.7 billion decrease to </w:t>
      </w:r>
      <w:r>
        <w:rPr>
          <w:rFonts w:ascii="Times New Roman" w:cs="Times New Roman" w:eastAsia="Times New Roman" w:hAnsi="Times New Roman"/>
          <w:sz w:val="18"/>
          <w:szCs w:val="18"/>
          <w:i w:val="1"/>
          <w:iCs w:val="1"/>
          <w:color w:val="auto"/>
        </w:rPr>
        <w:t>Additional paid-in capital;</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$129 million increase to </w:t>
      </w:r>
      <w:r>
        <w:rPr>
          <w:rFonts w:ascii="Times New Roman" w:cs="Times New Roman" w:eastAsia="Times New Roman" w:hAnsi="Times New Roman"/>
          <w:sz w:val="18"/>
          <w:szCs w:val="18"/>
          <w:i w:val="1"/>
          <w:iCs w:val="1"/>
          <w:color w:val="auto"/>
        </w:rPr>
        <w:t>Retained earnings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$128 million increase to </w:t>
      </w:r>
      <w:r>
        <w:rPr>
          <w:rFonts w:ascii="Times New Roman" w:cs="Times New Roman" w:eastAsia="Times New Roman" w:hAnsi="Times New Roman"/>
          <w:sz w:val="18"/>
          <w:szCs w:val="18"/>
          <w:i w:val="1"/>
          <w:iCs w:val="1"/>
          <w:color w:val="auto"/>
        </w:rPr>
        <w:t>Class A treasury shares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million increase to </w:t>
      </w:r>
      <w:r>
        <w:rPr>
          <w:rFonts w:ascii="Times New Roman" w:cs="Times New Roman" w:eastAsia="Times New Roman" w:hAnsi="Times New Roman"/>
          <w:sz w:val="18"/>
          <w:szCs w:val="18"/>
          <w:i w:val="1"/>
          <w:iCs w:val="1"/>
          <w:color w:val="auto"/>
        </w:rPr>
        <w:t>Class C treasury shares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$1.8 billion decrease to </w:t>
      </w:r>
      <w:r>
        <w:rPr>
          <w:rFonts w:ascii="Times New Roman" w:cs="Times New Roman" w:eastAsia="Times New Roman" w:hAnsi="Times New Roman"/>
          <w:sz w:val="18"/>
          <w:szCs w:val="18"/>
          <w:i w:val="1"/>
          <w:iCs w:val="1"/>
          <w:color w:val="auto"/>
        </w:rPr>
        <w:t>Non-controlling interest</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 billion decrease to </w:t>
      </w:r>
      <w:r>
        <w:rPr>
          <w:rFonts w:ascii="Times New Roman" w:cs="Times New Roman" w:eastAsia="Times New Roman" w:hAnsi="Times New Roman"/>
          <w:sz w:val="18"/>
          <w:szCs w:val="18"/>
          <w:i w:val="1"/>
          <w:iCs w:val="1"/>
          <w:color w:val="auto"/>
        </w:rPr>
        <w:t>Oil and natural gas interests, full cost method of accounting.</w:t>
      </w:r>
    </w:p>
    <w:p>
      <w:pPr>
        <w:spacing w:after="0" w:line="132"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allocation of equity issued as consideration for the Sitio Transaction as follows:</w:t>
      </w:r>
    </w:p>
    <w:p>
      <w:pPr>
        <w:spacing w:after="0" w:line="128"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$2.8 billion increase to </w:t>
      </w:r>
      <w:r>
        <w:rPr>
          <w:rFonts w:ascii="Times New Roman" w:cs="Times New Roman" w:eastAsia="Times New Roman" w:hAnsi="Times New Roman"/>
          <w:sz w:val="18"/>
          <w:szCs w:val="18"/>
          <w:i w:val="1"/>
          <w:iCs w:val="1"/>
          <w:color w:val="auto"/>
        </w:rPr>
        <w:t>Oil and natural gas interests, full cost method of accounting;</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$1.4 billion increase to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 billion increase to </w:t>
      </w:r>
      <w:r>
        <w:rPr>
          <w:rFonts w:ascii="Times New Roman" w:cs="Times New Roman" w:eastAsia="Times New Roman" w:hAnsi="Times New Roman"/>
          <w:sz w:val="18"/>
          <w:szCs w:val="18"/>
          <w:i w:val="1"/>
          <w:iCs w:val="1"/>
          <w:color w:val="auto"/>
        </w:rPr>
        <w:t>Non-controlling interest</w:t>
      </w:r>
      <w:r>
        <w:rPr>
          <w:rFonts w:ascii="Times New Roman" w:cs="Times New Roman" w:eastAsia="Times New Roman" w:hAnsi="Times New Roman"/>
          <w:sz w:val="18"/>
          <w:szCs w:val="18"/>
          <w:color w:val="auto"/>
        </w:rPr>
        <w:t>.</w:t>
      </w:r>
    </w:p>
    <w:p>
      <w:pPr>
        <w:sectPr>
          <w:pgSz w:w="11900" w:h="16838" w:orient="portrait"/>
          <w:cols w:equalWidth="0" w:num="1">
            <w:col w:w="10984"/>
          </w:cols>
          <w:pgMar w:left="436" w:top="266" w:right="479" w:bottom="852" w:gutter="0" w:footer="0" w:header="0"/>
        </w:sectPr>
      </w:pPr>
    </w:p>
    <w:p>
      <w:pPr>
        <w:spacing w:after="0" w:line="16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66" w:right="479" w:bottom="852" w:gutter="0" w:footer="0" w:header="0"/>
          <w:type w:val="continuous"/>
        </w:sectPr>
      </w:pPr>
    </w:p>
    <w:bookmarkStart w:id="33" w:name="page34"/>
    <w:bookmarkEnd w:id="33"/>
    <w:p>
      <w:pPr>
        <w:ind w:left="1000" w:right="380" w:hanging="331"/>
        <w:spacing w:after="0" w:line="282" w:lineRule="auto"/>
        <w:tabs>
          <w:tab w:leader="none" w:pos="10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$17 million decrease to Cash and cash equivalents for the payment of income taxes due on vested and converted Sitio long term incentive plans awards in lieu of issuing additional equity.</w:t>
      </w:r>
    </w:p>
    <w:p>
      <w:pPr>
        <w:spacing w:after="0" w:line="65" w:lineRule="exact"/>
        <w:rPr>
          <w:rFonts w:ascii="Times New Roman" w:cs="Times New Roman" w:eastAsia="Times New Roman" w:hAnsi="Times New Roman"/>
          <w:sz w:val="18"/>
          <w:szCs w:val="18"/>
          <w:color w:val="auto"/>
        </w:rPr>
      </w:pPr>
    </w:p>
    <w:p>
      <w:pPr>
        <w:ind w:left="540" w:right="140" w:hanging="532"/>
        <w:spacing w:after="0" w:line="267"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a $22 million increase to </w:t>
      </w:r>
      <w:r>
        <w:rPr>
          <w:rFonts w:ascii="Times New Roman" w:cs="Times New Roman" w:eastAsia="Times New Roman" w:hAnsi="Times New Roman"/>
          <w:sz w:val="18"/>
          <w:szCs w:val="18"/>
          <w:i w:val="1"/>
          <w:iCs w:val="1"/>
          <w:color w:val="auto"/>
        </w:rPr>
        <w:t>Accrued liabilities</w:t>
      </w:r>
      <w:r>
        <w:rPr>
          <w:rFonts w:ascii="Times New Roman" w:cs="Times New Roman" w:eastAsia="Times New Roman" w:hAnsi="Times New Roman"/>
          <w:sz w:val="18"/>
          <w:szCs w:val="18"/>
          <w:color w:val="auto"/>
        </w:rPr>
        <w:t xml:space="preserve"> for additional estimated direct transaction costs, which primarily consist of fees for financial, legal and accounting advisors and filing fees expected to be incurred in connection with the Sitio Transaction and capitalized to </w:t>
      </w:r>
      <w:r>
        <w:rPr>
          <w:rFonts w:ascii="Times New Roman" w:cs="Times New Roman" w:eastAsia="Times New Roman" w:hAnsi="Times New Roman"/>
          <w:sz w:val="18"/>
          <w:szCs w:val="18"/>
          <w:i w:val="1"/>
          <w:iCs w:val="1"/>
          <w:color w:val="auto"/>
        </w:rPr>
        <w:t>Oil and natural gas interests, full cost method of accounting.</w:t>
      </w:r>
    </w:p>
    <w:p>
      <w:pPr>
        <w:spacing w:after="0" w:line="80" w:lineRule="exact"/>
        <w:rPr>
          <w:rFonts w:ascii="Times New Roman" w:cs="Times New Roman" w:eastAsia="Times New Roman" w:hAnsi="Times New Roman"/>
          <w:sz w:val="18"/>
          <w:szCs w:val="18"/>
          <w:color w:val="auto"/>
        </w:rPr>
      </w:pPr>
    </w:p>
    <w:p>
      <w:pPr>
        <w:ind w:left="540" w:right="260" w:hanging="532"/>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Viper OpCo’s New Notes, the redemption of Viper’s 2031 Notes, the satisfaction and discharge of Viper’s 2027 Notes, and borrowings under the 2025 Term Loan Credit Agreement as follows:</w:t>
      </w:r>
    </w:p>
    <w:p>
      <w:pPr>
        <w:spacing w:after="0" w:line="65" w:lineRule="exact"/>
        <w:rPr>
          <w:rFonts w:ascii="Times New Roman" w:cs="Times New Roman" w:eastAsia="Times New Roman" w:hAnsi="Times New Roman"/>
          <w:sz w:val="18"/>
          <w:szCs w:val="18"/>
          <w:color w:val="auto"/>
        </w:rPr>
      </w:pPr>
    </w:p>
    <w:p>
      <w:pPr>
        <w:ind w:left="1000" w:right="120" w:hanging="331"/>
        <w:spacing w:after="0" w:line="258" w:lineRule="auto"/>
        <w:tabs>
          <w:tab w:leader="none" w:pos="10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 billion net increase to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reflecting (i) the net proceeds of $1.6 billion received from the issuance of Viper OpCo’s New Notes after transaction costs, (ii) $499 million in borrowings under the 2025 Term Loan Credit Agreement after transaction costs, (iii) a $432 million reduction for the repayment of the principal, make whole redemption premium, and accrued and unpaid interest on Viper’s 2031 Notes, (iv) a $391 million reduction for the satisfaction and discharge of Viper’s 2027 Notes including accrued and unpaid interest through November 1, 2025.</w:t>
      </w:r>
    </w:p>
    <w:p>
      <w:pPr>
        <w:spacing w:after="0" w:line="88" w:lineRule="exact"/>
        <w:rPr>
          <w:rFonts w:ascii="Times New Roman" w:cs="Times New Roman" w:eastAsia="Times New Roman" w:hAnsi="Times New Roman"/>
          <w:sz w:val="18"/>
          <w:szCs w:val="18"/>
          <w:color w:val="auto"/>
        </w:rPr>
      </w:pPr>
    </w:p>
    <w:p>
      <w:pPr>
        <w:ind w:left="1000" w:hanging="331"/>
        <w:spacing w:after="0" w:line="267" w:lineRule="auto"/>
        <w:tabs>
          <w:tab w:leader="none" w:pos="10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$391 million increase to </w:t>
      </w:r>
      <w:r>
        <w:rPr>
          <w:rFonts w:ascii="Times New Roman" w:cs="Times New Roman" w:eastAsia="Times New Roman" w:hAnsi="Times New Roman"/>
          <w:sz w:val="18"/>
          <w:szCs w:val="18"/>
          <w:i w:val="1"/>
          <w:iCs w:val="1"/>
          <w:color w:val="auto"/>
        </w:rPr>
        <w:t>Restricted cas</w:t>
      </w:r>
      <w:r>
        <w:rPr>
          <w:rFonts w:ascii="Times New Roman" w:cs="Times New Roman" w:eastAsia="Times New Roman" w:hAnsi="Times New Roman"/>
          <w:sz w:val="18"/>
          <w:szCs w:val="18"/>
          <w:color w:val="auto"/>
        </w:rPr>
        <w:t>h reflecting the principal and interest irrevocably deposited with Computershare Trust Company, National Association, the trustee under the indenture governing the 2027 Notes to redeem the 2027 Notes on November 1, 2025 in accordance with their satisfaction and discharge;</w:t>
      </w:r>
    </w:p>
    <w:p>
      <w:pPr>
        <w:spacing w:after="0" w:line="78" w:lineRule="exact"/>
        <w:rPr>
          <w:rFonts w:ascii="Times New Roman" w:cs="Times New Roman" w:eastAsia="Times New Roman" w:hAnsi="Times New Roman"/>
          <w:sz w:val="18"/>
          <w:szCs w:val="18"/>
          <w:color w:val="auto"/>
        </w:rPr>
      </w:pPr>
    </w:p>
    <w:p>
      <w:pPr>
        <w:ind w:left="1000" w:hanging="331"/>
        <w:spacing w:after="0"/>
        <w:tabs>
          <w:tab w:leader="none" w:pos="10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 million reduction in </w:t>
      </w:r>
      <w:r>
        <w:rPr>
          <w:rFonts w:ascii="Times New Roman" w:cs="Times New Roman" w:eastAsia="Times New Roman" w:hAnsi="Times New Roman"/>
          <w:sz w:val="18"/>
          <w:szCs w:val="18"/>
          <w:i w:val="1"/>
          <w:iCs w:val="1"/>
          <w:color w:val="auto"/>
        </w:rPr>
        <w:t>Accrued liabilities</w:t>
      </w:r>
      <w:r>
        <w:rPr>
          <w:rFonts w:ascii="Times New Roman" w:cs="Times New Roman" w:eastAsia="Times New Roman" w:hAnsi="Times New Roman"/>
          <w:sz w:val="18"/>
          <w:szCs w:val="18"/>
          <w:color w:val="auto"/>
        </w:rPr>
        <w:t xml:space="preserve"> to reflect the repayment of accrued and unpaid interest on Viper’s 2031 Notes;</w:t>
      </w:r>
    </w:p>
    <w:p>
      <w:pPr>
        <w:spacing w:after="0" w:line="130" w:lineRule="exact"/>
        <w:rPr>
          <w:rFonts w:ascii="Times New Roman" w:cs="Times New Roman" w:eastAsia="Times New Roman" w:hAnsi="Times New Roman"/>
          <w:sz w:val="18"/>
          <w:szCs w:val="18"/>
          <w:color w:val="auto"/>
        </w:rPr>
      </w:pPr>
    </w:p>
    <w:p>
      <w:pPr>
        <w:ind w:left="1000" w:right="40" w:hanging="331"/>
        <w:spacing w:after="0" w:line="284" w:lineRule="auto"/>
        <w:tabs>
          <w:tab w:leader="none" w:pos="10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$378 million increase in </w:t>
      </w:r>
      <w:r>
        <w:rPr>
          <w:rFonts w:ascii="Times New Roman" w:cs="Times New Roman" w:eastAsia="Times New Roman" w:hAnsi="Times New Roman"/>
          <w:sz w:val="18"/>
          <w:szCs w:val="18"/>
          <w:i w:val="1"/>
          <w:iCs w:val="1"/>
          <w:color w:val="auto"/>
        </w:rPr>
        <w:t>Current maturities of debt</w:t>
      </w:r>
      <w:r>
        <w:rPr>
          <w:rFonts w:ascii="Times New Roman" w:cs="Times New Roman" w:eastAsia="Times New Roman" w:hAnsi="Times New Roman"/>
          <w:sz w:val="18"/>
          <w:szCs w:val="18"/>
          <w:color w:val="auto"/>
        </w:rPr>
        <w:t xml:space="preserve"> to reflect the reclassification of the net carrying balance of Viper’s 2031 Notes to current liabilities in connection with the satisfaction and discharge and expected repayment on November 1, 2025.</w:t>
      </w:r>
    </w:p>
    <w:p>
      <w:pPr>
        <w:spacing w:after="0" w:line="63" w:lineRule="exact"/>
        <w:rPr>
          <w:rFonts w:ascii="Times New Roman" w:cs="Times New Roman" w:eastAsia="Times New Roman" w:hAnsi="Times New Roman"/>
          <w:sz w:val="18"/>
          <w:szCs w:val="18"/>
          <w:color w:val="auto"/>
        </w:rPr>
      </w:pPr>
    </w:p>
    <w:p>
      <w:pPr>
        <w:ind w:left="1000" w:right="160" w:hanging="331"/>
        <w:spacing w:after="0" w:line="258" w:lineRule="auto"/>
        <w:tabs>
          <w:tab w:leader="none" w:pos="10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 billion net increase to </w:t>
      </w:r>
      <w:r>
        <w:rPr>
          <w:rFonts w:ascii="Times New Roman" w:cs="Times New Roman" w:eastAsia="Times New Roman" w:hAnsi="Times New Roman"/>
          <w:sz w:val="18"/>
          <w:szCs w:val="18"/>
          <w:i w:val="1"/>
          <w:iCs w:val="1"/>
          <w:color w:val="auto"/>
        </w:rPr>
        <w:t>Long-term debt, net,</w:t>
      </w:r>
      <w:r>
        <w:rPr>
          <w:rFonts w:ascii="Times New Roman" w:cs="Times New Roman" w:eastAsia="Times New Roman" w:hAnsi="Times New Roman"/>
          <w:sz w:val="18"/>
          <w:szCs w:val="18"/>
          <w:color w:val="auto"/>
        </w:rPr>
        <w:t xml:space="preserve"> reflecting (i) the issuance of Viper OpCo’s New Notes net of discounts and debt issuance costs, (ii) the full borrowing of the 2025 Term Loan Credit Agreement net of debt issuance costs incurred, (iii) the repayment of outstanding principal on Viper’s 2031 Notes and write-off of associated unamortized debt issuance costs, and (iv) the reclassification of Viper’s 2027 Notes, including unamortized debt issuance costs to </w:t>
      </w:r>
      <w:r>
        <w:rPr>
          <w:rFonts w:ascii="Times New Roman" w:cs="Times New Roman" w:eastAsia="Times New Roman" w:hAnsi="Times New Roman"/>
          <w:sz w:val="18"/>
          <w:szCs w:val="18"/>
          <w:i w:val="1"/>
          <w:iCs w:val="1"/>
          <w:color w:val="auto"/>
        </w:rPr>
        <w:t>Current maturities of debt</w:t>
      </w:r>
      <w:r>
        <w:rPr>
          <w:rFonts w:ascii="Times New Roman" w:cs="Times New Roman" w:eastAsia="Times New Roman" w:hAnsi="Times New Roman"/>
          <w:sz w:val="18"/>
          <w:szCs w:val="18"/>
          <w:color w:val="auto"/>
        </w:rPr>
        <w:t xml:space="preserve"> upon their satisfaction and discharge.</w:t>
      </w:r>
    </w:p>
    <w:p>
      <w:pPr>
        <w:spacing w:after="0" w:line="88" w:lineRule="exact"/>
        <w:rPr>
          <w:rFonts w:ascii="Times New Roman" w:cs="Times New Roman" w:eastAsia="Times New Roman" w:hAnsi="Times New Roman"/>
          <w:sz w:val="18"/>
          <w:szCs w:val="18"/>
          <w:color w:val="auto"/>
        </w:rPr>
      </w:pPr>
    </w:p>
    <w:p>
      <w:pPr>
        <w:ind w:left="1000" w:right="60" w:hanging="331"/>
        <w:spacing w:after="0" w:line="284" w:lineRule="auto"/>
        <w:tabs>
          <w:tab w:leader="none" w:pos="10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 million decrease in </w:t>
      </w:r>
      <w:r>
        <w:rPr>
          <w:rFonts w:ascii="Times New Roman" w:cs="Times New Roman" w:eastAsia="Times New Roman" w:hAnsi="Times New Roman"/>
          <w:sz w:val="18"/>
          <w:szCs w:val="18"/>
          <w:i w:val="1"/>
          <w:iCs w:val="1"/>
          <w:color w:val="auto"/>
        </w:rPr>
        <w:t>Retained earnings</w:t>
      </w:r>
      <w:r>
        <w:rPr>
          <w:rFonts w:ascii="Times New Roman" w:cs="Times New Roman" w:eastAsia="Times New Roman" w:hAnsi="Times New Roman"/>
          <w:sz w:val="18"/>
          <w:szCs w:val="18"/>
          <w:color w:val="auto"/>
        </w:rPr>
        <w:t xml:space="preserve"> to reflect the loss on extinguishment of debt recognized upon redemption of Viper’s 2031 Notes.</w:t>
      </w:r>
    </w:p>
    <w:p>
      <w:pPr>
        <w:spacing w:after="0" w:line="6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settlement of Sitio’s existing long-term debt at June 30, 2025, as follows:</w:t>
      </w:r>
    </w:p>
    <w:p>
      <w:pPr>
        <w:spacing w:after="0" w:line="128" w:lineRule="exact"/>
        <w:rPr>
          <w:rFonts w:ascii="Times New Roman" w:cs="Times New Roman" w:eastAsia="Times New Roman" w:hAnsi="Times New Roman"/>
          <w:sz w:val="18"/>
          <w:szCs w:val="18"/>
          <w:color w:val="auto"/>
        </w:rPr>
      </w:pPr>
    </w:p>
    <w:p>
      <w:pPr>
        <w:ind w:left="1000" w:right="20" w:hanging="331"/>
        <w:spacing w:after="0" w:line="261" w:lineRule="auto"/>
        <w:tabs>
          <w:tab w:leader="none" w:pos="10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 billion decrease to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reflecting (i) the repayment of $488 million in outstanding borrowings under Sitio’s revolving credit facility as of June 30, 2025, $628 million for the repayment of the principal and make whole redemption premium associated with the repayment of Sitio’s existing senior notes due 2028, and (iii) the payment of $10 million in accrued and unpaid interest on Sitio’s revolving credit facility and existing senior notes due 2028 at June 30, 2025;</w:t>
      </w:r>
    </w:p>
    <w:p>
      <w:pPr>
        <w:spacing w:after="0" w:line="85" w:lineRule="exact"/>
        <w:rPr>
          <w:rFonts w:ascii="Times New Roman" w:cs="Times New Roman" w:eastAsia="Times New Roman" w:hAnsi="Times New Roman"/>
          <w:sz w:val="18"/>
          <w:szCs w:val="18"/>
          <w:color w:val="auto"/>
        </w:rPr>
      </w:pPr>
    </w:p>
    <w:p>
      <w:pPr>
        <w:ind w:left="1000" w:hanging="331"/>
        <w:spacing w:after="0" w:line="261" w:lineRule="auto"/>
        <w:tabs>
          <w:tab w:leader="none" w:pos="10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$43 million increase to </w:t>
      </w:r>
      <w:r>
        <w:rPr>
          <w:rFonts w:ascii="Times New Roman" w:cs="Times New Roman" w:eastAsia="Times New Roman" w:hAnsi="Times New Roman"/>
          <w:sz w:val="18"/>
          <w:szCs w:val="18"/>
          <w:i w:val="1"/>
          <w:iCs w:val="1"/>
          <w:color w:val="auto"/>
        </w:rPr>
        <w:t>Oil and natural gas interests, full cost method of accounting</w:t>
      </w:r>
      <w:r>
        <w:rPr>
          <w:rFonts w:ascii="Times New Roman" w:cs="Times New Roman" w:eastAsia="Times New Roman" w:hAnsi="Times New Roman"/>
          <w:sz w:val="18"/>
          <w:szCs w:val="18"/>
          <w:color w:val="auto"/>
        </w:rPr>
        <w:t xml:space="preserve"> to reflect the $28 million make whole redemption premium due on Sitio’s existing senior notes due 2028 and the write-off of approximately $8 million of unamortized debt issuance costs related to Sitio’s existing senior notes due 2028 and $7 million of unamortized debt issuance costs on Sitio’s revolving credit facility;</w:t>
      </w:r>
    </w:p>
    <w:p>
      <w:pPr>
        <w:spacing w:after="0" w:line="85" w:lineRule="exact"/>
        <w:rPr>
          <w:rFonts w:ascii="Times New Roman" w:cs="Times New Roman" w:eastAsia="Times New Roman" w:hAnsi="Times New Roman"/>
          <w:sz w:val="18"/>
          <w:szCs w:val="18"/>
          <w:color w:val="auto"/>
        </w:rPr>
      </w:pPr>
    </w:p>
    <w:p>
      <w:pPr>
        <w:ind w:left="1000" w:hanging="331"/>
        <w:spacing w:after="0" w:line="284" w:lineRule="auto"/>
        <w:tabs>
          <w:tab w:leader="none" w:pos="10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 million decrease to </w:t>
      </w:r>
      <w:r>
        <w:rPr>
          <w:rFonts w:ascii="Times New Roman" w:cs="Times New Roman" w:eastAsia="Times New Roman" w:hAnsi="Times New Roman"/>
          <w:sz w:val="18"/>
          <w:szCs w:val="18"/>
          <w:i w:val="1"/>
          <w:iCs w:val="1"/>
          <w:color w:val="auto"/>
        </w:rPr>
        <w:t>Deferred financing costs</w:t>
      </w:r>
      <w:r>
        <w:rPr>
          <w:rFonts w:ascii="Times New Roman" w:cs="Times New Roman" w:eastAsia="Times New Roman" w:hAnsi="Times New Roman"/>
          <w:sz w:val="18"/>
          <w:szCs w:val="18"/>
          <w:color w:val="auto"/>
        </w:rPr>
        <w:t xml:space="preserve"> for the write-off of unamortized debt issuance costs related to Sitio’s revolving credit facility;</w:t>
      </w:r>
    </w:p>
    <w:p>
      <w:pPr>
        <w:spacing w:after="0" w:line="63" w:lineRule="exact"/>
        <w:rPr>
          <w:rFonts w:ascii="Times New Roman" w:cs="Times New Roman" w:eastAsia="Times New Roman" w:hAnsi="Times New Roman"/>
          <w:sz w:val="18"/>
          <w:szCs w:val="18"/>
          <w:color w:val="auto"/>
        </w:rPr>
      </w:pPr>
    </w:p>
    <w:p>
      <w:pPr>
        <w:ind w:left="1000" w:right="160" w:hanging="331"/>
        <w:spacing w:after="0" w:line="284" w:lineRule="auto"/>
        <w:tabs>
          <w:tab w:leader="none" w:pos="10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 million decrease to </w:t>
      </w:r>
      <w:r>
        <w:rPr>
          <w:rFonts w:ascii="Times New Roman" w:cs="Times New Roman" w:eastAsia="Times New Roman" w:hAnsi="Times New Roman"/>
          <w:sz w:val="18"/>
          <w:szCs w:val="18"/>
          <w:i w:val="1"/>
          <w:iCs w:val="1"/>
          <w:color w:val="auto"/>
        </w:rPr>
        <w:t>Accrued liabilities</w:t>
      </w:r>
      <w:r>
        <w:rPr>
          <w:rFonts w:ascii="Times New Roman" w:cs="Times New Roman" w:eastAsia="Times New Roman" w:hAnsi="Times New Roman"/>
          <w:sz w:val="18"/>
          <w:szCs w:val="18"/>
          <w:color w:val="auto"/>
        </w:rPr>
        <w:t xml:space="preserve"> for the elimination of Sitio’s accrued and unpaid interest on its existing senior notes due 2028 and revolving credit facility;</w:t>
      </w:r>
    </w:p>
    <w:p>
      <w:pPr>
        <w:spacing w:after="0" w:line="63" w:lineRule="exact"/>
        <w:rPr>
          <w:rFonts w:ascii="Times New Roman" w:cs="Times New Roman" w:eastAsia="Times New Roman" w:hAnsi="Times New Roman"/>
          <w:sz w:val="18"/>
          <w:szCs w:val="18"/>
          <w:color w:val="auto"/>
        </w:rPr>
      </w:pPr>
    </w:p>
    <w:p>
      <w:pPr>
        <w:ind w:left="1000" w:right="160" w:hanging="331"/>
        <w:spacing w:after="0" w:line="267" w:lineRule="auto"/>
        <w:tabs>
          <w:tab w:leader="none" w:pos="10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 billion decrease to </w:t>
      </w:r>
      <w:r>
        <w:rPr>
          <w:rFonts w:ascii="Times New Roman" w:cs="Times New Roman" w:eastAsia="Times New Roman" w:hAnsi="Times New Roman"/>
          <w:sz w:val="18"/>
          <w:szCs w:val="18"/>
          <w:i w:val="1"/>
          <w:iCs w:val="1"/>
          <w:color w:val="auto"/>
        </w:rPr>
        <w:t>Long-term debt, net</w:t>
      </w:r>
      <w:r>
        <w:rPr>
          <w:rFonts w:ascii="Times New Roman" w:cs="Times New Roman" w:eastAsia="Times New Roman" w:hAnsi="Times New Roman"/>
          <w:sz w:val="18"/>
          <w:szCs w:val="18"/>
          <w:color w:val="auto"/>
        </w:rPr>
        <w:t xml:space="preserve"> reflecting (i) the repayment of $488 million in outstanding borrowings under Sitio’s revolving credit facility, (ii) the redemption of $600 million principal amount of Sitio’s existing senior notes due 2028, and (iii) the write-off of $8 million of unamortized debt issuance costs related to Sitio’s existing senior notes due 2028;</w:t>
      </w:r>
    </w:p>
    <w:p>
      <w:pPr>
        <w:spacing w:after="0" w:line="7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elimination of Sitio’s historical </w:t>
      </w:r>
      <w:r>
        <w:rPr>
          <w:rFonts w:ascii="Times New Roman" w:cs="Times New Roman" w:eastAsia="Times New Roman" w:hAnsi="Times New Roman"/>
          <w:sz w:val="18"/>
          <w:szCs w:val="18"/>
          <w:i w:val="1"/>
          <w:iCs w:val="1"/>
          <w:color w:val="auto"/>
        </w:rPr>
        <w:t>Accumulated depletion and impairment</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540" w:hanging="532"/>
        <w:spacing w:after="0" w:line="258"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$12 million in severance payments to be made by Viper for the termination of certain Sitio employees effective on the closing date of the Sitio Transaction as a decrease to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and a reduction to </w:t>
      </w:r>
      <w:r>
        <w:rPr>
          <w:rFonts w:ascii="Times New Roman" w:cs="Times New Roman" w:eastAsia="Times New Roman" w:hAnsi="Times New Roman"/>
          <w:sz w:val="18"/>
          <w:szCs w:val="18"/>
          <w:i w:val="1"/>
          <w:iCs w:val="1"/>
          <w:color w:val="auto"/>
        </w:rPr>
        <w:t>Retained earnings (accumulated deficit)</w:t>
      </w:r>
      <w:r>
        <w:rPr>
          <w:rFonts w:ascii="Times New Roman" w:cs="Times New Roman" w:eastAsia="Times New Roman" w:hAnsi="Times New Roman"/>
          <w:sz w:val="18"/>
          <w:szCs w:val="18"/>
          <w:color w:val="auto"/>
        </w:rPr>
        <w:t xml:space="preserve"> on the pro forma balance sheet and an increase to General and administrative expenses on the pro forma statement of operations for the year ended December 31, 2024. Additionally, Viper may incur up to an additional $14 million in severance costs, which are not adjusted in the pro forma financial statements and will be paid based on the terms of the historical Sitio severance plans.</w:t>
      </w:r>
    </w:p>
    <w:p>
      <w:pPr>
        <w:spacing w:after="0" w:line="23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80"/>
          </w:cols>
          <w:pgMar w:left="860" w:top="270" w:right="459" w:bottom="1440" w:gutter="0" w:footer="0" w:header="0"/>
        </w:sectPr>
      </w:pPr>
    </w:p>
    <w:bookmarkStart w:id="34" w:name="page35"/>
    <w:bookmarkEnd w:id="34"/>
    <w:p>
      <w:pPr>
        <w:ind w:left="960" w:hanging="532"/>
        <w:spacing w:after="0" w:line="267"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Reflects a $152 million net decrease to </w:t>
      </w:r>
      <w:r>
        <w:rPr>
          <w:rFonts w:ascii="Times New Roman" w:cs="Times New Roman" w:eastAsia="Times New Roman" w:hAnsi="Times New Roman"/>
          <w:sz w:val="18"/>
          <w:szCs w:val="18"/>
          <w:i w:val="1"/>
          <w:iCs w:val="1"/>
          <w:color w:val="auto"/>
        </w:rPr>
        <w:t>Oil and natural gas interests, full cost method of accounting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Deferred tax liability</w:t>
      </w:r>
      <w:r>
        <w:rPr>
          <w:rFonts w:ascii="Times New Roman" w:cs="Times New Roman" w:eastAsia="Times New Roman" w:hAnsi="Times New Roman"/>
          <w:sz w:val="18"/>
          <w:szCs w:val="18"/>
          <w:color w:val="auto"/>
        </w:rPr>
        <w:t xml:space="preserve"> to reflect adjustments to the GAAP basis of the assets acquired and liabilities assumed, which impact the difference between the GAAP basis and the tax basis in the applicable assets and liabilities, based on an estimated blended federal and state statutory tax rate of 21.3%.</w:t>
      </w:r>
    </w:p>
    <w:p>
      <w:pPr>
        <w:spacing w:after="0" w:line="78" w:lineRule="exact"/>
        <w:rPr>
          <w:rFonts w:ascii="Times New Roman" w:cs="Times New Roman" w:eastAsia="Times New Roman" w:hAnsi="Times New Roman"/>
          <w:sz w:val="18"/>
          <w:szCs w:val="18"/>
          <w:color w:val="auto"/>
        </w:rPr>
      </w:pPr>
    </w:p>
    <w:p>
      <w:pPr>
        <w:ind w:left="960" w:right="200" w:hanging="532"/>
        <w:spacing w:after="0" w:line="267"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a decrease of $10 million in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an increase of $13 million in </w:t>
      </w:r>
      <w:r>
        <w:rPr>
          <w:rFonts w:ascii="Times New Roman" w:cs="Times New Roman" w:eastAsia="Times New Roman" w:hAnsi="Times New Roman"/>
          <w:sz w:val="18"/>
          <w:szCs w:val="18"/>
          <w:i w:val="1"/>
          <w:iCs w:val="1"/>
          <w:color w:val="auto"/>
        </w:rPr>
        <w:t>Non-controlling interest</w:t>
      </w:r>
      <w:r>
        <w:rPr>
          <w:rFonts w:ascii="Times New Roman" w:cs="Times New Roman" w:eastAsia="Times New Roman" w:hAnsi="Times New Roman"/>
          <w:sz w:val="18"/>
          <w:szCs w:val="18"/>
          <w:color w:val="auto"/>
        </w:rPr>
        <w:t xml:space="preserve">, and a related decrease of $3 million in </w:t>
      </w:r>
      <w:r>
        <w:rPr>
          <w:rFonts w:ascii="Times New Roman" w:cs="Times New Roman" w:eastAsia="Times New Roman" w:hAnsi="Times New Roman"/>
          <w:sz w:val="18"/>
          <w:szCs w:val="18"/>
          <w:i w:val="1"/>
          <w:iCs w:val="1"/>
          <w:color w:val="auto"/>
        </w:rPr>
        <w:t>Deferred tax liability</w:t>
      </w:r>
      <w:r>
        <w:rPr>
          <w:rFonts w:ascii="Times New Roman" w:cs="Times New Roman" w:eastAsia="Times New Roman" w:hAnsi="Times New Roman"/>
          <w:sz w:val="18"/>
          <w:szCs w:val="18"/>
          <w:color w:val="auto"/>
        </w:rPr>
        <w:t xml:space="preserve"> to record the changes in Viper’s ownership interests in Viper OpCo as a result of the Sitio Transaction in accordance with ASC 810, “Consolidation.”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Condensed Combined Statements of Operations for the year ended December 31, 2024 and the six months ended June 30, 2025</w:t>
      </w:r>
    </w:p>
    <w:p>
      <w:pPr>
        <w:spacing w:after="0" w:line="121"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 adjustments included in the pro forma condensed combined statements of operations for the year ended December 31, 2024 and the six months ended June 30, 2025 are as follows:</w:t>
      </w:r>
    </w:p>
    <w:p>
      <w:pPr>
        <w:spacing w:after="0" w:line="67" w:lineRule="exact"/>
        <w:rPr>
          <w:sz w:val="20"/>
          <w:szCs w:val="20"/>
          <w:color w:val="auto"/>
        </w:rPr>
      </w:pPr>
    </w:p>
    <w:p>
      <w:pPr>
        <w:ind w:left="960" w:hanging="532"/>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certain expenses not included in the entities acquired in the Tumbleweed Acquisitions as follows:</w:t>
      </w:r>
    </w:p>
    <w:p>
      <w:pPr>
        <w:spacing w:after="0" w:line="128"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decrease of $116 million in </w:t>
      </w: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decrease of $1 million in </w:t>
      </w:r>
      <w:r>
        <w:rPr>
          <w:rFonts w:ascii="Times New Roman" w:cs="Times New Roman" w:eastAsia="Times New Roman" w:hAnsi="Times New Roman"/>
          <w:sz w:val="18"/>
          <w:szCs w:val="18"/>
          <w:i w:val="1"/>
          <w:iCs w:val="1"/>
          <w:color w:val="auto"/>
        </w:rPr>
        <w:t>Earnings from equity method investment.</w:t>
      </w:r>
    </w:p>
    <w:p>
      <w:pPr>
        <w:spacing w:after="0" w:line="130" w:lineRule="exact"/>
        <w:rPr>
          <w:rFonts w:ascii="Times New Roman" w:cs="Times New Roman" w:eastAsia="Times New Roman" w:hAnsi="Times New Roman"/>
          <w:sz w:val="18"/>
          <w:szCs w:val="18"/>
          <w:color w:val="auto"/>
        </w:rPr>
      </w:pPr>
    </w:p>
    <w:p>
      <w:pPr>
        <w:ind w:left="960" w:right="100" w:hanging="532"/>
        <w:spacing w:after="0" w:line="267"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a $2 million net decrease in </w:t>
      </w:r>
      <w:r>
        <w:rPr>
          <w:rFonts w:ascii="Times New Roman" w:cs="Times New Roman" w:eastAsia="Times New Roman" w:hAnsi="Times New Roman"/>
          <w:sz w:val="18"/>
          <w:szCs w:val="18"/>
          <w:i w:val="1"/>
          <w:iCs w:val="1"/>
          <w:color w:val="auto"/>
        </w:rPr>
        <w:t>Depletion</w:t>
      </w:r>
      <w:r>
        <w:rPr>
          <w:rFonts w:ascii="Times New Roman" w:cs="Times New Roman" w:eastAsia="Times New Roman" w:hAnsi="Times New Roman"/>
          <w:sz w:val="18"/>
          <w:szCs w:val="18"/>
          <w:color w:val="auto"/>
        </w:rPr>
        <w:t xml:space="preserve"> computed on a unit of production basis under the full cost method of accounting following the preliminary purchase price allocation to </w:t>
      </w:r>
      <w:r>
        <w:rPr>
          <w:rFonts w:ascii="Times New Roman" w:cs="Times New Roman" w:eastAsia="Times New Roman" w:hAnsi="Times New Roman"/>
          <w:sz w:val="18"/>
          <w:szCs w:val="18"/>
          <w:i w:val="1"/>
          <w:iCs w:val="1"/>
          <w:color w:val="auto"/>
        </w:rPr>
        <w:t>Oil and natural gas interests, full cost method of accounting,</w:t>
      </w:r>
      <w:r>
        <w:rPr>
          <w:rFonts w:ascii="Times New Roman" w:cs="Times New Roman" w:eastAsia="Times New Roman" w:hAnsi="Times New Roman"/>
          <w:sz w:val="18"/>
          <w:szCs w:val="18"/>
          <w:color w:val="auto"/>
        </w:rPr>
        <w:t xml:space="preserve"> as if the Tumbleweed Acquisitions were consummated on January 1, 2024.</w:t>
      </w:r>
    </w:p>
    <w:p>
      <w:pPr>
        <w:spacing w:after="0" w:line="78" w:lineRule="exact"/>
        <w:rPr>
          <w:rFonts w:ascii="Times New Roman" w:cs="Times New Roman" w:eastAsia="Times New Roman" w:hAnsi="Times New Roman"/>
          <w:sz w:val="18"/>
          <w:szCs w:val="18"/>
          <w:color w:val="auto"/>
        </w:rPr>
      </w:pPr>
    </w:p>
    <w:p>
      <w:pPr>
        <w:ind w:left="960" w:right="220" w:hanging="532"/>
        <w:spacing w:after="0" w:line="261"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a net increase of $15 million in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that would have been recorded for the year ended December 31, 2024 with respect to the incremental borrowings of $280 million used to fund a portion of the cash consideration for the TWR Acquisition. The effective interest rate as of the TWR Closing Date of approximately 7.2%, was applied to the pro forma incremental outstanding borrowings on Viper’s revolving credit facility to calculate pro forma interest expense.</w:t>
      </w:r>
    </w:p>
    <w:p>
      <w:pPr>
        <w:spacing w:after="0" w:line="87"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Tumbleweed Acquisitions include provisions for amounts contingently payable by Viper based on the satisfaction of certain commodity price thresholds in the future. This adjustment reflects the changes in fair value of the related contingent consideration liability of Viper through the respective Q&amp;M Closing Date and the TWR Closing Date.</w:t>
      </w:r>
    </w:p>
    <w:p>
      <w:pPr>
        <w:spacing w:after="0" w:line="81"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estimated impact to the income tax provision associated with the incremental pro forma income before taxes associated with the Tumbleweed Acquisitions and attributable to Viper, using a blended federal plus state statutory tax rate, net of federal benefit, of 21.7% for the year ended December 31, 2024.</w:t>
      </w:r>
    </w:p>
    <w:p>
      <w:pPr>
        <w:spacing w:after="0" w:line="79" w:lineRule="exact"/>
        <w:rPr>
          <w:rFonts w:ascii="Times New Roman" w:cs="Times New Roman" w:eastAsia="Times New Roman" w:hAnsi="Times New Roman"/>
          <w:sz w:val="18"/>
          <w:szCs w:val="18"/>
          <w:color w:val="auto"/>
        </w:rPr>
      </w:pPr>
    </w:p>
    <w:p>
      <w:pPr>
        <w:ind w:left="960" w:right="160" w:hanging="532"/>
        <w:spacing w:after="0" w:line="290" w:lineRule="auto"/>
        <w:tabs>
          <w:tab w:leader="none" w:pos="9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Reflects the impact to </w:t>
      </w:r>
      <w:r>
        <w:rPr>
          <w:rFonts w:ascii="Times New Roman" w:cs="Times New Roman" w:eastAsia="Times New Roman" w:hAnsi="Times New Roman"/>
          <w:sz w:val="17"/>
          <w:szCs w:val="17"/>
          <w:i w:val="1"/>
          <w:iCs w:val="1"/>
          <w:color w:val="auto"/>
        </w:rPr>
        <w:t>Net income (loss) attributable to non-controlling interest</w:t>
      </w:r>
      <w:r>
        <w:rPr>
          <w:rFonts w:ascii="Times New Roman" w:cs="Times New Roman" w:eastAsia="Times New Roman" w:hAnsi="Times New Roman"/>
          <w:sz w:val="17"/>
          <w:szCs w:val="17"/>
          <w:color w:val="auto"/>
        </w:rPr>
        <w:t xml:space="preserve"> of issuing 11,500,000 shares of Viper’s Class A Common Stock to the public in September 2024 to partially fund the cash consideration for the TWR Acquisition and issuing 10,093,670 Viper OpCo Units for an approximate 5.0% ownership interest in Viper OpCo as partial consideration for the TWR Acquisition.</w:t>
      </w:r>
    </w:p>
    <w:p>
      <w:pPr>
        <w:spacing w:after="0" w:line="62" w:lineRule="exact"/>
        <w:rPr>
          <w:rFonts w:ascii="Times New Roman" w:cs="Times New Roman" w:eastAsia="Times New Roman" w:hAnsi="Times New Roman"/>
          <w:sz w:val="17"/>
          <w:szCs w:val="17"/>
          <w:color w:val="auto"/>
        </w:rPr>
      </w:pPr>
    </w:p>
    <w:p>
      <w:pPr>
        <w:ind w:left="960" w:right="40" w:hanging="532"/>
        <w:spacing w:after="0" w:line="266"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public issuance of 11,500,000 shares of Viper Class A Common Stock in September 2024 to fund a portion of the cash consideration for the TWR Acquisition as though the issuance took place on January 1, 2024. The following table reconciles historical and pro forma basic and diluted earnings per share utilizing the two-class method for the year ended December 31, 2024:</w:t>
      </w:r>
    </w:p>
    <w:p>
      <w:pPr>
        <w:spacing w:after="0" w:line="19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720"/>
        <w:spacing w:after="0"/>
        <w:rPr>
          <w:sz w:val="20"/>
          <w:szCs w:val="20"/>
          <w:color w:val="auto"/>
        </w:rPr>
      </w:pPr>
      <w:r>
        <w:rPr>
          <w:rFonts w:ascii="Times New Roman" w:cs="Times New Roman" w:eastAsia="Times New Roman" w:hAnsi="Times New Roman"/>
          <w:sz w:val="14"/>
          <w:szCs w:val="14"/>
          <w:b w:val="1"/>
          <w:bCs w:val="1"/>
          <w:color w:val="auto"/>
        </w:rPr>
        <w:t>December 31, 2024</w:t>
      </w:r>
    </w:p>
    <w:tbl>
      <w:tblPr>
        <w:tblLayout w:type="fixed"/>
        <w:tblInd w:w="1320" w:type="dxa"/>
        <w:tblCellMar>
          <w:top w:w="0" w:type="dxa"/>
          <w:left w:w="0" w:type="dxa"/>
          <w:bottom w:w="0" w:type="dxa"/>
          <w:right w:w="0" w:type="dxa"/>
        </w:tblCellMar>
      </w:tblPr>
      <w:tr>
        <w:trPr>
          <w:trHeight w:val="142"/>
        </w:trPr>
        <w:tc>
          <w:tcPr>
            <w:tcW w:w="5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Borders>
              <w:top w:val="single" w:sz="8" w:color="auto"/>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Viper (Historical)</w:t>
            </w:r>
          </w:p>
        </w:tc>
        <w:tc>
          <w:tcPr>
            <w:tcW w:w="3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20" w:type="dxa"/>
            <w:vAlign w:val="bottom"/>
            <w:gridSpan w:val="5"/>
          </w:tcPr>
          <w:p>
            <w:pPr>
              <w:jc w:val="center"/>
              <w:ind w:right="130"/>
              <w:spacing w:after="0" w:line="118" w:lineRule="exact"/>
              <w:rPr>
                <w:sz w:val="20"/>
                <w:szCs w:val="20"/>
                <w:color w:val="auto"/>
              </w:rPr>
            </w:pPr>
            <w:r>
              <w:rPr>
                <w:rFonts w:ascii="Times New Roman" w:cs="Times New Roman" w:eastAsia="Times New Roman" w:hAnsi="Times New Roman"/>
                <w:sz w:val="13"/>
                <w:szCs w:val="13"/>
                <w:b w:val="1"/>
                <w:bCs w:val="1"/>
                <w:color w:val="auto"/>
              </w:rPr>
              <w:t>(In millions, except per share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amounts, shares in thousands)</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the period</w:t>
            </w:r>
          </w:p>
        </w:tc>
        <w:tc>
          <w:tcPr>
            <w:tcW w:w="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359</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198"/>
        </w:trPr>
        <w:tc>
          <w:tcPr>
            <w:tcW w:w="5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distributed and undistributed earnings allocated to participating</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unitholders</w:t>
            </w:r>
          </w:p>
        </w:tc>
        <w:tc>
          <w:tcPr>
            <w:tcW w:w="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359</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units outstanding:</w:t>
            </w: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93,932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101,976</w:t>
            </w: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Potential common units issuable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93,932</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101,976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common unit, basic</w:t>
            </w:r>
          </w:p>
        </w:tc>
        <w:tc>
          <w:tcPr>
            <w:tcW w:w="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3.82</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unit, diluted</w:t>
            </w: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3.82</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346"/>
        </w:trPr>
        <w:tc>
          <w:tcPr>
            <w:tcW w:w="538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68" w:right="459" w:bottom="1440" w:gutter="0" w:footer="0" w:header="0"/>
        </w:sectPr>
      </w:pPr>
    </w:p>
    <w:bookmarkStart w:id="35" w:name="page36"/>
    <w:bookmarkEnd w:id="35"/>
    <w:p>
      <w:pPr>
        <w:ind w:left="964" w:right="20" w:hanging="532"/>
        <w:spacing w:after="0" w:line="261" w:lineRule="auto"/>
        <w:tabs>
          <w:tab w:leader="none" w:pos="9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Reflects increases of $231 million and $72 million in </w:t>
      </w:r>
      <w:r>
        <w:rPr>
          <w:rFonts w:ascii="Times New Roman" w:cs="Times New Roman" w:eastAsia="Times New Roman" w:hAnsi="Times New Roman"/>
          <w:sz w:val="18"/>
          <w:szCs w:val="18"/>
          <w:i w:val="1"/>
          <w:iCs w:val="1"/>
          <w:color w:val="auto"/>
        </w:rPr>
        <w:t>Depletion</w:t>
      </w:r>
      <w:r>
        <w:rPr>
          <w:rFonts w:ascii="Times New Roman" w:cs="Times New Roman" w:eastAsia="Times New Roman" w:hAnsi="Times New Roman"/>
          <w:sz w:val="18"/>
          <w:szCs w:val="18"/>
          <w:color w:val="auto"/>
        </w:rPr>
        <w:t xml:space="preserve"> for the year ended December 31, 2024 and the six months ended June 30, 2025, respectively computed on a unit of production basis under the full cost method of accounting following the preliminary purchase price allocation to </w:t>
      </w:r>
      <w:r>
        <w:rPr>
          <w:rFonts w:ascii="Times New Roman" w:cs="Times New Roman" w:eastAsia="Times New Roman" w:hAnsi="Times New Roman"/>
          <w:sz w:val="18"/>
          <w:szCs w:val="18"/>
          <w:i w:val="1"/>
          <w:iCs w:val="1"/>
          <w:color w:val="auto"/>
        </w:rPr>
        <w:t>Oil and natural gas interests, full cost method of accounting,</w:t>
      </w:r>
      <w:r>
        <w:rPr>
          <w:rFonts w:ascii="Times New Roman" w:cs="Times New Roman" w:eastAsia="Times New Roman" w:hAnsi="Times New Roman"/>
          <w:sz w:val="18"/>
          <w:szCs w:val="18"/>
          <w:color w:val="auto"/>
        </w:rPr>
        <w:t xml:space="preserve"> as if the 2025 Drop Down was consummated on January 1, 2024.</w:t>
      </w:r>
    </w:p>
    <w:p>
      <w:pPr>
        <w:spacing w:after="0" w:line="85" w:lineRule="exact"/>
        <w:rPr>
          <w:rFonts w:ascii="Times New Roman" w:cs="Times New Roman" w:eastAsia="Times New Roman" w:hAnsi="Times New Roman"/>
          <w:sz w:val="18"/>
          <w:szCs w:val="18"/>
          <w:color w:val="auto"/>
        </w:rPr>
      </w:pPr>
    </w:p>
    <w:p>
      <w:pPr>
        <w:ind w:left="964" w:right="20" w:hanging="532"/>
        <w:spacing w:after="0" w:line="258" w:lineRule="auto"/>
        <w:tabs>
          <w:tab w:leader="none" w:pos="9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net increases of $16 million and $5 million in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that would have been recorded in the year ended December 31, 2024 and the six months ended June 30, 2025, respectively, with respect to the incremental borrowings of $255 million used to fund a portion of the cash consideration for the 2025 Drop Down. The effective interest rate as of the 2025 Drop Down Closing Date of approximately 6.4%, was applied to the pro forma incremental outstanding borrowings on Viper’s revolving credit facility to calculate pro forma interest expense.</w:t>
      </w:r>
    </w:p>
    <w:p>
      <w:pPr>
        <w:spacing w:after="0" w:line="88" w:lineRule="exact"/>
        <w:rPr>
          <w:rFonts w:ascii="Times New Roman" w:cs="Times New Roman" w:eastAsia="Times New Roman" w:hAnsi="Times New Roman"/>
          <w:sz w:val="18"/>
          <w:szCs w:val="18"/>
          <w:color w:val="auto"/>
        </w:rPr>
      </w:pPr>
    </w:p>
    <w:p>
      <w:pPr>
        <w:ind w:left="964" w:right="20" w:hanging="532"/>
        <w:spacing w:after="0" w:line="267" w:lineRule="auto"/>
        <w:tabs>
          <w:tab w:leader="none" w:pos="9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estimated impact to </w:t>
      </w:r>
      <w:r>
        <w:rPr>
          <w:rFonts w:ascii="Times New Roman" w:cs="Times New Roman" w:eastAsia="Times New Roman" w:hAnsi="Times New Roman"/>
          <w:sz w:val="18"/>
          <w:szCs w:val="18"/>
          <w:i w:val="1"/>
          <w:iCs w:val="1"/>
          <w:color w:val="auto"/>
        </w:rPr>
        <w:t>Provision for (benefit from) income taxes</w:t>
      </w:r>
      <w:r>
        <w:rPr>
          <w:rFonts w:ascii="Times New Roman" w:cs="Times New Roman" w:eastAsia="Times New Roman" w:hAnsi="Times New Roman"/>
          <w:sz w:val="18"/>
          <w:szCs w:val="18"/>
          <w:color w:val="auto"/>
        </w:rPr>
        <w:t xml:space="preserve"> associated with the incremental pro forma income before taxes from the 2025 Drop Down attributable to Viper, using a blended federal plus state statutory tax rate, net of federal benefit, of 21.7% for the year ended December 31, 2024 and the six months ended June 30, 2025.</w:t>
      </w:r>
    </w:p>
    <w:p>
      <w:pPr>
        <w:spacing w:after="0" w:line="78" w:lineRule="exact"/>
        <w:rPr>
          <w:rFonts w:ascii="Times New Roman" w:cs="Times New Roman" w:eastAsia="Times New Roman" w:hAnsi="Times New Roman"/>
          <w:sz w:val="18"/>
          <w:szCs w:val="18"/>
          <w:color w:val="auto"/>
        </w:rPr>
      </w:pPr>
    </w:p>
    <w:p>
      <w:pPr>
        <w:ind w:left="964" w:right="40" w:hanging="532"/>
        <w:spacing w:after="0" w:line="267" w:lineRule="auto"/>
        <w:tabs>
          <w:tab w:leader="none" w:pos="9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Further reflects the impact to </w:t>
      </w:r>
      <w:r>
        <w:rPr>
          <w:rFonts w:ascii="Times New Roman" w:cs="Times New Roman" w:eastAsia="Times New Roman" w:hAnsi="Times New Roman"/>
          <w:sz w:val="18"/>
          <w:szCs w:val="18"/>
          <w:i w:val="1"/>
          <w:iCs w:val="1"/>
          <w:color w:val="auto"/>
        </w:rPr>
        <w:t>Net income (loss) attributable to non-controlling interest</w:t>
      </w:r>
      <w:r>
        <w:rPr>
          <w:rFonts w:ascii="Times New Roman" w:cs="Times New Roman" w:eastAsia="Times New Roman" w:hAnsi="Times New Roman"/>
          <w:sz w:val="18"/>
          <w:szCs w:val="18"/>
          <w:color w:val="auto"/>
        </w:rPr>
        <w:t xml:space="preserve"> for the year ended December 31, 2024 and the six months ended June 30, 2025 of the Endeavor Equity Issuance to the Endeavor Sellers as partial consideration for the 2025 Drop Down and issuing 28,336,000 shares of Viper Class A Common Stock in the 2025 Equity Offering.</w:t>
      </w:r>
    </w:p>
    <w:p>
      <w:pPr>
        <w:spacing w:after="0" w:line="80"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reconciles Viper’s historical and pro forma basic and diluted earnings per share including the impacts of the 2025 Drop Down utilizing the two-class method for the periods indicated:</w:t>
      </w:r>
    </w:p>
    <w:p>
      <w:pPr>
        <w:spacing w:after="0" w:line="17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Viper</w:t>
            </w:r>
          </w:p>
        </w:tc>
        <w:tc>
          <w:tcPr>
            <w:tcW w:w="58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Viper</w:t>
            </w: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(Historical)</w:t>
            </w:r>
            <w:r>
              <w:rPr>
                <w:rFonts w:ascii="Times New Roman" w:cs="Times New Roman" w:eastAsia="Times New Roman" w:hAnsi="Times New Roman"/>
                <w:sz w:val="10"/>
                <w:szCs w:val="10"/>
                <w:b w:val="1"/>
                <w:bCs w:val="1"/>
                <w:color w:val="auto"/>
              </w:rPr>
              <w:t>(1)</w:t>
            </w:r>
          </w:p>
        </w:tc>
        <w:tc>
          <w:tcPr>
            <w:tcW w:w="5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7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160" w:type="dxa"/>
            <w:vAlign w:val="bottom"/>
            <w:tcBorders>
              <w:top w:val="single" w:sz="8" w:color="auto"/>
            </w:tcBorders>
            <w:gridSpan w:val="8"/>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(In millions, except per share amounts, shares in</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the period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w:t>
            </w:r>
          </w:p>
        </w:tc>
        <w:tc>
          <w:tcPr>
            <w:tcW w:w="6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distributed and undistributed earnings allocated to</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participating securities</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unitholders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units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101,976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9"/>
              </w:rPr>
              <w:t>130,312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126,045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131,211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Potential common units issuable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101,976</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130,312</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126,160</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131,326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common unit, basic</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3.62</w:t>
            </w:r>
          </w:p>
        </w:tc>
        <w:tc>
          <w:tcPr>
            <w:tcW w:w="6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unit, diluted</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w:t>
            </w:r>
          </w:p>
        </w:tc>
        <w:tc>
          <w:tcPr>
            <w:tcW w:w="66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24" w:right="320" w:hanging="424"/>
        <w:spacing w:after="0" w:line="282"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Viper’s historical income statement and earnings per share amounts for the year ended December 31, 2024 include the effects of the pro forma adjustments for the Tumbleweed Acquisitions in the pro forma condensed combined statement of operations.</w:t>
      </w:r>
    </w:p>
    <w:p>
      <w:pPr>
        <w:spacing w:after="0" w:line="65" w:lineRule="exact"/>
        <w:rPr>
          <w:rFonts w:ascii="Times New Roman" w:cs="Times New Roman" w:eastAsia="Times New Roman" w:hAnsi="Times New Roman"/>
          <w:sz w:val="18"/>
          <w:szCs w:val="18"/>
          <w:color w:val="auto"/>
        </w:rPr>
      </w:pPr>
    </w:p>
    <w:p>
      <w:pPr>
        <w:ind w:left="964" w:right="140" w:hanging="532"/>
        <w:spacing w:after="0" w:line="261" w:lineRule="auto"/>
        <w:tabs>
          <w:tab w:leader="none" w:pos="96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net decreases of $74 million and $20 million in </w:t>
      </w:r>
      <w:r>
        <w:rPr>
          <w:rFonts w:ascii="Times New Roman" w:cs="Times New Roman" w:eastAsia="Times New Roman" w:hAnsi="Times New Roman"/>
          <w:sz w:val="18"/>
          <w:szCs w:val="18"/>
          <w:i w:val="1"/>
          <w:iCs w:val="1"/>
          <w:color w:val="auto"/>
        </w:rPr>
        <w:t>Depletion</w:t>
      </w:r>
      <w:r>
        <w:rPr>
          <w:rFonts w:ascii="Times New Roman" w:cs="Times New Roman" w:eastAsia="Times New Roman" w:hAnsi="Times New Roman"/>
          <w:sz w:val="18"/>
          <w:szCs w:val="18"/>
          <w:color w:val="auto"/>
        </w:rPr>
        <w:t xml:space="preserve"> for the year ended December 31, 2024 and the six months ended June 30, 2025, respectively, computed on a unit of production basis under the full cost method of accounting following the preliminary purchase price allocation to </w:t>
      </w:r>
      <w:r>
        <w:rPr>
          <w:rFonts w:ascii="Times New Roman" w:cs="Times New Roman" w:eastAsia="Times New Roman" w:hAnsi="Times New Roman"/>
          <w:sz w:val="18"/>
          <w:szCs w:val="18"/>
          <w:i w:val="1"/>
          <w:iCs w:val="1"/>
          <w:color w:val="auto"/>
        </w:rPr>
        <w:t>Oil and natural gas interests, full cost method of accounting,</w:t>
      </w:r>
      <w:r>
        <w:rPr>
          <w:rFonts w:ascii="Times New Roman" w:cs="Times New Roman" w:eastAsia="Times New Roman" w:hAnsi="Times New Roman"/>
          <w:sz w:val="18"/>
          <w:szCs w:val="18"/>
          <w:color w:val="auto"/>
        </w:rPr>
        <w:t xml:space="preserve"> as if the Sitio Transaction was consummated on January 1, 2024.</w:t>
      </w:r>
    </w:p>
    <w:p>
      <w:pPr>
        <w:spacing w:after="0" w:line="85" w:lineRule="exact"/>
        <w:rPr>
          <w:rFonts w:ascii="Times New Roman" w:cs="Times New Roman" w:eastAsia="Times New Roman" w:hAnsi="Times New Roman"/>
          <w:sz w:val="18"/>
          <w:szCs w:val="18"/>
          <w:color w:val="auto"/>
        </w:rPr>
      </w:pPr>
    </w:p>
    <w:p>
      <w:pPr>
        <w:ind w:left="964" w:hanging="532"/>
        <w:spacing w:after="0" w:line="257" w:lineRule="auto"/>
        <w:tabs>
          <w:tab w:leader="none" w:pos="96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a net increase of $5 million and a net decrease of $2 million in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for the year ended December 31, 2024 and the six months ended June 30, 2025, respectively, that would have been recorded with respect to the (i) $1.1 billion repayment of the Sitio revolving credit facility and Sitio’s existing senior notes due 2028 (ii) the repayment of Viper’s 2031 Notes, (iii) the issuance of the New Notes, and (iv) the full borrowing of the 2025 Term Loan Credit Agreement. The effective interest rate on the 2025 Term Loan Credit Agreement as of August 20, 2025 of approximately 6.0%, was applied to the pro forma incremental borrowings on Viper’s revolving credit facility to calculate pro forma interest expense.</w:t>
      </w:r>
    </w:p>
    <w:p>
      <w:pPr>
        <w:spacing w:after="0" w:line="89" w:lineRule="exact"/>
        <w:rPr>
          <w:rFonts w:ascii="Times New Roman" w:cs="Times New Roman" w:eastAsia="Times New Roman" w:hAnsi="Times New Roman"/>
          <w:sz w:val="18"/>
          <w:szCs w:val="18"/>
          <w:color w:val="auto"/>
        </w:rPr>
      </w:pPr>
    </w:p>
    <w:p>
      <w:pPr>
        <w:jc w:val="both"/>
        <w:ind w:left="964" w:right="260" w:hanging="532"/>
        <w:spacing w:after="0" w:line="266" w:lineRule="auto"/>
        <w:tabs>
          <w:tab w:leader="none" w:pos="96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loss on extinguishment of debt of $32 million for the year ended December 31, 2024 associated with the $27 million make whole redemption premium paid and the write-off of $5 million in unamortized debt issuance costs in connection with the repayment of Viper’s 2031 Notes.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68" w:right="459" w:bottom="1440" w:gutter="0" w:footer="0" w:header="0"/>
        </w:sectPr>
      </w:pPr>
    </w:p>
    <w:bookmarkStart w:id="36" w:name="page37"/>
    <w:bookmarkEnd w:id="36"/>
    <w:p>
      <w:pPr>
        <w:ind w:left="964" w:right="120" w:hanging="532"/>
        <w:spacing w:after="0" w:line="267" w:lineRule="auto"/>
        <w:tabs>
          <w:tab w:leader="none" w:pos="9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Reflects the estimated impact to </w:t>
      </w:r>
      <w:r>
        <w:rPr>
          <w:rFonts w:ascii="Times New Roman" w:cs="Times New Roman" w:eastAsia="Times New Roman" w:hAnsi="Times New Roman"/>
          <w:sz w:val="18"/>
          <w:szCs w:val="18"/>
          <w:i w:val="1"/>
          <w:iCs w:val="1"/>
          <w:color w:val="auto"/>
        </w:rPr>
        <w:t>Provision for (benefit from) income taxes</w:t>
      </w:r>
      <w:r>
        <w:rPr>
          <w:rFonts w:ascii="Times New Roman" w:cs="Times New Roman" w:eastAsia="Times New Roman" w:hAnsi="Times New Roman"/>
          <w:sz w:val="18"/>
          <w:szCs w:val="18"/>
          <w:color w:val="auto"/>
        </w:rPr>
        <w:t xml:space="preserve"> associated with the incremental pro forma income before taxes associated with the Sitio Transaction and attributable to Viper for the year ended December 31, 2024 and the six months ended June 30, 2025 using a blended federal plus state statutory tax rate, net of federal benefit, of 21.7%.</w:t>
      </w:r>
    </w:p>
    <w:p>
      <w:pPr>
        <w:spacing w:after="0" w:line="79" w:lineRule="exact"/>
        <w:rPr>
          <w:sz w:val="20"/>
          <w:szCs w:val="20"/>
          <w:color w:val="auto"/>
        </w:rPr>
      </w:pPr>
    </w:p>
    <w:p>
      <w:pPr>
        <w:ind w:left="964" w:right="300" w:hanging="532"/>
        <w:spacing w:after="0" w:line="267" w:lineRule="auto"/>
        <w:tabs>
          <w:tab w:leader="none" w:pos="9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Further reflects the impact to </w:t>
      </w:r>
      <w:r>
        <w:rPr>
          <w:rFonts w:ascii="Times New Roman" w:cs="Times New Roman" w:eastAsia="Times New Roman" w:hAnsi="Times New Roman"/>
          <w:sz w:val="18"/>
          <w:szCs w:val="18"/>
          <w:i w:val="1"/>
          <w:iCs w:val="1"/>
          <w:color w:val="auto"/>
        </w:rPr>
        <w:t>Net income (loss) attributable to non-controlling interest</w:t>
      </w:r>
      <w:r>
        <w:rPr>
          <w:rFonts w:ascii="Times New Roman" w:cs="Times New Roman" w:eastAsia="Times New Roman" w:hAnsi="Times New Roman"/>
          <w:sz w:val="18"/>
          <w:szCs w:val="18"/>
          <w:color w:val="auto"/>
        </w:rPr>
        <w:t xml:space="preserve"> of issuing an estimated 35,619,951 Viper OpCo Units and 38,536,236 shares of Viper Class A Common Stock in the Sitio Transaction as discussed in </w:t>
      </w:r>
      <w:r>
        <w:rPr>
          <w:rFonts w:ascii="Times New Roman" w:cs="Times New Roman" w:eastAsia="Times New Roman" w:hAnsi="Times New Roman"/>
          <w:sz w:val="18"/>
          <w:szCs w:val="18"/>
          <w:u w:val="single" w:color="auto"/>
          <w:color w:val="auto"/>
        </w:rPr>
        <w:t>Note 2 — Consideration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 Price Allocation</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964" w:right="580" w:hanging="532"/>
        <w:spacing w:after="0" w:line="282" w:lineRule="auto"/>
        <w:tabs>
          <w:tab w:leader="none" w:pos="9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reconciles Viper historical and pro forma basic and diluted earnings per share including the impact of the Sitio Transaction utilizing the two-class method for the periods indicated:</w:t>
      </w:r>
    </w:p>
    <w:p>
      <w:pPr>
        <w:spacing w:after="0" w:line="17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Viper</w:t>
            </w:r>
          </w:p>
        </w:tc>
        <w:tc>
          <w:tcPr>
            <w:tcW w:w="58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Viper</w:t>
            </w: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(Historical)</w:t>
            </w:r>
            <w:r>
              <w:rPr>
                <w:rFonts w:ascii="Times New Roman" w:cs="Times New Roman" w:eastAsia="Times New Roman" w:hAnsi="Times New Roman"/>
                <w:sz w:val="10"/>
                <w:szCs w:val="10"/>
                <w:b w:val="1"/>
                <w:bCs w:val="1"/>
                <w:color w:val="auto"/>
              </w:rPr>
              <w:t>(1)</w:t>
            </w:r>
          </w:p>
        </w:tc>
        <w:tc>
          <w:tcPr>
            <w:tcW w:w="5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7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160" w:type="dxa"/>
            <w:vAlign w:val="bottom"/>
            <w:tcBorders>
              <w:top w:val="single" w:sz="8" w:color="auto"/>
            </w:tcBorders>
            <w:gridSpan w:val="8"/>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(In millions, except per share amounts, shares in</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the period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402</w:t>
            </w:r>
          </w:p>
        </w:tc>
        <w:tc>
          <w:tcPr>
            <w:tcW w:w="6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distributed and undistributed earnings allocated to</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participating securities</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unitholders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units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130,312</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9"/>
              </w:rPr>
              <w:t>168,848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131,211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169,747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Potential common units issuable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130,312</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168,848</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131,326</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169,862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common unit, basic</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c>
          <w:tcPr>
            <w:tcW w:w="6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unit, diluted</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c>
          <w:tcPr>
            <w:tcW w:w="66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24" w:right="280" w:hanging="424"/>
        <w:spacing w:after="0" w:line="282"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Viper’s historical income statement and earnings per share amounts for the year ended December 31, 2024 include the effects of the pro forma adjustments for the Tumbleweed Acquisitions in the pro forma condensed combined statement of operations.</w:t>
      </w:r>
    </w:p>
    <w:p>
      <w:pPr>
        <w:spacing w:after="0" w:line="306" w:lineRule="exact"/>
        <w:rPr>
          <w:sz w:val="20"/>
          <w:szCs w:val="20"/>
          <w:color w:val="auto"/>
        </w:rPr>
      </w:pPr>
    </w:p>
    <w:p>
      <w:pPr>
        <w:ind w:left="444" w:right="3420" w:hanging="444"/>
        <w:spacing w:after="0" w:line="378" w:lineRule="auto"/>
        <w:tabs>
          <w:tab w:leader="none" w:pos="436"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PRO FORMA OIL AND NATURAL GAS RESERVES INFORMATION </w:t>
      </w:r>
      <w:r>
        <w:rPr>
          <w:rFonts w:ascii="Times New Roman" w:cs="Times New Roman" w:eastAsia="Times New Roman" w:hAnsi="Times New Roman"/>
          <w:sz w:val="18"/>
          <w:szCs w:val="18"/>
          <w:i w:val="1"/>
          <w:iCs w:val="1"/>
          <w:color w:val="auto"/>
        </w:rPr>
        <w:t>Net Proved Reserves</w:t>
      </w: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historical information regarding net proved oil and natural gas reserves attributable to Viper’s interests and the 2025 Drop Down in proved properties as of December 31, 2024, is based on reserve estimates prepared by Viper’s internal reservoir engineers and audited by Ryder Scott, LLP, an independent petroleum engineering firm. The reserves attributable to the Tumbleweed Acquisitions are included in Viper’s historical activity during and for the year ended December 31, 2024.</w:t>
      </w:r>
    </w:p>
    <w:p>
      <w:pPr>
        <w:spacing w:after="0" w:line="180" w:lineRule="exact"/>
        <w:rPr>
          <w:sz w:val="20"/>
          <w:szCs w:val="20"/>
          <w:color w:val="auto"/>
        </w:rPr>
      </w:pPr>
    </w:p>
    <w:p>
      <w:pPr>
        <w:ind w:left="4" w:right="320" w:firstLine="440"/>
        <w:spacing w:after="0" w:line="266" w:lineRule="auto"/>
        <w:rPr>
          <w:sz w:val="20"/>
          <w:szCs w:val="20"/>
          <w:color w:val="auto"/>
        </w:rPr>
      </w:pPr>
      <w:r>
        <w:rPr>
          <w:rFonts w:ascii="Times New Roman" w:cs="Times New Roman" w:eastAsia="Times New Roman" w:hAnsi="Times New Roman"/>
          <w:sz w:val="18"/>
          <w:szCs w:val="18"/>
          <w:color w:val="auto"/>
        </w:rPr>
        <w:t>The historical information regarding net proved oil and natural gas reserves attributable to interests in the reserves of the Sitio Transaction are based on reserve estimates prepared by Sitio’s internal reservoir engineers and audited by Cawley, Gillespie &amp; Associates, Inc., an independent petroleum engineering firm, as of December 31, 2024.</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4"/>
          </w:cols>
          <w:pgMar w:left="436" w:top="268" w:right="4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Oil (MBbls)</w:t>
            </w:r>
          </w:p>
        </w:tc>
        <w:tc>
          <w:tcPr>
            <w:tcW w:w="9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1500" w:type="dxa"/>
            <w:vAlign w:val="bottom"/>
            <w:gridSpan w:val="4"/>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7"/>
              </w:rPr>
              <w:t>Viper Historical</w:t>
            </w:r>
          </w:p>
        </w:tc>
        <w:tc>
          <w:tcPr>
            <w:tcW w:w="118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6"/>
              </w:rPr>
              <w:t>2025 Drop Down</w:t>
            </w:r>
          </w:p>
        </w:tc>
        <w:tc>
          <w:tcPr>
            <w:tcW w:w="380" w:type="dxa"/>
            <w:vAlign w:val="bottom"/>
          </w:tcPr>
          <w:p>
            <w:pPr>
              <w:spacing w:after="0"/>
              <w:rPr>
                <w:sz w:val="10"/>
                <w:szCs w:val="10"/>
                <w:color w:val="auto"/>
              </w:rPr>
            </w:pPr>
          </w:p>
        </w:tc>
        <w:tc>
          <w:tcPr>
            <w:tcW w:w="1500" w:type="dxa"/>
            <w:vAlign w:val="bottom"/>
            <w:gridSpan w:val="3"/>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w w:val="99"/>
              </w:rPr>
              <w:t>Viper Pro Forma</w:t>
            </w:r>
          </w:p>
        </w:tc>
        <w:tc>
          <w:tcPr>
            <w:tcW w:w="15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4"/>
              </w:rPr>
              <w:t>Sitio Acquisition</w:t>
            </w:r>
          </w:p>
        </w:tc>
        <w:tc>
          <w:tcPr>
            <w:tcW w:w="1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6"/>
              </w:rPr>
              <w:t xml:space="preserve">Pro Forma Total </w:t>
            </w:r>
            <w:r>
              <w:rPr>
                <w:rFonts w:ascii="Times New Roman" w:cs="Times New Roman" w:eastAsia="Times New Roman" w:hAnsi="Times New Roman"/>
                <w:sz w:val="10"/>
                <w:szCs w:val="10"/>
                <w:b w:val="1"/>
                <w:bCs w:val="1"/>
                <w:color w:val="auto"/>
                <w:w w:val="96"/>
              </w:rPr>
              <w:t>(1)</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1180" w:type="dxa"/>
            <w:vAlign w:val="bottom"/>
            <w:gridSpan w:val="4"/>
            <w:vMerge w:val="continue"/>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 xml:space="preserve">Combined </w:t>
            </w:r>
            <w:r>
              <w:rPr>
                <w:rFonts w:ascii="Times New Roman" w:cs="Times New Roman" w:eastAsia="Times New Roman" w:hAnsi="Times New Roman"/>
                <w:sz w:val="10"/>
                <w:szCs w:val="10"/>
                <w:b w:val="1"/>
                <w:bCs w:val="1"/>
                <w:color w:val="auto"/>
              </w:rPr>
              <w:t>(1)</w:t>
            </w:r>
          </w:p>
        </w:tc>
        <w:tc>
          <w:tcPr>
            <w:tcW w:w="150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89,903</w:t>
            </w: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55,373</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145,276</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440" w:type="dxa"/>
            <w:vAlign w:val="bottom"/>
            <w:tcBorders>
              <w:top w:val="single" w:sz="8" w:color="CCEEFF"/>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38,832</w:t>
            </w:r>
          </w:p>
        </w:tc>
        <w:tc>
          <w:tcPr>
            <w:tcW w:w="5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184,108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reserves in place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5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13,100</w:t>
            </w: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13,099</w:t>
            </w:r>
          </w:p>
        </w:tc>
        <w:tc>
          <w:tcPr>
            <w:tcW w:w="160" w:type="dxa"/>
            <w:vAlign w:val="bottom"/>
            <w:tcBorders>
              <w:lef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13,099</w:t>
            </w:r>
          </w:p>
        </w:tc>
        <w:tc>
          <w:tcPr>
            <w:tcW w:w="8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19,396</w:t>
            </w:r>
          </w:p>
        </w:tc>
        <w:tc>
          <w:tcPr>
            <w:tcW w:w="0" w:type="dxa"/>
            <w:vAlign w:val="bottom"/>
          </w:tcPr>
          <w:p>
            <w:pPr>
              <w:spacing w:after="0"/>
              <w:rPr>
                <w:sz w:val="1"/>
                <w:szCs w:val="1"/>
                <w:color w:val="auto"/>
              </w:rPr>
            </w:pPr>
          </w:p>
        </w:tc>
      </w:tr>
      <w:tr>
        <w:trPr>
          <w:trHeight w:val="216"/>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(6,472)</w:t>
            </w:r>
          </w:p>
        </w:tc>
        <w:tc>
          <w:tcPr>
            <w:tcW w:w="3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(6,200)</w:t>
            </w:r>
          </w:p>
        </w:tc>
        <w:tc>
          <w:tcPr>
            <w:tcW w:w="44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(1,270)</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(7,470)</w:t>
            </w: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Divestitures</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w:t>
            </w: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(919)</w:t>
            </w:r>
          </w:p>
        </w:tc>
        <w:tc>
          <w:tcPr>
            <w:tcW w:w="440" w:type="dxa"/>
            <w:vAlign w:val="bottom"/>
            <w:tcBorders>
              <w:right w:val="single" w:sz="8" w:color="CCEEFF"/>
            </w:tcBorders>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16"/>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Production</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(9,939)</w:t>
            </w:r>
          </w:p>
        </w:tc>
        <w:tc>
          <w:tcPr>
            <w:tcW w:w="3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(5,459)</w:t>
            </w:r>
          </w:p>
        </w:tc>
        <w:tc>
          <w:tcPr>
            <w:tcW w:w="60" w:type="dxa"/>
            <w:vAlign w:val="bottom"/>
          </w:tcPr>
          <w:p>
            <w:pPr>
              <w:spacing w:after="0"/>
              <w:rPr>
                <w:sz w:val="18"/>
                <w:szCs w:val="18"/>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(15,398)</w:t>
            </w:r>
          </w:p>
        </w:tc>
        <w:tc>
          <w:tcPr>
            <w:tcW w:w="44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(7,004)</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(22,402)</w:t>
            </w:r>
          </w:p>
        </w:tc>
        <w:tc>
          <w:tcPr>
            <w:tcW w:w="0" w:type="dxa"/>
            <w:vAlign w:val="bottom"/>
          </w:tcPr>
          <w:p>
            <w:pPr>
              <w:spacing w:after="0"/>
              <w:rPr>
                <w:sz w:val="1"/>
                <w:szCs w:val="1"/>
                <w:color w:val="auto"/>
              </w:rPr>
            </w:pPr>
          </w:p>
        </w:tc>
      </w:tr>
      <w:tr>
        <w:trPr>
          <w:trHeight w:val="27"/>
        </w:trPr>
        <w:tc>
          <w:tcPr>
            <w:tcW w:w="37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93,563</w:t>
            </w:r>
          </w:p>
        </w:tc>
        <w:tc>
          <w:tcPr>
            <w:tcW w:w="160" w:type="dxa"/>
            <w:vAlign w:val="bottom"/>
            <w:tcBorders>
              <w:lef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50,186</w:t>
            </w: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143,749</w:t>
            </w:r>
          </w:p>
        </w:tc>
        <w:tc>
          <w:tcPr>
            <w:tcW w:w="8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42,064</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185,813</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Proved Developed Reserves: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76,020</w:t>
            </w:r>
          </w:p>
        </w:tc>
        <w:tc>
          <w:tcPr>
            <w:tcW w:w="160" w:type="dxa"/>
            <w:vAlign w:val="bottom"/>
            <w:tcBorders>
              <w:lef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32,216</w:t>
            </w: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108,236</w:t>
            </w:r>
          </w:p>
        </w:tc>
        <w:tc>
          <w:tcPr>
            <w:tcW w:w="8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36,384</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144,620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17,543</w:t>
            </w:r>
          </w:p>
        </w:tc>
        <w:tc>
          <w:tcPr>
            <w:tcW w:w="160" w:type="dxa"/>
            <w:vAlign w:val="bottom"/>
            <w:tcBorders>
              <w:lef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17,970</w:t>
            </w: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35,513</w:t>
            </w:r>
          </w:p>
        </w:tc>
        <w:tc>
          <w:tcPr>
            <w:tcW w:w="80" w:type="dxa"/>
            <w:vAlign w:val="bottom"/>
            <w:tcBorders>
              <w:lef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41,193</w:t>
            </w:r>
          </w:p>
        </w:tc>
        <w:tc>
          <w:tcPr>
            <w:tcW w:w="0" w:type="dxa"/>
            <w:vAlign w:val="bottom"/>
          </w:tcPr>
          <w:p>
            <w:pPr>
              <w:spacing w:after="0"/>
              <w:rPr>
                <w:sz w:val="1"/>
                <w:szCs w:val="1"/>
                <w:color w:val="auto"/>
              </w:rPr>
            </w:pPr>
          </w:p>
        </w:tc>
      </w:tr>
      <w:tr>
        <w:trPr>
          <w:trHeight w:val="391"/>
        </w:trPr>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8"/>
              </w:rPr>
              <w:t>Natural Gas (MMcf)</w:t>
            </w:r>
          </w:p>
        </w:tc>
        <w:tc>
          <w:tcPr>
            <w:tcW w:w="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Viper Historical</w:t>
            </w:r>
          </w:p>
        </w:tc>
        <w:tc>
          <w:tcPr>
            <w:tcW w:w="80" w:type="dxa"/>
            <w:vAlign w:val="bottom"/>
          </w:tcPr>
          <w:p>
            <w:pPr>
              <w:spacing w:after="0"/>
              <w:rPr>
                <w:sz w:val="10"/>
                <w:szCs w:val="10"/>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 Drop Down</w:t>
            </w:r>
          </w:p>
        </w:tc>
        <w:tc>
          <w:tcPr>
            <w:tcW w:w="380" w:type="dxa"/>
            <w:vAlign w:val="bottom"/>
          </w:tcPr>
          <w:p>
            <w:pPr>
              <w:spacing w:after="0"/>
              <w:rPr>
                <w:sz w:val="10"/>
                <w:szCs w:val="10"/>
                <w:color w:val="auto"/>
              </w:rPr>
            </w:pPr>
          </w:p>
        </w:tc>
        <w:tc>
          <w:tcPr>
            <w:tcW w:w="1500" w:type="dxa"/>
            <w:vAlign w:val="bottom"/>
            <w:gridSpan w:val="3"/>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Viper Pro Forma</w:t>
            </w:r>
          </w:p>
        </w:tc>
        <w:tc>
          <w:tcPr>
            <w:tcW w:w="15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Sitio Acquisition</w:t>
            </w:r>
          </w:p>
        </w:tc>
        <w:tc>
          <w:tcPr>
            <w:tcW w:w="1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6"/>
              </w:rPr>
              <w:t xml:space="preserve">Pro Forma Total </w:t>
            </w:r>
            <w:r>
              <w:rPr>
                <w:rFonts w:ascii="Times New Roman" w:cs="Times New Roman" w:eastAsia="Times New Roman" w:hAnsi="Times New Roman"/>
                <w:sz w:val="10"/>
                <w:szCs w:val="10"/>
                <w:b w:val="1"/>
                <w:bCs w:val="1"/>
                <w:color w:val="auto"/>
                <w:w w:val="96"/>
              </w:rPr>
              <w:t>(1)</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 xml:space="preserve">Combined </w:t>
            </w:r>
            <w:r>
              <w:rPr>
                <w:rFonts w:ascii="Times New Roman" w:cs="Times New Roman" w:eastAsia="Times New Roman" w:hAnsi="Times New Roman"/>
                <w:sz w:val="10"/>
                <w:szCs w:val="10"/>
                <w:b w:val="1"/>
                <w:bCs w:val="1"/>
                <w:color w:val="auto"/>
              </w:rPr>
              <w:t>(1)</w:t>
            </w:r>
          </w:p>
        </w:tc>
        <w:tc>
          <w:tcPr>
            <w:tcW w:w="150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263,578</w:t>
            </w: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190,988</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454,566</w:t>
            </w:r>
          </w:p>
        </w:tc>
        <w:tc>
          <w:tcPr>
            <w:tcW w:w="440" w:type="dxa"/>
            <w:vAlign w:val="bottom"/>
            <w:tcBorders>
              <w:top w:val="single" w:sz="8" w:color="CCEEFF"/>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150,270</w:t>
            </w:r>
          </w:p>
        </w:tc>
        <w:tc>
          <w:tcPr>
            <w:tcW w:w="5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604,836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reserves in place</w:t>
            </w:r>
          </w:p>
        </w:tc>
        <w:tc>
          <w:tcPr>
            <w:tcW w:w="150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20,310</w:t>
            </w:r>
          </w:p>
        </w:tc>
        <w:tc>
          <w:tcPr>
            <w:tcW w:w="8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20,310</w:t>
            </w: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41,587</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61,897</w:t>
            </w: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500" w:type="dxa"/>
            <w:vAlign w:val="bottom"/>
            <w:tcBorders>
              <w:right w:val="single" w:sz="8" w:color="CCEEFF"/>
            </w:tcBorders>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33,498</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Borders>
              <w:right w:val="single" w:sz="8" w:color="CCEEFF"/>
            </w:tcBorders>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33,498</w:t>
            </w:r>
          </w:p>
        </w:tc>
        <w:tc>
          <w:tcPr>
            <w:tcW w:w="1500" w:type="dxa"/>
            <w:vAlign w:val="bottom"/>
            <w:tcBorders>
              <w:right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22,066</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55,564</w:t>
            </w:r>
          </w:p>
        </w:tc>
        <w:tc>
          <w:tcPr>
            <w:tcW w:w="0" w:type="dxa"/>
            <w:vAlign w:val="bottom"/>
          </w:tcPr>
          <w:p>
            <w:pPr>
              <w:spacing w:after="0"/>
              <w:rPr>
                <w:sz w:val="1"/>
                <w:szCs w:val="1"/>
                <w:color w:val="auto"/>
              </w:rPr>
            </w:pPr>
          </w:p>
        </w:tc>
      </w:tr>
      <w:tr>
        <w:trPr>
          <w:trHeight w:val="216"/>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150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4,449</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956</w:t>
            </w:r>
          </w:p>
        </w:tc>
        <w:tc>
          <w:tcPr>
            <w:tcW w:w="18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5,405</w:t>
            </w: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9,381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14,786</w:t>
            </w: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Divestitures</w:t>
            </w:r>
          </w:p>
        </w:tc>
        <w:tc>
          <w:tcPr>
            <w:tcW w:w="1500" w:type="dxa"/>
            <w:vAlign w:val="bottom"/>
            <w:tcBorders>
              <w:right w:val="single" w:sz="8" w:color="CCEEFF"/>
            </w:tcBorders>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(4,605)</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Borders>
              <w:right w:val="single" w:sz="8" w:color="CCEEFF"/>
            </w:tcBorders>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(4,605)</w:t>
            </w:r>
          </w:p>
        </w:tc>
        <w:tc>
          <w:tcPr>
            <w:tcW w:w="1500" w:type="dxa"/>
            <w:vAlign w:val="bottom"/>
            <w:tcBorders>
              <w:right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(4,605)</w:t>
            </w:r>
          </w:p>
        </w:tc>
        <w:tc>
          <w:tcPr>
            <w:tcW w:w="0" w:type="dxa"/>
            <w:vAlign w:val="bottom"/>
          </w:tcPr>
          <w:p>
            <w:pPr>
              <w:spacing w:after="0"/>
              <w:rPr>
                <w:sz w:val="1"/>
                <w:szCs w:val="1"/>
                <w:color w:val="auto"/>
              </w:rPr>
            </w:pPr>
          </w:p>
        </w:tc>
      </w:tr>
      <w:tr>
        <w:trPr>
          <w:trHeight w:val="216"/>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Production</w:t>
            </w:r>
          </w:p>
        </w:tc>
        <w:tc>
          <w:tcPr>
            <w:tcW w:w="120" w:type="dxa"/>
            <w:vAlign w:val="bottom"/>
          </w:tcPr>
          <w:p>
            <w:pPr>
              <w:spacing w:after="0"/>
              <w:rPr>
                <w:sz w:val="18"/>
                <w:szCs w:val="18"/>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(24,606)</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(14,524)</w:t>
            </w:r>
          </w:p>
        </w:tc>
        <w:tc>
          <w:tcPr>
            <w:tcW w:w="188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(39,130)</w:t>
            </w: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(23,360)</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(62,490)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Borders>
              <w:left w:val="single" w:sz="8" w:color="auto"/>
              <w:right w:val="single" w:sz="8" w:color="auto"/>
            </w:tcBorders>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292,624</w:t>
            </w: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177,420</w:t>
            </w:r>
          </w:p>
        </w:tc>
        <w:tc>
          <w:tcPr>
            <w:tcW w:w="1880" w:type="dxa"/>
            <w:vAlign w:val="bottom"/>
            <w:tcBorders>
              <w:right w:val="single" w:sz="8" w:color="CCEEFF"/>
            </w:tcBorders>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470,044</w:t>
            </w:r>
          </w:p>
        </w:tc>
        <w:tc>
          <w:tcPr>
            <w:tcW w:w="1500" w:type="dxa"/>
            <w:vAlign w:val="bottom"/>
            <w:tcBorders>
              <w:right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199,944</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669,988</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Proved Developed Reserves:</w:t>
            </w: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1500" w:type="dxa"/>
            <w:vAlign w:val="bottom"/>
            <w:tcBorders>
              <w:right w:val="single" w:sz="8" w:color="CCEEFF"/>
            </w:tcBorders>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253,271</w:t>
            </w: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120,668</w:t>
            </w:r>
          </w:p>
        </w:tc>
        <w:tc>
          <w:tcPr>
            <w:tcW w:w="1880" w:type="dxa"/>
            <w:vAlign w:val="bottom"/>
            <w:tcBorders>
              <w:right w:val="single" w:sz="8" w:color="CCEEFF"/>
            </w:tcBorders>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373,939</w:t>
            </w:r>
          </w:p>
        </w:tc>
        <w:tc>
          <w:tcPr>
            <w:tcW w:w="1500" w:type="dxa"/>
            <w:vAlign w:val="bottom"/>
            <w:tcBorders>
              <w:right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179,056</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552,995</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1500" w:type="dxa"/>
            <w:vAlign w:val="bottom"/>
            <w:tcBorders>
              <w:right w:val="single" w:sz="8" w:color="CCEEFF"/>
            </w:tcBorders>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39,353</w:t>
            </w:r>
          </w:p>
        </w:tc>
        <w:tc>
          <w:tcPr>
            <w:tcW w:w="11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56,752</w:t>
            </w:r>
          </w:p>
        </w:tc>
        <w:tc>
          <w:tcPr>
            <w:tcW w:w="1880" w:type="dxa"/>
            <w:vAlign w:val="bottom"/>
            <w:tcBorders>
              <w:right w:val="single" w:sz="8" w:color="CCEEFF"/>
            </w:tcBorders>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96,105</w:t>
            </w:r>
          </w:p>
        </w:tc>
        <w:tc>
          <w:tcPr>
            <w:tcW w:w="1500" w:type="dxa"/>
            <w:vAlign w:val="bottom"/>
            <w:tcBorders>
              <w:right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20,888</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116,993</w:t>
            </w:r>
          </w:p>
        </w:tc>
        <w:tc>
          <w:tcPr>
            <w:tcW w:w="0" w:type="dxa"/>
            <w:vAlign w:val="bottom"/>
          </w:tcPr>
          <w:p>
            <w:pPr>
              <w:spacing w:after="0"/>
              <w:rPr>
                <w:sz w:val="1"/>
                <w:szCs w:val="1"/>
                <w:color w:val="auto"/>
              </w:rPr>
            </w:pPr>
          </w:p>
        </w:tc>
      </w:tr>
      <w:tr>
        <w:trPr>
          <w:trHeight w:val="392"/>
        </w:trPr>
        <w:tc>
          <w:tcPr>
            <w:tcW w:w="3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Natural Gas Liquids (MBbls)</w:t>
            </w:r>
          </w:p>
        </w:tc>
        <w:tc>
          <w:tcPr>
            <w:tcW w:w="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1500" w:type="dxa"/>
            <w:vAlign w:val="bottom"/>
            <w:gridSpan w:val="4"/>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Viper Historical</w:t>
            </w:r>
          </w:p>
        </w:tc>
        <w:tc>
          <w:tcPr>
            <w:tcW w:w="118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 Drop Down</w:t>
            </w:r>
          </w:p>
        </w:tc>
        <w:tc>
          <w:tcPr>
            <w:tcW w:w="380" w:type="dxa"/>
            <w:vAlign w:val="bottom"/>
          </w:tcPr>
          <w:p>
            <w:pPr>
              <w:spacing w:after="0"/>
              <w:rPr>
                <w:sz w:val="10"/>
                <w:szCs w:val="10"/>
                <w:color w:val="auto"/>
              </w:rPr>
            </w:pPr>
          </w:p>
        </w:tc>
        <w:tc>
          <w:tcPr>
            <w:tcW w:w="1500" w:type="dxa"/>
            <w:vAlign w:val="bottom"/>
            <w:gridSpan w:val="3"/>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Viper Pro Forma</w:t>
            </w:r>
          </w:p>
        </w:tc>
        <w:tc>
          <w:tcPr>
            <w:tcW w:w="15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Sitio Acquisition</w:t>
            </w:r>
          </w:p>
        </w:tc>
        <w:tc>
          <w:tcPr>
            <w:tcW w:w="1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Pro Forma Total</w:t>
            </w:r>
            <w:r>
              <w:rPr>
                <w:rFonts w:ascii="Times New Roman" w:cs="Times New Roman" w:eastAsia="Times New Roman" w:hAnsi="Times New Roman"/>
                <w:sz w:val="10"/>
                <w:szCs w:val="10"/>
                <w:b w:val="1"/>
                <w:bCs w:val="1"/>
                <w:color w:val="auto"/>
                <w:w w:val="99"/>
              </w:rPr>
              <w:t>(1)</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1180" w:type="dxa"/>
            <w:vAlign w:val="bottom"/>
            <w:gridSpan w:val="4"/>
            <w:vMerge w:val="continue"/>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 xml:space="preserve">Combined </w:t>
            </w:r>
            <w:r>
              <w:rPr>
                <w:rFonts w:ascii="Times New Roman" w:cs="Times New Roman" w:eastAsia="Times New Roman" w:hAnsi="Times New Roman"/>
                <w:sz w:val="10"/>
                <w:szCs w:val="10"/>
                <w:b w:val="1"/>
                <w:bCs w:val="1"/>
                <w:color w:val="auto"/>
              </w:rPr>
              <w:t>(1)</w:t>
            </w:r>
          </w:p>
        </w:tc>
        <w:tc>
          <w:tcPr>
            <w:tcW w:w="150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45,416</w:t>
            </w: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36,482</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righ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81,898</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440" w:type="dxa"/>
            <w:vAlign w:val="bottom"/>
            <w:tcBorders>
              <w:top w:val="single" w:sz="8" w:color="CCEEFF"/>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21,416</w:t>
            </w:r>
          </w:p>
        </w:tc>
        <w:tc>
          <w:tcPr>
            <w:tcW w:w="5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reserves in place</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3,665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3,665</w:t>
            </w:r>
          </w:p>
        </w:tc>
        <w:tc>
          <w:tcPr>
            <w:tcW w:w="44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6,131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9,796</w:t>
            </w: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6,254</w:t>
            </w: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6,254</w:t>
            </w:r>
          </w:p>
        </w:tc>
        <w:tc>
          <w:tcPr>
            <w:tcW w:w="440" w:type="dxa"/>
            <w:vAlign w:val="bottom"/>
            <w:tcBorders>
              <w:right w:val="single" w:sz="8" w:color="CCEEFF"/>
            </w:tcBorders>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3,132</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9,386</w:t>
            </w:r>
          </w:p>
        </w:tc>
        <w:tc>
          <w:tcPr>
            <w:tcW w:w="0" w:type="dxa"/>
            <w:vAlign w:val="bottom"/>
          </w:tcPr>
          <w:p>
            <w:pPr>
              <w:spacing w:after="0"/>
              <w:rPr>
                <w:sz w:val="1"/>
                <w:szCs w:val="1"/>
                <w:color w:val="auto"/>
              </w:rPr>
            </w:pPr>
          </w:p>
        </w:tc>
      </w:tr>
      <w:tr>
        <w:trPr>
          <w:trHeight w:val="216"/>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2,837</w:t>
            </w:r>
          </w:p>
        </w:tc>
        <w:tc>
          <w:tcPr>
            <w:tcW w:w="38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2,992</w:t>
            </w:r>
          </w:p>
        </w:tc>
        <w:tc>
          <w:tcPr>
            <w:tcW w:w="44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863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3,855</w:t>
            </w: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Divestitures</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(451)</w:t>
            </w: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880" w:type="dxa"/>
            <w:vAlign w:val="bottom"/>
            <w:tcBorders>
              <w:right w:val="single" w:sz="8" w:color="CCEEFF"/>
            </w:tcBorders>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(451)</w:t>
            </w:r>
          </w:p>
        </w:tc>
        <w:tc>
          <w:tcPr>
            <w:tcW w:w="1500" w:type="dxa"/>
            <w:vAlign w:val="bottom"/>
            <w:tcBorders>
              <w:right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6"/>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Production</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(4,181)</w:t>
            </w:r>
          </w:p>
        </w:tc>
        <w:tc>
          <w:tcPr>
            <w:tcW w:w="38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(2,639)</w:t>
            </w:r>
          </w:p>
        </w:tc>
        <w:tc>
          <w:tcPr>
            <w:tcW w:w="60" w:type="dxa"/>
            <w:vAlign w:val="bottom"/>
          </w:tcPr>
          <w:p>
            <w:pPr>
              <w:spacing w:after="0"/>
              <w:rPr>
                <w:sz w:val="18"/>
                <w:szCs w:val="18"/>
                <w:color w:val="auto"/>
              </w:rPr>
            </w:pPr>
          </w:p>
        </w:tc>
        <w:tc>
          <w:tcPr>
            <w:tcW w:w="188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(6,820)</w:t>
            </w: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(3,174)</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(9,994)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53,540</w:t>
            </w:r>
          </w:p>
        </w:tc>
        <w:tc>
          <w:tcPr>
            <w:tcW w:w="38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33,998</w:t>
            </w:r>
          </w:p>
        </w:tc>
        <w:tc>
          <w:tcPr>
            <w:tcW w:w="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87,538</w:t>
            </w:r>
          </w:p>
        </w:tc>
        <w:tc>
          <w:tcPr>
            <w:tcW w:w="440" w:type="dxa"/>
            <w:vAlign w:val="bottom"/>
            <w:tcBorders>
              <w:right w:val="single" w:sz="8" w:color="CCEEFF"/>
            </w:tcBorders>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28,368</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115,906</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Proved Developed Reserves: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45,633</w:t>
            </w:r>
          </w:p>
        </w:tc>
        <w:tc>
          <w:tcPr>
            <w:tcW w:w="38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22,751</w:t>
            </w:r>
          </w:p>
        </w:tc>
        <w:tc>
          <w:tcPr>
            <w:tcW w:w="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68,384</w:t>
            </w:r>
          </w:p>
        </w:tc>
        <w:tc>
          <w:tcPr>
            <w:tcW w:w="440" w:type="dxa"/>
            <w:vAlign w:val="bottom"/>
            <w:tcBorders>
              <w:right w:val="single" w:sz="8" w:color="CCEEFF"/>
            </w:tcBorders>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25,368</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93,752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7,907</w:t>
            </w:r>
          </w:p>
        </w:tc>
        <w:tc>
          <w:tcPr>
            <w:tcW w:w="380" w:type="dxa"/>
            <w:vAlign w:val="bottom"/>
            <w:tcBorders>
              <w:right w:val="single" w:sz="8" w:color="CCEEFF"/>
            </w:tcBorders>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11,247</w:t>
            </w:r>
          </w:p>
        </w:tc>
        <w:tc>
          <w:tcPr>
            <w:tcW w:w="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19,154</w:t>
            </w:r>
          </w:p>
        </w:tc>
        <w:tc>
          <w:tcPr>
            <w:tcW w:w="440" w:type="dxa"/>
            <w:vAlign w:val="bottom"/>
            <w:tcBorders>
              <w:right w:val="single" w:sz="8" w:color="CCEEFF"/>
            </w:tcBorders>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3,000</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22,154</w:t>
            </w:r>
          </w:p>
        </w:tc>
        <w:tc>
          <w:tcPr>
            <w:tcW w:w="0" w:type="dxa"/>
            <w:vAlign w:val="bottom"/>
          </w:tcPr>
          <w:p>
            <w:pPr>
              <w:spacing w:after="0"/>
              <w:rPr>
                <w:sz w:val="1"/>
                <w:szCs w:val="1"/>
                <w:color w:val="auto"/>
              </w:rPr>
            </w:pPr>
          </w:p>
        </w:tc>
      </w:tr>
      <w:tr>
        <w:trPr>
          <w:trHeight w:val="365"/>
        </w:trPr>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gridSpan w:val="2"/>
          </w:tcPr>
          <w:p>
            <w:pPr>
              <w:jc w:val="right"/>
              <w:ind w:right="51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8" w:name="page39"/>
    <w:bookmarkEnd w:id="38"/>
    <w:tbl>
      <w:tblPr>
        <w:tblLayout w:type="fixed"/>
        <w:tblInd w:w="4"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 (MBOE)</w:t>
            </w:r>
          </w:p>
        </w:tc>
        <w:tc>
          <w:tcPr>
            <w:tcW w:w="10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4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9"/>
              </w:rPr>
              <w:t>Viper Historical</w:t>
            </w:r>
          </w:p>
        </w:tc>
        <w:tc>
          <w:tcPr>
            <w:tcW w:w="14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 Drop Down</w:t>
            </w:r>
          </w:p>
        </w:tc>
        <w:tc>
          <w:tcPr>
            <w:tcW w:w="1500" w:type="dxa"/>
            <w:vAlign w:val="bottom"/>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Viper Pro Forma</w:t>
            </w:r>
          </w:p>
        </w:tc>
        <w:tc>
          <w:tcPr>
            <w:tcW w:w="14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Sitio Acquisition</w:t>
            </w:r>
          </w:p>
        </w:tc>
        <w:tc>
          <w:tcPr>
            <w:tcW w:w="1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Pro Forma Total</w:t>
            </w:r>
            <w:r>
              <w:rPr>
                <w:rFonts w:ascii="Times New Roman" w:cs="Times New Roman" w:eastAsia="Times New Roman" w:hAnsi="Times New Roman"/>
                <w:sz w:val="10"/>
                <w:szCs w:val="10"/>
                <w:b w:val="1"/>
                <w:bCs w:val="1"/>
                <w:color w:val="auto"/>
                <w:w w:val="99"/>
              </w:rPr>
              <w:t>(1)</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 xml:space="preserve">Combined </w:t>
            </w:r>
            <w:r>
              <w:rPr>
                <w:rFonts w:ascii="Times New Roman" w:cs="Times New Roman" w:eastAsia="Times New Roman" w:hAnsi="Times New Roman"/>
                <w:sz w:val="10"/>
                <w:szCs w:val="10"/>
                <w:b w:val="1"/>
                <w:bCs w:val="1"/>
                <w:color w:val="auto"/>
              </w:rPr>
              <w:t>(1)</w:t>
            </w:r>
          </w:p>
        </w:tc>
        <w:tc>
          <w:tcPr>
            <w:tcW w:w="146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179,249</w:t>
            </w:r>
          </w:p>
        </w:tc>
        <w:tc>
          <w:tcPr>
            <w:tcW w:w="4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123,686</w:t>
            </w:r>
          </w:p>
        </w:tc>
        <w:tc>
          <w:tcPr>
            <w:tcW w:w="4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302,935</w:t>
            </w:r>
          </w:p>
        </w:tc>
        <w:tc>
          <w:tcPr>
            <w:tcW w:w="4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85,293</w:t>
            </w:r>
          </w:p>
        </w:tc>
        <w:tc>
          <w:tcPr>
            <w:tcW w:w="4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reserves in place</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14,941</w:t>
            </w: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14,941</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18,271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33,212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24,936</w:t>
            </w:r>
          </w:p>
        </w:tc>
        <w:tc>
          <w:tcPr>
            <w:tcW w:w="14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24,936</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13,106</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38,042</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(2,894)</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587</w:t>
            </w: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(2,307)</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1,157</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Divestitures</w:t>
            </w:r>
          </w:p>
        </w:tc>
        <w:tc>
          <w:tcPr>
            <w:tcW w:w="14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(2,138)</w:t>
            </w:r>
          </w:p>
        </w:tc>
        <w:tc>
          <w:tcPr>
            <w:tcW w:w="14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(2,138)</w:t>
            </w:r>
          </w:p>
        </w:tc>
        <w:tc>
          <w:tcPr>
            <w:tcW w:w="14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(2,138)</w:t>
            </w: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Production</w:t>
            </w: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(18,221)</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(10,519)</w:t>
            </w: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(28,740)</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(14,071)</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(42,811)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195,873</w:t>
            </w: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113,754</w:t>
            </w:r>
          </w:p>
        </w:tc>
        <w:tc>
          <w:tcPr>
            <w:tcW w:w="15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309,627</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103,756</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413,383</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Proved Developed Reserves: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163,865</w:t>
            </w: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75,078</w:t>
            </w:r>
          </w:p>
        </w:tc>
        <w:tc>
          <w:tcPr>
            <w:tcW w:w="15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238,943</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91,595</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330,538</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32,009</w:t>
            </w: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38,676</w:t>
            </w:r>
          </w:p>
        </w:tc>
        <w:tc>
          <w:tcPr>
            <w:tcW w:w="15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70,685</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12,161</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82,846</w:t>
            </w: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140" w:hanging="424"/>
        <w:spacing w:after="0" w:line="255"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reserves as of December 31, 2024 were prepared using the unweighted arithmetic average of hydrocarbon prices received on a field-by-field basis on the first day of each month within the 12-month period ended December 31, 2024, in accordance with SEC guidelines. Reserve estimates do not include any value for probable or possible reserves that may exist, nor do they include any value for undeveloped acreage. The reserve estimates represent Viper’s net revenue interest in the subject properties. Although Viper’s management believes these estimates are reasonable, actual future production, cash flows, taxes, development expenditures, operating expenses and quantities of recoverable oil and natural gas reserves may vary substantially from these estimates. MBOE equivalents are calculated using a conversion rate of six MMcf per one MBbl for natural gas.</w:t>
      </w:r>
    </w:p>
    <w:p>
      <w:pPr>
        <w:spacing w:after="0" w:line="2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Standardized Measure</w:t>
      </w:r>
    </w:p>
    <w:p>
      <w:pPr>
        <w:spacing w:after="0" w:line="119"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pro forma condensed combined standardized measure of discounted future net cash flows attributable to the proved oil and natural gas reserves of Viper, the 2025 Drop Down and the Sitio Transaction as of December 31, 2024. The pro forma condensed combined standardized measure shown below represents estimates only and has not been adjusted for projected combined income tax rates and does not reflect the market value of the reserves attributable to the acquired mineral and royalty interests.</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Viper Historical</w:t>
            </w:r>
          </w:p>
        </w:tc>
        <w:tc>
          <w:tcPr>
            <w:tcW w:w="1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2025 Drop Down</w:t>
            </w:r>
          </w:p>
        </w:tc>
        <w:tc>
          <w:tcPr>
            <w:tcW w:w="14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Viper Pro Forma</w:t>
            </w:r>
          </w:p>
        </w:tc>
        <w:tc>
          <w:tcPr>
            <w:tcW w:w="120" w:type="dxa"/>
            <w:vAlign w:val="bottom"/>
          </w:tcPr>
          <w:p>
            <w:pPr>
              <w:spacing w:after="0"/>
              <w:rPr>
                <w:sz w:val="10"/>
                <w:szCs w:val="10"/>
                <w:color w:val="auto"/>
              </w:rPr>
            </w:pPr>
          </w:p>
        </w:tc>
        <w:tc>
          <w:tcPr>
            <w:tcW w:w="1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Sitio Acquisition</w:t>
            </w:r>
          </w:p>
        </w:tc>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2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cash inflows</w:t>
            </w: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8,323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4,796</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13,119</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3,775</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16,894</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Future production taxes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(578)</w:t>
            </w:r>
          </w:p>
        </w:tc>
        <w:tc>
          <w:tcPr>
            <w:tcW w:w="2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(295)</w:t>
            </w:r>
          </w:p>
        </w:tc>
        <w:tc>
          <w:tcPr>
            <w:tcW w:w="4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income tax expense</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(748)</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(224)</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23"/>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 net cash flows</w:t>
            </w:r>
          </w:p>
        </w:tc>
        <w:tc>
          <w:tcPr>
            <w:tcW w:w="2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4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11,429</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5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 discount to reflect timing of cash</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flows</w:t>
            </w: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(3,677)</w:t>
            </w:r>
          </w:p>
        </w:tc>
        <w:tc>
          <w:tcPr>
            <w:tcW w:w="2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(2,197)</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(5,874)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(1,494)</w:t>
            </w:r>
          </w:p>
        </w:tc>
        <w:tc>
          <w:tcPr>
            <w:tcW w:w="4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(7,368)</w:t>
            </w:r>
          </w:p>
        </w:tc>
        <w:tc>
          <w:tcPr>
            <w:tcW w:w="0" w:type="dxa"/>
            <w:vAlign w:val="bottom"/>
          </w:tcPr>
          <w:p>
            <w:pPr>
              <w:spacing w:after="0"/>
              <w:rPr>
                <w:sz w:val="1"/>
                <w:szCs w:val="1"/>
                <w:color w:val="auto"/>
              </w:rPr>
            </w:pPr>
          </w:p>
        </w:tc>
      </w:tr>
      <w:tr>
        <w:trPr>
          <w:trHeight w:val="205"/>
        </w:trPr>
        <w:tc>
          <w:tcPr>
            <w:tcW w:w="326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Standardized measure of discounted</w:t>
            </w:r>
          </w:p>
        </w:tc>
        <w:tc>
          <w:tcPr>
            <w:tcW w:w="2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future net cash flows</w:t>
            </w: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3,320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2,235</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5,555</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1,762</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7,317</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63"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Principal changes in the standardized measure of discounted future net cash flows attributable to proved reserves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6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40" w:type="dxa"/>
            <w:vAlign w:val="bottom"/>
          </w:tcPr>
          <w:p>
            <w:pPr>
              <w:spacing w:after="0"/>
              <w:rPr>
                <w:sz w:val="10"/>
                <w:szCs w:val="10"/>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Viper Historical</w:t>
            </w:r>
          </w:p>
        </w:tc>
        <w:tc>
          <w:tcPr>
            <w:tcW w:w="220" w:type="dxa"/>
            <w:vAlign w:val="bottom"/>
          </w:tcPr>
          <w:p>
            <w:pPr>
              <w:spacing w:after="0"/>
              <w:rPr>
                <w:sz w:val="10"/>
                <w:szCs w:val="10"/>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2025 Drop Down</w:t>
            </w:r>
          </w:p>
        </w:tc>
        <w:tc>
          <w:tcPr>
            <w:tcW w:w="380" w:type="dxa"/>
            <w:vAlign w:val="bottom"/>
          </w:tcPr>
          <w:p>
            <w:pPr>
              <w:spacing w:after="0"/>
              <w:rPr>
                <w:sz w:val="10"/>
                <w:szCs w:val="10"/>
                <w:color w:val="auto"/>
              </w:rPr>
            </w:pPr>
          </w:p>
        </w:tc>
        <w:tc>
          <w:tcPr>
            <w:tcW w:w="15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Viper Pro Forma</w:t>
            </w:r>
          </w:p>
        </w:tc>
        <w:tc>
          <w:tcPr>
            <w:tcW w:w="1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Sitio Acquisition</w:t>
            </w:r>
          </w:p>
        </w:tc>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540" w:type="dxa"/>
            <w:vAlign w:val="bottom"/>
            <w:gridSpan w:val="3"/>
            <w:vMerge w:val="continue"/>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Standardized measure of discounted</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future net cash flows at the beginning</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the period</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3,187</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2,543</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5,730</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1,758</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7,488</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minerals in place</w:t>
            </w:r>
          </w:p>
        </w:tc>
        <w:tc>
          <w:tcPr>
            <w:tcW w:w="3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355</w:t>
            </w:r>
          </w:p>
        </w:tc>
        <w:tc>
          <w:tcPr>
            <w:tcW w:w="34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290</w:t>
            </w:r>
          </w:p>
        </w:tc>
        <w:tc>
          <w:tcPr>
            <w:tcW w:w="4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Divestiture of reserves</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8"/>
        </w:trPr>
        <w:tc>
          <w:tcPr>
            <w:tcW w:w="3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of oil and natural gas, net of</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production costs</w:t>
            </w:r>
          </w:p>
        </w:tc>
        <w:tc>
          <w:tcPr>
            <w:tcW w:w="3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(1,222)</w:t>
            </w:r>
          </w:p>
        </w:tc>
        <w:tc>
          <w:tcPr>
            <w:tcW w:w="34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(564)</w:t>
            </w:r>
          </w:p>
        </w:tc>
        <w:tc>
          <w:tcPr>
            <w:tcW w:w="48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640</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323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198"/>
        </w:trPr>
        <w:tc>
          <w:tcPr>
            <w:tcW w:w="3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changes in prices and production</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3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(585)</w:t>
            </w:r>
          </w:p>
        </w:tc>
        <w:tc>
          <w:tcPr>
            <w:tcW w:w="34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(207)</w:t>
            </w:r>
          </w:p>
        </w:tc>
        <w:tc>
          <w:tcPr>
            <w:tcW w:w="48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Revisions of previous quantity</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estimates</w:t>
            </w:r>
          </w:p>
        </w:tc>
        <w:tc>
          <w:tcPr>
            <w:tcW w:w="3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changes in income taxes</w:t>
            </w:r>
          </w:p>
        </w:tc>
        <w:tc>
          <w:tcPr>
            <w:tcW w:w="3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72</w:t>
            </w:r>
          </w:p>
        </w:tc>
        <w:tc>
          <w:tcPr>
            <w:tcW w:w="34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630</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190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198"/>
        </w:trPr>
        <w:tc>
          <w:tcPr>
            <w:tcW w:w="3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changes in timing of production and</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(55)</w:t>
            </w:r>
          </w:p>
        </w:tc>
        <w:tc>
          <w:tcPr>
            <w:tcW w:w="4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Standardized measure of</w:t>
            </w:r>
          </w:p>
        </w:tc>
        <w:tc>
          <w:tcPr>
            <w:tcW w:w="3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discounted future net cash flows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at the end of the period</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3,320</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2,235</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5,555</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1,762</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7,317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lowerLetter"/>
      <w:start w:val="1"/>
    </w:lvl>
    <w:lvl w:ilvl="1">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04"/>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lowerRoman"/>
      <w:start w:val="2"/>
    </w:lvl>
  </w:abstractNum>
  <w:abstractNum w:abstractNumId="7">
    <w:nsid w:val="628C895D"/>
    <w:multiLevelType w:val="hybridMultilevel"/>
    <w:lvl w:ilvl="0">
      <w:lvlJc w:val="left"/>
      <w:lvlText w:val="(%1)"/>
      <w:numFmt w:val="lowerRoman"/>
      <w:start w:val="1"/>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lowerRoman"/>
      <w:start w:val="1"/>
    </w:lvl>
  </w:abstractNum>
  <w:abstractNum w:abstractNumId="12">
    <w:nsid w:val="6763845E"/>
    <w:multiLevelType w:val="hybridMultilevel"/>
    <w:lvl w:ilvl="0">
      <w:lvlJc w:val="left"/>
      <w:lvlText w:val="%1."/>
      <w:numFmt w:val="decimal"/>
      <w:start w:val="2"/>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3"/>
    </w:lvl>
  </w:abstractNum>
  <w:abstractNum w:abstractNumId="18">
    <w:nsid w:val="189A769B"/>
    <w:multiLevelType w:val="hybridMultilevel"/>
    <w:lvl w:ilvl="0">
      <w:lvlJc w:val="left"/>
      <w:lvlText w:val="(%1)"/>
      <w:numFmt w:val="lowerLetter"/>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lowerLetter"/>
      <w:start w:val="2"/>
    </w:lvl>
    <w:lvl w:ilvl="1">
      <w:lvlJc w:val="left"/>
      <w:lvlText w:val="•"/>
      <w:numFmt w:val="bullet"/>
      <w:start w:val="1"/>
    </w:lvl>
  </w:abstractNum>
  <w:abstractNum w:abstractNumId="24">
    <w:nsid w:val="3A95F874"/>
    <w:multiLevelType w:val="hybridMultilevel"/>
    <w:lvl w:ilvl="0">
      <w:lvlJc w:val="left"/>
      <w:lvlText w:val="(%1)"/>
      <w:numFmt w:val="lowerLetter"/>
      <w:start w:val="3"/>
    </w:lvl>
    <w:lvl w:ilvl="1">
      <w:lvlJc w:val="left"/>
      <w:lvlText w:val="•"/>
      <w:numFmt w:val="bullet"/>
      <w:start w:val="1"/>
    </w:lvl>
  </w:abstractNum>
  <w:abstractNum w:abstractNumId="25">
    <w:nsid w:val="8138641"/>
    <w:multiLevelType w:val="hybridMultilevel"/>
    <w:lvl w:ilvl="0">
      <w:lvlJc w:val="left"/>
      <w:lvlText w:val="(%1)"/>
      <w:numFmt w:val="lowerLetter"/>
      <w:start w:val="9"/>
    </w:lvl>
  </w:abstractNum>
  <w:abstractNum w:abstractNumId="26">
    <w:nsid w:val="1E7FF521"/>
    <w:multiLevelType w:val="hybridMultilevel"/>
    <w:lvl w:ilvl="0">
      <w:lvlJc w:val="left"/>
      <w:lvlText w:val="(%1)"/>
      <w:numFmt w:val="lowerLetter"/>
      <w:start w:val="11"/>
    </w:lvl>
    <w:lvl w:ilvl="1">
      <w:lvlJc w:val="left"/>
      <w:lvlText w:val="•"/>
      <w:numFmt w:val="bullet"/>
      <w:start w:val="1"/>
    </w:lvl>
  </w:abstractNum>
  <w:abstractNum w:abstractNumId="27">
    <w:nsid w:val="7C3DBD3D"/>
    <w:multiLevelType w:val="hybridMultilevel"/>
    <w:lvl w:ilvl="0">
      <w:lvlJc w:val="left"/>
      <w:lvlText w:val="(%1)"/>
      <w:numFmt w:val="lowerLetter"/>
      <w:start w:val="18"/>
    </w:lvl>
  </w:abstractNum>
  <w:abstractNum w:abstractNumId="28">
    <w:nsid w:val="737B8DDC"/>
    <w:multiLevelType w:val="hybridMultilevel"/>
    <w:lvl w:ilvl="0">
      <w:lvlJc w:val="left"/>
      <w:lvlText w:val="(%1)"/>
      <w:numFmt w:val="decimal"/>
      <w:start w:val="1"/>
    </w:lvl>
    <w:lvl w:ilvl="1">
      <w:lvlJc w:val="left"/>
      <w:lvlText w:val="(%2)"/>
      <w:numFmt w:val="lowerLetter"/>
      <w:start w:val="23"/>
    </w:lvl>
  </w:abstractNum>
  <w:abstractNum w:abstractNumId="29">
    <w:nsid w:val="6CEAF087"/>
    <w:multiLevelType w:val="hybridMultilevel"/>
    <w:lvl w:ilvl="0">
      <w:lvlJc w:val="left"/>
      <w:lvlText w:val="(%1)"/>
      <w:numFmt w:val="lowerLetter"/>
      <w:start w:val="26"/>
    </w:lvl>
  </w:abstractNum>
  <w:abstractNum w:abstractNumId="30">
    <w:nsid w:val="22221A70"/>
    <w:multiLevelType w:val="hybridMultilevel"/>
    <w:lvl w:ilvl="0">
      <w:lvlJc w:val="left"/>
      <w:lvlText w:val="(%1)"/>
      <w:numFmt w:val="lowerLetter"/>
      <w:start w:val="27"/>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4"/>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18" Type="http://schemas.openxmlformats.org/officeDocument/2006/relationships/hyperlink" Target="http://www.sec.gov/Archives/edgar/data/1602065/000119312525152799/d941838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2025-08-25T15:30:36Z</dcterms:created>
  <dcterms:modified xsi:type="dcterms:W3CDTF">2025-08-25T15:30:36Z</dcterms:modified>
</cp:coreProperties>
</file>