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alibri" w:cs="Calibri" w:eastAsia="Calibri" w:hAnsi="Calibri"/>
          <w:sz w:val="11"/>
          <w:szCs w:val="11"/>
          <w:color w:val="003366"/>
        </w:rPr>
        <w:t>TABLE OF CONTENTS</w:t>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March 9, 2026</w:t>
      </w:r>
    </w:p>
    <w:p>
      <w:pPr>
        <w:spacing w:after="0" w:line="23" w:lineRule="exact"/>
        <w:rPr>
          <w:sz w:val="24"/>
          <w:szCs w:val="24"/>
          <w:color w:val="auto"/>
        </w:rPr>
      </w:pPr>
    </w:p>
    <w:p>
      <w:pPr>
        <w:jc w:val="right"/>
        <w:ind w:right="639"/>
        <w:spacing w:after="0"/>
        <w:rPr>
          <w:sz w:val="20"/>
          <w:szCs w:val="20"/>
          <w:color w:val="auto"/>
        </w:rPr>
      </w:pPr>
      <w:r>
        <w:rPr>
          <w:rFonts w:ascii="Times New Roman" w:cs="Times New Roman" w:eastAsia="Times New Roman" w:hAnsi="Times New Roman"/>
          <w:sz w:val="11"/>
          <w:szCs w:val="11"/>
          <w:b w:val="1"/>
          <w:bCs w:val="1"/>
          <w:color w:val="auto"/>
        </w:rPr>
        <w:t>Registration No. 333-            ​</w:t>
      </w:r>
    </w:p>
    <w:p>
      <w:pPr>
        <w:spacing w:after="0" w:line="3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421005</wp:posOffset>
            </wp:positionH>
            <wp:positionV relativeFrom="paragraph">
              <wp:posOffset>-3810</wp:posOffset>
            </wp:positionV>
            <wp:extent cx="487807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78070" cy="13335"/>
                    </a:xfrm>
                    <a:prstGeom prst="rect">
                      <a:avLst/>
                    </a:prstGeom>
                    <a:noFill/>
                  </pic:spPr>
                </pic:pic>
              </a:graphicData>
            </a:graphic>
          </wp:anchor>
        </w:drawing>
        <w:drawing>
          <wp:anchor simplePos="0" relativeHeight="251657728" behindDoc="1" locked="0" layoutInCell="0" allowOverlap="1">
            <wp:simplePos x="0" y="0"/>
            <wp:positionH relativeFrom="column">
              <wp:posOffset>421005</wp:posOffset>
            </wp:positionH>
            <wp:positionV relativeFrom="paragraph">
              <wp:posOffset>29210</wp:posOffset>
            </wp:positionV>
            <wp:extent cx="487807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78070" cy="6985"/>
                    </a:xfrm>
                    <a:prstGeom prst="rect">
                      <a:avLst/>
                    </a:prstGeom>
                    <a:noFill/>
                  </pic:spPr>
                </pic:pic>
              </a:graphicData>
            </a:graphic>
          </wp:anchor>
        </w:drawing>
      </w:r>
    </w:p>
    <w:p>
      <w:pPr>
        <w:spacing w:after="0" w:line="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114300</wp:posOffset>
            </wp:positionV>
            <wp:extent cx="9728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72820" cy="698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S-3</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i w:val="1"/>
          <w:iCs w:val="1"/>
          <w:color w:val="auto"/>
        </w:rPr>
        <w:t>REGISTRATION STATEMENT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i w:val="1"/>
          <w:iCs w:val="1"/>
          <w:color w:val="auto"/>
        </w:rPr>
        <w:t>UNDER</w:t>
      </w:r>
    </w:p>
    <w:p>
      <w:pPr>
        <w:jc w:val="center"/>
        <w:ind w:right="-40"/>
        <w:spacing w:after="0"/>
        <w:rPr>
          <w:sz w:val="20"/>
          <w:szCs w:val="20"/>
          <w:color w:val="auto"/>
        </w:rPr>
      </w:pPr>
      <w:r>
        <w:rPr>
          <w:rFonts w:ascii="Times New Roman" w:cs="Times New Roman" w:eastAsia="Times New Roman" w:hAnsi="Times New Roman"/>
          <w:sz w:val="11"/>
          <w:szCs w:val="11"/>
          <w:b w:val="1"/>
          <w:bCs w:val="1"/>
          <w:i w:val="1"/>
          <w:iCs w:val="1"/>
          <w:color w:val="auto"/>
        </w:rPr>
        <w:t>THE SECURITIES ACT OF 1933</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52070</wp:posOffset>
            </wp:positionV>
            <wp:extent cx="97282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72820" cy="698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(Exact name of registrant as specified in its charter)</w:t>
      </w:r>
      <w:r>
        <w:rPr>
          <w:rFonts w:ascii="Times New Roman" w:cs="Times New Roman" w:eastAsia="Times New Roman" w:hAnsi="Times New Roman"/>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38100</wp:posOffset>
            </wp:positionV>
            <wp:extent cx="97282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72820" cy="6985"/>
                    </a:xfrm>
                    <a:prstGeom prst="rect">
                      <a:avLst/>
                    </a:prstGeom>
                    <a:noFill/>
                  </pic:spPr>
                </pic:pic>
              </a:graphicData>
            </a:graphic>
          </wp:anchor>
        </w:drawing>
      </w:r>
    </w:p>
    <w:p>
      <w:pPr>
        <w:spacing w:after="0" w:line="84" w:lineRule="exact"/>
        <w:rPr>
          <w:sz w:val="24"/>
          <w:szCs w:val="24"/>
          <w:color w:val="auto"/>
        </w:rPr>
      </w:pPr>
    </w:p>
    <w:tbl>
      <w:tblPr>
        <w:tblLayout w:type="fixed"/>
        <w:tblInd w:w="660" w:type="dxa"/>
        <w:tblCellMar>
          <w:top w:w="0" w:type="dxa"/>
          <w:left w:w="0" w:type="dxa"/>
          <w:bottom w:w="0" w:type="dxa"/>
          <w:right w:w="0" w:type="dxa"/>
        </w:tblCellMar>
      </w:tblPr>
      <w:tr>
        <w:trPr>
          <w:trHeight w:val="149"/>
        </w:trPr>
        <w:tc>
          <w:tcPr>
            <w:tcW w:w="6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520" w:type="dxa"/>
            <w:vAlign w:val="bottom"/>
          </w:tcPr>
          <w:p>
            <w:pPr>
              <w:ind w:left="1020"/>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144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 ​</w:t>
            </w:r>
          </w:p>
        </w:tc>
        <w:tc>
          <w:tcPr>
            <w:tcW w:w="2380" w:type="dxa"/>
            <w:vAlign w:val="bottom"/>
          </w:tcPr>
          <w:p>
            <w:pPr>
              <w:jc w:val="right"/>
              <w:ind w:right="868"/>
              <w:spacing w:after="0"/>
              <w:rPr>
                <w:sz w:val="20"/>
                <w:szCs w:val="20"/>
                <w:color w:val="auto"/>
              </w:rPr>
            </w:pPr>
            <w:r>
              <w:rPr>
                <w:rFonts w:ascii="Times New Roman" w:cs="Times New Roman" w:eastAsia="Times New Roman" w:hAnsi="Times New Roman"/>
                <w:sz w:val="11"/>
                <w:szCs w:val="11"/>
                <w:b w:val="1"/>
                <w:bCs w:val="1"/>
                <w:color w:val="auto"/>
              </w:rPr>
              <w:t>39-2596878</w:t>
            </w:r>
          </w:p>
        </w:tc>
        <w:tc>
          <w:tcPr>
            <w:tcW w:w="720" w:type="dxa"/>
            <w:vAlign w:val="bottom"/>
          </w:tcPr>
          <w:p>
            <w:pPr>
              <w:ind w:left="70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04"/>
        </w:trPr>
        <w:tc>
          <w:tcPr>
            <w:tcW w:w="640" w:type="dxa"/>
            <w:vAlign w:val="bottom"/>
          </w:tcPr>
          <w:p>
            <w:pPr>
              <w:spacing w:after="0"/>
              <w:rPr>
                <w:sz w:val="9"/>
                <w:szCs w:val="9"/>
                <w:color w:val="auto"/>
              </w:rPr>
            </w:pPr>
          </w:p>
        </w:tc>
        <w:tc>
          <w:tcPr>
            <w:tcW w:w="2520" w:type="dxa"/>
            <w:vAlign w:val="bottom"/>
          </w:tcPr>
          <w:p>
            <w:pPr>
              <w:ind w:left="620"/>
              <w:spacing w:after="0" w:line="104" w:lineRule="exact"/>
              <w:rPr>
                <w:sz w:val="20"/>
                <w:szCs w:val="20"/>
                <w:color w:val="auto"/>
              </w:rPr>
            </w:pPr>
            <w:r>
              <w:rPr>
                <w:rFonts w:ascii="Times New Roman" w:cs="Times New Roman" w:eastAsia="Times New Roman" w:hAnsi="Times New Roman"/>
                <w:sz w:val="10"/>
                <w:szCs w:val="10"/>
                <w:color w:val="auto"/>
              </w:rPr>
              <w:t>(State or other jurisdiction of</w:t>
            </w:r>
          </w:p>
        </w:tc>
        <w:tc>
          <w:tcPr>
            <w:tcW w:w="1440" w:type="dxa"/>
            <w:vAlign w:val="bottom"/>
          </w:tcPr>
          <w:p>
            <w:pPr>
              <w:spacing w:after="0"/>
              <w:rPr>
                <w:sz w:val="9"/>
                <w:szCs w:val="9"/>
                <w:color w:val="auto"/>
              </w:rPr>
            </w:pPr>
          </w:p>
        </w:tc>
        <w:tc>
          <w:tcPr>
            <w:tcW w:w="238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rPr>
              <w:t>(I.R.S. Employer</w:t>
            </w:r>
          </w:p>
        </w:tc>
        <w:tc>
          <w:tcPr>
            <w:tcW w:w="720" w:type="dxa"/>
            <w:vAlign w:val="bottom"/>
          </w:tcPr>
          <w:p>
            <w:pPr>
              <w:spacing w:after="0"/>
              <w:rPr>
                <w:sz w:val="9"/>
                <w:szCs w:val="9"/>
                <w:color w:val="auto"/>
              </w:rPr>
            </w:pPr>
          </w:p>
        </w:tc>
      </w:tr>
      <w:tr>
        <w:trPr>
          <w:trHeight w:val="147"/>
        </w:trPr>
        <w:tc>
          <w:tcPr>
            <w:tcW w:w="640" w:type="dxa"/>
            <w:vAlign w:val="bottom"/>
          </w:tcPr>
          <w:p>
            <w:pPr>
              <w:spacing w:after="0"/>
              <w:rPr>
                <w:sz w:val="12"/>
                <w:szCs w:val="12"/>
                <w:color w:val="auto"/>
              </w:rPr>
            </w:pPr>
          </w:p>
        </w:tc>
        <w:tc>
          <w:tcPr>
            <w:tcW w:w="25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incorporation or organization)</w:t>
            </w:r>
            <w:r>
              <w:rPr>
                <w:rFonts w:ascii="Times New Roman" w:cs="Times New Roman" w:eastAsia="Times New Roman" w:hAnsi="Times New Roman"/>
                <w:sz w:val="11"/>
                <w:szCs w:val="11"/>
                <w:color w:val="auto"/>
              </w:rPr>
              <w:t>​</w:t>
            </w:r>
          </w:p>
        </w:tc>
        <w:tc>
          <w:tcPr>
            <w:tcW w:w="144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Identification Number)</w:t>
            </w:r>
          </w:p>
        </w:tc>
        <w:tc>
          <w:tcPr>
            <w:tcW w:w="720" w:type="dxa"/>
            <w:vAlign w:val="bottom"/>
          </w:tcPr>
          <w:p>
            <w:pPr>
              <w:spacing w:after="0"/>
              <w:rPr>
                <w:sz w:val="12"/>
                <w:szCs w:val="12"/>
                <w:color w:val="auto"/>
              </w:rPr>
            </w:pPr>
          </w:p>
        </w:tc>
      </w:tr>
    </w:tbl>
    <w:p>
      <w:pPr>
        <w:spacing w:after="0" w:line="132"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1"/>
          <w:szCs w:val="11"/>
          <w:b w:val="1"/>
          <w:bCs w:val="1"/>
          <w:color w:val="auto"/>
        </w:rPr>
        <w:t>500 West Texas Ave., Suite 100</w:t>
      </w:r>
    </w:p>
    <w:p>
      <w:pPr>
        <w:ind w:left="3980"/>
        <w:spacing w:after="0" w:line="230" w:lineRule="auto"/>
        <w:rPr>
          <w:sz w:val="20"/>
          <w:szCs w:val="20"/>
          <w:color w:val="auto"/>
        </w:rPr>
      </w:pPr>
      <w:r>
        <w:rPr>
          <w:rFonts w:ascii="Times New Roman" w:cs="Times New Roman" w:eastAsia="Times New Roman" w:hAnsi="Times New Roman"/>
          <w:sz w:val="11"/>
          <w:szCs w:val="11"/>
          <w:b w:val="1"/>
          <w:bCs w:val="1"/>
          <w:color w:val="auto"/>
        </w:rPr>
        <w:t>Midland, Texas 79701</w:t>
      </w:r>
    </w:p>
    <w:p>
      <w:pPr>
        <w:ind w:left="4160"/>
        <w:spacing w:after="0" w:line="202" w:lineRule="auto"/>
        <w:rPr>
          <w:sz w:val="20"/>
          <w:szCs w:val="20"/>
          <w:color w:val="auto"/>
        </w:rPr>
      </w:pPr>
      <w:r>
        <w:rPr>
          <w:rFonts w:ascii="Times New Roman" w:cs="Times New Roman" w:eastAsia="Times New Roman" w:hAnsi="Times New Roman"/>
          <w:sz w:val="11"/>
          <w:szCs w:val="11"/>
          <w:b w:val="1"/>
          <w:bCs w:val="1"/>
          <w:color w:val="auto"/>
        </w:rPr>
        <w:t>(432) 221-7400</w:t>
      </w:r>
    </w:p>
    <w:p>
      <w:pPr>
        <w:jc w:val="center"/>
        <w:ind w:right="-20"/>
        <w:spacing w:after="0"/>
        <w:rPr>
          <w:sz w:val="20"/>
          <w:szCs w:val="20"/>
          <w:color w:val="auto"/>
        </w:rPr>
      </w:pPr>
      <w:r>
        <w:rPr>
          <w:rFonts w:ascii="Times New Roman" w:cs="Times New Roman" w:eastAsia="Times New Roman" w:hAnsi="Times New Roman"/>
          <w:sz w:val="10"/>
          <w:szCs w:val="10"/>
          <w:color w:val="auto"/>
        </w:rPr>
        <w:t>(Address, including zip code, and telephone number, including area code, of registrant’s principal executive offices)</w:t>
      </w:r>
      <w:r>
        <w:rPr>
          <w:rFonts w:ascii="Times New Roman" w:cs="Times New Roman" w:eastAsia="Times New Roman" w:hAnsi="Times New Roman"/>
          <w:sz w:val="11"/>
          <w:szCs w:val="11"/>
          <w:color w:val="auto"/>
        </w:rPr>
        <w:t>​</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Teresa L. Dick</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Executive Vice President, Chief Financial Officer and Assistant Secretary</w:t>
      </w:r>
    </w:p>
    <w:p>
      <w:pPr>
        <w:ind w:left="3780"/>
        <w:spacing w:after="0" w:line="224" w:lineRule="auto"/>
        <w:rPr>
          <w:sz w:val="20"/>
          <w:szCs w:val="20"/>
          <w:color w:val="auto"/>
        </w:rPr>
      </w:pPr>
      <w:r>
        <w:rPr>
          <w:rFonts w:ascii="Times New Roman" w:cs="Times New Roman" w:eastAsia="Times New Roman" w:hAnsi="Times New Roman"/>
          <w:sz w:val="11"/>
          <w:szCs w:val="11"/>
          <w:b w:val="1"/>
          <w:bCs w:val="1"/>
          <w:color w:val="auto"/>
        </w:rPr>
        <w:t>500 West Texas Ave., Suite 100</w:t>
      </w:r>
    </w:p>
    <w:p>
      <w:pPr>
        <w:ind w:left="3980"/>
        <w:spacing w:after="0" w:line="222" w:lineRule="auto"/>
        <w:rPr>
          <w:sz w:val="20"/>
          <w:szCs w:val="20"/>
          <w:color w:val="auto"/>
        </w:rPr>
      </w:pPr>
      <w:r>
        <w:rPr>
          <w:rFonts w:ascii="Times New Roman" w:cs="Times New Roman" w:eastAsia="Times New Roman" w:hAnsi="Times New Roman"/>
          <w:sz w:val="11"/>
          <w:szCs w:val="11"/>
          <w:b w:val="1"/>
          <w:bCs w:val="1"/>
          <w:color w:val="auto"/>
        </w:rPr>
        <w:t>Midland, Texas 79701</w:t>
      </w:r>
    </w:p>
    <w:p>
      <w:pPr>
        <w:ind w:left="4160"/>
        <w:spacing w:after="0" w:line="222" w:lineRule="auto"/>
        <w:rPr>
          <w:sz w:val="20"/>
          <w:szCs w:val="20"/>
          <w:color w:val="auto"/>
        </w:rPr>
      </w:pPr>
      <w:r>
        <w:rPr>
          <w:rFonts w:ascii="Times New Roman" w:cs="Times New Roman" w:eastAsia="Times New Roman" w:hAnsi="Times New Roman"/>
          <w:sz w:val="11"/>
          <w:szCs w:val="11"/>
          <w:b w:val="1"/>
          <w:bCs w:val="1"/>
          <w:color w:val="auto"/>
        </w:rPr>
        <w:t>(432) 221-7400</w:t>
      </w:r>
    </w:p>
    <w:p>
      <w:pPr>
        <w:jc w:val="center"/>
        <w:ind w:right="-20"/>
        <w:spacing w:after="0"/>
        <w:rPr>
          <w:sz w:val="20"/>
          <w:szCs w:val="20"/>
          <w:color w:val="auto"/>
        </w:rPr>
      </w:pPr>
      <w:r>
        <w:rPr>
          <w:rFonts w:ascii="Times New Roman" w:cs="Times New Roman" w:eastAsia="Times New Roman" w:hAnsi="Times New Roman"/>
          <w:sz w:val="10"/>
          <w:szCs w:val="10"/>
          <w:color w:val="auto"/>
        </w:rPr>
        <w:t>(Address, including zip code, and telephone number, including area code, of agent for service)</w:t>
      </w:r>
      <w:r>
        <w:rPr>
          <w:rFonts w:ascii="Times New Roman" w:cs="Times New Roman" w:eastAsia="Times New Roman" w:hAnsi="Times New Roman"/>
          <w:sz w:val="11"/>
          <w:szCs w:val="11"/>
          <w:color w:val="auto"/>
        </w:rPr>
        <w:t>​</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Zachary S. Podolsky</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Ryan J. Lynch</w:t>
      </w:r>
    </w:p>
    <w:p>
      <w:pPr>
        <w:jc w:val="center"/>
        <w:ind w:right="19"/>
        <w:spacing w:after="0" w:line="224" w:lineRule="auto"/>
        <w:rPr>
          <w:sz w:val="20"/>
          <w:szCs w:val="20"/>
          <w:color w:val="auto"/>
        </w:rPr>
      </w:pPr>
      <w:r>
        <w:rPr>
          <w:rFonts w:ascii="Times New Roman" w:cs="Times New Roman" w:eastAsia="Times New Roman" w:hAnsi="Times New Roman"/>
          <w:sz w:val="11"/>
          <w:szCs w:val="11"/>
          <w:b w:val="1"/>
          <w:bCs w:val="1"/>
          <w:color w:val="auto"/>
        </w:rPr>
        <w:t>Latham &amp; Watkins LLP</w:t>
      </w:r>
    </w:p>
    <w:p>
      <w:pPr>
        <w:jc w:val="center"/>
        <w:ind w:right="19"/>
        <w:spacing w:after="0" w:line="222" w:lineRule="auto"/>
        <w:rPr>
          <w:sz w:val="20"/>
          <w:szCs w:val="20"/>
          <w:color w:val="auto"/>
        </w:rPr>
      </w:pPr>
      <w:r>
        <w:rPr>
          <w:rFonts w:ascii="Times New Roman" w:cs="Times New Roman" w:eastAsia="Times New Roman" w:hAnsi="Times New Roman"/>
          <w:sz w:val="11"/>
          <w:szCs w:val="11"/>
          <w:b w:val="1"/>
          <w:bCs w:val="1"/>
          <w:color w:val="auto"/>
        </w:rPr>
        <w:t>1271 Avenue of the Americas</w:t>
      </w: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New York, New York 10020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(212) 906-1200</w:t>
      </w:r>
    </w:p>
    <w:p>
      <w:pPr>
        <w:spacing w:after="0" w:line="19" w:lineRule="exact"/>
        <w:rPr>
          <w:sz w:val="24"/>
          <w:szCs w:val="24"/>
          <w:color w:val="auto"/>
        </w:rPr>
      </w:pPr>
    </w:p>
    <w:p>
      <w:pPr>
        <w:ind w:left="660" w:right="779" w:firstLine="284"/>
        <w:spacing w:after="0" w:line="264" w:lineRule="auto"/>
        <w:rPr>
          <w:sz w:val="20"/>
          <w:szCs w:val="20"/>
          <w:color w:val="auto"/>
        </w:rPr>
      </w:pPr>
      <w:r>
        <w:rPr>
          <w:rFonts w:ascii="Times New Roman" w:cs="Times New Roman" w:eastAsia="Times New Roman" w:hAnsi="Times New Roman"/>
          <w:sz w:val="11"/>
          <w:szCs w:val="11"/>
          <w:b w:val="1"/>
          <w:bCs w:val="1"/>
          <w:color w:val="auto"/>
        </w:rPr>
        <w:t xml:space="preserve">APPROXIMATE DATE OF COMMENCEMENT OF PROPOSED SALE TO THE PUBLIC: </w:t>
      </w:r>
      <w:r>
        <w:rPr>
          <w:rFonts w:ascii="Times New Roman" w:cs="Times New Roman" w:eastAsia="Times New Roman" w:hAnsi="Times New Roman"/>
          <w:sz w:val="11"/>
          <w:szCs w:val="11"/>
          <w:color w:val="auto"/>
        </w:rPr>
        <w:t>From time to time after the effective date of this registration</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statement.</w:t>
      </w:r>
    </w:p>
    <w:p>
      <w:pPr>
        <w:spacing w:after="0" w:line="11" w:lineRule="exact"/>
        <w:rPr>
          <w:sz w:val="24"/>
          <w:szCs w:val="24"/>
          <w:color w:val="auto"/>
        </w:rPr>
      </w:pPr>
    </w:p>
    <w:p>
      <w:pPr>
        <w:ind w:left="660" w:right="1039" w:firstLine="284"/>
        <w:spacing w:after="0" w:line="141"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141" w:lineRule="exact"/>
        <w:rPr>
          <w:sz w:val="24"/>
          <w:szCs w:val="24"/>
          <w:color w:val="auto"/>
        </w:rPr>
      </w:pPr>
    </w:p>
    <w:p>
      <w:pPr>
        <w:ind w:left="660" w:right="859" w:firstLine="284"/>
        <w:spacing w:after="0" w:line="144"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1" w:lineRule="exact"/>
        <w:rPr>
          <w:sz w:val="24"/>
          <w:szCs w:val="24"/>
          <w:color w:val="auto"/>
        </w:rPr>
      </w:pPr>
    </w:p>
    <w:p>
      <w:pPr>
        <w:ind w:left="660" w:right="839" w:firstLine="284"/>
        <w:spacing w:after="0" w:line="139"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6" w:lineRule="exact"/>
        <w:rPr>
          <w:sz w:val="24"/>
          <w:szCs w:val="24"/>
          <w:color w:val="auto"/>
        </w:rPr>
      </w:pPr>
    </w:p>
    <w:p>
      <w:pPr>
        <w:ind w:left="660" w:right="999" w:firstLine="284"/>
        <w:spacing w:after="0" w:line="141"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 w:lineRule="exact"/>
        <w:rPr>
          <w:sz w:val="24"/>
          <w:szCs w:val="24"/>
          <w:color w:val="auto"/>
        </w:rPr>
      </w:pPr>
    </w:p>
    <w:p>
      <w:pPr>
        <w:ind w:left="660" w:right="819" w:firstLine="284"/>
        <w:spacing w:after="0" w:line="144"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1.0.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1" w:lineRule="exact"/>
        <w:rPr>
          <w:sz w:val="24"/>
          <w:szCs w:val="24"/>
          <w:color w:val="auto"/>
        </w:rPr>
      </w:pPr>
    </w:p>
    <w:p>
      <w:pPr>
        <w:ind w:left="660" w:right="919" w:firstLine="284"/>
        <w:spacing w:after="0" w:line="139"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6" w:lineRule="exact"/>
        <w:rPr>
          <w:sz w:val="24"/>
          <w:szCs w:val="24"/>
          <w:color w:val="auto"/>
        </w:rPr>
      </w:pPr>
    </w:p>
    <w:p>
      <w:pPr>
        <w:ind w:left="660" w:right="719" w:firstLine="284"/>
        <w:spacing w:after="0" w:line="241"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12-2 of the Exchange Act.</w:t>
      </w:r>
    </w:p>
    <w:tbl>
      <w:tblPr>
        <w:tblLayout w:type="fixed"/>
        <w:tblInd w:w="940" w:type="dxa"/>
        <w:tblCellMar>
          <w:top w:w="0" w:type="dxa"/>
          <w:left w:w="0" w:type="dxa"/>
          <w:bottom w:w="0" w:type="dxa"/>
          <w:right w:w="0" w:type="dxa"/>
        </w:tblCellMar>
      </w:tblPr>
      <w:tr>
        <w:trPr>
          <w:trHeight w:val="136"/>
        </w:trPr>
        <w:tc>
          <w:tcPr>
            <w:tcW w:w="124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1240" w:type="dxa"/>
            <w:vAlign w:val="bottom"/>
          </w:tcPr>
          <w:p>
            <w:pPr>
              <w:ind w:left="160"/>
              <w:spacing w:after="0" w:line="111" w:lineRule="exact"/>
              <w:rPr>
                <w:sz w:val="20"/>
                <w:szCs w:val="20"/>
                <w:color w:val="auto"/>
              </w:rPr>
            </w:pPr>
            <w:r>
              <w:rPr>
                <w:rFonts w:ascii="MS PGothic" w:cs="MS PGothic" w:eastAsia="MS PGothic" w:hAnsi="MS PGothic"/>
                <w:sz w:val="11"/>
                <w:szCs w:val="11"/>
                <w:color w:val="auto"/>
              </w:rPr>
              <w:t>☒</w:t>
            </w:r>
          </w:p>
        </w:tc>
        <w:tc>
          <w:tcPr>
            <w:tcW w:w="1060" w:type="dxa"/>
            <w:vAlign w:val="bottom"/>
          </w:tcPr>
          <w:p>
            <w:pPr>
              <w:ind w:left="10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Accelerated filer</w:t>
            </w:r>
          </w:p>
        </w:tc>
        <w:tc>
          <w:tcPr>
            <w:tcW w:w="1120" w:type="dxa"/>
            <w:vAlign w:val="bottom"/>
          </w:tcPr>
          <w:p>
            <w:pPr>
              <w:ind w:left="160"/>
              <w:spacing w:after="0" w:line="111" w:lineRule="exact"/>
              <w:rPr>
                <w:sz w:val="20"/>
                <w:szCs w:val="20"/>
                <w:color w:val="auto"/>
              </w:rPr>
            </w:pPr>
            <w:r>
              <w:rPr>
                <w:rFonts w:ascii="MS PGothic" w:cs="MS PGothic" w:eastAsia="MS PGothic" w:hAnsi="MS PGothic"/>
                <w:sz w:val="11"/>
                <w:szCs w:val="11"/>
                <w:color w:val="auto"/>
              </w:rPr>
              <w:t>☐</w:t>
            </w:r>
          </w:p>
        </w:tc>
        <w:tc>
          <w:tcPr>
            <w:tcW w:w="900" w:type="dxa"/>
            <w:vAlign w:val="bottom"/>
          </w:tcPr>
          <w:p>
            <w:pPr>
              <w:ind w:left="88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28"/>
        </w:trPr>
        <w:tc>
          <w:tcPr>
            <w:tcW w:w="124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1240" w:type="dxa"/>
            <w:vAlign w:val="bottom"/>
          </w:tcPr>
          <w:p>
            <w:pPr>
              <w:ind w:left="160"/>
              <w:spacing w:after="0" w:line="111" w:lineRule="exact"/>
              <w:rPr>
                <w:sz w:val="20"/>
                <w:szCs w:val="20"/>
                <w:color w:val="auto"/>
              </w:rPr>
            </w:pPr>
            <w:r>
              <w:rPr>
                <w:rFonts w:ascii="MS PGothic" w:cs="MS PGothic" w:eastAsia="MS PGothic" w:hAnsi="MS PGothic"/>
                <w:sz w:val="11"/>
                <w:szCs w:val="11"/>
                <w:color w:val="auto"/>
              </w:rPr>
              <w:t>☐</w:t>
            </w:r>
          </w:p>
        </w:tc>
        <w:tc>
          <w:tcPr>
            <w:tcW w:w="1060" w:type="dxa"/>
            <w:vAlign w:val="bottom"/>
          </w:tcPr>
          <w:p>
            <w:pPr>
              <w:ind w:left="10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120" w:type="dxa"/>
            <w:vAlign w:val="bottom"/>
          </w:tcPr>
          <w:p>
            <w:pPr>
              <w:ind w:left="160"/>
              <w:spacing w:after="0" w:line="111" w:lineRule="exact"/>
              <w:rPr>
                <w:sz w:val="20"/>
                <w:szCs w:val="20"/>
                <w:color w:val="auto"/>
              </w:rPr>
            </w:pPr>
            <w:r>
              <w:rPr>
                <w:rFonts w:ascii="MS PGothic" w:cs="MS PGothic" w:eastAsia="MS PGothic" w:hAnsi="MS PGothic"/>
                <w:sz w:val="11"/>
                <w:szCs w:val="11"/>
                <w:color w:val="auto"/>
              </w:rPr>
              <w:t>☐</w:t>
            </w:r>
          </w:p>
        </w:tc>
        <w:tc>
          <w:tcPr>
            <w:tcW w:w="900" w:type="dxa"/>
            <w:vAlign w:val="bottom"/>
          </w:tcPr>
          <w:p>
            <w:pPr>
              <w:ind w:left="88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1"/>
        </w:trPr>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Emerging growth company</w:t>
            </w:r>
          </w:p>
        </w:tc>
        <w:tc>
          <w:tcPr>
            <w:tcW w:w="1120" w:type="dxa"/>
            <w:vAlign w:val="bottom"/>
          </w:tcPr>
          <w:p>
            <w:pPr>
              <w:ind w:left="160"/>
              <w:spacing w:after="0" w:line="111" w:lineRule="exact"/>
              <w:rPr>
                <w:sz w:val="20"/>
                <w:szCs w:val="20"/>
                <w:color w:val="auto"/>
              </w:rPr>
            </w:pPr>
            <w:r>
              <w:rPr>
                <w:rFonts w:ascii="MS PGothic" w:cs="MS PGothic" w:eastAsia="MS PGothic" w:hAnsi="MS PGothic"/>
                <w:sz w:val="11"/>
                <w:szCs w:val="11"/>
                <w:color w:val="auto"/>
              </w:rPr>
              <w:t>☐</w:t>
            </w:r>
          </w:p>
        </w:tc>
        <w:tc>
          <w:tcPr>
            <w:tcW w:w="900" w:type="dxa"/>
            <w:vAlign w:val="bottom"/>
          </w:tcPr>
          <w:p>
            <w:pPr>
              <w:spacing w:after="0"/>
              <w:rPr>
                <w:sz w:val="16"/>
                <w:szCs w:val="16"/>
                <w:color w:val="auto"/>
              </w:rPr>
            </w:pPr>
          </w:p>
        </w:tc>
      </w:tr>
    </w:tbl>
    <w:p>
      <w:pPr>
        <w:spacing w:after="0" w:line="100" w:lineRule="exact"/>
        <w:rPr>
          <w:sz w:val="24"/>
          <w:szCs w:val="24"/>
          <w:color w:val="auto"/>
        </w:rPr>
      </w:pPr>
    </w:p>
    <w:p>
      <w:pPr>
        <w:ind w:left="660" w:right="759" w:firstLine="284"/>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1"/>
          <w:szCs w:val="11"/>
          <w:color w:val="auto"/>
        </w:rPr>
        <w:t>☐</w:t>
      </w:r>
    </w:p>
    <w:p>
      <w:pPr>
        <w:sectPr>
          <w:pgSz w:w="11900" w:h="16838" w:orient="portrait"/>
          <w:cols w:equalWidth="0" w:num="1">
            <w:col w:w="9019"/>
          </w:cols>
          <w:pgMar w:left="1440" w:top="192" w:right="1440" w:bottom="1440" w:gutter="0" w:footer="0" w:header="0"/>
        </w:sectPr>
      </w:pPr>
    </w:p>
    <w:p>
      <w:pPr>
        <w:spacing w:after="0" w:line="4" w:lineRule="exact"/>
        <w:rPr>
          <w:sz w:val="24"/>
          <w:szCs w:val="24"/>
          <w:color w:val="auto"/>
        </w:rPr>
      </w:pPr>
    </w:p>
    <w:tbl>
      <w:tblPr>
        <w:tblLayout w:type="fixed"/>
        <w:tblInd w:w="68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360" w:type="dxa"/>
            <w:vAlign w:val="bottom"/>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w w:val="97"/>
              </w:rPr>
              <w:t>Exact name of co-registrant as specified in its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Co-Registrant State or other jurisdiction of</w:t>
            </w:r>
          </w:p>
        </w:tc>
        <w:tc>
          <w:tcPr>
            <w:tcW w:w="0" w:type="dxa"/>
            <w:vAlign w:val="bottom"/>
          </w:tcPr>
          <w:p>
            <w:pPr>
              <w:spacing w:after="0"/>
              <w:rPr>
                <w:sz w:val="1"/>
                <w:szCs w:val="1"/>
                <w:color w:val="auto"/>
              </w:rPr>
            </w:pPr>
          </w:p>
        </w:tc>
      </w:tr>
      <w:tr>
        <w:trPr>
          <w:trHeight w:val="159"/>
        </w:trPr>
        <w:tc>
          <w:tcPr>
            <w:tcW w:w="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360" w:type="dxa"/>
            <w:vAlign w:val="bottom"/>
          </w:tcPr>
          <w:p>
            <w:pPr>
              <w:jc w:val="center"/>
              <w:ind w:right="43"/>
              <w:spacing w:after="0" w:line="151" w:lineRule="exact"/>
              <w:rPr>
                <w:sz w:val="20"/>
                <w:szCs w:val="20"/>
                <w:color w:val="auto"/>
              </w:rPr>
            </w:pPr>
            <w:r>
              <w:rPr>
                <w:rFonts w:ascii="Times New Roman" w:cs="Times New Roman" w:eastAsia="Times New Roman" w:hAnsi="Times New Roman"/>
                <w:sz w:val="11"/>
                <w:szCs w:val="11"/>
                <w:b w:val="1"/>
                <w:bCs w:val="1"/>
                <w:color w:val="auto"/>
                <w:w w:val="91"/>
              </w:rPr>
              <w:t>charter</w:t>
            </w:r>
            <w:r>
              <w:rPr>
                <w:rFonts w:ascii="Times New Roman" w:cs="Times New Roman" w:eastAsia="Times New Roman" w:hAnsi="Times New Roman"/>
                <w:sz w:val="14"/>
                <w:szCs w:val="14"/>
                <w:b w:val="1"/>
                <w:bCs w:val="1"/>
                <w:color w:val="auto"/>
                <w:w w:val="91"/>
                <w:vertAlign w:val="superscript"/>
              </w:rPr>
              <w:t>(1)</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2360" w:type="dxa"/>
            <w:vAlign w:val="bottom"/>
            <w:tcBorders>
              <w:top w:val="single" w:sz="8" w:color="auto"/>
            </w:tcBorders>
            <w:vMerge w:val="restart"/>
          </w:tcPr>
          <w:p>
            <w:pPr>
              <w:jc w:val="center"/>
              <w:ind w:right="43"/>
              <w:spacing w:after="0"/>
              <w:rPr>
                <w:sz w:val="20"/>
                <w:szCs w:val="20"/>
                <w:color w:val="auto"/>
              </w:rPr>
            </w:pPr>
            <w:r>
              <w:rPr>
                <w:rFonts w:ascii="Times New Roman" w:cs="Times New Roman" w:eastAsia="Times New Roman" w:hAnsi="Times New Roman"/>
                <w:sz w:val="11"/>
                <w:szCs w:val="11"/>
                <w:color w:val="auto"/>
              </w:rPr>
              <w:t>Viper Energy Partners LP</w:t>
            </w:r>
          </w:p>
        </w:tc>
        <w:tc>
          <w:tcPr>
            <w:tcW w:w="100" w:type="dxa"/>
            <w:vAlign w:val="bottom"/>
          </w:tcPr>
          <w:p>
            <w:pPr>
              <w:ind w:left="40"/>
              <w:spacing w:after="0" w:line="120"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ind w:left="20"/>
              <w:spacing w:after="0" w:line="120" w:lineRule="exact"/>
              <w:rPr>
                <w:sz w:val="20"/>
                <w:szCs w:val="20"/>
                <w:color w:val="auto"/>
              </w:rPr>
            </w:pPr>
            <w:r>
              <w:rPr>
                <w:rFonts w:ascii="Times New Roman" w:cs="Times New Roman" w:eastAsia="Times New Roman" w:hAnsi="Times New Roman"/>
                <w:sz w:val="11"/>
                <w:szCs w:val="11"/>
                <w:color w:val="auto"/>
              </w:rPr>
              <w:t>​</w:t>
            </w:r>
          </w:p>
        </w:tc>
        <w:tc>
          <w:tcPr>
            <w:tcW w:w="24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Delaware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3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421005</wp:posOffset>
            </wp:positionH>
            <wp:positionV relativeFrom="paragraph">
              <wp:posOffset>133985</wp:posOffset>
            </wp:positionV>
            <wp:extent cx="97282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72820" cy="6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I.R.S. Employer Identification Number</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19"/>
        </w:trPr>
        <w:tc>
          <w:tcPr>
            <w:tcW w:w="6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ind w:left="20"/>
              <w:spacing w:after="0" w:line="120" w:lineRule="exact"/>
              <w:rPr>
                <w:sz w:val="20"/>
                <w:szCs w:val="20"/>
                <w:color w:val="auto"/>
              </w:rPr>
            </w:pPr>
            <w:r>
              <w:rPr>
                <w:rFonts w:ascii="Times New Roman" w:cs="Times New Roman" w:eastAsia="Times New Roman" w:hAnsi="Times New Roman"/>
                <w:sz w:val="11"/>
                <w:szCs w:val="11"/>
                <w:color w:val="auto"/>
              </w:rPr>
              <w:t>​</w:t>
            </w:r>
          </w:p>
        </w:tc>
        <w:tc>
          <w:tcPr>
            <w:tcW w:w="2440" w:type="dxa"/>
            <w:vAlign w:val="bottom"/>
            <w:vMerge w:val="restart"/>
          </w:tcPr>
          <w:p>
            <w:pPr>
              <w:jc w:val="right"/>
              <w:ind w:right="863"/>
              <w:spacing w:after="0"/>
              <w:rPr>
                <w:sz w:val="20"/>
                <w:szCs w:val="20"/>
                <w:color w:val="auto"/>
              </w:rPr>
            </w:pPr>
            <w:r>
              <w:rPr>
                <w:rFonts w:ascii="Times New Roman" w:cs="Times New Roman" w:eastAsia="Times New Roman" w:hAnsi="Times New Roman"/>
                <w:sz w:val="11"/>
                <w:szCs w:val="11"/>
                <w:color w:val="auto"/>
              </w:rPr>
              <w:t>35-2486057</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5720" w:space="40"/>
            <w:col w:w="3259"/>
          </w:cols>
          <w:pgMar w:left="1440" w:top="192" w:right="1440" w:bottom="1440" w:gutter="0" w:footer="0" w:header="0"/>
          <w:type w:val="continuous"/>
        </w:sectPr>
      </w:pPr>
    </w:p>
    <w:p>
      <w:pPr>
        <w:spacing w:after="0" w:line="132" w:lineRule="exact"/>
        <w:rPr>
          <w:sz w:val="24"/>
          <w:szCs w:val="24"/>
          <w:color w:val="auto"/>
        </w:rPr>
      </w:pPr>
    </w:p>
    <w:p>
      <w:pPr>
        <w:ind w:left="940" w:right="679" w:hanging="275"/>
        <w:spacing w:after="0" w:line="269" w:lineRule="auto"/>
        <w:tabs>
          <w:tab w:leader="none" w:pos="94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address of the Co-Registrant’s principal executive offices is c/o Viper Energy, Inc., 500 West Texas Ave., Suite 100, Midland. Texas 79701 and the telephone number for the Co-Registrant is (432) 221-7400. The name, address, including zip code, and telephone number, including area code, of the agent for service for the Co-Registrant is Teresa L. Dick, Executive Vice President, Chief Financial Officer and Assistant Secretary of Viper Energy, Inc.,</w:t>
      </w:r>
    </w:p>
    <w:p>
      <w:pPr>
        <w:ind w:left="940"/>
        <w:spacing w:after="0"/>
        <w:rPr>
          <w:sz w:val="20"/>
          <w:szCs w:val="20"/>
          <w:color w:val="auto"/>
        </w:rPr>
      </w:pPr>
      <w:r>
        <w:rPr>
          <w:rFonts w:ascii="Times New Roman" w:cs="Times New Roman" w:eastAsia="Times New Roman" w:hAnsi="Times New Roman"/>
          <w:sz w:val="11"/>
          <w:szCs w:val="11"/>
          <w:color w:val="auto"/>
        </w:rPr>
        <w:t>500 West Texas Ave., Suite 100, Midland, Texas 79701, telephone (432) 221-7400.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421005</wp:posOffset>
            </wp:positionH>
            <wp:positionV relativeFrom="paragraph">
              <wp:posOffset>52070</wp:posOffset>
            </wp:positionV>
            <wp:extent cx="487807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78070" cy="6985"/>
                    </a:xfrm>
                    <a:prstGeom prst="rect">
                      <a:avLst/>
                    </a:prstGeom>
                    <a:noFill/>
                  </pic:spPr>
                </pic:pic>
              </a:graphicData>
            </a:graphic>
          </wp:anchor>
        </w:drawing>
      </w:r>
    </w:p>
    <w:p>
      <w:pPr>
        <w:spacing w:after="0" w:line="7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421005</wp:posOffset>
            </wp:positionH>
            <wp:positionV relativeFrom="paragraph">
              <wp:posOffset>-3810</wp:posOffset>
            </wp:positionV>
            <wp:extent cx="487807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78070" cy="13335"/>
                    </a:xfrm>
                    <a:prstGeom prst="rect">
                      <a:avLst/>
                    </a:prstGeom>
                    <a:noFill/>
                  </pic:spPr>
                </pic:pic>
              </a:graphicData>
            </a:graphic>
          </wp:anchor>
        </w:drawing>
        <w:drawing>
          <wp:anchor simplePos="0" relativeHeight="251657728" behindDoc="1" locked="0" layoutInCell="0" allowOverlap="1">
            <wp:simplePos x="0" y="0"/>
            <wp:positionH relativeFrom="column">
              <wp:posOffset>165100</wp:posOffset>
            </wp:positionH>
            <wp:positionV relativeFrom="paragraph">
              <wp:posOffset>192405</wp:posOffset>
            </wp:positionV>
            <wp:extent cx="538988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92" w:right="1440" w:bottom="1440" w:gutter="0" w:footer="0" w:header="0"/>
          <w:type w:val="continuous"/>
        </w:sectPr>
      </w:pPr>
    </w:p>
    <w:bookmarkStart w:id="1" w:name="page2"/>
    <w:bookmarkEnd w:id="1"/>
    <w:p>
      <w:pPr>
        <w:ind w:left="280"/>
        <w:spacing w:after="0"/>
        <w:rPr>
          <w:sz w:val="20"/>
          <w:szCs w:val="20"/>
          <w:color w:val="auto"/>
        </w:rPr>
      </w:pPr>
      <w:r>
        <w:rPr>
          <w:rFonts w:ascii="Calibri" w:cs="Calibri" w:eastAsia="Calibri" w:hAnsi="Calibri"/>
          <w:sz w:val="11"/>
          <w:szCs w:val="11"/>
          <w:color w:val="003366"/>
        </w:rPr>
        <w:t>TABLE OF CONTENTS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Viper Energy, Inc.</w:t>
      </w: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Class A Common Stock</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Preferred Stock</w:t>
      </w:r>
    </w:p>
    <w:p>
      <w:pPr>
        <w:jc w:val="center"/>
        <w:ind w:right="59"/>
        <w:spacing w:after="0" w:line="233" w:lineRule="auto"/>
        <w:rPr>
          <w:sz w:val="20"/>
          <w:szCs w:val="20"/>
          <w:color w:val="auto"/>
        </w:rPr>
      </w:pPr>
      <w:r>
        <w:rPr>
          <w:rFonts w:ascii="Times New Roman" w:cs="Times New Roman" w:eastAsia="Times New Roman" w:hAnsi="Times New Roman"/>
          <w:sz w:val="20"/>
          <w:szCs w:val="20"/>
          <w:b w:val="1"/>
          <w:bCs w:val="1"/>
          <w:color w:val="auto"/>
        </w:rPr>
        <w:t>Warrants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Guarantees of Debt Securities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Viper Energy Partners LP</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118" w:lineRule="exact"/>
        <w:rPr>
          <w:sz w:val="20"/>
          <w:szCs w:val="20"/>
          <w:color w:val="auto"/>
        </w:rPr>
      </w:pPr>
    </w:p>
    <w:p>
      <w:pPr>
        <w:ind w:left="1260" w:right="1339" w:firstLine="284"/>
        <w:spacing w:after="0" w:line="260" w:lineRule="auto"/>
        <w:rPr>
          <w:sz w:val="20"/>
          <w:szCs w:val="20"/>
          <w:color w:val="auto"/>
        </w:rPr>
      </w:pPr>
      <w:r>
        <w:rPr>
          <w:rFonts w:ascii="Times New Roman" w:cs="Times New Roman" w:eastAsia="Times New Roman" w:hAnsi="Times New Roman"/>
          <w:sz w:val="14"/>
          <w:szCs w:val="14"/>
          <w:color w:val="auto"/>
        </w:rPr>
        <w:t>Viper Energy, Inc. (“we,” “our,” “us,” the “Company” or “Viper Energy”) and Viper Energy Partners LP (“Viper Energy Partners”) may offer and sell the securities identified above from time to time in one or more offerings. Viper Energy will fully and unconditionally guarantee our payment obligations under any series of debt securities offered by Viper Energy Partners under this prospectus. Unless otherwise stated herein, we refer to our debt securities and the guarantees of our debt securities that may be offered pursuant to this prospectus collectively as the “debt securities.” This prospectus provides you with a general description of the securities.</w:t>
      </w:r>
    </w:p>
    <w:p>
      <w:pPr>
        <w:spacing w:after="0" w:line="262" w:lineRule="exact"/>
        <w:rPr>
          <w:sz w:val="20"/>
          <w:szCs w:val="20"/>
          <w:color w:val="auto"/>
        </w:rPr>
      </w:pPr>
    </w:p>
    <w:p>
      <w:pPr>
        <w:ind w:left="1260" w:right="1299" w:firstLine="284"/>
        <w:spacing w:after="0" w:line="262" w:lineRule="auto"/>
        <w:rPr>
          <w:sz w:val="20"/>
          <w:szCs w:val="20"/>
          <w:color w:val="auto"/>
        </w:rPr>
      </w:pPr>
      <w:r>
        <w:rPr>
          <w:rFonts w:ascii="Times New Roman" w:cs="Times New Roman" w:eastAsia="Times New Roman" w:hAnsi="Times New Roman"/>
          <w:sz w:val="14"/>
          <w:szCs w:val="14"/>
          <w:color w:val="auto"/>
        </w:rPr>
        <w:t>Each time we and/or Viper Energy Partners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89" w:lineRule="exact"/>
        <w:rPr>
          <w:sz w:val="20"/>
          <w:szCs w:val="20"/>
          <w:color w:val="auto"/>
        </w:rPr>
      </w:pPr>
    </w:p>
    <w:p>
      <w:pPr>
        <w:ind w:left="1260" w:right="1299" w:firstLine="284"/>
        <w:spacing w:after="0" w:line="258" w:lineRule="auto"/>
        <w:rPr>
          <w:sz w:val="20"/>
          <w:szCs w:val="20"/>
          <w:color w:val="auto"/>
        </w:rPr>
      </w:pPr>
      <w:r>
        <w:rPr>
          <w:rFonts w:ascii="Times New Roman" w:cs="Times New Roman" w:eastAsia="Times New Roman" w:hAnsi="Times New Roman"/>
          <w:sz w:val="14"/>
          <w:szCs w:val="14"/>
          <w:color w:val="auto"/>
        </w:rPr>
        <w:t>We and/or Viper Energy Partners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52" w:lineRule="exact"/>
        <w:rPr>
          <w:sz w:val="20"/>
          <w:szCs w:val="20"/>
          <w:color w:val="auto"/>
        </w:rPr>
      </w:pPr>
    </w:p>
    <w:p>
      <w:pPr>
        <w:ind w:left="1260" w:right="1299" w:firstLine="284"/>
        <w:spacing w:after="0" w:line="266" w:lineRule="auto"/>
        <w:rPr>
          <w:sz w:val="20"/>
          <w:szCs w:val="20"/>
          <w:color w:val="auto"/>
        </w:rPr>
      </w:pPr>
      <w:r>
        <w:rPr>
          <w:rFonts w:ascii="Times New Roman" w:cs="Times New Roman" w:eastAsia="Times New Roman" w:hAnsi="Times New Roman"/>
          <w:sz w:val="14"/>
          <w:szCs w:val="14"/>
          <w:b w:val="1"/>
          <w:bCs w:val="1"/>
          <w:color w:val="auto"/>
        </w:rPr>
        <w:t>INVESTING IN OUR SECURITIES INVOLVES RISKS. SEE THE “</w:t>
      </w:r>
      <w:r>
        <w:rPr>
          <w:rFonts w:ascii="Times New Roman" w:cs="Times New Roman" w:eastAsia="Times New Roman" w:hAnsi="Times New Roman"/>
          <w:sz w:val="14"/>
          <w:szCs w:val="14"/>
          <w:b w:val="1"/>
          <w:bCs w:val="1"/>
          <w:u w:val="single" w:color="auto"/>
          <w:color w:val="auto"/>
        </w:rPr>
        <w:t>RISK FACTORS</w:t>
      </w:r>
      <w:r>
        <w:rPr>
          <w:rFonts w:ascii="Times New Roman" w:cs="Times New Roman" w:eastAsia="Times New Roman" w:hAnsi="Times New Roman"/>
          <w:sz w:val="14"/>
          <w:szCs w:val="14"/>
          <w:b w:val="1"/>
          <w:bCs w:val="1"/>
          <w:color w:val="auto"/>
        </w:rPr>
        <w:t xml:space="preserve">” ON PAGE </w:t>
      </w:r>
      <w:r>
        <w:rPr>
          <w:rFonts w:ascii="Times New Roman" w:cs="Times New Roman" w:eastAsia="Times New Roman" w:hAnsi="Times New Roman"/>
          <w:sz w:val="14"/>
          <w:szCs w:val="14"/>
          <w:b w:val="1"/>
          <w:bCs w:val="1"/>
          <w:u w:val="single" w:color="auto"/>
          <w:color w:val="0000EE"/>
        </w:rPr>
        <w:t>8</w:t>
      </w:r>
      <w:r>
        <w:rPr>
          <w:rFonts w:ascii="Times New Roman" w:cs="Times New Roman" w:eastAsia="Times New Roman" w:hAnsi="Times New Roman"/>
          <w:sz w:val="14"/>
          <w:szCs w:val="14"/>
          <w:b w:val="1"/>
          <w:bCs w:val="1"/>
          <w:color w:val="auto"/>
        </w:rPr>
        <w:t xml:space="preserve"> OF THIS PROSPECTUS AND ANY SIMILAR SECTION CONTAINED IN THE APPLICABLE PROSPECTUS SUPPLEMENT CONCERNING FACTORS YOU SHOULD CONSIDER BEFORE INVESTING IN OUR SECURITIES.</w:t>
      </w:r>
    </w:p>
    <w:p>
      <w:pPr>
        <w:spacing w:after="0" w:line="86" w:lineRule="exact"/>
        <w:rPr>
          <w:sz w:val="20"/>
          <w:szCs w:val="20"/>
          <w:color w:val="auto"/>
        </w:rPr>
      </w:pPr>
    </w:p>
    <w:p>
      <w:pPr>
        <w:ind w:left="1260" w:right="1519" w:firstLine="284"/>
        <w:spacing w:after="0" w:line="271"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“VNOM.” On March 6, 2026 the last reported sale price of our common stock on the Nasdaq Global Select Market was $44.10 per share.</w:t>
      </w:r>
    </w:p>
    <w:p>
      <w:pPr>
        <w:spacing w:after="0" w:line="80" w:lineRule="exact"/>
        <w:rPr>
          <w:sz w:val="20"/>
          <w:szCs w:val="20"/>
          <w:color w:val="auto"/>
        </w:rPr>
      </w:pPr>
    </w:p>
    <w:p>
      <w:pPr>
        <w:ind w:left="1260" w:right="1339" w:firstLine="284"/>
        <w:spacing w:after="0" w:line="272"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March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976630</wp:posOffset>
            </wp:positionV>
            <wp:extent cx="538988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 w:name="page3"/>
    <w:bookmarkEnd w:id="2"/>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-85725</wp:posOffset>
            </wp:positionV>
            <wp:extent cx="4107815" cy="94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07815" cy="94615"/>
                    </a:xfrm>
                    <a:prstGeom prst="rect">
                      <a:avLst/>
                    </a:prstGeom>
                    <a:noFill/>
                  </pic:spPr>
                </pic:pic>
              </a:graphicData>
            </a:graphic>
          </wp:anchor>
        </w:drawing>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0000EE"/>
        </w:rPr>
        <w:t>CAUTIONARY</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NOTE REGARDING FORWARD 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-6350</wp:posOffset>
            </wp:positionV>
            <wp:extent cx="4107815" cy="155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07815" cy="155575"/>
                    </a:xfrm>
                    <a:prstGeom prst="rect">
                      <a:avLst/>
                    </a:prstGeom>
                    <a:noFill/>
                  </pic:spPr>
                </pic:pic>
              </a:graphicData>
            </a:graphic>
          </wp:anchor>
        </w:drawing>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YOU CAN FIND MORE INFORMATION; INCORPORATION BY REFERENCE</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0000EE"/>
        </w:rPr>
        <w:t>THE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-4445</wp:posOffset>
            </wp:positionV>
            <wp:extent cx="4107815" cy="155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07815" cy="155575"/>
                    </a:xfrm>
                    <a:prstGeom prst="rect">
                      <a:avLst/>
                    </a:prstGeom>
                    <a:noFill/>
                  </pic:spPr>
                </pic:pic>
              </a:graphicData>
            </a:graphic>
          </wp:anchor>
        </w:drawing>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0000EE"/>
        </w:rPr>
        <w:t>GUARANTOR</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DISCLOSURES</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-4445</wp:posOffset>
            </wp:positionV>
            <wp:extent cx="4107815" cy="155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07815" cy="155575"/>
                    </a:xfrm>
                    <a:prstGeom prst="rect">
                      <a:avLst/>
                    </a:prstGeom>
                    <a:noFill/>
                  </pic:spPr>
                </pic:pic>
              </a:graphicData>
            </a:graphic>
          </wp:anchor>
        </w:drawing>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0000EE"/>
        </w:rPr>
        <w:t>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-4445</wp:posOffset>
            </wp:positionV>
            <wp:extent cx="4107815" cy="155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07815" cy="155575"/>
                    </a:xfrm>
                    <a:prstGeom prst="rect">
                      <a:avLst/>
                    </a:prstGeom>
                    <a:noFill/>
                  </pic:spPr>
                </pic:pic>
              </a:graphicData>
            </a:graphic>
          </wp:anchor>
        </w:drawing>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DEBT SECURITIES</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-4445</wp:posOffset>
            </wp:positionV>
            <wp:extent cx="4107815" cy="155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07815" cy="155575"/>
                    </a:xfrm>
                    <a:prstGeom prst="rect">
                      <a:avLst/>
                    </a:prstGeom>
                    <a:noFill/>
                  </pic:spPr>
                </pic:pic>
              </a:graphicData>
            </a:graphic>
          </wp:anchor>
        </w:drawing>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0000EE"/>
        </w:rPr>
        <w:t>GLOBAL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SECURITIES</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0000EE"/>
        </w:rPr>
        <w:t>PLAN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-4445</wp:posOffset>
            </wp:positionV>
            <wp:extent cx="4107815" cy="155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07815" cy="155575"/>
                    </a:xfrm>
                    <a:prstGeom prst="rect">
                      <a:avLst/>
                    </a:prstGeom>
                    <a:noFill/>
                  </pic:spPr>
                </pic:pic>
              </a:graphicData>
            </a:graphic>
          </wp:anchor>
        </w:drawing>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MATTERS</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7</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8</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9</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10</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14</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30</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31</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35</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36</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36</w:t>
      </w:r>
      <w:r>
        <w:rPr>
          <w:rFonts w:ascii="Times New Roman" w:cs="Times New Roman" w:eastAsia="Times New Roman" w:hAnsi="Times New Roman"/>
          <w:sz w:val="14"/>
          <w:szCs w:val="14"/>
          <w:color w:val="auto"/>
        </w:rPr>
        <w:t>​</w:t>
      </w:r>
    </w:p>
    <w:p>
      <w:pPr>
        <w:sectPr>
          <w:pgSz w:w="11900" w:h="16838" w:orient="portrait"/>
          <w:cols w:equalWidth="0" w:num="2">
            <w:col w:w="6740" w:space="720"/>
            <w:col w:w="1559"/>
          </w:cols>
          <w:pgMar w:left="1440" w:top="108" w:right="1440" w:bottom="1440" w:gutter="0" w:footer="0" w:header="0"/>
        </w:sectPr>
      </w:pPr>
    </w:p>
    <w:bookmarkStart w:id="3" w:name="page4"/>
    <w:bookmarkEnd w:id="3"/>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8" w:lineRule="exact"/>
        <w:rPr>
          <w:sz w:val="20"/>
          <w:szCs w:val="20"/>
          <w:color w:val="auto"/>
        </w:rPr>
      </w:pPr>
    </w:p>
    <w:p>
      <w:pPr>
        <w:ind w:left="1260" w:right="1339" w:firstLine="284"/>
        <w:spacing w:after="0" w:line="256"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U.S. Securities and Exchange Commission (the “SEC”), as a “well-known seasoned issuer” as defined in Rule 405 under the Securities Act of 1933, as amended (the “Securities Act”),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266" w:lineRule="exact"/>
        <w:rPr>
          <w:sz w:val="20"/>
          <w:szCs w:val="20"/>
          <w:color w:val="auto"/>
        </w:rPr>
      </w:pPr>
    </w:p>
    <w:p>
      <w:pPr>
        <w:ind w:left="1260" w:right="1279" w:firstLine="284"/>
        <w:spacing w:after="0" w:line="255"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200" w:lineRule="exact"/>
        <w:rPr>
          <w:sz w:val="20"/>
          <w:szCs w:val="20"/>
          <w:color w:val="auto"/>
        </w:rPr>
      </w:pPr>
    </w:p>
    <w:p>
      <w:pPr>
        <w:spacing w:after="0" w:line="2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When we refer to “you,” we mean the potential holders of the applicable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 w:name="page5"/>
    <w:bookmarkEnd w:id="4"/>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 LOOKING STATEMENTS</w:t>
      </w:r>
    </w:p>
    <w:p>
      <w:pPr>
        <w:spacing w:after="0" w:line="128" w:lineRule="exact"/>
        <w:rPr>
          <w:sz w:val="20"/>
          <w:szCs w:val="20"/>
          <w:color w:val="auto"/>
        </w:rPr>
      </w:pPr>
    </w:p>
    <w:p>
      <w:pPr>
        <w:ind w:left="1260" w:right="1299" w:firstLine="284"/>
        <w:spacing w:after="0" w:line="244"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including documents incorporated by reference herein and therein, may contain “forward-looking statements” within the meaning of Section 27A of the Securities Act and Section 21E of the Securities Exchange Act of 1934, as amended (the “Exchange Act”), which involve risks, uncertainties and assumptions. All statements, other than statements of historical fact, including statements regarding our: future performance; business strategy; future operations; estimates and projections of operating income, losses, costs and expenses, returns, cash flow and financial position; production levels on properties in which we have mineral and royalty interests; developmental activity by other operators; reserve estimates and our ability to replace or increase reserves; anticipated benefits or other effects of strategic transactions; and plans and objectives of management (including Diamondback Energy, Inc.’s (“Diamondback”) plans for developing our acreage, our cash dividend policy and repurchases of our common stock, Viper OpCo Units (as defined below) or senior notes) are forward-looking statements. When used in this prospectus or in documents incorporated by reference herein, the words “aim,” “anticipate,” “believe,” “continue,” “could,” “estimate,” “expect,” “forecast,” “future,” “guidance,” “intend,” “may,” “model,” “outlook,” “plan,” “positioned,” “potential,” “predict,” “project,” “seek,” “should,” “target,” “will,” “would,” and similar expressions (including the negative of such terms) as they relate to the Company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In particular, the factors discussed and detailed under Part II, Item 1A. Risk Factors in our Annual Report on Form 10-K for the year ended December 31, 2025, could affect our actual results and cause our actual results to differ materially from what we expressed in our forward-looking statements.</w:t>
      </w:r>
    </w:p>
    <w:p>
      <w:pPr>
        <w:spacing w:after="0" w:line="26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Factors that could cause our outcomes to differ materially include (but are not limited to) the following:</w:t>
      </w:r>
    </w:p>
    <w:p>
      <w:pPr>
        <w:spacing w:after="0" w:line="84" w:lineRule="exact"/>
        <w:rPr>
          <w:sz w:val="20"/>
          <w:szCs w:val="20"/>
          <w:color w:val="auto"/>
        </w:rPr>
      </w:pPr>
    </w:p>
    <w:p>
      <w:pPr>
        <w:ind w:left="1700" w:right="1539" w:hanging="147"/>
        <w:spacing w:after="0" w:line="288" w:lineRule="auto"/>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supply and demand levels for oil, natural gas, and natural gas liquids and the resulting impact on the price for those commodities;</w:t>
      </w:r>
    </w:p>
    <w:p>
      <w:pPr>
        <w:spacing w:after="0" w:line="39" w:lineRule="exact"/>
        <w:rPr>
          <w:rFonts w:ascii="Times New Roman" w:cs="Times New Roman" w:eastAsia="Times New Roman" w:hAnsi="Times New Roman"/>
          <w:sz w:val="14"/>
          <w:szCs w:val="14"/>
          <w:color w:val="auto"/>
        </w:rPr>
      </w:pPr>
    </w:p>
    <w:p>
      <w:pPr>
        <w:ind w:left="1700" w:right="1299" w:hanging="147"/>
        <w:spacing w:after="0" w:line="288" w:lineRule="auto"/>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public health crises, including epidemic or pandemic diseases and any related company or government policies or actions;</w:t>
      </w:r>
    </w:p>
    <w:p>
      <w:pPr>
        <w:spacing w:after="0" w:line="28" w:lineRule="exact"/>
        <w:rPr>
          <w:rFonts w:ascii="Times New Roman" w:cs="Times New Roman" w:eastAsia="Times New Roman" w:hAnsi="Times New Roman"/>
          <w:sz w:val="14"/>
          <w:szCs w:val="14"/>
          <w:color w:val="auto"/>
        </w:rPr>
      </w:pPr>
    </w:p>
    <w:p>
      <w:pPr>
        <w:ind w:left="1700" w:right="1339" w:hanging="147"/>
        <w:spacing w:after="0" w:line="288" w:lineRule="auto"/>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taken by the members of OPEC and its non-OPEC allies affecting the production and pricing of oil, as well as other domestic and global political, economic, or diplomatic developments;</w:t>
      </w:r>
    </w:p>
    <w:p>
      <w:pPr>
        <w:spacing w:after="0" w:line="28" w:lineRule="exact"/>
        <w:rPr>
          <w:rFonts w:ascii="Times New Roman" w:cs="Times New Roman" w:eastAsia="Times New Roman" w:hAnsi="Times New Roman"/>
          <w:sz w:val="14"/>
          <w:szCs w:val="14"/>
          <w:color w:val="auto"/>
        </w:rPr>
      </w:pPr>
    </w:p>
    <w:p>
      <w:pPr>
        <w:ind w:left="1700" w:right="1359" w:hanging="147"/>
        <w:spacing w:after="0" w:line="288" w:lineRule="auto"/>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business or industry conditions, including changes in foreign currency exchange rates, interest rates, inflation rates, or instability in the financial sector;</w:t>
      </w:r>
    </w:p>
    <w:p>
      <w:pPr>
        <w:spacing w:after="0" w:line="39" w:lineRule="exact"/>
        <w:rPr>
          <w:rFonts w:ascii="Times New Roman" w:cs="Times New Roman" w:eastAsia="Times New Roman" w:hAnsi="Times New Roman"/>
          <w:sz w:val="14"/>
          <w:szCs w:val="14"/>
          <w:color w:val="auto"/>
        </w:rPr>
      </w:pPr>
    </w:p>
    <w:p>
      <w:pPr>
        <w:ind w:left="1700" w:right="1619" w:hanging="147"/>
        <w:spacing w:after="0" w:line="271" w:lineRule="auto"/>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regional supply and demand factors, including delays, curtailment delays or interruptions of production on our mineral and royalty acreage, or governmental orders, rules or regulations that impose production limits on such acreage;</w:t>
      </w:r>
    </w:p>
    <w:p>
      <w:pPr>
        <w:spacing w:after="0" w:line="39" w:lineRule="exact"/>
        <w:rPr>
          <w:rFonts w:ascii="Times New Roman" w:cs="Times New Roman" w:eastAsia="Times New Roman" w:hAnsi="Times New Roman"/>
          <w:sz w:val="14"/>
          <w:szCs w:val="14"/>
          <w:color w:val="auto"/>
        </w:rPr>
      </w:pPr>
    </w:p>
    <w:p>
      <w:pPr>
        <w:ind w:left="1700" w:right="1439" w:hanging="147"/>
        <w:spacing w:after="0" w:line="288" w:lineRule="auto"/>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legislative and regulatory initiatives relating to hydraulic fracturing, including the effect of existing and future laws and governmental regulations;</w:t>
      </w:r>
    </w:p>
    <w:p>
      <w:pPr>
        <w:spacing w:after="0" w:line="28" w:lineRule="exact"/>
        <w:rPr>
          <w:rFonts w:ascii="Times New Roman" w:cs="Times New Roman" w:eastAsia="Times New Roman" w:hAnsi="Times New Roman"/>
          <w:sz w:val="14"/>
          <w:szCs w:val="14"/>
          <w:color w:val="auto"/>
        </w:rPr>
      </w:pPr>
    </w:p>
    <w:p>
      <w:pPr>
        <w:ind w:left="1700" w:right="1299" w:hanging="147"/>
        <w:spacing w:after="0" w:line="288" w:lineRule="auto"/>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physical and transition risks relating to climate change and changing political and social perspectives on climate change and other environmental, social and governance factors;</w:t>
      </w:r>
    </w:p>
    <w:p>
      <w:pPr>
        <w:spacing w:after="0" w:line="39"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from our cash dividend policy and uncertainties over our future dividends;</w:t>
      </w:r>
    </w:p>
    <w:p>
      <w:pPr>
        <w:spacing w:after="0" w:line="83" w:lineRule="exact"/>
        <w:rPr>
          <w:rFonts w:ascii="Times New Roman" w:cs="Times New Roman" w:eastAsia="Times New Roman" w:hAnsi="Times New Roman"/>
          <w:sz w:val="14"/>
          <w:szCs w:val="14"/>
          <w:color w:val="auto"/>
        </w:rPr>
      </w:pPr>
    </w:p>
    <w:p>
      <w:pPr>
        <w:ind w:left="1700" w:right="1359" w:hanging="147"/>
        <w:spacing w:after="0" w:line="271" w:lineRule="auto"/>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use of water, including limits on the use of produced water by our operators and a moratorium on new produced water well permits recently imposed by the Texas Railroad Commission in an effort to control induced seismicity in the Permian Basin;</w:t>
      </w:r>
    </w:p>
    <w:p>
      <w:pPr>
        <w:spacing w:after="0" w:line="39" w:lineRule="exact"/>
        <w:rPr>
          <w:rFonts w:ascii="Times New Roman" w:cs="Times New Roman" w:eastAsia="Times New Roman" w:hAnsi="Times New Roman"/>
          <w:sz w:val="14"/>
          <w:szCs w:val="14"/>
          <w:color w:val="auto"/>
        </w:rPr>
      </w:pPr>
    </w:p>
    <w:p>
      <w:pPr>
        <w:ind w:left="1700" w:right="1899" w:hanging="147"/>
        <w:spacing w:after="0" w:line="288" w:lineRule="auto"/>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declines in prices for oil, natural gas, or natural gas liquids, which could require recognition of significant impairment charges;</w:t>
      </w:r>
    </w:p>
    <w:p>
      <w:pPr>
        <w:spacing w:after="0" w:line="39" w:lineRule="exact"/>
        <w:rPr>
          <w:rFonts w:ascii="Times New Roman" w:cs="Times New Roman" w:eastAsia="Times New Roman" w:hAnsi="Times New Roman"/>
          <w:sz w:val="14"/>
          <w:szCs w:val="14"/>
          <w:color w:val="auto"/>
        </w:rPr>
      </w:pPr>
    </w:p>
    <w:p>
      <w:pPr>
        <w:ind w:left="1700" w:right="1359" w:hanging="147"/>
        <w:spacing w:after="0" w:line="288" w:lineRule="auto"/>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energy, environmental, monetary and trade policies, including with respect to tariffs or other trade barriers and any resulting trade tensions;</w:t>
      </w:r>
    </w:p>
    <w:p>
      <w:pPr>
        <w:spacing w:after="0" w:line="28" w:lineRule="exact"/>
        <w:rPr>
          <w:rFonts w:ascii="Times New Roman" w:cs="Times New Roman" w:eastAsia="Times New Roman" w:hAnsi="Times New Roman"/>
          <w:sz w:val="14"/>
          <w:szCs w:val="14"/>
          <w:color w:val="auto"/>
        </w:rPr>
      </w:pPr>
    </w:p>
    <w:p>
      <w:pPr>
        <w:ind w:left="1700" w:right="1279" w:hanging="147"/>
        <w:spacing w:after="0" w:line="271" w:lineRule="auto"/>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in the capital, financial and credit markets, including the availability and pricing of capital for drilling and development by our limited number of operators and our ability to replace operators in time of bankruptcy or default;</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 w:name="page6"/>
    <w:bookmarkEnd w:id="5"/>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700" w:right="1739" w:hanging="147"/>
        <w:spacing w:after="0" w:line="288"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availability or cost of rigs, equipment, raw materials, supplies and oilfield services impacting our operators;</w:t>
      </w:r>
    </w:p>
    <w:p>
      <w:pPr>
        <w:spacing w:after="0" w:line="39" w:lineRule="exact"/>
        <w:rPr>
          <w:rFonts w:ascii="Times New Roman" w:cs="Times New Roman" w:eastAsia="Times New Roman" w:hAnsi="Times New Roman"/>
          <w:sz w:val="14"/>
          <w:szCs w:val="14"/>
          <w:color w:val="auto"/>
        </w:rPr>
      </w:pPr>
    </w:p>
    <w:p>
      <w:pPr>
        <w:ind w:left="1700" w:right="1439" w:hanging="147"/>
        <w:spacing w:after="0" w:line="288"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inherent uncertainties over our estimated reserves, the development of our proved undeveloped reserves or the yield from project areas on our properties;</w:t>
      </w:r>
    </w:p>
    <w:p>
      <w:pPr>
        <w:spacing w:after="0" w:line="39" w:lineRule="exact"/>
        <w:rPr>
          <w:rFonts w:ascii="Times New Roman" w:cs="Times New Roman" w:eastAsia="Times New Roman" w:hAnsi="Times New Roman"/>
          <w:sz w:val="14"/>
          <w:szCs w:val="14"/>
          <w:color w:val="auto"/>
        </w:rPr>
      </w:pPr>
    </w:p>
    <w:p>
      <w:pPr>
        <w:ind w:left="1700" w:right="1359" w:hanging="147"/>
        <w:spacing w:after="0" w:line="288"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geographical concentration of our producing properties and reserves in the Permian Basin and in a small number of producing horizons;</w:t>
      </w:r>
    </w:p>
    <w:p>
      <w:pPr>
        <w:spacing w:after="0" w:line="39" w:lineRule="exact"/>
        <w:rPr>
          <w:rFonts w:ascii="Times New Roman" w:cs="Times New Roman" w:eastAsia="Times New Roman" w:hAnsi="Times New Roman"/>
          <w:sz w:val="14"/>
          <w:szCs w:val="14"/>
          <w:color w:val="auto"/>
        </w:rPr>
      </w:pPr>
    </w:p>
    <w:p>
      <w:pPr>
        <w:jc w:val="both"/>
        <w:ind w:left="1700" w:right="1419" w:hanging="147"/>
        <w:spacing w:after="0" w:line="271"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safety, health, environmental, tax, and other regulations or requirements impacting us or our operators (including those addressing air emissions, water management, or the impact of global climate change);</w:t>
      </w:r>
    </w:p>
    <w:p>
      <w:pPr>
        <w:spacing w:after="0" w:line="50" w:lineRule="exact"/>
        <w:rPr>
          <w:rFonts w:ascii="Times New Roman" w:cs="Times New Roman" w:eastAsia="Times New Roman" w:hAnsi="Times New Roman"/>
          <w:sz w:val="14"/>
          <w:szCs w:val="14"/>
          <w:color w:val="auto"/>
        </w:rPr>
      </w:pPr>
    </w:p>
    <w:p>
      <w:pPr>
        <w:ind w:left="1700" w:right="1579" w:hanging="147"/>
        <w:spacing w:after="0" w:line="271"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threats, including cybersecurity threats and disruptions to our business from breaches of Diamondback’s information technology systems, or from breaches of information technology systems of our operators or third parties with whom we transact business;</w:t>
      </w:r>
    </w:p>
    <w:p>
      <w:pPr>
        <w:spacing w:after="0" w:line="50" w:lineRule="exact"/>
        <w:rPr>
          <w:rFonts w:ascii="Times New Roman" w:cs="Times New Roman" w:eastAsia="Times New Roman" w:hAnsi="Times New Roman"/>
          <w:sz w:val="14"/>
          <w:szCs w:val="14"/>
          <w:color w:val="auto"/>
        </w:rPr>
      </w:pPr>
    </w:p>
    <w:p>
      <w:pPr>
        <w:ind w:left="1700" w:right="1559" w:hanging="147"/>
        <w:spacing w:after="0" w:line="271"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or disruption in, access to adequate and reliable electrical power, internet and telecommunication infrastructure, information and computer systems, transportation, processing, storage, and other facilities impacting our operators;</w:t>
      </w:r>
    </w:p>
    <w:p>
      <w:pPr>
        <w:spacing w:after="0" w:line="50"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severe weather conditions and natural disasters;</w:t>
      </w:r>
    </w:p>
    <w:p>
      <w:pPr>
        <w:spacing w:after="0" w:line="94" w:lineRule="exact"/>
        <w:rPr>
          <w:rFonts w:ascii="Times New Roman" w:cs="Times New Roman" w:eastAsia="Times New Roman" w:hAnsi="Times New Roman"/>
          <w:sz w:val="14"/>
          <w:szCs w:val="14"/>
          <w:color w:val="auto"/>
        </w:rPr>
      </w:pPr>
    </w:p>
    <w:p>
      <w:pPr>
        <w:ind w:left="1700" w:right="1339" w:hanging="147"/>
        <w:spacing w:after="0" w:line="288"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geopolitics, regional conflicts, acts of war or terrorist acts and the governmental or military response thereto;</w:t>
      </w:r>
    </w:p>
    <w:p>
      <w:pPr>
        <w:spacing w:after="0" w:line="39" w:lineRule="exact"/>
        <w:rPr>
          <w:rFonts w:ascii="Times New Roman" w:cs="Times New Roman" w:eastAsia="Times New Roman" w:hAnsi="Times New Roman"/>
          <w:sz w:val="14"/>
          <w:szCs w:val="14"/>
          <w:color w:val="auto"/>
        </w:rPr>
      </w:pPr>
    </w:p>
    <w:p>
      <w:pPr>
        <w:ind w:left="1700" w:right="1399" w:hanging="147"/>
        <w:spacing w:after="0" w:line="288"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financial strength of counterparties to the credit facility and hedging contracts of our operating subsidiary;</w:t>
      </w:r>
    </w:p>
    <w:p>
      <w:pPr>
        <w:spacing w:after="0" w:line="39"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substantial indebtedness and changes in our credit rating;</w:t>
      </w:r>
    </w:p>
    <w:p>
      <w:pPr>
        <w:spacing w:after="0" w:line="94"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develop or acquire additional reserves and identify, complete or integrate acquisitions;</w:t>
      </w:r>
    </w:p>
    <w:p>
      <w:pPr>
        <w:spacing w:after="0" w:line="94" w:lineRule="exact"/>
        <w:rPr>
          <w:rFonts w:ascii="Times New Roman" w:cs="Times New Roman" w:eastAsia="Times New Roman" w:hAnsi="Times New Roman"/>
          <w:sz w:val="14"/>
          <w:szCs w:val="14"/>
          <w:color w:val="auto"/>
        </w:rPr>
      </w:pPr>
    </w:p>
    <w:p>
      <w:pPr>
        <w:ind w:left="1700" w:right="1659" w:hanging="147"/>
        <w:spacing w:after="0" w:line="288"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operational dependence on, and control by, Diamondback and potential conflicts of interest thereof;</w:t>
      </w:r>
    </w:p>
    <w:p>
      <w:pPr>
        <w:spacing w:after="0" w:line="39" w:lineRule="exact"/>
        <w:rPr>
          <w:rFonts w:ascii="Times New Roman" w:cs="Times New Roman" w:eastAsia="Times New Roman" w:hAnsi="Times New Roman"/>
          <w:sz w:val="14"/>
          <w:szCs w:val="14"/>
          <w:color w:val="auto"/>
        </w:rPr>
      </w:pPr>
    </w:p>
    <w:p>
      <w:pPr>
        <w:ind w:left="1700" w:right="1339" w:hanging="147"/>
        <w:spacing w:after="0" w:line="263"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realize anticipated benefits from the recently completed Sitio Acquisition (as defined herein) and the acquisition of all of the issued and outstanding equity interests in 1979 Royalties, LP and 1979 Royalties GP, LLC from Endeavor Energy Resources, LP (as previously disclosed in Viper Energy’s Current Report on Form 8-K filed with the SEC on May 5, 2025), or our other recent acquisitions; and</w:t>
      </w:r>
    </w:p>
    <w:p>
      <w:pPr>
        <w:spacing w:after="0" w:line="230" w:lineRule="exact"/>
        <w:rPr>
          <w:rFonts w:ascii="Times New Roman" w:cs="Times New Roman" w:eastAsia="Times New Roman" w:hAnsi="Times New Roman"/>
          <w:sz w:val="14"/>
          <w:szCs w:val="14"/>
          <w:color w:val="auto"/>
        </w:rPr>
      </w:pPr>
    </w:p>
    <w:p>
      <w:pPr>
        <w:ind w:left="1700" w:right="1319" w:hanging="147"/>
        <w:spacing w:after="0" w:line="288" w:lineRule="auto"/>
        <w:tabs>
          <w:tab w:leader="none" w:pos="1700" w:val="left"/>
        </w:tabs>
        <w:numPr>
          <w:ilvl w:val="0"/>
          <w:numId w:val="3"/>
        </w:numPr>
        <w:rPr>
          <w:rFonts w:ascii="Times New Roman" w:cs="Times New Roman" w:eastAsia="Times New Roman" w:hAnsi="Times New Roman"/>
          <w:sz w:val="14"/>
          <w:szCs w:val="14"/>
          <w:color w:val="0000EE"/>
        </w:rPr>
      </w:pPr>
      <w:hyperlink r:id="rId28">
        <w:r>
          <w:rPr>
            <w:rFonts w:ascii="Times New Roman" w:cs="Times New Roman" w:eastAsia="Times New Roman" w:hAnsi="Times New Roman"/>
            <w:sz w:val="14"/>
            <w:szCs w:val="14"/>
            <w:color w:val="auto"/>
          </w:rPr>
          <w:t xml:space="preserve">the risk factors discussed in Item 1A of Part I of our </w:t>
        </w:r>
        <w:r>
          <w:rPr>
            <w:rFonts w:ascii="Times New Roman" w:cs="Times New Roman" w:eastAsia="Times New Roman" w:hAnsi="Times New Roman"/>
            <w:sz w:val="14"/>
            <w:szCs w:val="14"/>
            <w:u w:val="single" w:color="auto"/>
            <w:color w:val="0000EE"/>
          </w:rPr>
          <w:t>Annual Report on Form 10-K for the year ended</w:t>
        </w:r>
      </w:hyperlink>
      <w:r>
        <w:rPr>
          <w:rFonts w:ascii="Times New Roman" w:cs="Times New Roman" w:eastAsia="Times New Roman" w:hAnsi="Times New Roman"/>
          <w:sz w:val="14"/>
          <w:szCs w:val="14"/>
          <w:color w:val="auto"/>
        </w:rPr>
        <w:t xml:space="preserve"> </w:t>
      </w:r>
      <w:hyperlink r:id="rId28">
        <w:r>
          <w:rPr>
            <w:rFonts w:ascii="Times New Roman" w:cs="Times New Roman" w:eastAsia="Times New Roman" w:hAnsi="Times New Roman"/>
            <w:sz w:val="14"/>
            <w:szCs w:val="14"/>
            <w:u w:val="single" w:color="auto"/>
            <w:color w:val="0000EE"/>
          </w:rPr>
          <w:t>December 31, 2025</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incorporated by reference into this prospectus; and</w:t>
        </w:r>
      </w:hyperlink>
    </w:p>
    <w:p>
      <w:pPr>
        <w:spacing w:after="0" w:line="39" w:lineRule="exact"/>
        <w:rPr>
          <w:rFonts w:ascii="Times New Roman" w:cs="Times New Roman" w:eastAsia="Times New Roman" w:hAnsi="Times New Roman"/>
          <w:sz w:val="14"/>
          <w:szCs w:val="14"/>
          <w:color w:val="0000EE"/>
        </w:rPr>
      </w:pPr>
    </w:p>
    <w:p>
      <w:pPr>
        <w:ind w:left="1700" w:hanging="147"/>
        <w:spacing w:after="0"/>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factors disclosed in this prospectus or incorporated by reference therein.</w:t>
      </w:r>
    </w:p>
    <w:p>
      <w:pPr>
        <w:spacing w:after="0" w:line="126" w:lineRule="exact"/>
        <w:rPr>
          <w:rFonts w:ascii="Times New Roman" w:cs="Times New Roman" w:eastAsia="Times New Roman" w:hAnsi="Times New Roman"/>
          <w:sz w:val="14"/>
          <w:szCs w:val="14"/>
          <w:color w:val="auto"/>
        </w:rPr>
      </w:pPr>
    </w:p>
    <w:p>
      <w:pPr>
        <w:ind w:left="1260" w:right="1339" w:firstLine="284"/>
        <w:spacing w:after="0" w:line="258" w:lineRule="auto"/>
        <w:rPr>
          <w:sz w:val="20"/>
          <w:szCs w:val="20"/>
          <w:color w:val="auto"/>
        </w:rPr>
      </w:pPr>
      <w:r>
        <w:rPr>
          <w:rFonts w:ascii="Times New Roman" w:cs="Times New Roman" w:eastAsia="Times New Roman" w:hAnsi="Times New Roman"/>
          <w:sz w:val="14"/>
          <w:szCs w:val="14"/>
          <w:color w:val="auto"/>
        </w:rPr>
        <w:t>In light of these factors, the events anticipated by our forward-looking statements may not occur at the time anticipated or at all. Moreover,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or incorporated by reference in this prospectus. All forward-looking statements speak only as of the date of this prospectus or, if earlier, as of the date they were made. We do not intend to, and disclaim any obligation to, update or revise any forward-looking statements unless required by applicable law.</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80"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 w:name="page7"/>
    <w:bookmarkEnd w:id="6"/>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 INCORPORATION BY REFERENCE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28" w:lineRule="exact"/>
        <w:rPr>
          <w:sz w:val="20"/>
          <w:szCs w:val="20"/>
          <w:color w:val="auto"/>
        </w:rPr>
      </w:pPr>
    </w:p>
    <w:p>
      <w:pPr>
        <w:ind w:left="1260" w:right="1319" w:firstLine="284"/>
        <w:spacing w:after="0" w:line="263" w:lineRule="auto"/>
        <w:rPr>
          <w:sz w:val="20"/>
          <w:szCs w:val="20"/>
          <w:color w:val="auto"/>
        </w:rPr>
      </w:pPr>
      <w:r>
        <w:rPr>
          <w:rFonts w:ascii="Times New Roman" w:cs="Times New Roman" w:eastAsia="Times New Roman" w:hAnsi="Times New Roman"/>
          <w:sz w:val="14"/>
          <w:szCs w:val="14"/>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4"/>
          <w:szCs w:val="14"/>
          <w:i w:val="1"/>
          <w:iCs w:val="1"/>
          <w:color w:val="auto"/>
        </w:rPr>
        <w:t>www.sec.gov.</w:t>
      </w:r>
    </w:p>
    <w:p>
      <w:pPr>
        <w:spacing w:after="0" w:line="75" w:lineRule="exact"/>
        <w:rPr>
          <w:sz w:val="20"/>
          <w:szCs w:val="20"/>
          <w:color w:val="auto"/>
        </w:rPr>
      </w:pPr>
    </w:p>
    <w:p>
      <w:pPr>
        <w:ind w:left="1260" w:right="1479" w:firstLine="284"/>
        <w:spacing w:after="0" w:line="275" w:lineRule="auto"/>
        <w:rPr>
          <w:sz w:val="20"/>
          <w:szCs w:val="20"/>
          <w:color w:val="auto"/>
        </w:rPr>
      </w:pPr>
      <w:r>
        <w:rPr>
          <w:rFonts w:ascii="Times New Roman" w:cs="Times New Roman" w:eastAsia="Times New Roman" w:hAnsi="Times New Roman"/>
          <w:sz w:val="14"/>
          <w:szCs w:val="14"/>
          <w:color w:val="auto"/>
        </w:rPr>
        <w:t xml:space="preserve">Our web site address is </w:t>
      </w:r>
      <w:r>
        <w:rPr>
          <w:rFonts w:ascii="Times New Roman" w:cs="Times New Roman" w:eastAsia="Times New Roman" w:hAnsi="Times New Roman"/>
          <w:sz w:val="14"/>
          <w:szCs w:val="14"/>
          <w:i w:val="1"/>
          <w:iCs w:val="1"/>
          <w:color w:val="auto"/>
        </w:rPr>
        <w:t>www.viperenergy.com.</w:t>
      </w:r>
      <w:r>
        <w:rPr>
          <w:rFonts w:ascii="Times New Roman" w:cs="Times New Roman" w:eastAsia="Times New Roman" w:hAnsi="Times New Roman"/>
          <w:sz w:val="14"/>
          <w:szCs w:val="14"/>
          <w:color w:val="auto"/>
        </w:rPr>
        <w:t xml:space="preserve"> The information on our web site, however, is not, and should not be deemed to be, a part of this prospectus.</w:t>
      </w:r>
    </w:p>
    <w:p>
      <w:pPr>
        <w:spacing w:after="0" w:line="69" w:lineRule="exact"/>
        <w:rPr>
          <w:sz w:val="20"/>
          <w:szCs w:val="20"/>
          <w:color w:val="auto"/>
        </w:rPr>
      </w:pPr>
    </w:p>
    <w:p>
      <w:pPr>
        <w:ind w:left="1260" w:right="1399" w:firstLine="284"/>
        <w:spacing w:after="0" w:line="248" w:lineRule="auto"/>
        <w:rPr>
          <w:sz w:val="20"/>
          <w:szCs w:val="20"/>
          <w:color w:val="auto"/>
        </w:rPr>
      </w:pPr>
      <w:r>
        <w:rPr>
          <w:rFonts w:ascii="Times New Roman" w:cs="Times New Roman" w:eastAsia="Times New Roman" w:hAnsi="Times New Roman"/>
          <w:sz w:val="14"/>
          <w:szCs w:val="14"/>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28" w:lineRule="exact"/>
        <w:rPr>
          <w:sz w:val="20"/>
          <w:szCs w:val="20"/>
          <w:color w:val="auto"/>
        </w:rPr>
      </w:pPr>
    </w:p>
    <w:p>
      <w:pPr>
        <w:ind w:left="1260" w:right="1299" w:firstLine="284"/>
        <w:spacing w:after="0" w:line="246" w:lineRule="auto"/>
        <w:rPr>
          <w:sz w:val="20"/>
          <w:szCs w:val="20"/>
          <w:color w:val="auto"/>
        </w:rPr>
      </w:pPr>
      <w:r>
        <w:rPr>
          <w:rFonts w:ascii="Times New Roman" w:cs="Times New Roman" w:eastAsia="Times New Roman" w:hAnsi="Times New Roman"/>
          <w:sz w:val="14"/>
          <w:szCs w:val="14"/>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For SEC reporting purposes, our predecessor is VNOM Sub, Inc. (f/k/a Viper Energy, Inc.) for the period prior to August 19, 2025.</w:t>
      </w:r>
    </w:p>
    <w:p>
      <w:pPr>
        <w:spacing w:after="0" w:line="255" w:lineRule="exact"/>
        <w:rPr>
          <w:sz w:val="20"/>
          <w:szCs w:val="20"/>
          <w:color w:val="auto"/>
        </w:rPr>
      </w:pPr>
    </w:p>
    <w:p>
      <w:pPr>
        <w:ind w:left="1260" w:right="1339" w:firstLine="284"/>
        <w:spacing w:after="0" w:line="272"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incorporate by reference the documents set forth below that have previously been filed with the SEC:</w:t>
      </w:r>
    </w:p>
    <w:p>
      <w:pPr>
        <w:spacing w:after="0" w:line="50" w:lineRule="exact"/>
        <w:rPr>
          <w:sz w:val="20"/>
          <w:szCs w:val="20"/>
          <w:color w:val="auto"/>
        </w:rPr>
      </w:pPr>
    </w:p>
    <w:p>
      <w:pPr>
        <w:ind w:left="1700" w:right="1619" w:hanging="147"/>
        <w:spacing w:after="0" w:line="288" w:lineRule="auto"/>
        <w:tabs>
          <w:tab w:leader="none" w:pos="1700" w:val="left"/>
        </w:tabs>
        <w:numPr>
          <w:ilvl w:val="0"/>
          <w:numId w:val="4"/>
        </w:numPr>
        <w:rPr>
          <w:rFonts w:ascii="Times New Roman" w:cs="Times New Roman" w:eastAsia="Times New Roman" w:hAnsi="Times New Roman"/>
          <w:sz w:val="14"/>
          <w:szCs w:val="14"/>
          <w:u w:val="single" w:color="auto"/>
          <w:color w:val="0000EE"/>
        </w:rPr>
      </w:pPr>
      <w:hyperlink r:id="rId28">
        <w:r>
          <w:rPr>
            <w:rFonts w:ascii="Times New Roman" w:cs="Times New Roman" w:eastAsia="Times New Roman" w:hAnsi="Times New Roman"/>
            <w:sz w:val="14"/>
            <w:szCs w:val="14"/>
            <w:u w:val="single" w:color="auto"/>
            <w:color w:val="0000EE"/>
          </w:rPr>
          <w:t>Our Annual Report on Form 10-K for the year ended December 31, 2025, filed with the SEC on</w:t>
        </w:r>
      </w:hyperlink>
      <w:r>
        <w:rPr>
          <w:rFonts w:ascii="Times New Roman" w:cs="Times New Roman" w:eastAsia="Times New Roman" w:hAnsi="Times New Roman"/>
          <w:sz w:val="14"/>
          <w:szCs w:val="14"/>
          <w:u w:val="single" w:color="auto"/>
          <w:color w:val="0000EE"/>
        </w:rPr>
        <w:t xml:space="preserve"> </w:t>
      </w:r>
      <w:hyperlink r:id="rId28">
        <w:r>
          <w:rPr>
            <w:rFonts w:ascii="Times New Roman" w:cs="Times New Roman" w:eastAsia="Times New Roman" w:hAnsi="Times New Roman"/>
            <w:sz w:val="14"/>
            <w:szCs w:val="14"/>
            <w:u w:val="single" w:color="auto"/>
            <w:color w:val="0000EE"/>
          </w:rPr>
          <w:t>February 25, 2026.</w:t>
        </w:r>
      </w:hyperlink>
    </w:p>
    <w:p>
      <w:pPr>
        <w:spacing w:after="0" w:line="39" w:lineRule="exact"/>
        <w:rPr>
          <w:rFonts w:ascii="Times New Roman" w:cs="Times New Roman" w:eastAsia="Times New Roman" w:hAnsi="Times New Roman"/>
          <w:sz w:val="14"/>
          <w:szCs w:val="14"/>
          <w:u w:val="single" w:color="auto"/>
          <w:color w:val="0000EE"/>
        </w:rPr>
      </w:pPr>
    </w:p>
    <w:p>
      <w:pPr>
        <w:ind w:left="1700" w:right="1439" w:hanging="147"/>
        <w:spacing w:after="0" w:line="288" w:lineRule="auto"/>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Form 10-K from our </w:t>
      </w:r>
      <w:hyperlink r:id="rId30">
        <w:r>
          <w:rPr>
            <w:rFonts w:ascii="Times New Roman" w:cs="Times New Roman" w:eastAsia="Times New Roman" w:hAnsi="Times New Roman"/>
            <w:sz w:val="14"/>
            <w:szCs w:val="14"/>
            <w:u w:val="single" w:color="auto"/>
            <w:color w:val="0000EE"/>
          </w:rPr>
          <w:t>Definitive Proxy Statement on Schedule 14A, filed with the SEC on April 10, 2025</w:t>
        </w:r>
      </w:hyperlink>
      <w:r>
        <w:rPr>
          <w:rFonts w:ascii="Times New Roman" w:cs="Times New Roman" w:eastAsia="Times New Roman" w:hAnsi="Times New Roman"/>
          <w:sz w:val="14"/>
          <w:szCs w:val="14"/>
          <w:color w:val="auto"/>
        </w:rPr>
        <w:t>.</w:t>
      </w:r>
    </w:p>
    <w:p>
      <w:pPr>
        <w:spacing w:after="0" w:line="28" w:lineRule="exact"/>
        <w:rPr>
          <w:rFonts w:ascii="Times New Roman" w:cs="Times New Roman" w:eastAsia="Times New Roman" w:hAnsi="Times New Roman"/>
          <w:sz w:val="14"/>
          <w:szCs w:val="14"/>
          <w:color w:val="auto"/>
        </w:rPr>
      </w:pPr>
    </w:p>
    <w:p>
      <w:pPr>
        <w:ind w:left="1700" w:right="1339" w:hanging="147"/>
        <w:spacing w:after="0" w:line="265" w:lineRule="auto"/>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and Amended Current Reports on Form 8-K/A filed with the SEC on </w:t>
      </w:r>
      <w:hyperlink r:id="rId31">
        <w:r>
          <w:rPr>
            <w:rFonts w:ascii="Times New Roman" w:cs="Times New Roman" w:eastAsia="Times New Roman" w:hAnsi="Times New Roman"/>
            <w:sz w:val="14"/>
            <w:szCs w:val="14"/>
            <w:u w:val="single" w:color="auto"/>
            <w:color w:val="0000EE"/>
          </w:rPr>
          <w:t>January 30,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w:t>
      </w:r>
      <w:hyperlink r:id="rId32">
        <w:r>
          <w:rPr>
            <w:rFonts w:ascii="Times New Roman" w:cs="Times New Roman" w:eastAsia="Times New Roman" w:hAnsi="Times New Roman"/>
            <w:sz w:val="14"/>
            <w:szCs w:val="14"/>
            <w:u w:val="single" w:color="auto"/>
            <w:color w:val="0000EE"/>
          </w:rPr>
          <w:t>Exhibit 99.2</w:t>
        </w:r>
      </w:hyperlink>
      <w:r>
        <w:rPr>
          <w:rFonts w:ascii="Times New Roman" w:cs="Times New Roman" w:eastAsia="Times New Roman" w:hAnsi="Times New Roman"/>
          <w:sz w:val="14"/>
          <w:szCs w:val="14"/>
          <w:color w:val="auto"/>
        </w:rPr>
        <w:t xml:space="preserve">), </w:t>
      </w:r>
      <w:hyperlink r:id="rId33">
        <w:r>
          <w:rPr>
            <w:rFonts w:ascii="Times New Roman" w:cs="Times New Roman" w:eastAsia="Times New Roman" w:hAnsi="Times New Roman"/>
            <w:sz w:val="14"/>
            <w:szCs w:val="14"/>
            <w:u w:val="single" w:color="auto"/>
            <w:color w:val="0000EE"/>
          </w:rPr>
          <w:t>June 30,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(Exhibits </w:t>
      </w:r>
      <w:hyperlink r:id="rId34">
        <w:r>
          <w:rPr>
            <w:rFonts w:ascii="Times New Roman" w:cs="Times New Roman" w:eastAsia="Times New Roman" w:hAnsi="Times New Roman"/>
            <w:sz w:val="14"/>
            <w:szCs w:val="14"/>
            <w:u w:val="single" w:color="auto"/>
            <w:color w:val="0000EE"/>
          </w:rPr>
          <w:t>99.1</w:t>
        </w:r>
      </w:hyperlink>
      <w:r>
        <w:rPr>
          <w:rFonts w:ascii="Times New Roman" w:cs="Times New Roman" w:eastAsia="Times New Roman" w:hAnsi="Times New Roman"/>
          <w:sz w:val="14"/>
          <w:szCs w:val="14"/>
          <w:color w:val="auto"/>
        </w:rPr>
        <w:t xml:space="preserve">, </w:t>
      </w:r>
      <w:hyperlink r:id="rId35">
        <w:r>
          <w:rPr>
            <w:rFonts w:ascii="Times New Roman" w:cs="Times New Roman" w:eastAsia="Times New Roman" w:hAnsi="Times New Roman"/>
            <w:sz w:val="14"/>
            <w:szCs w:val="14"/>
            <w:u w:val="single" w:color="auto"/>
            <w:color w:val="0000EE"/>
          </w:rPr>
          <w:t>99.2</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36">
        <w:r>
          <w:rPr>
            <w:rFonts w:ascii="Times New Roman" w:cs="Times New Roman" w:eastAsia="Times New Roman" w:hAnsi="Times New Roman"/>
            <w:sz w:val="14"/>
            <w:szCs w:val="14"/>
            <w:u w:val="single" w:color="auto"/>
            <w:color w:val="0000EE"/>
          </w:rPr>
          <w:t>99.4</w:t>
        </w:r>
      </w:hyperlink>
      <w:r>
        <w:rPr>
          <w:rFonts w:ascii="Times New Roman" w:cs="Times New Roman" w:eastAsia="Times New Roman" w:hAnsi="Times New Roman"/>
          <w:sz w:val="14"/>
          <w:szCs w:val="14"/>
          <w:color w:val="auto"/>
        </w:rPr>
        <w:t xml:space="preserve">), </w:t>
      </w:r>
      <w:hyperlink r:id="rId37">
        <w:r>
          <w:rPr>
            <w:rFonts w:ascii="Times New Roman" w:cs="Times New Roman" w:eastAsia="Times New Roman" w:hAnsi="Times New Roman"/>
            <w:sz w:val="14"/>
            <w:szCs w:val="14"/>
            <w:u w:val="single" w:color="auto"/>
            <w:color w:val="0000EE"/>
          </w:rPr>
          <w:t>August 25, 2025</w:t>
        </w:r>
      </w:hyperlink>
      <w:r>
        <w:rPr>
          <w:rFonts w:ascii="Times New Roman" w:cs="Times New Roman" w:eastAsia="Times New Roman" w:hAnsi="Times New Roman"/>
          <w:sz w:val="14"/>
          <w:szCs w:val="14"/>
          <w:color w:val="auto"/>
        </w:rPr>
        <w:t xml:space="preserve"> (Exhibits </w:t>
      </w:r>
      <w:hyperlink r:id="rId38">
        <w:r>
          <w:rPr>
            <w:rFonts w:ascii="Times New Roman" w:cs="Times New Roman" w:eastAsia="Times New Roman" w:hAnsi="Times New Roman"/>
            <w:sz w:val="14"/>
            <w:szCs w:val="14"/>
            <w:u w:val="single" w:color="auto"/>
            <w:color w:val="0000EE"/>
          </w:rPr>
          <w:t>99.1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39">
        <w:r>
          <w:rPr>
            <w:rFonts w:ascii="Times New Roman" w:cs="Times New Roman" w:eastAsia="Times New Roman" w:hAnsi="Times New Roman"/>
            <w:sz w:val="14"/>
            <w:szCs w:val="14"/>
            <w:u w:val="single" w:color="auto"/>
            <w:color w:val="0000EE"/>
          </w:rPr>
          <w:t>99.2</w:t>
        </w:r>
      </w:hyperlink>
      <w:r>
        <w:rPr>
          <w:rFonts w:ascii="Times New Roman" w:cs="Times New Roman" w:eastAsia="Times New Roman" w:hAnsi="Times New Roman"/>
          <w:sz w:val="14"/>
          <w:szCs w:val="14"/>
          <w:color w:val="auto"/>
        </w:rPr>
        <w:t xml:space="preserve">), </w:t>
      </w:r>
      <w:hyperlink r:id="rId40">
        <w:r>
          <w:rPr>
            <w:rFonts w:ascii="Times New Roman" w:cs="Times New Roman" w:eastAsia="Times New Roman" w:hAnsi="Times New Roman"/>
            <w:sz w:val="14"/>
            <w:szCs w:val="14"/>
            <w:u w:val="single" w:color="auto"/>
            <w:color w:val="0000EE"/>
          </w:rPr>
          <w:t>February 19, 2026</w:t>
        </w:r>
      </w:hyperlink>
      <w:r>
        <w:rPr>
          <w:rFonts w:ascii="Times New Roman" w:cs="Times New Roman" w:eastAsia="Times New Roman" w:hAnsi="Times New Roman"/>
          <w:sz w:val="14"/>
          <w:szCs w:val="14"/>
          <w:color w:val="auto"/>
        </w:rPr>
        <w:t xml:space="preserve">, </w:t>
      </w:r>
      <w:hyperlink r:id="rId41">
        <w:r>
          <w:rPr>
            <w:rFonts w:ascii="Times New Roman" w:cs="Times New Roman" w:eastAsia="Times New Roman" w:hAnsi="Times New Roman"/>
            <w:sz w:val="14"/>
            <w:szCs w:val="14"/>
            <w:u w:val="single" w:color="auto"/>
            <w:color w:val="0000EE"/>
          </w:rPr>
          <w:t>March 3,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42">
        <w:r>
          <w:rPr>
            <w:rFonts w:ascii="Times New Roman" w:cs="Times New Roman" w:eastAsia="Times New Roman" w:hAnsi="Times New Roman"/>
            <w:sz w:val="14"/>
            <w:szCs w:val="14"/>
            <w:u w:val="single" w:color="auto"/>
            <w:color w:val="0000EE"/>
          </w:rPr>
          <w:t>March 4,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(in each case other than documents or portions of those documents deemed to be furnished but not filed).</w:t>
      </w:r>
    </w:p>
    <w:p>
      <w:pPr>
        <w:spacing w:after="0" w:line="55" w:lineRule="exact"/>
        <w:rPr>
          <w:rFonts w:ascii="Times New Roman" w:cs="Times New Roman" w:eastAsia="Times New Roman" w:hAnsi="Times New Roman"/>
          <w:sz w:val="14"/>
          <w:szCs w:val="14"/>
          <w:color w:val="auto"/>
        </w:rPr>
      </w:pPr>
    </w:p>
    <w:p>
      <w:pPr>
        <w:ind w:left="1700" w:right="1379" w:hanging="147"/>
        <w:spacing w:after="0" w:line="271" w:lineRule="auto"/>
        <w:tabs>
          <w:tab w:leader="none" w:pos="1700" w:val="left"/>
        </w:tabs>
        <w:numPr>
          <w:ilvl w:val="0"/>
          <w:numId w:val="4"/>
        </w:numPr>
        <w:rPr>
          <w:rFonts w:ascii="Times New Roman" w:cs="Times New Roman" w:eastAsia="Times New Roman" w:hAnsi="Times New Roman"/>
          <w:sz w:val="14"/>
          <w:szCs w:val="14"/>
          <w:color w:val="0000EE"/>
        </w:rPr>
      </w:pPr>
      <w:hyperlink r:id="rId43">
        <w:r>
          <w:rPr>
            <w:rFonts w:ascii="Times New Roman" w:cs="Times New Roman" w:eastAsia="Times New Roman" w:hAnsi="Times New Roman"/>
            <w:sz w:val="14"/>
            <w:szCs w:val="14"/>
            <w:color w:val="auto"/>
          </w:rPr>
          <w:t xml:space="preserve">The description of our Class A common stock, contained in Viper Energy’s Current Report on </w:t>
        </w:r>
        <w:r>
          <w:rPr>
            <w:rFonts w:ascii="Times New Roman" w:cs="Times New Roman" w:eastAsia="Times New Roman" w:hAnsi="Times New Roman"/>
            <w:sz w:val="14"/>
            <w:szCs w:val="14"/>
            <w:u w:val="single" w:color="auto"/>
            <w:color w:val="0000EE"/>
          </w:rPr>
          <w:t>Form</w:t>
        </w:r>
      </w:hyperlink>
      <w:r>
        <w:rPr>
          <w:rFonts w:ascii="Times New Roman" w:cs="Times New Roman" w:eastAsia="Times New Roman" w:hAnsi="Times New Roman"/>
          <w:sz w:val="14"/>
          <w:szCs w:val="14"/>
          <w:color w:val="auto"/>
        </w:rPr>
        <w:t xml:space="preserve"> </w:t>
      </w:r>
      <w:hyperlink r:id="rId43">
        <w:r>
          <w:rPr>
            <w:rFonts w:ascii="Times New Roman" w:cs="Times New Roman" w:eastAsia="Times New Roman" w:hAnsi="Times New Roman"/>
            <w:sz w:val="14"/>
            <w:szCs w:val="14"/>
            <w:u w:val="single" w:color="auto"/>
            <w:color w:val="0000EE"/>
          </w:rPr>
          <w:t>8-K12B filed with the SEC on August 19, 2025</w:t>
        </w:r>
        <w:r>
          <w:rPr>
            <w:rFonts w:ascii="Times New Roman" w:cs="Times New Roman" w:eastAsia="Times New Roman" w:hAnsi="Times New Roman"/>
            <w:sz w:val="14"/>
            <w:szCs w:val="14"/>
            <w:color w:val="000000"/>
          </w:rPr>
          <w:t>, including</w:t>
        </w:r>
        <w:r>
          <w:rPr>
            <w:rFonts w:ascii="Times New Roman" w:cs="Times New Roman" w:eastAsia="Times New Roman" w:hAnsi="Times New Roman"/>
            <w:sz w:val="14"/>
            <w:szCs w:val="14"/>
            <w:color w:val="0000EE"/>
          </w:rPr>
          <w:t xml:space="preserve"> </w:t>
        </w:r>
      </w:hyperlink>
      <w:hyperlink r:id="rId44">
        <w:r>
          <w:rPr>
            <w:rFonts w:ascii="Times New Roman" w:cs="Times New Roman" w:eastAsia="Times New Roman" w:hAnsi="Times New Roman"/>
            <w:sz w:val="14"/>
            <w:szCs w:val="14"/>
            <w:u w:val="single" w:color="auto"/>
            <w:color w:val="0000EE"/>
          </w:rPr>
          <w:t xml:space="preserve">Exhibit 4.9 </w:t>
        </w:r>
      </w:hyperlink>
      <w:hyperlink r:id="rId43">
        <w:r>
          <w:rPr>
            <w:rFonts w:ascii="Times New Roman" w:cs="Times New Roman" w:eastAsia="Times New Roman" w:hAnsi="Times New Roman"/>
            <w:sz w:val="14"/>
            <w:szCs w:val="14"/>
            <w:color w:val="000000"/>
          </w:rPr>
          <w:t>thereto, and including any</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amendment or report filed for the purpose of updating such description.</w:t>
      </w:r>
    </w:p>
    <w:p>
      <w:pPr>
        <w:spacing w:after="0" w:line="82" w:lineRule="exact"/>
        <w:rPr>
          <w:rFonts w:ascii="Times New Roman" w:cs="Times New Roman" w:eastAsia="Times New Roman" w:hAnsi="Times New Roman"/>
          <w:sz w:val="14"/>
          <w:szCs w:val="14"/>
          <w:color w:val="0000EE"/>
        </w:rPr>
      </w:pPr>
    </w:p>
    <w:p>
      <w:pPr>
        <w:ind w:left="1260" w:right="1359" w:firstLine="284"/>
        <w:spacing w:after="0" w:line="260" w:lineRule="auto"/>
        <w:rPr>
          <w:sz w:val="20"/>
          <w:szCs w:val="20"/>
          <w:color w:val="auto"/>
        </w:rPr>
      </w:pPr>
      <w:r>
        <w:rPr>
          <w:rFonts w:ascii="Times New Roman" w:cs="Times New Roman" w:eastAsia="Times New Roman" w:hAnsi="Times New Roman"/>
          <w:sz w:val="14"/>
          <w:szCs w:val="14"/>
          <w:color w:val="auto"/>
        </w:rPr>
        <w:t>In addition, we incorporate by reference the audited statements of revenues and operating expenses for the Endeavor Mineral and Royalty Interests (as defined below) for the years ended December 31, 2024 and December 31, 2023, incorporated by reference into this prospectus from Viper Energy’s Definitive Proxy Statement on Schedule DEFM 14A filed with the SEC on March 31, 2025, in reliance upon the reports of Grant Thornton LLP, independent certified public accountants, which audited statements of revenues and direct operating expenses are included in such filing beginning on page F-1.</w:t>
      </w:r>
    </w:p>
    <w:p>
      <w:pPr>
        <w:spacing w:after="0" w:line="90" w:lineRule="exact"/>
        <w:rPr>
          <w:rFonts w:ascii="Times New Roman" w:cs="Times New Roman" w:eastAsia="Times New Roman" w:hAnsi="Times New Roman"/>
          <w:sz w:val="14"/>
          <w:szCs w:val="14"/>
          <w:color w:val="0000EE"/>
        </w:rPr>
      </w:pPr>
    </w:p>
    <w:p>
      <w:pPr>
        <w:ind w:left="1260" w:right="1459" w:firstLine="284"/>
        <w:spacing w:after="0" w:line="291" w:lineRule="auto"/>
        <w:rPr>
          <w:sz w:val="20"/>
          <w:szCs w:val="20"/>
          <w:color w:val="auto"/>
        </w:rPr>
      </w:pPr>
      <w:r>
        <w:rPr>
          <w:rFonts w:ascii="Times New Roman" w:cs="Times New Roman" w:eastAsia="Times New Roman" w:hAnsi="Times New Roman"/>
          <w:sz w:val="14"/>
          <w:szCs w:val="14"/>
          <w:color w:val="auto"/>
        </w:rPr>
        <w:t>All reports and other documents we subsequently file pursuant to Section 13(a), 13(c)</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14 or 15(d) of the Exchange Act, prior to the termination of this offering but excluding any information furnished to,</w:t>
      </w:r>
    </w:p>
    <w:p>
      <w:pPr>
        <w:spacing w:after="0" w:line="261"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 w:name="page8"/>
    <w:bookmarkEnd w:id="7"/>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319"/>
        <w:spacing w:after="0" w:line="288" w:lineRule="auto"/>
        <w:rPr>
          <w:sz w:val="20"/>
          <w:szCs w:val="20"/>
          <w:color w:val="auto"/>
        </w:rPr>
      </w:pPr>
      <w:r>
        <w:rPr>
          <w:rFonts w:ascii="Times New Roman" w:cs="Times New Roman" w:eastAsia="Times New Roman" w:hAnsi="Times New Roman"/>
          <w:sz w:val="14"/>
          <w:szCs w:val="14"/>
          <w:color w:val="auto"/>
        </w:rPr>
        <w:t>rather than filed with, the SEC, will also be incorporated by reference into this prospectus and deemed to be part of this prospectus from the date of the filing of such reports and documents.</w:t>
      </w:r>
    </w:p>
    <w:p>
      <w:pPr>
        <w:spacing w:after="0" w:line="71" w:lineRule="exact"/>
        <w:rPr>
          <w:sz w:val="20"/>
          <w:szCs w:val="20"/>
          <w:color w:val="auto"/>
        </w:rPr>
      </w:pPr>
    </w:p>
    <w:p>
      <w:pPr>
        <w:ind w:left="1260" w:right="1459" w:firstLine="284"/>
        <w:spacing w:after="0" w:line="288" w:lineRule="auto"/>
        <w:rPr>
          <w:sz w:val="20"/>
          <w:szCs w:val="20"/>
          <w:color w:val="auto"/>
        </w:rPr>
      </w:pPr>
      <w:r>
        <w:rPr>
          <w:rFonts w:ascii="Times New Roman" w:cs="Times New Roman" w:eastAsia="Times New Roman" w:hAnsi="Times New Roman"/>
          <w:sz w:val="14"/>
          <w:szCs w:val="14"/>
          <w:color w:val="auto"/>
        </w:rPr>
        <w:t>You may request a free copy of any of the documents incorporated by reference in this prospectus by writing or telephoning us at the following address:</w:t>
      </w:r>
    </w:p>
    <w:p>
      <w:pPr>
        <w:spacing w:after="0" w:line="7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4"/>
          <w:szCs w:val="14"/>
          <w:color w:val="auto"/>
        </w:rPr>
        <w:t>Viper Energy, Inc.</w:t>
      </w:r>
    </w:p>
    <w:p>
      <w:pPr>
        <w:spacing w:after="0" w:line="2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color w:val="auto"/>
        </w:rPr>
        <w:t>500 West Texas Ave., Suite 100</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color w:val="auto"/>
        </w:rPr>
        <w:t>Midland, Texas 79701</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Attention: Secretary</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color w:val="auto"/>
        </w:rPr>
        <w:t>(432) 221-7400</w:t>
      </w:r>
    </w:p>
    <w:p>
      <w:pPr>
        <w:spacing w:after="0" w:line="102" w:lineRule="exact"/>
        <w:rPr>
          <w:sz w:val="20"/>
          <w:szCs w:val="20"/>
          <w:color w:val="auto"/>
        </w:rPr>
      </w:pPr>
    </w:p>
    <w:p>
      <w:pPr>
        <w:ind w:left="1260" w:right="1979" w:firstLine="284"/>
        <w:spacing w:after="0" w:line="288" w:lineRule="auto"/>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 w:name="page9"/>
    <w:bookmarkEnd w:id="8"/>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28" w:lineRule="exact"/>
        <w:rPr>
          <w:sz w:val="20"/>
          <w:szCs w:val="20"/>
          <w:color w:val="auto"/>
        </w:rPr>
      </w:pPr>
    </w:p>
    <w:p>
      <w:pPr>
        <w:ind w:left="1260" w:right="1299" w:firstLine="284"/>
        <w:spacing w:after="0" w:line="271" w:lineRule="auto"/>
        <w:rPr>
          <w:sz w:val="20"/>
          <w:szCs w:val="20"/>
          <w:color w:val="auto"/>
        </w:rPr>
      </w:pPr>
      <w:r>
        <w:rPr>
          <w:rFonts w:ascii="Times New Roman" w:cs="Times New Roman" w:eastAsia="Times New Roman" w:hAnsi="Times New Roman"/>
          <w:sz w:val="14"/>
          <w:szCs w:val="14"/>
          <w:color w:val="auto"/>
        </w:rPr>
        <w:t>We are a publicly traded Delaware corporation. We and our consolidated subsidiaries are focused on owning and acquiring mineral interests and royalty interests in oil and natural gas properties primarily in the Permian Basin.</w:t>
      </w:r>
    </w:p>
    <w:p>
      <w:pPr>
        <w:spacing w:after="0" w:line="82" w:lineRule="exact"/>
        <w:rPr>
          <w:sz w:val="20"/>
          <w:szCs w:val="20"/>
          <w:color w:val="auto"/>
        </w:rPr>
      </w:pPr>
    </w:p>
    <w:p>
      <w:pPr>
        <w:ind w:left="1260" w:right="1439" w:firstLine="284"/>
        <w:spacing w:after="0" w:line="261" w:lineRule="auto"/>
        <w:rPr>
          <w:sz w:val="20"/>
          <w:szCs w:val="20"/>
          <w:color w:val="auto"/>
        </w:rPr>
      </w:pPr>
      <w:r>
        <w:rPr>
          <w:rFonts w:ascii="Times New Roman" w:cs="Times New Roman" w:eastAsia="Times New Roman" w:hAnsi="Times New Roman"/>
          <w:sz w:val="14"/>
          <w:szCs w:val="14"/>
          <w:color w:val="auto"/>
        </w:rPr>
        <w:t>On November 13, 2023, VNOM Sub, Inc. (formerly known as Viper Energy, Inc., “Former Viper”) converted its legal status from a Delaware limited partnership into a Delaware corporation. On August 19, 2025, upon completion of the Sitio Acquisition (as defined herein), Former Viper became a wholly owned subsidiary of Viper Energy (formerly known as New Cobra Pubco, Inc.), as a result of a merger contemplated by the documents governing the Sitio Acquisition. References to “predecessor” refer to Former Viper.</w:t>
      </w:r>
    </w:p>
    <w:p>
      <w:pPr>
        <w:spacing w:after="0" w:line="252" w:lineRule="exact"/>
        <w:rPr>
          <w:sz w:val="20"/>
          <w:szCs w:val="20"/>
          <w:color w:val="auto"/>
        </w:rPr>
      </w:pPr>
    </w:p>
    <w:p>
      <w:pPr>
        <w:ind w:left="1260" w:right="1339" w:firstLine="284"/>
        <w:spacing w:after="0" w:line="265" w:lineRule="auto"/>
        <w:rPr>
          <w:sz w:val="20"/>
          <w:szCs w:val="20"/>
          <w:color w:val="auto"/>
        </w:rPr>
      </w:pPr>
      <w:r>
        <w:rPr>
          <w:rFonts w:ascii="Times New Roman" w:cs="Times New Roman" w:eastAsia="Times New Roman" w:hAnsi="Times New Roman"/>
          <w:sz w:val="14"/>
          <w:szCs w:val="14"/>
          <w:color w:val="auto"/>
        </w:rPr>
        <w:t xml:space="preserve">Our principal executive offices are located at 500 West Texas Ave., Suite 100, Midland, Texas 79701 and our telephone number is (432) 221-7400. Our common stock is listed on Nasdaq under the trading symbol “VNOM.” Our website address is </w:t>
      </w:r>
      <w:r>
        <w:rPr>
          <w:rFonts w:ascii="Times New Roman" w:cs="Times New Roman" w:eastAsia="Times New Roman" w:hAnsi="Times New Roman"/>
          <w:sz w:val="14"/>
          <w:szCs w:val="14"/>
          <w:i w:val="1"/>
          <w:iCs w:val="1"/>
          <w:color w:val="auto"/>
        </w:rPr>
        <w:t>www.viperenergy.com.</w:t>
      </w:r>
      <w:r>
        <w:rPr>
          <w:rFonts w:ascii="Times New Roman" w:cs="Times New Roman" w:eastAsia="Times New Roman" w:hAnsi="Times New Roman"/>
          <w:sz w:val="14"/>
          <w:szCs w:val="14"/>
          <w:color w:val="auto"/>
        </w:rPr>
        <w:t xml:space="preserve"> Information contained on our website does not constitute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 w:name="page10"/>
    <w:bookmarkEnd w:id="9"/>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GUARANTOR DISCLOSURES</w:t>
      </w:r>
    </w:p>
    <w:p>
      <w:pPr>
        <w:spacing w:after="0" w:line="128" w:lineRule="exact"/>
        <w:rPr>
          <w:sz w:val="20"/>
          <w:szCs w:val="20"/>
          <w:color w:val="auto"/>
        </w:rPr>
      </w:pPr>
    </w:p>
    <w:p>
      <w:pPr>
        <w:ind w:left="1260" w:right="1319" w:firstLine="284"/>
        <w:spacing w:after="0" w:line="265" w:lineRule="auto"/>
        <w:rPr>
          <w:sz w:val="20"/>
          <w:szCs w:val="20"/>
          <w:color w:val="auto"/>
        </w:rPr>
      </w:pPr>
      <w:r>
        <w:rPr>
          <w:rFonts w:ascii="Times New Roman" w:cs="Times New Roman" w:eastAsia="Times New Roman" w:hAnsi="Times New Roman"/>
          <w:sz w:val="14"/>
          <w:szCs w:val="14"/>
          <w:color w:val="auto"/>
        </w:rPr>
        <w:t xml:space="preserve">Viper Energy will fully and unconditionally guarantee debt securities of Viper Energy Partners as described in the section entitled </w:t>
      </w:r>
      <w:r>
        <w:rPr>
          <w:rFonts w:ascii="Times New Roman" w:cs="Times New Roman" w:eastAsia="Times New Roman" w:hAnsi="Times New Roman"/>
          <w:sz w:val="14"/>
          <w:szCs w:val="14"/>
          <w:i w:val="1"/>
          <w:iCs w:val="1"/>
          <w:color w:val="auto"/>
        </w:rPr>
        <w:t>“Description of Debt Securities.”</w:t>
      </w:r>
      <w:r>
        <w:rPr>
          <w:rFonts w:ascii="Times New Roman" w:cs="Times New Roman" w:eastAsia="Times New Roman" w:hAnsi="Times New Roman"/>
          <w:sz w:val="14"/>
          <w:szCs w:val="14"/>
          <w:color w:val="auto"/>
        </w:rPr>
        <w:t xml:space="preserve"> Viper Energy owns substantially all of its assets and conducts substantially all of its operations through Viper Energy Partners, and Viper Energy Partners is consolidated into Viper Energy’s financial statements.</w:t>
      </w:r>
    </w:p>
    <w:p>
      <w:pPr>
        <w:spacing w:after="0" w:line="87" w:lineRule="exact"/>
        <w:rPr>
          <w:sz w:val="20"/>
          <w:szCs w:val="20"/>
          <w:color w:val="auto"/>
        </w:rPr>
      </w:pPr>
    </w:p>
    <w:p>
      <w:pPr>
        <w:ind w:left="1260" w:right="1299" w:firstLine="284"/>
        <w:spacing w:after="0" w:line="257" w:lineRule="auto"/>
        <w:rPr>
          <w:sz w:val="20"/>
          <w:szCs w:val="20"/>
          <w:color w:val="auto"/>
        </w:rPr>
      </w:pPr>
      <w:r>
        <w:rPr>
          <w:rFonts w:ascii="Times New Roman" w:cs="Times New Roman" w:eastAsia="Times New Roman" w:hAnsi="Times New Roman"/>
          <w:sz w:val="14"/>
          <w:szCs w:val="14"/>
          <w:color w:val="auto"/>
        </w:rPr>
        <w:t>On January 4, 2021, the SEC’s amendments to Rule 3-10 of Regulation S-X and creation of Rule 13-01 to simplify disclosure requirements related to certain registered debt securities and subsidiary guarantees became effective. Viper Energy and Viper Energy Partners have filed this prospectus with the SEC registering debt securities of Viper Energy Partners, which will be fully and unconditionally guaranteed by Viper Energy. As a result of the amendments to Rule 3-10 of Regulation S-X, subsidiary issuers of obligations guaranteed by the parent company are not required to provide separate financial statements, provided that the subsidiary obligor is consolidated into the parent company’s consolidated financial statements, the parent company’s guarantee is “full and unconditional” and, subject to certain exceptions, the alternative disclosure required by Rule 13-01 of Regulation S-X is provided, which includes narrative disclosure and summarized financial information. Accordingly, separate consolidated financial statements of Viper Energy Partners have not been presented or included in this prospectus.</w:t>
      </w:r>
    </w:p>
    <w:p>
      <w:pPr>
        <w:spacing w:after="0" w:line="83" w:lineRule="exact"/>
        <w:rPr>
          <w:sz w:val="20"/>
          <w:szCs w:val="20"/>
          <w:color w:val="auto"/>
        </w:rPr>
      </w:pPr>
    </w:p>
    <w:p>
      <w:pPr>
        <w:ind w:left="1260" w:right="1379" w:firstLine="284"/>
        <w:spacing w:after="0" w:line="261" w:lineRule="auto"/>
        <w:rPr>
          <w:sz w:val="20"/>
          <w:szCs w:val="20"/>
          <w:color w:val="auto"/>
        </w:rPr>
      </w:pPr>
      <w:r>
        <w:rPr>
          <w:rFonts w:ascii="Times New Roman" w:cs="Times New Roman" w:eastAsia="Times New Roman" w:hAnsi="Times New Roman"/>
          <w:sz w:val="14"/>
          <w:szCs w:val="14"/>
          <w:color w:val="auto"/>
        </w:rPr>
        <w:t>Furthermore, as permitted under Rule 13-01(a)(4)(vi) of Regulation S-X, we have excluded the summarized financial information for Viper Energy Partners because the assets, liabilities and results of operations of Viper Energy Partners are not materially different than the corresponding amounts in Viper Energy’s consolidated financial statements incorporated by reference herein, and management believes that such summarized financial information would be repetitive and would not provide incremental value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 w:name="page11"/>
    <w:bookmarkEnd w:id="10"/>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8" w:lineRule="exact"/>
        <w:rPr>
          <w:sz w:val="20"/>
          <w:szCs w:val="20"/>
          <w:color w:val="auto"/>
        </w:rPr>
      </w:pPr>
    </w:p>
    <w:p>
      <w:pPr>
        <w:ind w:left="1260" w:right="1279" w:firstLine="284"/>
        <w:spacing w:after="0" w:line="256" w:lineRule="auto"/>
        <w:rPr>
          <w:sz w:val="20"/>
          <w:szCs w:val="20"/>
          <w:color w:val="auto"/>
        </w:rPr>
      </w:pPr>
      <w:r>
        <w:rPr>
          <w:rFonts w:ascii="Times New Roman" w:cs="Times New Roman" w:eastAsia="Times New Roman" w:hAnsi="Times New Roman"/>
          <w:sz w:val="14"/>
          <w:szCs w:val="14"/>
          <w:color w:val="auto"/>
        </w:rPr>
        <w:t>Investment in any securities offered pursuant to this prospectus and the applicable prospectus supplement involves risks. Before deciding whether to invest in our securities, you should carefully consider the risk factors, incorporated by reference herein, in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“Cautionary Statement Regarding Forward-Looking Statements” included in our most recent Annual Report on Form 10-K and any subsequent Quarterly Reports on Form 10-Q or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 w:name="page12"/>
    <w:bookmarkEnd w:id="11"/>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8" w:lineRule="exact"/>
        <w:rPr>
          <w:sz w:val="20"/>
          <w:szCs w:val="20"/>
          <w:color w:val="auto"/>
        </w:rPr>
      </w:pPr>
    </w:p>
    <w:p>
      <w:pPr>
        <w:ind w:left="1260" w:right="1959" w:firstLine="284"/>
        <w:spacing w:after="0" w:line="288" w:lineRule="auto"/>
        <w:rPr>
          <w:sz w:val="20"/>
          <w:szCs w:val="20"/>
          <w:color w:val="auto"/>
        </w:rPr>
      </w:pPr>
      <w:r>
        <w:rPr>
          <w:rFonts w:ascii="Times New Roman" w:cs="Times New Roman" w:eastAsia="Times New Roman" w:hAnsi="Times New Roman"/>
          <w:sz w:val="14"/>
          <w:szCs w:val="14"/>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 w:name="page13"/>
    <w:bookmarkEnd w:id="12"/>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28" w:lineRule="exact"/>
        <w:rPr>
          <w:sz w:val="20"/>
          <w:szCs w:val="20"/>
          <w:color w:val="auto"/>
        </w:rPr>
      </w:pPr>
    </w:p>
    <w:p>
      <w:pPr>
        <w:ind w:left="1260" w:right="1639" w:firstLine="284"/>
        <w:spacing w:after="0" w:line="265" w:lineRule="auto"/>
        <w:rPr>
          <w:sz w:val="20"/>
          <w:szCs w:val="20"/>
          <w:color w:val="auto"/>
        </w:rPr>
      </w:pPr>
      <w:r>
        <w:rPr>
          <w:rFonts w:ascii="Times New Roman" w:cs="Times New Roman" w:eastAsia="Times New Roman" w:hAnsi="Times New Roman"/>
          <w:sz w:val="14"/>
          <w:szCs w:val="14"/>
          <w:color w:val="auto"/>
        </w:rPr>
        <w:t>The following description of our Class A common stock, par value $0.000001 per share (“Class A Common Stock”), preferred stock, par value $0.000001 per share (“Preferred Stock”), certificate of incorporation and our bylaws are summaries thereof and are qualified by reference to our certificate of incorporation and our bylaws, copies of which have been filed with the SEC.</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Authorized Capital Stock</w:t>
      </w:r>
    </w:p>
    <w:p>
      <w:pPr>
        <w:spacing w:after="0" w:line="128" w:lineRule="exact"/>
        <w:rPr>
          <w:sz w:val="20"/>
          <w:szCs w:val="20"/>
          <w:color w:val="auto"/>
        </w:rPr>
      </w:pPr>
    </w:p>
    <w:p>
      <w:pPr>
        <w:ind w:left="1260" w:right="1339" w:firstLine="284"/>
        <w:spacing w:after="0" w:line="260" w:lineRule="auto"/>
        <w:rPr>
          <w:sz w:val="20"/>
          <w:szCs w:val="20"/>
          <w:color w:val="auto"/>
        </w:rPr>
      </w:pPr>
      <w:r>
        <w:rPr>
          <w:rFonts w:ascii="Times New Roman" w:cs="Times New Roman" w:eastAsia="Times New Roman" w:hAnsi="Times New Roman"/>
          <w:sz w:val="14"/>
          <w:szCs w:val="14"/>
          <w:color w:val="auto"/>
        </w:rPr>
        <w:t>As of the date of this prospectus, our authorized capital stock consists of (i) 1,000,000,000 shares of Class A Common Stock, (ii) 1,000,000,000 shares of Class B common stock, with par value of $0.000001 per share (“Class B Common Stock,” together with the Class A Common Stock, the “Common Stock”), and</w:t>
      </w:r>
    </w:p>
    <w:p>
      <w:pPr>
        <w:spacing w:after="0" w:line="2" w:lineRule="exact"/>
        <w:rPr>
          <w:sz w:val="20"/>
          <w:szCs w:val="20"/>
          <w:color w:val="auto"/>
        </w:rPr>
      </w:pPr>
    </w:p>
    <w:p>
      <w:pPr>
        <w:ind w:left="1260" w:right="1379" w:firstLine="10"/>
        <w:spacing w:after="0" w:line="260" w:lineRule="auto"/>
        <w:tabs>
          <w:tab w:leader="none" w:pos="152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100,000,000 shares of Preferred Stock. Each share of Class B Common Stock is exchangeable, at the discretion of the holder of such share of Class B Common Stock, together with one unit of VNOM Holding Company LLC (“Viper OpCo” and such units, “Viper OpCo Units”), into one share of Class A Common Stock.</w:t>
      </w:r>
    </w:p>
    <w:p>
      <w:pPr>
        <w:spacing w:after="0" w:line="3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18" w:lineRule="exact"/>
        <w:rPr>
          <w:sz w:val="20"/>
          <w:szCs w:val="20"/>
          <w:color w:val="auto"/>
        </w:rPr>
      </w:pPr>
    </w:p>
    <w:p>
      <w:pPr>
        <w:ind w:left="1260" w:right="1279" w:firstLine="284"/>
        <w:spacing w:after="0" w:line="257" w:lineRule="auto"/>
        <w:rPr>
          <w:sz w:val="20"/>
          <w:szCs w:val="20"/>
          <w:color w:val="auto"/>
        </w:rPr>
      </w:pPr>
      <w:r>
        <w:rPr>
          <w:rFonts w:ascii="Times New Roman" w:cs="Times New Roman" w:eastAsia="Times New Roman" w:hAnsi="Times New Roman"/>
          <w:sz w:val="14"/>
          <w:szCs w:val="14"/>
          <w:color w:val="auto"/>
        </w:rPr>
        <w:t>Holders of shares of Common Stock are entitled to one vote for each share held on all matters submitted to a vote of stockholders. Holders of Class A Common Stock and holders of Class B Common Stock vote together as a single class. Shares of Common Stock do not have cumulative voting rights, which means that the holders of more than 50% of the shares voting for the election of the board of directors will be able to elect all the directors to be elected at that time, and, in such event, the holders of the remaining shares will be unable to elect any directors to be elected at that time. Our certificate of incorporation denies stockholders any preemptive rights to acquire or subscribe for any stock, obligation, warrant or other securities of ours. Holders of shares of our Common Stock will have no redemption or conversion rights, other than as may be set forth in any exchange agreements or the Amended and Restated Limited Liability Company Agreement of Viper OpCo, nor will they be entitled to the benefits of any sinking fund provisions.</w:t>
      </w:r>
    </w:p>
    <w:p>
      <w:pPr>
        <w:spacing w:after="0" w:line="95" w:lineRule="exact"/>
        <w:rPr>
          <w:sz w:val="20"/>
          <w:szCs w:val="20"/>
          <w:color w:val="auto"/>
        </w:rPr>
      </w:pPr>
    </w:p>
    <w:p>
      <w:pPr>
        <w:ind w:left="1260" w:right="1299" w:firstLine="284"/>
        <w:spacing w:after="0" w:line="259" w:lineRule="auto"/>
        <w:rPr>
          <w:sz w:val="20"/>
          <w:szCs w:val="20"/>
          <w:color w:val="auto"/>
        </w:rPr>
      </w:pPr>
      <w:r>
        <w:rPr>
          <w:rFonts w:ascii="Times New Roman" w:cs="Times New Roman" w:eastAsia="Times New Roman" w:hAnsi="Times New Roman"/>
          <w:sz w:val="14"/>
          <w:szCs w:val="14"/>
          <w:color w:val="auto"/>
        </w:rPr>
        <w:t>In the event of our liquidation, dissolution or winding up, the remaining assets of the Company available for distribution shall (i) first be distributed, pari passu, to the holders of Class B Common Stock, ratably in proportion to the number of shares of Class B Common Stock, until the holders of all outstanding Class B Common Stock have received $0.014 (which amount will be adjusted accordingly in the case of any stock split, subdivision or combination with respect to Class B Common Stock) in respect of each share of Class B Common Stock then outstanding and (ii) then be distributed, pari passu, to the holders of all outstanding shares of Class A Common Stock, ratably in proportion to the number of shares of Class A Common Stock.</w:t>
      </w:r>
    </w:p>
    <w:p>
      <w:pPr>
        <w:spacing w:after="0" w:line="263" w:lineRule="exact"/>
        <w:rPr>
          <w:sz w:val="20"/>
          <w:szCs w:val="20"/>
          <w:color w:val="auto"/>
        </w:rPr>
      </w:pPr>
    </w:p>
    <w:p>
      <w:pPr>
        <w:ind w:left="1260" w:right="1399" w:firstLine="284"/>
        <w:spacing w:after="0" w:line="258" w:lineRule="auto"/>
        <w:rPr>
          <w:sz w:val="20"/>
          <w:szCs w:val="20"/>
          <w:color w:val="auto"/>
        </w:rPr>
      </w:pPr>
      <w:r>
        <w:rPr>
          <w:rFonts w:ascii="Times New Roman" w:cs="Times New Roman" w:eastAsia="Times New Roman" w:hAnsi="Times New Roman"/>
          <w:sz w:val="14"/>
          <w:szCs w:val="14"/>
          <w:color w:val="auto"/>
        </w:rPr>
        <w:t>Holders of record of shares of Class A Common Stock are entitled to receive dividends when and if declared by the board of directors out of any assets legally available for such dividends, subject to (i) the rights of all outstanding shares of capital stock ranking senior to the common stock in respect of dividends and (ii) to any dividend restrictions contained in debt agreements. Holders of Class B Common Stock are entitled to receive a mandatory cash dividend, paid quarterly, in an amount per share of Class B Common Stock equal to (A) $20,000 divided by (B) the number of shares of Class B Common Stock then outstanding. All outstanding shares of Class A Common Stock and Class B Common Stock are fully paid and nonassessable. As of March 5, 2026, there were 194,133,780 shares of Class A Common Stock and 165,781,570 shares of Class B common stock outstanding.</w:t>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18" w:lineRule="exact"/>
        <w:rPr>
          <w:sz w:val="20"/>
          <w:szCs w:val="20"/>
          <w:color w:val="auto"/>
        </w:rPr>
      </w:pPr>
    </w:p>
    <w:p>
      <w:pPr>
        <w:ind w:left="1260" w:right="1619" w:firstLine="284"/>
        <w:spacing w:after="0" w:line="288" w:lineRule="auto"/>
        <w:rPr>
          <w:sz w:val="20"/>
          <w:szCs w:val="20"/>
          <w:color w:val="auto"/>
        </w:rPr>
      </w:pPr>
      <w:r>
        <w:rPr>
          <w:rFonts w:ascii="Times New Roman" w:cs="Times New Roman" w:eastAsia="Times New Roman" w:hAnsi="Times New Roman"/>
          <w:sz w:val="14"/>
          <w:szCs w:val="14"/>
          <w:color w:val="auto"/>
        </w:rPr>
        <w:t>Our board of directors is authorized to issue up to 100,000,000 shares of Preferred Stock in one or more series. The board of directors may fix for each series:</w:t>
      </w:r>
    </w:p>
    <w:p>
      <w:pPr>
        <w:spacing w:after="0" w:line="39" w:lineRule="exact"/>
        <w:rPr>
          <w:sz w:val="20"/>
          <w:szCs w:val="20"/>
          <w:color w:val="auto"/>
        </w:rPr>
      </w:pPr>
    </w:p>
    <w:p>
      <w:pPr>
        <w:ind w:left="1700" w:hanging="147"/>
        <w:spacing w:after="0"/>
        <w:tabs>
          <w:tab w:leader="none" w:pos="17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distinctive serial designation and number of shares of the series;</w:t>
      </w:r>
    </w:p>
    <w:p>
      <w:pPr>
        <w:spacing w:after="0" w:line="104"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powers and the right, if any, to elect a director or directors;</w:t>
      </w: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1">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 w:name="page14"/>
    <w:bookmarkEnd w:id="13"/>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700" w:hanging="147"/>
        <w:spacing w:after="0"/>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office of any directors the holders of preferred shares are entitled to elect;</w:t>
      </w:r>
    </w:p>
    <w:p>
      <w:pPr>
        <w:spacing w:after="0" w:line="83"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rights, if any;</w:t>
      </w:r>
    </w:p>
    <w:p>
      <w:pPr>
        <w:spacing w:after="0" w:line="83" w:lineRule="exact"/>
        <w:rPr>
          <w:rFonts w:ascii="Times New Roman" w:cs="Times New Roman" w:eastAsia="Times New Roman" w:hAnsi="Times New Roman"/>
          <w:sz w:val="14"/>
          <w:szCs w:val="14"/>
          <w:color w:val="auto"/>
        </w:rPr>
      </w:pPr>
    </w:p>
    <w:p>
      <w:pPr>
        <w:ind w:left="1700" w:right="1759" w:hanging="147"/>
        <w:spacing w:after="0" w:line="288" w:lineRule="auto"/>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redemption, and the amount of and provisions regarding any sinking fund for the purchase or redemption thereof;</w:t>
      </w:r>
    </w:p>
    <w:p>
      <w:pPr>
        <w:spacing w:after="0" w:line="28"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liquidation preferences and the amounts payable on dissolution or liquidation;</w:t>
      </w:r>
    </w:p>
    <w:p>
      <w:pPr>
        <w:spacing w:after="0" w:line="83" w:lineRule="exact"/>
        <w:rPr>
          <w:rFonts w:ascii="Times New Roman" w:cs="Times New Roman" w:eastAsia="Times New Roman" w:hAnsi="Times New Roman"/>
          <w:sz w:val="14"/>
          <w:szCs w:val="14"/>
          <w:color w:val="auto"/>
        </w:rPr>
      </w:pPr>
    </w:p>
    <w:p>
      <w:pPr>
        <w:ind w:left="1700" w:right="1479" w:hanging="147"/>
        <w:spacing w:after="0" w:line="288" w:lineRule="auto"/>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under which shares of the series may or shall be converted into any other series or class of stock or debt of the corporation; and</w:t>
      </w:r>
    </w:p>
    <w:p>
      <w:pPr>
        <w:spacing w:after="0" w:line="28"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or provisions which the board of directors is legally authorized to fix or alter.</w:t>
      </w:r>
    </w:p>
    <w:p>
      <w:pPr>
        <w:spacing w:after="0" w:line="126" w:lineRule="exact"/>
        <w:rPr>
          <w:sz w:val="20"/>
          <w:szCs w:val="20"/>
          <w:color w:val="auto"/>
        </w:rPr>
      </w:pPr>
    </w:p>
    <w:p>
      <w:pPr>
        <w:ind w:left="1260" w:right="1399" w:firstLine="284"/>
        <w:spacing w:after="0" w:line="248" w:lineRule="auto"/>
        <w:rPr>
          <w:sz w:val="20"/>
          <w:szCs w:val="20"/>
          <w:color w:val="auto"/>
        </w:rPr>
      </w:pPr>
      <w:r>
        <w:rPr>
          <w:rFonts w:ascii="Times New Roman" w:cs="Times New Roman" w:eastAsia="Times New Roman" w:hAnsi="Times New Roman"/>
          <w:sz w:val="14"/>
          <w:szCs w:val="14"/>
          <w:color w:val="auto"/>
        </w:rPr>
        <w:t>We do not need stockholder approval to issue or fix the terms of the Preferred Stock. The actual effect of the authorization of the Preferred Stock upon your rights as holders of Common Stock is unknown until our board of directors determines the specific rights of owners of any series of Preferred Stock. Depending upon the rights granted to any series of Preferred Stock, your voting power, liquidation preference or other rights could be adversely affected. Preferred Stock may be issued in acquisitions or for other corporate purposes. Issuance in connection with a stockholder rights plan or other takeover defense could have the effect of making it more difficult for a third party to acquire, or of discouraging a third party from acquiring, control of our company. We currently have no outstanding Preferred Stock and have no present plans to issue any shares of Preferred Stock.</w:t>
      </w:r>
    </w:p>
    <w:p>
      <w:pPr>
        <w:spacing w:after="0" w:line="3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Related Party Transactions</w:t>
      </w:r>
    </w:p>
    <w:p>
      <w:pPr>
        <w:spacing w:after="0" w:line="12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Subject to the limitations of applicable law, our certificate of incorporation, among other things:</w:t>
      </w:r>
    </w:p>
    <w:p>
      <w:pPr>
        <w:spacing w:after="0" w:line="84" w:lineRule="exact"/>
        <w:rPr>
          <w:sz w:val="20"/>
          <w:szCs w:val="20"/>
          <w:color w:val="auto"/>
        </w:rPr>
      </w:pPr>
    </w:p>
    <w:p>
      <w:pPr>
        <w:ind w:left="1700" w:right="1299" w:hanging="147"/>
        <w:spacing w:after="0" w:line="288" w:lineRule="auto"/>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permits us to enter into transactions with entities in which one or more of our officers or directors are financially or otherwise interested so long as it has been approved by our board of directors;</w:t>
      </w:r>
    </w:p>
    <w:p>
      <w:pPr>
        <w:spacing w:after="0" w:line="28" w:lineRule="exact"/>
        <w:rPr>
          <w:rFonts w:ascii="Times New Roman" w:cs="Times New Roman" w:eastAsia="Times New Roman" w:hAnsi="Times New Roman"/>
          <w:sz w:val="14"/>
          <w:szCs w:val="14"/>
          <w:color w:val="auto"/>
        </w:rPr>
      </w:pPr>
    </w:p>
    <w:p>
      <w:pPr>
        <w:ind w:left="1700" w:right="1299" w:hanging="147"/>
        <w:spacing w:after="0" w:line="271" w:lineRule="auto"/>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permits certain of our stockholders, officers and directors, including our non-employee directors, to conduct business that competes with us and to make investments in any kind of property in which we may make investments; and</w:t>
      </w:r>
    </w:p>
    <w:p>
      <w:pPr>
        <w:spacing w:after="0" w:line="39" w:lineRule="exact"/>
        <w:rPr>
          <w:rFonts w:ascii="Times New Roman" w:cs="Times New Roman" w:eastAsia="Times New Roman" w:hAnsi="Times New Roman"/>
          <w:sz w:val="14"/>
          <w:szCs w:val="14"/>
          <w:color w:val="auto"/>
        </w:rPr>
      </w:pPr>
    </w:p>
    <w:p>
      <w:pPr>
        <w:ind w:left="1700" w:right="1359" w:hanging="147"/>
        <w:spacing w:after="0" w:line="259" w:lineRule="auto"/>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provides that if certain of our officers or directors, including our non-employee directors, becomes aware of a potential business opportunity, transaction or other matter (other than one expressly offered to that director or officer solely in his or her capacity as our director or officer), that director or officer will have no duty to communicate or offer that opportunity to us, and will be permitted to communicate or offer that opportunity to any other entity or individual and that director or officer will not be deemed to have (i) acted in a manner inconsistent with his or her fiduciary duty to us or our stockholders regarding the opportunity or (ii) acted in bad faith or in a manner inconsistent with our best interests.</w:t>
      </w:r>
    </w:p>
    <w:p>
      <w:pPr>
        <w:spacing w:after="0" w:line="3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Anti-takeover Effects of Provisions of Our Certificate of Incorporation and Our Bylaws</w:t>
      </w:r>
    </w:p>
    <w:p>
      <w:pPr>
        <w:spacing w:after="0" w:line="128" w:lineRule="exact"/>
        <w:rPr>
          <w:sz w:val="20"/>
          <w:szCs w:val="20"/>
          <w:color w:val="auto"/>
        </w:rPr>
      </w:pPr>
    </w:p>
    <w:p>
      <w:pPr>
        <w:ind w:left="1260" w:right="1339" w:firstLine="284"/>
        <w:spacing w:after="0" w:line="247" w:lineRule="auto"/>
        <w:rPr>
          <w:sz w:val="20"/>
          <w:szCs w:val="20"/>
          <w:color w:val="auto"/>
        </w:rPr>
      </w:pPr>
      <w:r>
        <w:rPr>
          <w:rFonts w:ascii="Times New Roman" w:cs="Times New Roman" w:eastAsia="Times New Roman" w:hAnsi="Times New Roman"/>
          <w:sz w:val="14"/>
          <w:szCs w:val="14"/>
          <w:color w:val="auto"/>
        </w:rPr>
        <w:t>Some provisions of our certificate of incorporation and our bylaws contain provisions that could make it more difficult to acquire us by means of a merger, tender offer, proxy contest or otherwise, or to remove our incumbent officers and directors. 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such proposals because negotiation of such proposals could result in an improvement of their terms.</w:t>
      </w:r>
    </w:p>
    <w:p>
      <w:pPr>
        <w:spacing w:after="0" w:line="88" w:lineRule="exact"/>
        <w:rPr>
          <w:sz w:val="20"/>
          <w:szCs w:val="20"/>
          <w:color w:val="auto"/>
        </w:rPr>
      </w:pPr>
    </w:p>
    <w:p>
      <w:pPr>
        <w:ind w:left="1260" w:right="1339" w:firstLine="284"/>
        <w:spacing w:after="0" w:line="249" w:lineRule="auto"/>
        <w:rPr>
          <w:sz w:val="20"/>
          <w:szCs w:val="20"/>
          <w:color w:val="auto"/>
        </w:rPr>
      </w:pPr>
      <w:r>
        <w:rPr>
          <w:rFonts w:ascii="Times New Roman" w:cs="Times New Roman" w:eastAsia="Times New Roman" w:hAnsi="Times New Roman"/>
          <w:sz w:val="14"/>
          <w:szCs w:val="14"/>
          <w:b w:val="1"/>
          <w:bCs w:val="1"/>
          <w:i w:val="1"/>
          <w:iCs w:val="1"/>
          <w:color w:val="auto"/>
        </w:rPr>
        <w:t xml:space="preserve">Undesignated Preferred Stock. </w:t>
      </w:r>
      <w:r>
        <w:rPr>
          <w:rFonts w:ascii="Times New Roman" w:cs="Times New Roman" w:eastAsia="Times New Roman" w:hAnsi="Times New Roman"/>
          <w:sz w:val="14"/>
          <w:szCs w:val="14"/>
          <w:color w:val="auto"/>
        </w:rPr>
        <w:t>The ability to authorize and issue undesignated Preferred Stock may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enable our board of directors to render more difficult or discourage an attempt to change control of us by means of a merger, tender offer, proxy contest or otherwise. For example, if in the due exercise of its fiduciary obligations, the board of directors were to determine that a takeover proposal is not in our best interest, the board of directors could cause shares of Preferred Stock to be issued without stockholder approval in one or more private offerings or other transactions that might dilute the voting or other rights of the proposed acquirer or insurgent stockholder or stockholder group.</w:t>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4" w:name="page15"/>
    <w:bookmarkEnd w:id="14"/>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60" w:right="1359" w:firstLine="284"/>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Stockholder meetings. </w:t>
      </w:r>
      <w:r>
        <w:rPr>
          <w:rFonts w:ascii="Times New Roman" w:cs="Times New Roman" w:eastAsia="Times New Roman" w:hAnsi="Times New Roman"/>
          <w:sz w:val="14"/>
          <w:szCs w:val="14"/>
          <w:color w:val="auto"/>
        </w:rPr>
        <w:t>Our certificate of incorporation and bylaws provide that a special meeting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stockholders may be called only by the Chairman of the Board, the Chief Executive Officer, by a resolution adopted by a majority of our board of directors, assuming there are no vacancies, or by the Chairman of the Board following receipt of a written request of one or more stockholders that together have continuously held, for their own accounts, beneficial ownership of at least 20% aggregate “net long position” (as​ such term is defined in the Company’s bylaws) of the issued and outstanding voting stock of the Company entitled to vote generally in the election of directors for at least one year prior to the date such request is delivered to the Company and at the special meeting date.</w:t>
      </w:r>
    </w:p>
    <w:p>
      <w:pPr>
        <w:spacing w:after="0" w:line="84" w:lineRule="exact"/>
        <w:rPr>
          <w:sz w:val="20"/>
          <w:szCs w:val="20"/>
          <w:color w:val="auto"/>
        </w:rPr>
      </w:pPr>
    </w:p>
    <w:p>
      <w:pPr>
        <w:jc w:val="both"/>
        <w:ind w:left="1260" w:right="1559" w:firstLine="284"/>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Requirements for advance notification of stockholder nominations and proposals. </w:t>
      </w:r>
      <w:r>
        <w:rPr>
          <w:rFonts w:ascii="Times New Roman" w:cs="Times New Roman" w:eastAsia="Times New Roman" w:hAnsi="Times New Roman"/>
          <w:sz w:val="14"/>
          <w:szCs w:val="14"/>
          <w:color w:val="auto"/>
        </w:rPr>
        <w:t>Our bylaws establish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advance notice requirements and certain documentary, information and other procedures with respect to stockholder proposals and the nomination of candidates for election as directors, other than nominations made by or at the direction of the board of directors.</w:t>
      </w:r>
    </w:p>
    <w:p>
      <w:pPr>
        <w:spacing w:after="0" w:line="82" w:lineRule="exact"/>
        <w:rPr>
          <w:sz w:val="20"/>
          <w:szCs w:val="20"/>
          <w:color w:val="auto"/>
        </w:rPr>
      </w:pPr>
    </w:p>
    <w:p>
      <w:pPr>
        <w:ind w:left="1260" w:right="1459" w:firstLine="284"/>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Board Designees. </w:t>
      </w:r>
      <w:r>
        <w:rPr>
          <w:rFonts w:ascii="Times New Roman" w:cs="Times New Roman" w:eastAsia="Times New Roman" w:hAnsi="Times New Roman"/>
          <w:sz w:val="14"/>
          <w:szCs w:val="14"/>
          <w:color w:val="auto"/>
        </w:rPr>
        <w:t>Pursuant to our bylaws, Diamondback will have the right to designate up to three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persons to serve as directors for so long as Diamondback along with its affiliates collectively own at least 25% of the outstanding Common Stock.</w:t>
      </w:r>
    </w:p>
    <w:p>
      <w:pPr>
        <w:spacing w:after="0" w:line="81" w:lineRule="exact"/>
        <w:rPr>
          <w:sz w:val="20"/>
          <w:szCs w:val="20"/>
          <w:color w:val="auto"/>
        </w:rPr>
      </w:pPr>
    </w:p>
    <w:p>
      <w:pPr>
        <w:ind w:left="1260" w:right="1319" w:firstLine="284"/>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Stockholder action by written consent. </w:t>
      </w:r>
      <w:r>
        <w:rPr>
          <w:rFonts w:ascii="Times New Roman" w:cs="Times New Roman" w:eastAsia="Times New Roman" w:hAnsi="Times New Roman"/>
          <w:sz w:val="14"/>
          <w:szCs w:val="14"/>
          <w:color w:val="auto"/>
        </w:rPr>
        <w:t>Our certificate of incorporation provides that, except as may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otherwise be provided with respect to the rights of the holders of Preferred Stock, no action that is required or permitted to be taken by our stockholders at any annual or special meeting may be effected by written consent of stockholders in lieu of a meeting of stockholders, unless the action to be effected by written consent of stockholders and the taking of such action by such written consent have expressly been approved in advance by our board. This provision, which may not be amended except by the affirmative vote of at least a majority of the voting power of all then outstanding shares of capital stock entitled to vote generally in the election of directors, voting together as a single class, makes it difficult for stockholders to initiate or effect an action by written consent that is opposed by our board.</w:t>
      </w:r>
    </w:p>
    <w:p>
      <w:pPr>
        <w:spacing w:after="0" w:line="88" w:lineRule="exact"/>
        <w:rPr>
          <w:sz w:val="20"/>
          <w:szCs w:val="20"/>
          <w:color w:val="auto"/>
        </w:rPr>
      </w:pPr>
    </w:p>
    <w:p>
      <w:pPr>
        <w:ind w:left="1260" w:right="1299" w:firstLine="284"/>
        <w:spacing w:after="0" w:line="246" w:lineRule="auto"/>
        <w:rPr>
          <w:sz w:val="20"/>
          <w:szCs w:val="20"/>
          <w:color w:val="auto"/>
        </w:rPr>
      </w:pPr>
      <w:r>
        <w:rPr>
          <w:rFonts w:ascii="Times New Roman" w:cs="Times New Roman" w:eastAsia="Times New Roman" w:hAnsi="Times New Roman"/>
          <w:sz w:val="14"/>
          <w:szCs w:val="14"/>
          <w:b w:val="1"/>
          <w:bCs w:val="1"/>
          <w:i w:val="1"/>
          <w:iCs w:val="1"/>
          <w:color w:val="auto"/>
        </w:rPr>
        <w:t xml:space="preserve">Amendment of the bylaws. </w:t>
      </w:r>
      <w:r>
        <w:rPr>
          <w:rFonts w:ascii="Times New Roman" w:cs="Times New Roman" w:eastAsia="Times New Roman" w:hAnsi="Times New Roman"/>
          <w:sz w:val="14"/>
          <w:szCs w:val="14"/>
          <w:color w:val="auto"/>
        </w:rPr>
        <w:t>Under Delaware law, the power to adopt, amend or repeal bylaws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conferred upon the stockholders. A corporation may, however, in its certificate of incorporation also confer upon the board of directors the power to adopt, amend or repeal its bylaws. Our certificate of incorporation and bylaws grant our board the power to adopt, amend and repeal our bylaws at any regular or special meeting of the board on the affirmative vote of a majority of the directors, assuming there are no vacancies. Our stockholders are able to adopt, amend or repeal our bylaws but only at any regular or special meeting of stockholders by an affirmative vote of holders of at least a majority of the voting power of all then outstanding shares of capital stock entitled to vote generally in the election of directors, voting together as a single class.​</w:t>
      </w:r>
    </w:p>
    <w:p>
      <w:pPr>
        <w:spacing w:after="0" w:line="255" w:lineRule="exact"/>
        <w:rPr>
          <w:sz w:val="20"/>
          <w:szCs w:val="20"/>
          <w:color w:val="auto"/>
        </w:rPr>
      </w:pPr>
    </w:p>
    <w:p>
      <w:pPr>
        <w:ind w:left="1260" w:right="1319" w:firstLine="284"/>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Removal of Director. </w:t>
      </w:r>
      <w:r>
        <w:rPr>
          <w:rFonts w:ascii="Times New Roman" w:cs="Times New Roman" w:eastAsia="Times New Roman" w:hAnsi="Times New Roman"/>
          <w:sz w:val="14"/>
          <w:szCs w:val="14"/>
          <w:color w:val="auto"/>
        </w:rPr>
        <w:t>Our certificate of incorporation provides that members of our board of directors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may only be removed by the affirmative vote of holders of a majority of the voting power of all then outstanding shares of capital stock entitled to vote generally in the election of directors, voting together as a single class.</w:t>
      </w:r>
    </w:p>
    <w:p>
      <w:pPr>
        <w:spacing w:after="0" w:line="251" w:lineRule="exact"/>
        <w:rPr>
          <w:sz w:val="20"/>
          <w:szCs w:val="20"/>
          <w:color w:val="auto"/>
        </w:rPr>
      </w:pPr>
    </w:p>
    <w:p>
      <w:pPr>
        <w:ind w:left="1260" w:right="1299" w:firstLine="284"/>
        <w:spacing w:after="0" w:line="263" w:lineRule="auto"/>
        <w:rPr>
          <w:sz w:val="20"/>
          <w:szCs w:val="20"/>
          <w:color w:val="auto"/>
        </w:rPr>
      </w:pPr>
      <w:r>
        <w:rPr>
          <w:rFonts w:ascii="Times New Roman" w:cs="Times New Roman" w:eastAsia="Times New Roman" w:hAnsi="Times New Roman"/>
          <w:sz w:val="14"/>
          <w:szCs w:val="14"/>
          <w:color w:val="auto"/>
        </w:rPr>
        <w:t>Additionally, an increase in the number of authorized shares of our Common Stock could be used to make it more difficult to, or discourage an attempt to, obtain control of our company by means of a takeover bid that our board of directors determines is not in our best interests or the best interests of our stockholders.</w:t>
      </w:r>
    </w:p>
    <w:p>
      <w:pPr>
        <w:spacing w:after="0" w:line="77" w:lineRule="exact"/>
        <w:rPr>
          <w:sz w:val="20"/>
          <w:szCs w:val="20"/>
          <w:color w:val="auto"/>
        </w:rPr>
      </w:pPr>
    </w:p>
    <w:p>
      <w:pPr>
        <w:ind w:left="1260" w:right="1299" w:firstLine="284"/>
        <w:spacing w:after="0" w:line="251" w:lineRule="auto"/>
        <w:rPr>
          <w:sz w:val="20"/>
          <w:szCs w:val="20"/>
          <w:color w:val="auto"/>
        </w:rPr>
      </w:pPr>
      <w:r>
        <w:rPr>
          <w:rFonts w:ascii="Times New Roman" w:cs="Times New Roman" w:eastAsia="Times New Roman" w:hAnsi="Times New Roman"/>
          <w:sz w:val="14"/>
          <w:szCs w:val="14"/>
          <w:color w:val="auto"/>
        </w:rPr>
        <w:t>The provisions of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which stockholders may otherwise deem to be in their best interests.</w:t>
      </w:r>
    </w:p>
    <w:p>
      <w:pPr>
        <w:spacing w:after="0" w:line="1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Officer Appointments</w:t>
      </w:r>
    </w:p>
    <w:p>
      <w:pPr>
        <w:spacing w:after="0" w:line="128" w:lineRule="exact"/>
        <w:rPr>
          <w:sz w:val="20"/>
          <w:szCs w:val="20"/>
          <w:color w:val="auto"/>
        </w:rPr>
      </w:pPr>
    </w:p>
    <w:p>
      <w:pPr>
        <w:jc w:val="both"/>
        <w:ind w:left="1260" w:right="1499" w:firstLine="284"/>
        <w:spacing w:after="0" w:line="254" w:lineRule="auto"/>
        <w:rPr>
          <w:sz w:val="20"/>
          <w:szCs w:val="20"/>
          <w:color w:val="auto"/>
        </w:rPr>
      </w:pPr>
      <w:r>
        <w:rPr>
          <w:rFonts w:ascii="Times New Roman" w:cs="Times New Roman" w:eastAsia="Times New Roman" w:hAnsi="Times New Roman"/>
          <w:sz w:val="14"/>
          <w:szCs w:val="14"/>
          <w:color w:val="auto"/>
        </w:rPr>
        <w:t>Our certificate of incorporation provides that so long as Diamondback and its affiliates collectively own at least 25% of all outstanding shares of our Common Stock, our board of directors will not appoint any person other than a Diamondback-seconded employee as an executive officer of our company, unless such appointment is approved in advance by either (a) Diamondback (which approval may not be</w:t>
      </w: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5" w:name="page16"/>
    <w:bookmarkEnd w:id="15"/>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499"/>
        <w:spacing w:after="0" w:line="288" w:lineRule="auto"/>
        <w:rPr>
          <w:sz w:val="20"/>
          <w:szCs w:val="20"/>
          <w:color w:val="auto"/>
        </w:rPr>
      </w:pPr>
      <w:r>
        <w:rPr>
          <w:rFonts w:ascii="Times New Roman" w:cs="Times New Roman" w:eastAsia="Times New Roman" w:hAnsi="Times New Roman"/>
          <w:sz w:val="14"/>
          <w:szCs w:val="14"/>
          <w:color w:val="auto"/>
        </w:rPr>
        <w:t>unreasonably withheld or conditioned) or (b) the affirmative vote of holders of at least 80% of the voting power of capital stock of our company.</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Choice of Forum</w:t>
      </w:r>
    </w:p>
    <w:p>
      <w:pPr>
        <w:spacing w:after="0" w:line="128" w:lineRule="exact"/>
        <w:rPr>
          <w:sz w:val="20"/>
          <w:szCs w:val="20"/>
          <w:color w:val="auto"/>
        </w:rPr>
      </w:pPr>
    </w:p>
    <w:p>
      <w:pPr>
        <w:ind w:left="1260" w:right="1379" w:firstLine="284"/>
        <w:spacing w:after="0" w:line="264" w:lineRule="auto"/>
        <w:rPr>
          <w:sz w:val="20"/>
          <w:szCs w:val="20"/>
          <w:color w:val="auto"/>
        </w:rPr>
      </w:pPr>
      <w:r>
        <w:rPr>
          <w:rFonts w:ascii="Times New Roman" w:cs="Times New Roman" w:eastAsia="Times New Roman" w:hAnsi="Times New Roman"/>
          <w:sz w:val="14"/>
          <w:szCs w:val="14"/>
          <w:color w:val="auto"/>
        </w:rPr>
        <w:t>Our certificate of incorporation provides that unless we consent in writing to the selection of an alternative forum, the Court of Chancery of the State of Delaware will be the sole and exclusive forum for:</w:t>
      </w:r>
    </w:p>
    <w:p>
      <w:pPr>
        <w:ind w:left="1260" w:right="1319" w:firstLine="10"/>
        <w:spacing w:after="0" w:line="256" w:lineRule="auto"/>
        <w:tabs>
          <w:tab w:leader="none" w:pos="144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Delaware General Corporation Law (“DGCL”) or our certificate of incorporation or bylaws; or (iv) any action asserting a claim against us pertaining to internal affairs of our corporation. Our certificate of incorporation also provides that any person or entity purchasing or otherwise acquiring any interest in shares of our capital stock will be deemed to have notice of and to have consented to this choice of forum provision.</w:t>
      </w:r>
    </w:p>
    <w:p>
      <w:pPr>
        <w:spacing w:after="0" w:line="92" w:lineRule="exact"/>
        <w:rPr>
          <w:sz w:val="20"/>
          <w:szCs w:val="20"/>
          <w:color w:val="auto"/>
        </w:rPr>
      </w:pPr>
    </w:p>
    <w:p>
      <w:pPr>
        <w:ind w:left="1260" w:right="1319" w:firstLine="284"/>
        <w:spacing w:after="0" w:line="265" w:lineRule="auto"/>
        <w:rPr>
          <w:sz w:val="20"/>
          <w:szCs w:val="20"/>
          <w:color w:val="auto"/>
        </w:rPr>
      </w:pPr>
      <w:r>
        <w:rPr>
          <w:rFonts w:ascii="Times New Roman" w:cs="Times New Roman" w:eastAsia="Times New Roman" w:hAnsi="Times New Roman"/>
          <w:sz w:val="14"/>
          <w:szCs w:val="14"/>
          <w:color w:val="auto"/>
        </w:rPr>
        <w:t>Our bylaws provide that federal courts shall be the exclusive forum for claims under the Securities Act, unless we consent in writing to the selection of an alternative forum. Our bylaws also provide that any person or entity purchasing or otherwise acquiring any interest in shares of our capital stock will be deemed to have notice of and to have consented to this choice of forum provision.</w:t>
      </w:r>
    </w:p>
    <w:p>
      <w:pPr>
        <w:spacing w:after="0" w:line="76" w:lineRule="exact"/>
        <w:rPr>
          <w:sz w:val="20"/>
          <w:szCs w:val="20"/>
          <w:color w:val="auto"/>
        </w:rPr>
      </w:pPr>
    </w:p>
    <w:p>
      <w:pPr>
        <w:ind w:left="1260" w:right="1759" w:firstLine="284"/>
        <w:spacing w:after="0" w:line="271" w:lineRule="auto"/>
        <w:rPr>
          <w:sz w:val="20"/>
          <w:szCs w:val="20"/>
          <w:color w:val="auto"/>
        </w:rPr>
      </w:pPr>
      <w:r>
        <w:rPr>
          <w:rFonts w:ascii="Times New Roman" w:cs="Times New Roman" w:eastAsia="Times New Roman" w:hAnsi="Times New Roman"/>
          <w:sz w:val="14"/>
          <w:szCs w:val="14"/>
          <w:color w:val="auto"/>
        </w:rPr>
        <w:t>It is possible that a court of law could rule that the choice of forum provision contained in our certificate of incorporation and/or our bylaws is inapplicable or unenforceable if it is challenged in a proceeding or otherwise.</w:t>
      </w:r>
    </w:p>
    <w:p>
      <w:pPr>
        <w:spacing w:after="0" w:line="1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28" w:lineRule="exact"/>
        <w:rPr>
          <w:sz w:val="20"/>
          <w:szCs w:val="20"/>
          <w:color w:val="auto"/>
        </w:rPr>
      </w:pPr>
    </w:p>
    <w:p>
      <w:pPr>
        <w:ind w:left="1260" w:right="1379" w:firstLine="284"/>
        <w:spacing w:after="0" w:line="257" w:lineRule="auto"/>
        <w:rPr>
          <w:sz w:val="20"/>
          <w:szCs w:val="20"/>
          <w:color w:val="auto"/>
        </w:rPr>
      </w:pPr>
      <w:r>
        <w:rPr>
          <w:rFonts w:ascii="Times New Roman" w:cs="Times New Roman" w:eastAsia="Times New Roman" w:hAnsi="Times New Roman"/>
          <w:sz w:val="14"/>
          <w:szCs w:val="14"/>
          <w:color w:val="auto"/>
        </w:rPr>
        <w:t>We has assumed the following registration rights from VNOM Sub, Inc. (f/k/a Viper Energy, Inc.) (for purposes of this section only, “Old Viper”): (i) the Second Amended and Restated Registration Rights Agreement, dated as of November 10, 2023, by and among Old Viper and the other parties thereto (the “Diamondback RRA”), (ii) the Amended and Restated Registration Rights Agreement, dated as of January 30, 2025, by and among Old Viper and the other parties thereto (the “Tumbleweed RRA”), and</w:t>
      </w:r>
    </w:p>
    <w:p>
      <w:pPr>
        <w:spacing w:after="0" w:line="3" w:lineRule="exact"/>
        <w:rPr>
          <w:sz w:val="20"/>
          <w:szCs w:val="20"/>
          <w:color w:val="auto"/>
        </w:rPr>
      </w:pPr>
    </w:p>
    <w:p>
      <w:pPr>
        <w:ind w:left="1260" w:right="1279" w:firstLine="10"/>
        <w:spacing w:after="0" w:line="255" w:lineRule="auto"/>
        <w:tabs>
          <w:tab w:leader="none" w:pos="1525"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Rights Agreement, dated as of February 14, 2025, by and among Old Viper and the other parties thereto (the “Morita Ranches RRA”). We are also party to the Registration Rights Agreement, dated as of August 19, 2025, by and among Viper Energy and the other parties thereto (the “Sitio RRA” and, together with the Diamondback RRA, the Tumbleweed RRA and the Morita Ranches RRA, the “Registration Rights Agreements”). Pursuant to the Registration Rights Agreements, we have agreed to register for resale, pursuant to Rule 415 of the Securities Act, certain shares of Class A Common Stock held by certain stockholders, including any shares of Class A Common Stock issued or issuable upon the redemption of certain shares of Class B Common Stock and Viper Opco Units held by such stockholders. Additionally, in the Tumbleweed RRA and the Morita Ranches RRA, certain stockholders received certain piggyback rights to participate in underwritten offerings of Viper Energy, subject to customary exceptions, and to demand certain underwritten offerings. The foregoing description of the Registration Rights Agreements is a summary only and is qualified in its entirety by reference to the Registration Rights Agreements, copies of which were filed with the SEC is filed as an exhibit hereto.</w:t>
      </w:r>
    </w:p>
    <w:p>
      <w:pPr>
        <w:spacing w:after="0" w:line="3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28" w:lineRule="exact"/>
        <w:rPr>
          <w:sz w:val="20"/>
          <w:szCs w:val="20"/>
          <w:color w:val="auto"/>
        </w:rPr>
      </w:pPr>
    </w:p>
    <w:p>
      <w:pPr>
        <w:ind w:left="1260" w:right="1839" w:firstLine="284"/>
        <w:spacing w:after="0" w:line="288" w:lineRule="auto"/>
        <w:rPr>
          <w:sz w:val="20"/>
          <w:szCs w:val="20"/>
          <w:color w:val="auto"/>
        </w:rPr>
      </w:pPr>
      <w:r>
        <w:rPr>
          <w:rFonts w:ascii="Times New Roman" w:cs="Times New Roman" w:eastAsia="Times New Roman" w:hAnsi="Times New Roman"/>
          <w:sz w:val="14"/>
          <w:szCs w:val="14"/>
          <w:color w:val="auto"/>
        </w:rPr>
        <w:t>Computershare Trust Company, National Association is the transfer agent and registrar for our Common Stock.</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1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Our Class A Common Stock is listed on The Nasdaq Global Select Market under the symbol “VNOM.”</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6" w:name="page17"/>
    <w:bookmarkEnd w:id="16"/>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28" w:lineRule="exact"/>
        <w:rPr>
          <w:sz w:val="20"/>
          <w:szCs w:val="20"/>
          <w:color w:val="auto"/>
        </w:rPr>
      </w:pPr>
    </w:p>
    <w:p>
      <w:pPr>
        <w:ind w:left="1260" w:right="1279" w:firstLine="284"/>
        <w:spacing w:after="0" w:line="256" w:lineRule="auto"/>
        <w:rPr>
          <w:sz w:val="20"/>
          <w:szCs w:val="20"/>
          <w:color w:val="auto"/>
        </w:rPr>
      </w:pPr>
      <w:r>
        <w:rPr>
          <w:rFonts w:ascii="Times New Roman" w:cs="Times New Roman" w:eastAsia="Times New Roman" w:hAnsi="Times New Roman"/>
          <w:sz w:val="14"/>
          <w:szCs w:val="14"/>
          <w:color w:val="auto"/>
        </w:rPr>
        <w:t>The debt securities that we may offer by this prospectus consist of notes issued by Viper Energy Partners, as well as guarantees or other evidences of indebtedness by Viper Energy. Viper Energy Partners may issue debt securities in one or more series under an indenture (the “Base Indenture”), between Viper Energy Partners and Computershare Trust Company, National Association, as trustee (the “Trustee”), which Base Indenture may from time to time be supplemented or amended by one or more indentures supplemental thereto entered into pursuant to the applicable provisions of the Base Indenture, including, for all purposes of the Base Indenture and any such supplemental indenture, the provisions of the Trust Indenture Act of 1939, as amended (the “Trust Indenture Act”) that are deemed to be a part of and govern the Base Indenture and any such supplemental indenture (collectively with the Base Indenture, the “Indenture”). The term “Indenture” shall also include the terms of any particular series or specific debt securities within a series established as contemplated by the Indenture. A form of the Base Indenture, which has been filed as an exhibit to the registration statement of which this prospectus is a part, is incorporated herein by reference. Except as otherwise defined in this prospectus, capitalized terms used in this prospectus have the meanings given to them in the Base Indenture. For purposes of this Description of Debt Securities, references to “Viper Energy,” the “Company,” “we,” “our” and “us” refer only to Viper Energy, Inc. and not to its subsidiaries.</w:t>
      </w:r>
    </w:p>
    <w:p>
      <w:pPr>
        <w:spacing w:after="0" w:line="265" w:lineRule="exact"/>
        <w:rPr>
          <w:sz w:val="20"/>
          <w:szCs w:val="20"/>
          <w:color w:val="auto"/>
        </w:rPr>
      </w:pPr>
    </w:p>
    <w:p>
      <w:pPr>
        <w:ind w:left="1260" w:right="1339" w:firstLine="284"/>
        <w:spacing w:after="0" w:line="262" w:lineRule="auto"/>
        <w:rPr>
          <w:sz w:val="20"/>
          <w:szCs w:val="20"/>
          <w:color w:val="auto"/>
        </w:rPr>
      </w:pPr>
      <w:r>
        <w:rPr>
          <w:rFonts w:ascii="Times New Roman" w:cs="Times New Roman" w:eastAsia="Times New Roman" w:hAnsi="Times New Roman"/>
          <w:sz w:val="14"/>
          <w:szCs w:val="14"/>
          <w:color w:val="auto"/>
        </w:rPr>
        <w:t>The provisions of the Base Indenture will generally be applicable to all of the debt securities. Selected provisions of the Base Indenture are described in this prospectus. Additional or different provisions that are applicable to a particular series of debt securities will, if material, be described in a prospectus supplement relating to the offering of debt securities of that series. These provisions may include, among other things and to the extent applicable, the following:</w:t>
      </w:r>
    </w:p>
    <w:p>
      <w:pPr>
        <w:spacing w:after="0" w:line="58" w:lineRule="exact"/>
        <w:rPr>
          <w:sz w:val="20"/>
          <w:szCs w:val="20"/>
          <w:color w:val="auto"/>
        </w:rPr>
      </w:pPr>
    </w:p>
    <w:p>
      <w:pPr>
        <w:ind w:left="1700" w:hanging="147"/>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w:t>
      </w:r>
    </w:p>
    <w:p>
      <w:pPr>
        <w:spacing w:after="0" w:line="94"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debt securities;</w:t>
      </w:r>
    </w:p>
    <w:p>
      <w:pPr>
        <w:spacing w:after="0" w:line="94" w:lineRule="exact"/>
        <w:rPr>
          <w:rFonts w:ascii="Times New Roman" w:cs="Times New Roman" w:eastAsia="Times New Roman" w:hAnsi="Times New Roman"/>
          <w:sz w:val="14"/>
          <w:szCs w:val="14"/>
          <w:color w:val="auto"/>
        </w:rPr>
      </w:pPr>
    </w:p>
    <w:p>
      <w:pPr>
        <w:ind w:left="1700" w:right="1319" w:hanging="147"/>
        <w:spacing w:after="0" w:line="288" w:lineRule="auto"/>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to whom any interest on a debt security will be payable, if other than the registered holder thereof on the regular record date therefor;</w:t>
      </w:r>
    </w:p>
    <w:p>
      <w:pPr>
        <w:spacing w:after="0" w:line="49" w:lineRule="exact"/>
        <w:rPr>
          <w:rFonts w:ascii="Times New Roman" w:cs="Times New Roman" w:eastAsia="Times New Roman" w:hAnsi="Times New Roman"/>
          <w:sz w:val="14"/>
          <w:szCs w:val="14"/>
          <w:color w:val="auto"/>
        </w:rPr>
      </w:pPr>
    </w:p>
    <w:p>
      <w:pPr>
        <w:ind w:left="1700" w:right="1739" w:hanging="147"/>
        <w:spacing w:after="0" w:line="288" w:lineRule="auto"/>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debt securities will be payable or the method of determination thereof and the amount of principal that will be payable;</w:t>
      </w:r>
    </w:p>
    <w:p>
      <w:pPr>
        <w:spacing w:after="0" w:line="39" w:lineRule="exact"/>
        <w:rPr>
          <w:rFonts w:ascii="Times New Roman" w:cs="Times New Roman" w:eastAsia="Times New Roman" w:hAnsi="Times New Roman"/>
          <w:sz w:val="14"/>
          <w:szCs w:val="14"/>
          <w:color w:val="auto"/>
        </w:rPr>
      </w:pPr>
    </w:p>
    <w:p>
      <w:pPr>
        <w:jc w:val="both"/>
        <w:ind w:left="1700" w:right="1379" w:hanging="147"/>
        <w:spacing w:after="0" w:line="265" w:lineRule="auto"/>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at which the debt securities of the series shall bear interest, if any, or contingent interest, if any, or the formula, method or provision pursuant to which such rate or rates are determined, and the date or dates from which such interest shall accrue or the method of determination thereof;</w:t>
      </w:r>
    </w:p>
    <w:p>
      <w:pPr>
        <w:spacing w:after="0" w:line="55"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interest will be payable and the regular record dates for interest payment dates;</w:t>
      </w:r>
    </w:p>
    <w:p>
      <w:pPr>
        <w:spacing w:after="0" w:line="94" w:lineRule="exact"/>
        <w:rPr>
          <w:rFonts w:ascii="Times New Roman" w:cs="Times New Roman" w:eastAsia="Times New Roman" w:hAnsi="Times New Roman"/>
          <w:sz w:val="14"/>
          <w:szCs w:val="14"/>
          <w:color w:val="auto"/>
        </w:rPr>
      </w:pPr>
    </w:p>
    <w:p>
      <w:pPr>
        <w:ind w:left="1700" w:right="1319" w:hanging="147"/>
        <w:spacing w:after="0" w:line="288" w:lineRule="auto"/>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of and any premium and interest on the debt securities will be payable and the manner in which any payment may be made;</w:t>
      </w:r>
    </w:p>
    <w:p>
      <w:pPr>
        <w:spacing w:after="0" w:line="39" w:lineRule="exact"/>
        <w:rPr>
          <w:rFonts w:ascii="Times New Roman" w:cs="Times New Roman" w:eastAsia="Times New Roman" w:hAnsi="Times New Roman"/>
          <w:sz w:val="14"/>
          <w:szCs w:val="14"/>
          <w:color w:val="auto"/>
        </w:rPr>
      </w:pPr>
    </w:p>
    <w:p>
      <w:pPr>
        <w:jc w:val="both"/>
        <w:ind w:left="1700" w:right="1299" w:hanging="147"/>
        <w:spacing w:after="0" w:line="271" w:lineRule="auto"/>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Viper Energy Partners’ option, if any, to redeem or prepay the debt securities, in whole or in part, the period or periods within which, and the price or prices at which, such redemption or prepayment may occur, and the other terms and conditions of any such redemptions or prepayments;</w:t>
      </w:r>
    </w:p>
    <w:p>
      <w:pPr>
        <w:spacing w:after="0" w:line="50" w:lineRule="exact"/>
        <w:rPr>
          <w:rFonts w:ascii="Times New Roman" w:cs="Times New Roman" w:eastAsia="Times New Roman" w:hAnsi="Times New Roman"/>
          <w:sz w:val="14"/>
          <w:szCs w:val="14"/>
          <w:color w:val="auto"/>
        </w:rPr>
      </w:pPr>
    </w:p>
    <w:p>
      <w:pPr>
        <w:ind w:left="1700" w:right="1299" w:hanging="147"/>
        <w:spacing w:after="0" w:line="263" w:lineRule="auto"/>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Viper Energy Partners’ obligation, if any, whether pursuant to a sinking fund or otherwise, to redeem, purchase, repurchase or offer to purchase or repurchase, the debt securities, in whole or in part, the period or periods within which, and the price or prices at which, such redemption, purchase or repurchase must occur, and the other terms and conditions of any such redemptions, purchases and repurchases;</w:t>
      </w:r>
    </w:p>
    <w:p>
      <w:pPr>
        <w:spacing w:after="0" w:line="230" w:lineRule="exact"/>
        <w:rPr>
          <w:rFonts w:ascii="Times New Roman" w:cs="Times New Roman" w:eastAsia="Times New Roman" w:hAnsi="Times New Roman"/>
          <w:sz w:val="14"/>
          <w:szCs w:val="14"/>
          <w:color w:val="auto"/>
        </w:rPr>
      </w:pPr>
    </w:p>
    <w:p>
      <w:pPr>
        <w:ind w:left="1700" w:right="1719" w:hanging="147"/>
        <w:spacing w:after="0" w:line="288" w:lineRule="auto"/>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issuable, if other than denominations of $2,000 and any integral multiple of $1,000 in excess thereof;</w:t>
      </w:r>
    </w:p>
    <w:p>
      <w:pPr>
        <w:spacing w:after="0" w:line="39" w:lineRule="exact"/>
        <w:rPr>
          <w:rFonts w:ascii="Times New Roman" w:cs="Times New Roman" w:eastAsia="Times New Roman" w:hAnsi="Times New Roman"/>
          <w:sz w:val="14"/>
          <w:szCs w:val="14"/>
          <w:color w:val="auto"/>
        </w:rPr>
      </w:pPr>
    </w:p>
    <w:p>
      <w:pPr>
        <w:ind w:left="1700" w:right="1519" w:hanging="147"/>
        <w:spacing w:after="0" w:line="281" w:lineRule="auto"/>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amount of principal of or any premium or interest on any debt securities may be determined with reference to an index or pursuant to a formula, the manner in which such amounts shall be determined;</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7" w:name="page18"/>
    <w:bookmarkEnd w:id="17"/>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700" w:right="1299" w:hanging="147"/>
        <w:spacing w:after="0" w:line="258" w:lineRule="auto"/>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currency of the United States of America, the currency, currencies, composite currency, composite currencies or currency units in which the principal of or any premium or interest on any debt securities shall be payable, or shall at the election of Viper Energy Partners or the holder thereof be payable, and the manner of determining the equivalent thereof in the currency of the United States of America for any purpose, including for the purposes of making payment in the currency of the United States of America and determining the outstanding amount of debt securities, and, in the case of an election, the periods within which and the terms and conditions upon which such election is to be made and the amount so payable (or the manner in which such amount shall be determined);</w:t>
      </w:r>
    </w:p>
    <w:p>
      <w:pPr>
        <w:spacing w:after="0" w:line="232" w:lineRule="exact"/>
        <w:rPr>
          <w:rFonts w:ascii="Times New Roman" w:cs="Times New Roman" w:eastAsia="Times New Roman" w:hAnsi="Times New Roman"/>
          <w:sz w:val="14"/>
          <w:szCs w:val="14"/>
          <w:color w:val="auto"/>
        </w:rPr>
      </w:pPr>
    </w:p>
    <w:p>
      <w:pPr>
        <w:ind w:left="1700" w:right="1379" w:hanging="147"/>
        <w:spacing w:after="0" w:line="271" w:lineRule="auto"/>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entire principal amount thereof, the portion of the principal amount of any debt securities that will be payable upon acceleration of the maturity of the debt securities pursuant to an event of default;</w:t>
      </w:r>
    </w:p>
    <w:p>
      <w:pPr>
        <w:spacing w:after="0" w:line="61" w:lineRule="exact"/>
        <w:rPr>
          <w:rFonts w:ascii="Times New Roman" w:cs="Times New Roman" w:eastAsia="Times New Roman" w:hAnsi="Times New Roman"/>
          <w:sz w:val="14"/>
          <w:szCs w:val="14"/>
          <w:color w:val="auto"/>
        </w:rPr>
      </w:pPr>
    </w:p>
    <w:p>
      <w:pPr>
        <w:ind w:left="1700" w:right="1319" w:hanging="147"/>
        <w:spacing w:after="0" w:line="260" w:lineRule="auto"/>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principal amount payable at the maturity of any debt securities will not be determinable as of any one or more dates prior to the stated maturity, the amount that shall be deemed to be the principal amount of such debt securities as of any such date, including the principal amount thereof that shall be due and payable upon any maturity other than the stated maturity or that shall be deemed to be outstanding as of any date prior to the stated maturity (or, in any such case, the manner in which such amount deemed to be the principal amount shall be determined);</w:t>
      </w:r>
    </w:p>
    <w:p>
      <w:pPr>
        <w:spacing w:after="0" w:line="60" w:lineRule="exact"/>
        <w:rPr>
          <w:rFonts w:ascii="Times New Roman" w:cs="Times New Roman" w:eastAsia="Times New Roman" w:hAnsi="Times New Roman"/>
          <w:sz w:val="14"/>
          <w:szCs w:val="14"/>
          <w:color w:val="auto"/>
        </w:rPr>
      </w:pPr>
    </w:p>
    <w:p>
      <w:pPr>
        <w:ind w:left="1700" w:right="1299" w:hanging="147"/>
        <w:spacing w:after="0" w:line="261" w:lineRule="auto"/>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that the debt securities, in whole or any specified part, shall not be defeasible, and, if such debt securities may be defeased, in whole or in part, any provisions to permit a pledge of obligations other than U.S. government obligations (or the establishment of other arrangements) to satisfy the requirements for defeasance of such debt securities and, if other than by a board resolution, the manner in which any election by Viper Energy Partners to defease such debt securities shall be evidenced;</w:t>
      </w:r>
    </w:p>
    <w:p>
      <w:pPr>
        <w:spacing w:after="0" w:line="231" w:lineRule="exact"/>
        <w:rPr>
          <w:rFonts w:ascii="Times New Roman" w:cs="Times New Roman" w:eastAsia="Times New Roman" w:hAnsi="Times New Roman"/>
          <w:sz w:val="14"/>
          <w:szCs w:val="14"/>
          <w:color w:val="auto"/>
        </w:rPr>
      </w:pPr>
    </w:p>
    <w:p>
      <w:pPr>
        <w:ind w:left="1700" w:right="1359" w:hanging="147"/>
        <w:spacing w:after="0" w:line="258" w:lineRule="auto"/>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that any debt securities shall be issuable in whole or in part in the form of one or more global securities and, in such case, the respective depositaries for such global securities, the form of any legend or legends that shall be borne by any such global security in lieu of that set forth in the Base Indenture, any addition to, elimination of or other change in the circumstances in which any such global security may be exchanged in whole or in part for debt securities registered, and any transfer of such global security in whole or in part may be registered, in the name or names of persons other than the depositary for such global security or a nominee thereof and any other provisions governing exchanges or transfers of any such global security;</w:t>
      </w:r>
    </w:p>
    <w:p>
      <w:pPr>
        <w:spacing w:after="0" w:line="62" w:lineRule="exact"/>
        <w:rPr>
          <w:rFonts w:ascii="Times New Roman" w:cs="Times New Roman" w:eastAsia="Times New Roman" w:hAnsi="Times New Roman"/>
          <w:sz w:val="14"/>
          <w:szCs w:val="14"/>
          <w:color w:val="auto"/>
        </w:rPr>
      </w:pPr>
    </w:p>
    <w:p>
      <w:pPr>
        <w:ind w:left="1700" w:right="1479" w:hanging="147"/>
        <w:spacing w:after="0" w:line="265" w:lineRule="auto"/>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elimination of or other change in the events of default that apply to any debt securities, any changes in the applicable notice or cure periods (which may be no period), and any change in the right of the Trustee or the requisite holders of such debt securities to declare the principal amount thereof due and payable, or the automatic acceleration of such principal amount;</w:t>
      </w:r>
    </w:p>
    <w:p>
      <w:pPr>
        <w:spacing w:after="0" w:line="55" w:lineRule="exact"/>
        <w:rPr>
          <w:rFonts w:ascii="Times New Roman" w:cs="Times New Roman" w:eastAsia="Times New Roman" w:hAnsi="Times New Roman"/>
          <w:sz w:val="14"/>
          <w:szCs w:val="14"/>
          <w:color w:val="auto"/>
        </w:rPr>
      </w:pPr>
    </w:p>
    <w:p>
      <w:pPr>
        <w:ind w:left="1700" w:right="1439" w:hanging="147"/>
        <w:spacing w:after="0" w:line="288" w:lineRule="auto"/>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elimination of or other change in the covenants set forth in the Base Indenture that applies to any debt securities;</w:t>
      </w:r>
    </w:p>
    <w:p>
      <w:pPr>
        <w:spacing w:after="0" w:line="39" w:lineRule="exact"/>
        <w:rPr>
          <w:rFonts w:ascii="Times New Roman" w:cs="Times New Roman" w:eastAsia="Times New Roman" w:hAnsi="Times New Roman"/>
          <w:sz w:val="14"/>
          <w:szCs w:val="14"/>
          <w:color w:val="auto"/>
        </w:rPr>
      </w:pPr>
    </w:p>
    <w:p>
      <w:pPr>
        <w:ind w:left="1700" w:right="1419" w:hanging="147"/>
        <w:spacing w:after="0" w:line="271" w:lineRule="auto"/>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that persons other than those specified in the Base Indenture shall have such benefits, rights, remedies and claims with respect to such debt securities, as and to the extent provided for such debt securities;</w:t>
      </w:r>
    </w:p>
    <w:p>
      <w:pPr>
        <w:spacing w:after="0" w:line="50" w:lineRule="exact"/>
        <w:rPr>
          <w:rFonts w:ascii="Times New Roman" w:cs="Times New Roman" w:eastAsia="Times New Roman" w:hAnsi="Times New Roman"/>
          <w:sz w:val="14"/>
          <w:szCs w:val="14"/>
          <w:color w:val="auto"/>
        </w:rPr>
      </w:pPr>
    </w:p>
    <w:p>
      <w:pPr>
        <w:ind w:left="1700" w:right="1319" w:hanging="147"/>
        <w:spacing w:after="0" w:line="265" w:lineRule="auto"/>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in the actions permitted or required to be taken by or on behalf of the holders of any debt securities, including any such change that permits or requires any or all such actions to be taken by or on behalf of the holders of any specific debt securities rather than or in addition to the holders of all debt securities;</w:t>
      </w:r>
    </w:p>
    <w:p>
      <w:pPr>
        <w:spacing w:after="0" w:line="55" w:lineRule="exact"/>
        <w:rPr>
          <w:rFonts w:ascii="Times New Roman" w:cs="Times New Roman" w:eastAsia="Times New Roman" w:hAnsi="Times New Roman"/>
          <w:sz w:val="14"/>
          <w:szCs w:val="14"/>
          <w:color w:val="auto"/>
        </w:rPr>
      </w:pPr>
    </w:p>
    <w:p>
      <w:pPr>
        <w:ind w:left="1700" w:right="1359" w:hanging="147"/>
        <w:spacing w:after="0" w:line="288" w:lineRule="auto"/>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subordination of any debt securities to other obligations of Viper Energy Partners or any guarantor (including other debt securities issued under the Indenture);</w:t>
      </w:r>
    </w:p>
    <w:p>
      <w:pPr>
        <w:spacing w:after="0" w:line="49" w:lineRule="exact"/>
        <w:rPr>
          <w:rFonts w:ascii="Times New Roman" w:cs="Times New Roman" w:eastAsia="Times New Roman" w:hAnsi="Times New Roman"/>
          <w:sz w:val="14"/>
          <w:szCs w:val="14"/>
          <w:color w:val="auto"/>
        </w:rPr>
      </w:pPr>
    </w:p>
    <w:p>
      <w:pPr>
        <w:ind w:left="1700" w:right="1299" w:hanging="147"/>
        <w:spacing w:after="0" w:line="281" w:lineRule="auto"/>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payment of principal of and premium, if any, and interest, if any, on any debt securities shall be without deduction for taxes, assessments or governmental charges paid by holders of such debt securities;</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8" w:name="page19"/>
    <w:bookmarkEnd w:id="18"/>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700" w:right="1299" w:hanging="147"/>
        <w:spacing w:after="0" w:line="260"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as applicable, that any debt securities shall be issuable in whole or in part in the form of one or more global securities and, in such case, the depositary or depositaries for such global security or global securities and any circumstances other than those set forth in the Base Indenture in which any such global security may be transferred to, and registered and exchanged for debt securities registered in the name of, a person other than the depositary for such global security or a nominee thereof and in which any such transfer may be registered;</w:t>
      </w:r>
    </w:p>
    <w:p>
      <w:pPr>
        <w:spacing w:after="0" w:line="70" w:lineRule="exact"/>
        <w:rPr>
          <w:rFonts w:ascii="Times New Roman" w:cs="Times New Roman" w:eastAsia="Times New Roman" w:hAnsi="Times New Roman"/>
          <w:sz w:val="14"/>
          <w:szCs w:val="14"/>
          <w:color w:val="auto"/>
        </w:rPr>
      </w:pPr>
    </w:p>
    <w:p>
      <w:pPr>
        <w:ind w:left="1700" w:right="1479" w:hanging="147"/>
        <w:spacing w:after="0" w:line="265"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under what circumstances Viper Energy Partners will pay additional amounts on any debt securities held by a person who is not a U.S. person in respect of any tax, assessment or governmental charge withheld or deducted and, if so, whether Viper Energy Partners will have the option to redeem the debt securities rather than pay such additional amounts;</w:t>
      </w:r>
    </w:p>
    <w:p>
      <w:pPr>
        <w:spacing w:after="0" w:line="55" w:lineRule="exact"/>
        <w:rPr>
          <w:rFonts w:ascii="Times New Roman" w:cs="Times New Roman" w:eastAsia="Times New Roman" w:hAnsi="Times New Roman"/>
          <w:sz w:val="14"/>
          <w:szCs w:val="14"/>
          <w:color w:val="auto"/>
        </w:rPr>
      </w:pPr>
    </w:p>
    <w:p>
      <w:pPr>
        <w:ind w:left="1700" w:right="1399" w:hanging="147"/>
        <w:spacing w:after="0" w:line="268"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debt securities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spacing w:after="0" w:line="226" w:lineRule="exact"/>
        <w:rPr>
          <w:rFonts w:ascii="Times New Roman" w:cs="Times New Roman" w:eastAsia="Times New Roman" w:hAnsi="Times New Roman"/>
          <w:sz w:val="14"/>
          <w:szCs w:val="14"/>
          <w:color w:val="auto"/>
        </w:rPr>
      </w:pPr>
    </w:p>
    <w:p>
      <w:pPr>
        <w:ind w:left="1700" w:right="1299" w:hanging="147"/>
        <w:spacing w:after="0" w:line="271"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debt securities are to be convertible into or exchangeable for common stock or any other security or property, including, without limitation, securities of another person held by Viper Energy Partners or its affiliates, and, if so, the terms thereof;</w:t>
      </w:r>
    </w:p>
    <w:p>
      <w:pPr>
        <w:spacing w:after="0" w:line="50" w:lineRule="exact"/>
        <w:rPr>
          <w:rFonts w:ascii="Times New Roman" w:cs="Times New Roman" w:eastAsia="Times New Roman" w:hAnsi="Times New Roman"/>
          <w:sz w:val="14"/>
          <w:szCs w:val="14"/>
          <w:color w:val="auto"/>
        </w:rPr>
      </w:pPr>
    </w:p>
    <w:p>
      <w:pPr>
        <w:ind w:left="1700" w:right="1399" w:hanging="147"/>
        <w:spacing w:after="0" w:line="265"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necessary to permit or facilitate the issuance, payment or conversion of any debt securities that may be converted into securities or other property other than debt securities of the same series and of like tenor, whether in addition to, or in lieu of, any payment of principal or other amount and whether at the option of Viper Energy Partners or otherwise;</w:t>
      </w:r>
    </w:p>
    <w:p>
      <w:pPr>
        <w:spacing w:after="0" w:line="65" w:lineRule="exact"/>
        <w:rPr>
          <w:rFonts w:ascii="Times New Roman" w:cs="Times New Roman" w:eastAsia="Times New Roman" w:hAnsi="Times New Roman"/>
          <w:sz w:val="14"/>
          <w:szCs w:val="14"/>
          <w:color w:val="auto"/>
        </w:rPr>
      </w:pPr>
    </w:p>
    <w:p>
      <w:pPr>
        <w:ind w:left="1700" w:right="1339" w:hanging="147"/>
        <w:spacing w:after="0" w:line="263"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debt securities will be guaranteed, and, if so, the terms and conditions of such guarantees, if such terms differ from those set forth in the Base Indenture, and the names of, or the method of determination or identification of, the guarantors, and any deletions from, or modifications or additions to, the provisions of the Base Indenture in connection with the guarantees of the debt securities of the series;</w:t>
      </w:r>
    </w:p>
    <w:p>
      <w:pPr>
        <w:spacing w:after="0" w:line="230"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Trustee, the identity of the initial security registrar and any initial paying agent; and</w:t>
      </w:r>
    </w:p>
    <w:p>
      <w:pPr>
        <w:spacing w:after="0" w:line="94"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and any guarantees of the debt securities.</w:t>
      </w:r>
    </w:p>
    <w:p>
      <w:pPr>
        <w:spacing w:after="0" w:line="126" w:lineRule="exact"/>
        <w:rPr>
          <w:sz w:val="20"/>
          <w:szCs w:val="20"/>
          <w:color w:val="auto"/>
        </w:rPr>
      </w:pPr>
    </w:p>
    <w:p>
      <w:pPr>
        <w:ind w:left="1260" w:right="1339" w:firstLine="284"/>
        <w:spacing w:after="0" w:line="258" w:lineRule="auto"/>
        <w:rPr>
          <w:sz w:val="20"/>
          <w:szCs w:val="20"/>
          <w:color w:val="auto"/>
        </w:rPr>
      </w:pPr>
      <w:r>
        <w:rPr>
          <w:rFonts w:ascii="Times New Roman" w:cs="Times New Roman" w:eastAsia="Times New Roman" w:hAnsi="Times New Roman"/>
          <w:sz w:val="14"/>
          <w:szCs w:val="14"/>
          <w:color w:val="auto"/>
        </w:rPr>
        <w:t>The debt securities may have the benefit of guarantees (each, a “guarantee”) by any of the registrants under this registration statement or any successor guarantor thereof if the guarantor of such existing guarantor is released at Viper Energy Partners’ option (collectively, a “parent guarantor”) and any existing or future subsidiary of Viper Energy (a “subsidiary guarantor”), specified as a “guarantor” ​(each, a “guarantor”) in the prospectus supplement for the series of such debt securities. Unless otherwise expressly stated or the context otherwise requires, as used in this section, the term “guaranteed debt securities” means debt securities that, as described in the prospectus supplement relating thereto, are guaranteed by one or more guarantors pursuant to the applicable supplemental indenture.</w:t>
      </w:r>
    </w:p>
    <w:p>
      <w:pPr>
        <w:spacing w:after="0" w:line="84" w:lineRule="exact"/>
        <w:rPr>
          <w:sz w:val="20"/>
          <w:szCs w:val="20"/>
          <w:color w:val="auto"/>
        </w:rPr>
      </w:pPr>
    </w:p>
    <w:p>
      <w:pPr>
        <w:ind w:left="1260" w:right="1499" w:firstLine="284"/>
        <w:spacing w:after="0" w:line="268" w:lineRule="auto"/>
        <w:rPr>
          <w:sz w:val="20"/>
          <w:szCs w:val="20"/>
          <w:color w:val="auto"/>
        </w:rPr>
      </w:pPr>
      <w:r>
        <w:rPr>
          <w:rFonts w:ascii="Times New Roman" w:cs="Times New Roman" w:eastAsia="Times New Roman" w:hAnsi="Times New Roman"/>
          <w:sz w:val="14"/>
          <w:szCs w:val="14"/>
          <w:color w:val="auto"/>
        </w:rPr>
        <w:t>Viper Energy Partners may issue debt securities at a discount from their stated principal amount. Federal income tax considerations and other special considerations applicable to any debt security issued with original issue discount (an “original issue discount security”) may be described in an applicable prospectus supplement.</w:t>
      </w:r>
    </w:p>
    <w:p>
      <w:pPr>
        <w:spacing w:after="0" w:line="259" w:lineRule="exact"/>
        <w:rPr>
          <w:sz w:val="20"/>
          <w:szCs w:val="20"/>
          <w:color w:val="auto"/>
        </w:rPr>
      </w:pPr>
    </w:p>
    <w:p>
      <w:pPr>
        <w:ind w:left="1260" w:right="1379" w:firstLine="284"/>
        <w:spacing w:after="0" w:line="262" w:lineRule="auto"/>
        <w:rPr>
          <w:sz w:val="20"/>
          <w:szCs w:val="20"/>
          <w:color w:val="auto"/>
        </w:rPr>
      </w:pPr>
      <w:r>
        <w:rPr>
          <w:rFonts w:ascii="Times New Roman" w:cs="Times New Roman" w:eastAsia="Times New Roman" w:hAnsi="Times New Roman"/>
          <w:sz w:val="14"/>
          <w:szCs w:val="14"/>
          <w:color w:val="auto"/>
        </w:rPr>
        <w:t>If the purchase price of any series of the debt securities is payable in a foreign currency or currency unit or if the principal of or any premium or interest on any series of the debt securities is payable in a foreign currency or currency unit, the restrictions, elections, general tax considerations, specific terms, and other information with respect to the debt securities and the applicable foreign currency or currency unit will be set forth in an applicable prospectus supplement.</w:t>
      </w:r>
    </w:p>
    <w:p>
      <w:pPr>
        <w:spacing w:after="0" w:line="8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Unless otherwise indicated in an applicable prospectus supplement:</w:t>
      </w:r>
    </w:p>
    <w:p>
      <w:pPr>
        <w:spacing w:after="0" w:line="94" w:lineRule="exact"/>
        <w:rPr>
          <w:sz w:val="20"/>
          <w:szCs w:val="20"/>
          <w:color w:val="auto"/>
        </w:rPr>
      </w:pPr>
    </w:p>
    <w:p>
      <w:pPr>
        <w:ind w:left="1700" w:right="1319" w:hanging="147"/>
        <w:spacing w:after="0" w:line="288"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debt securities will be issued only in fully registered form (without coupons) in denominations of $2,000 and any integral multiple of $1,000 in excess thereof; and</w:t>
      </w: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7">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9" w:name="page20"/>
    <w:bookmarkEnd w:id="19"/>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700" w:right="1399" w:hanging="147"/>
        <w:spacing w:after="0" w:line="260"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principal, premium, if any, and interest on the debt securities will be payable, and the exchange, conversion, and transfer of debt securities will be registrable, at Viper Energy Partners’ office or agency maintained for those purposes and at any other office or agency maintained for those purposes. No service charge will be made for any registration of transfer or exchange of the debt securities, but Viper Energy Partners may require payment of a sum sufficient to cover any tax or other governmental charge imposed in connection therewith.</w:t>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Form of Debt Securities</w:t>
      </w:r>
    </w:p>
    <w:p>
      <w:pPr>
        <w:spacing w:after="0" w:line="128" w:lineRule="exact"/>
        <w:rPr>
          <w:sz w:val="20"/>
          <w:szCs w:val="20"/>
          <w:color w:val="auto"/>
        </w:rPr>
      </w:pPr>
    </w:p>
    <w:p>
      <w:pPr>
        <w:ind w:left="1260" w:right="1299" w:firstLine="284"/>
        <w:spacing w:after="0" w:line="257" w:lineRule="auto"/>
        <w:rPr>
          <w:sz w:val="20"/>
          <w:szCs w:val="20"/>
          <w:color w:val="auto"/>
        </w:rPr>
      </w:pPr>
      <w:r>
        <w:rPr>
          <w:rFonts w:ascii="Times New Roman" w:cs="Times New Roman" w:eastAsia="Times New Roman" w:hAnsi="Times New Roman"/>
          <w:sz w:val="14"/>
          <w:szCs w:val="14"/>
          <w:color w:val="auto"/>
        </w:rPr>
        <w:t>Viper Energy Partners will issue each debt security only in registered form, without coupons, unless Viper Energy Partners specifies otherwise in the applicable prospectus supplement. In addition, Viper Energy Partners will issue each debt security in global (i.e., book-entry) form only, unless Viper Energy Partners specifies otherwise in the applicable prospectus supplement. Debt securities in book-entry form will be represented by a global security registered in the name of a depositary, which will be the holder of all the debt securities represented by the global security. Those who own beneficial interests in a global debt security will do so through participants in the depositary’s securities clearance system, and the rights of these indirect owners will be governed solely by the applicable procedures of the depositary and its participants. References to “holders” in this description mean those who own debt securities registered in their own names, on the books that Viper Energy Partners or the Trustee maintain for this purpose, and not those who own beneficial interests in debt securities registered in street name or in debt securities issued in book-entry form through one or more depositaries.</w:t>
      </w:r>
    </w:p>
    <w:p>
      <w:pPr>
        <w:spacing w:after="0" w:line="264" w:lineRule="exact"/>
        <w:rPr>
          <w:sz w:val="20"/>
          <w:szCs w:val="20"/>
          <w:color w:val="auto"/>
        </w:rPr>
      </w:pPr>
    </w:p>
    <w:p>
      <w:pPr>
        <w:ind w:left="1260" w:right="1359" w:firstLine="284"/>
        <w:spacing w:after="0" w:line="271"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the following is a summary of the depositary arrangements applicable to debt securities issued in global form and for which The Depository Trust Company (“DTC”) acts as depositary.</w:t>
      </w:r>
    </w:p>
    <w:p>
      <w:pPr>
        <w:spacing w:after="0" w:line="72" w:lineRule="exact"/>
        <w:rPr>
          <w:sz w:val="20"/>
          <w:szCs w:val="20"/>
          <w:color w:val="auto"/>
        </w:rPr>
      </w:pPr>
    </w:p>
    <w:p>
      <w:pPr>
        <w:jc w:val="both"/>
        <w:ind w:left="1260" w:right="1419" w:firstLine="284"/>
        <w:spacing w:after="0" w:line="271" w:lineRule="auto"/>
        <w:rPr>
          <w:sz w:val="20"/>
          <w:szCs w:val="20"/>
          <w:color w:val="auto"/>
        </w:rPr>
      </w:pPr>
      <w:r>
        <w:rPr>
          <w:rFonts w:ascii="Times New Roman" w:cs="Times New Roman" w:eastAsia="Times New Roman" w:hAnsi="Times New Roman"/>
          <w:sz w:val="14"/>
          <w:szCs w:val="14"/>
          <w:color w:val="auto"/>
        </w:rPr>
        <w:t>Each global debt security will be deposited with, or on behalf of, DTC, as depositary, or its nominee, and registered in the name of a nominee of DTC. Except under the limited circumstances described below, global debt securities are not exchangeable for definitive certificated debt securities.</w:t>
      </w:r>
    </w:p>
    <w:p>
      <w:pPr>
        <w:spacing w:after="0" w:line="82" w:lineRule="exact"/>
        <w:rPr>
          <w:sz w:val="20"/>
          <w:szCs w:val="20"/>
          <w:color w:val="auto"/>
        </w:rPr>
      </w:pPr>
    </w:p>
    <w:p>
      <w:pPr>
        <w:ind w:left="1260" w:right="1339" w:firstLine="284"/>
        <w:spacing w:after="0" w:line="262" w:lineRule="auto"/>
        <w:rPr>
          <w:sz w:val="20"/>
          <w:szCs w:val="20"/>
          <w:color w:val="auto"/>
        </w:rPr>
      </w:pPr>
      <w:r>
        <w:rPr>
          <w:rFonts w:ascii="Times New Roman" w:cs="Times New Roman" w:eastAsia="Times New Roman" w:hAnsi="Times New Roman"/>
          <w:sz w:val="14"/>
          <w:szCs w:val="14"/>
          <w:color w:val="auto"/>
        </w:rPr>
        <w:t>Ownership of beneficial interests in a global debt security is limited to institutions that have accounts with DTC or its nominee, or persons that may hold interests through those participants. In addition, ownership of beneficial interests by participants in a global debt security will be evidenced only by, and the transfer of that ownership interest will be effected only through, records maintained by DTC or its nominee for a global debt security.</w:t>
      </w:r>
    </w:p>
    <w:p>
      <w:pPr>
        <w:spacing w:after="0" w:line="89" w:lineRule="exact"/>
        <w:rPr>
          <w:sz w:val="20"/>
          <w:szCs w:val="20"/>
          <w:color w:val="auto"/>
        </w:rPr>
      </w:pPr>
    </w:p>
    <w:p>
      <w:pPr>
        <w:ind w:left="1260" w:right="1299" w:firstLine="284"/>
        <w:spacing w:after="0" w:line="258" w:lineRule="auto"/>
        <w:rPr>
          <w:sz w:val="20"/>
          <w:szCs w:val="20"/>
          <w:color w:val="auto"/>
        </w:rPr>
      </w:pPr>
      <w:r>
        <w:rPr>
          <w:rFonts w:ascii="Times New Roman" w:cs="Times New Roman" w:eastAsia="Times New Roman" w:hAnsi="Times New Roman"/>
          <w:sz w:val="14"/>
          <w:szCs w:val="14"/>
          <w:color w:val="auto"/>
        </w:rPr>
        <w:t>Ownership of beneficial interests in a global debt security by persons that hold those interests through participants will be evidenced only by, and the transfer of that ownership interest within that participant will be effected only through, records maintained by that participant. DTC has no knowledge of the actual beneficial owners of the debt securities. Beneficial owners will not receive written confirmation from DTC of their purchase, but beneficial owners are expected to receive written confirmations providing details of the transaction, as well as periodic statements of their holdings, from the participants through which the beneficial owners entered the transaction. The laws of some jurisdictions require that certain purchasers of securities take physical delivery of securities they purchase in definitive form. These laws may impair your ability to transfer beneficial interests in a global debt security.</w:t>
      </w:r>
    </w:p>
    <w:p>
      <w:pPr>
        <w:spacing w:after="0" w:line="81" w:lineRule="exact"/>
        <w:rPr>
          <w:sz w:val="20"/>
          <w:szCs w:val="20"/>
          <w:color w:val="auto"/>
        </w:rPr>
      </w:pPr>
    </w:p>
    <w:p>
      <w:pPr>
        <w:ind w:left="1260" w:right="1339" w:firstLine="284"/>
        <w:spacing w:after="0" w:line="257" w:lineRule="auto"/>
        <w:rPr>
          <w:sz w:val="20"/>
          <w:szCs w:val="20"/>
          <w:color w:val="auto"/>
        </w:rPr>
      </w:pPr>
      <w:r>
        <w:rPr>
          <w:rFonts w:ascii="Times New Roman" w:cs="Times New Roman" w:eastAsia="Times New Roman" w:hAnsi="Times New Roman"/>
          <w:sz w:val="14"/>
          <w:szCs w:val="14"/>
          <w:color w:val="auto"/>
        </w:rPr>
        <w:t>Viper Energy Partners will make payment of principal of, and interest and premium, if any, on, debt securities represented by a global debt security registered in the name of or held by DTC or its nominee to DTC or its nominee, as the case may be, as the registered owner and holder of the global debt security representing those debt securities. DTC has advised us that upon receipt of any payment of principal of, or interest and premium, if any, on, a global debt security, DTC will immediately credit accounts of participants on its book-entry registration and transfer system with payments in amounts proportionate to their respective interests in the principal amount of that global debt security, as shown in the records of DTC. Payments by participants to owners of beneficial interests in a global debt security held through those participants will be governed by standing instructions and customary practices, and will be the sole responsibility of those participants, subject to any statutory or regulatory requirements that may be in effect from time to time.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0" w:name="page21"/>
    <w:bookmarkEnd w:id="20"/>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299" w:firstLine="284"/>
        <w:spacing w:after="0" w:line="255" w:lineRule="auto"/>
        <w:rPr>
          <w:sz w:val="20"/>
          <w:szCs w:val="20"/>
          <w:color w:val="auto"/>
        </w:rPr>
      </w:pPr>
      <w:r>
        <w:rPr>
          <w:rFonts w:ascii="Times New Roman" w:cs="Times New Roman" w:eastAsia="Times New Roman" w:hAnsi="Times New Roman"/>
          <w:sz w:val="14"/>
          <w:szCs w:val="14"/>
          <w:color w:val="auto"/>
        </w:rPr>
        <w:t>None of Viper Energy Partners, Viper Energy, any other guarantor (if any), any trustee nor any of their respective agents will be responsible for any aspect of the records of DTC, any nominee or any participant relating to, or payments made on account of, beneficial interests in a global debt security or for maintaining, supervising or reviewing any of the records of DTC, any nominee or any participant relating to such beneficial interests.</w:t>
      </w:r>
    </w:p>
    <w:p>
      <w:pPr>
        <w:spacing w:after="0" w:line="252" w:lineRule="exact"/>
        <w:rPr>
          <w:sz w:val="20"/>
          <w:szCs w:val="20"/>
          <w:color w:val="auto"/>
        </w:rPr>
      </w:pPr>
    </w:p>
    <w:p>
      <w:pPr>
        <w:jc w:val="both"/>
        <w:ind w:left="1260" w:right="1379" w:firstLine="284"/>
        <w:spacing w:after="0" w:line="260" w:lineRule="auto"/>
        <w:rPr>
          <w:sz w:val="20"/>
          <w:szCs w:val="20"/>
          <w:color w:val="auto"/>
        </w:rPr>
      </w:pPr>
      <w:r>
        <w:rPr>
          <w:rFonts w:ascii="Times New Roman" w:cs="Times New Roman" w:eastAsia="Times New Roman" w:hAnsi="Times New Roman"/>
          <w:sz w:val="14"/>
          <w:szCs w:val="14"/>
          <w:color w:val="auto"/>
        </w:rPr>
        <w:t>A global debt security is exchangeable for definitive certificated debt securities registered in the name of, and a transfer of a global debt security may be registered to, any person other than DTC or its nominee, only if:</w:t>
      </w:r>
    </w:p>
    <w:p>
      <w:pPr>
        <w:spacing w:after="0" w:line="215" w:lineRule="exact"/>
        <w:rPr>
          <w:sz w:val="20"/>
          <w:szCs w:val="20"/>
          <w:color w:val="auto"/>
        </w:rPr>
      </w:pPr>
    </w:p>
    <w:p>
      <w:pPr>
        <w:ind w:left="1700" w:right="1439" w:hanging="147"/>
        <w:spacing w:after="0" w:line="271" w:lineRule="auto"/>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notifies us that it is unwilling, unable or no longer qualified to continue as depositary for that global security or has ceased to be a registered clearing agency and Viper Energy Partners has not appointed another institution to act as depositary within 90 days; or</w:t>
      </w:r>
    </w:p>
    <w:p>
      <w:pPr>
        <w:spacing w:after="0" w:line="50"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Viper Energy Partners notifies the Trustee that it wishes to exchange that global security in whole.</w:t>
      </w:r>
    </w:p>
    <w:p>
      <w:pPr>
        <w:spacing w:after="0" w:line="126" w:lineRule="exact"/>
        <w:rPr>
          <w:sz w:val="20"/>
          <w:szCs w:val="20"/>
          <w:color w:val="auto"/>
        </w:rPr>
      </w:pPr>
    </w:p>
    <w:p>
      <w:pPr>
        <w:ind w:left="1260" w:right="1299" w:firstLine="284"/>
        <w:spacing w:after="0" w:line="249" w:lineRule="auto"/>
        <w:rPr>
          <w:sz w:val="20"/>
          <w:szCs w:val="20"/>
          <w:color w:val="auto"/>
        </w:rPr>
      </w:pPr>
      <w:r>
        <w:rPr>
          <w:rFonts w:ascii="Times New Roman" w:cs="Times New Roman" w:eastAsia="Times New Roman" w:hAnsi="Times New Roman"/>
          <w:sz w:val="14"/>
          <w:szCs w:val="14"/>
          <w:color w:val="auto"/>
        </w:rPr>
        <w:t>Any global debt security that is exchangeable pursuant to the preceding sentence will be exchangeable in whole for definitive certificated debt securities in registered form, of like tenor and of an equal aggregate principal amount as the global debt security, in denominations specified in the applicable prospectus supplement, if other than $2,000 and multiples of $1,000. The definitive debt securities will be registered by the registrar in the name or names instructed by DTC. Viper Energy Partners and Viper Energy expect that these instructions may be based upon directions received by DTC from its participants with respect to ownership of beneficial interests in the global debt security.</w:t>
      </w:r>
    </w:p>
    <w:p>
      <w:pPr>
        <w:spacing w:after="0" w:line="86" w:lineRule="exact"/>
        <w:rPr>
          <w:sz w:val="20"/>
          <w:szCs w:val="20"/>
          <w:color w:val="auto"/>
        </w:rPr>
      </w:pPr>
    </w:p>
    <w:p>
      <w:pPr>
        <w:ind w:left="1260" w:right="1319" w:firstLine="284"/>
        <w:spacing w:after="0" w:line="247" w:lineRule="auto"/>
        <w:rPr>
          <w:sz w:val="20"/>
          <w:szCs w:val="20"/>
          <w:color w:val="auto"/>
        </w:rPr>
      </w:pPr>
      <w:r>
        <w:rPr>
          <w:rFonts w:ascii="Times New Roman" w:cs="Times New Roman" w:eastAsia="Times New Roman" w:hAnsi="Times New Roman"/>
          <w:sz w:val="14"/>
          <w:szCs w:val="14"/>
          <w:color w:val="auto"/>
        </w:rPr>
        <w:t>Except as provided above or in the applicable prospectus supplement, owners of the beneficial interests in a global debt security will not be entitled to receive physical delivery of debt securities in definitive certificated form and will not be considered the holders of debt securities for any purpose under the Indenture. Except as provided above, no global debt security shall be exchangeable except for another global debt security of like denomination and tenor to be registered in the name of DTC or its nominee. Accordingly, each person owning a beneficial interest in a global debt security must rely on the procedures of DTC and, if that person is not a participant, on the procedures of the participant through which that person owns its interest, to exercise any rights of a holder under the global debt security or the Indenture.</w:t>
      </w:r>
    </w:p>
    <w:p>
      <w:pPr>
        <w:spacing w:after="0" w:line="90" w:lineRule="exact"/>
        <w:rPr>
          <w:sz w:val="20"/>
          <w:szCs w:val="20"/>
          <w:color w:val="auto"/>
        </w:rPr>
      </w:pPr>
    </w:p>
    <w:p>
      <w:pPr>
        <w:ind w:left="1260" w:right="1299" w:firstLine="284"/>
        <w:spacing w:after="0" w:line="251" w:lineRule="auto"/>
        <w:rPr>
          <w:sz w:val="20"/>
          <w:szCs w:val="20"/>
          <w:color w:val="auto"/>
        </w:rPr>
      </w:pPr>
      <w:r>
        <w:rPr>
          <w:rFonts w:ascii="Times New Roman" w:cs="Times New Roman" w:eastAsia="Times New Roman" w:hAnsi="Times New Roman"/>
          <w:sz w:val="14"/>
          <w:szCs w:val="14"/>
          <w:color w:val="auto"/>
        </w:rPr>
        <w:t>Viper Energy Partners and Viper Energy understand that, under existing industry practices, in the event that Viper Energy Partners may request any action of holders, or an owner of a beneficial interest in a global debt security desires to take any action that a holder is entitled to take under the debt securities or the Indenture, DTC would authorize the participants holding the relevant beneficial interests to take that action. Additionally, those participants would authorize beneficial owners owning through those participants to take that action or would otherwise act upon the instructions of beneficial owners owning through them.</w:t>
      </w:r>
    </w:p>
    <w:p>
      <w:pPr>
        <w:spacing w:after="0" w:line="86" w:lineRule="exact"/>
        <w:rPr>
          <w:sz w:val="20"/>
          <w:szCs w:val="20"/>
          <w:color w:val="auto"/>
        </w:rPr>
      </w:pPr>
    </w:p>
    <w:p>
      <w:pPr>
        <w:ind w:left="1260" w:right="1319" w:firstLine="284"/>
        <w:spacing w:after="0" w:line="244" w:lineRule="auto"/>
        <w:rPr>
          <w:sz w:val="20"/>
          <w:szCs w:val="20"/>
          <w:color w:val="auto"/>
        </w:rPr>
      </w:pPr>
      <w:r>
        <w:rPr>
          <w:rFonts w:ascii="Times New Roman" w:cs="Times New Roman" w:eastAsia="Times New Roman" w:hAnsi="Times New Roman"/>
          <w:sz w:val="14"/>
          <w:szCs w:val="14"/>
          <w:color w:val="auto"/>
        </w:rPr>
        <w:t>DTC has advised us that it is a limited- 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under the Exchange Act. DTC was created to hold securities of its participants and to facilitate the clearance and settlement of transactions among its participants in securities through electronic book-entry changes in accounts of the participants. By doing so, DTC eliminates the need for physical movement of securities certificates. DTC’s participants include securities brokers and dealers, banks, trust companies, clearing corporations, and certain other organizations. DTC is owned by a number of its participants and by the New York Stock Exchange, Inc. and NYSE Amex Equities.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200" w:lineRule="exact"/>
        <w:rPr>
          <w:sz w:val="20"/>
          <w:szCs w:val="20"/>
          <w:color w:val="auto"/>
        </w:rPr>
      </w:pPr>
    </w:p>
    <w:p>
      <w:pPr>
        <w:spacing w:after="0" w:line="223" w:lineRule="exact"/>
        <w:rPr>
          <w:sz w:val="20"/>
          <w:szCs w:val="20"/>
          <w:color w:val="auto"/>
        </w:rPr>
      </w:pPr>
    </w:p>
    <w:p>
      <w:pPr>
        <w:ind w:left="1260" w:right="1439" w:firstLine="284"/>
        <w:spacing w:after="0" w:line="254" w:lineRule="auto"/>
        <w:rPr>
          <w:sz w:val="20"/>
          <w:szCs w:val="20"/>
          <w:color w:val="auto"/>
        </w:rPr>
      </w:pPr>
      <w:r>
        <w:rPr>
          <w:rFonts w:ascii="Times New Roman" w:cs="Times New Roman" w:eastAsia="Times New Roman" w:hAnsi="Times New Roman"/>
          <w:sz w:val="14"/>
          <w:szCs w:val="14"/>
          <w:color w:val="auto"/>
        </w:rPr>
        <w:t>Investors may hold interests in the debt securities outside the United States of America through the Euroclear System (“Euroclear”) or Clearstream Banking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w:t>
      </w: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205105</wp:posOffset>
            </wp:positionV>
            <wp:extent cx="538988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1" w:name="page22"/>
    <w:bookmarkEnd w:id="21"/>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319"/>
        <w:spacing w:after="0" w:line="263" w:lineRule="auto"/>
        <w:rPr>
          <w:sz w:val="20"/>
          <w:szCs w:val="20"/>
          <w:color w:val="auto"/>
        </w:rPr>
      </w:pPr>
      <w:r>
        <w:rPr>
          <w:rFonts w:ascii="Times New Roman" w:cs="Times New Roman" w:eastAsia="Times New Roman" w:hAnsi="Times New Roman"/>
          <w:sz w:val="14"/>
          <w:szCs w:val="14"/>
          <w:color w:val="auto"/>
        </w:rPr>
        <w:t>such interests in customers’ securities accounts in the depositaries’ names on the books of DTC. All securities in Euroclear or Clearstream are held on a fungible basis without attribution of specific certificates to specific securities clearance accounts.</w:t>
      </w:r>
    </w:p>
    <w:p>
      <w:pPr>
        <w:spacing w:after="0" w:line="77" w:lineRule="exact"/>
        <w:rPr>
          <w:sz w:val="20"/>
          <w:szCs w:val="20"/>
          <w:color w:val="auto"/>
        </w:rPr>
      </w:pPr>
    </w:p>
    <w:p>
      <w:pPr>
        <w:ind w:left="1260" w:right="1299" w:firstLine="284"/>
        <w:spacing w:after="0" w:line="254" w:lineRule="auto"/>
        <w:rPr>
          <w:sz w:val="20"/>
          <w:szCs w:val="20"/>
          <w:color w:val="auto"/>
        </w:rPr>
      </w:pPr>
      <w:r>
        <w:rPr>
          <w:rFonts w:ascii="Times New Roman" w:cs="Times New Roman" w:eastAsia="Times New Roman" w:hAnsi="Times New Roman"/>
          <w:sz w:val="14"/>
          <w:szCs w:val="14"/>
          <w:color w:val="auto"/>
        </w:rPr>
        <w:t>Euroclear advises that it was created in 1968 to hold securities for participants of Euroclear (“Euroclear Participants”) and to clear and settle transactions between Euroclear Participants through simultaneous electronic book -entry delivery against payment, thereby eliminating the need for physical movement of certificates and any risk from lack of simultaneous transfers of securities and cash.</w:t>
      </w:r>
    </w:p>
    <w:p>
      <w:pPr>
        <w:spacing w:after="0" w:line="85" w:lineRule="exact"/>
        <w:rPr>
          <w:sz w:val="20"/>
          <w:szCs w:val="20"/>
          <w:color w:val="auto"/>
        </w:rPr>
      </w:pPr>
    </w:p>
    <w:p>
      <w:pPr>
        <w:ind w:left="1260" w:right="1279" w:firstLine="284"/>
        <w:spacing w:after="0" w:line="247" w:lineRule="auto"/>
        <w:rPr>
          <w:sz w:val="20"/>
          <w:szCs w:val="20"/>
          <w:color w:val="auto"/>
        </w:rPr>
      </w:pPr>
      <w:r>
        <w:rPr>
          <w:rFonts w:ascii="Times New Roman" w:cs="Times New Roman" w:eastAsia="Times New Roman" w:hAnsi="Times New Roman"/>
          <w:sz w:val="14"/>
          <w:szCs w:val="14"/>
          <w:color w:val="auto"/>
        </w:rPr>
        <w:t>Euroclear includes various other services, including securities lending and borrowing and interfaces with domestic markets in several countries. Euroclear is operated by the Euroclear S.A./N.V. (the “Euroclear Operator”), under contract with Euroclear Clearance Systems S.C., a Belgian cooperative corporation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underwriters of debt securities offered by this prospectus. Indirect access to Euroclear is also available to other firms that clear through or maintain a custodial relationship with a Euroclear Participant, either directly or indirectly.</w:t>
      </w:r>
    </w:p>
    <w:p>
      <w:pPr>
        <w:spacing w:after="0" w:line="88" w:lineRule="exact"/>
        <w:rPr>
          <w:sz w:val="20"/>
          <w:szCs w:val="20"/>
          <w:color w:val="auto"/>
        </w:rPr>
      </w:pPr>
    </w:p>
    <w:p>
      <w:pPr>
        <w:ind w:left="1260" w:right="1299" w:firstLine="284"/>
        <w:spacing w:after="0" w:line="246" w:lineRule="auto"/>
        <w:rPr>
          <w:sz w:val="20"/>
          <w:szCs w:val="20"/>
          <w:color w:val="auto"/>
        </w:rPr>
      </w:pPr>
      <w:r>
        <w:rPr>
          <w:rFonts w:ascii="Times New Roman" w:cs="Times New Roman" w:eastAsia="Times New Roman" w:hAnsi="Times New Roman"/>
          <w:sz w:val="14"/>
          <w:szCs w:val="14"/>
          <w:color w:val="auto"/>
        </w:rPr>
        <w:t>Securities clearance accounts and cash accounts with the Euroclear Operator are governed by the Terms and Conditions Governing Use of Euroclear, the related Operating Procedures of the Euroclear System, and applicable Belgian law (collectively, the “Terms and Conditions”). The Terms and Conditions govern transfers of securities and cash within Euroclear, withdrawals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255" w:lineRule="exact"/>
        <w:rPr>
          <w:sz w:val="20"/>
          <w:szCs w:val="20"/>
          <w:color w:val="auto"/>
        </w:rPr>
      </w:pPr>
    </w:p>
    <w:p>
      <w:pPr>
        <w:jc w:val="both"/>
        <w:ind w:left="1260" w:right="1339" w:firstLine="284"/>
        <w:spacing w:after="0" w:line="263" w:lineRule="auto"/>
        <w:rPr>
          <w:sz w:val="20"/>
          <w:szCs w:val="20"/>
          <w:color w:val="auto"/>
        </w:rPr>
      </w:pPr>
      <w:r>
        <w:rPr>
          <w:rFonts w:ascii="Times New Roman" w:cs="Times New Roman" w:eastAsia="Times New Roman" w:hAnsi="Times New Roman"/>
          <w:sz w:val="14"/>
          <w:szCs w:val="14"/>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77" w:lineRule="exact"/>
        <w:rPr>
          <w:sz w:val="20"/>
          <w:szCs w:val="20"/>
          <w:color w:val="auto"/>
        </w:rPr>
      </w:pPr>
    </w:p>
    <w:p>
      <w:pPr>
        <w:ind w:left="1260" w:right="1299" w:firstLine="284"/>
        <w:spacing w:after="0" w:line="256" w:lineRule="auto"/>
        <w:rPr>
          <w:sz w:val="20"/>
          <w:szCs w:val="20"/>
          <w:color w:val="auto"/>
        </w:rPr>
      </w:pPr>
      <w:r>
        <w:rPr>
          <w:rFonts w:ascii="Times New Roman" w:cs="Times New Roman" w:eastAsia="Times New Roman" w:hAnsi="Times New Roman"/>
          <w:sz w:val="14"/>
          <w:szCs w:val="14"/>
          <w:color w:val="auto"/>
        </w:rPr>
        <w:t>Clearstream advises that it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Monetary Institute. Clearstream Participants are recognized financial institutions around the world, including agents, securities brokers and dealers, banks, trust companies, clearing corporations, and certain other organizations and may include underwriters of debt securities offered by this prospectus. Indirect access to Clearstream is also available to others, such as banks, brokers, dealers, and trust companies that clear through or maintain a custodial relationship with a Clearstream Participant either directly or indirectly.</w:t>
      </w:r>
    </w:p>
    <w:p>
      <w:pPr>
        <w:spacing w:after="0" w:line="98" w:lineRule="exact"/>
        <w:rPr>
          <w:sz w:val="20"/>
          <w:szCs w:val="20"/>
          <w:color w:val="auto"/>
        </w:rPr>
      </w:pPr>
    </w:p>
    <w:p>
      <w:pPr>
        <w:ind w:left="1260" w:right="1299" w:firstLine="284"/>
        <w:spacing w:after="0" w:line="271" w:lineRule="auto"/>
        <w:rPr>
          <w:sz w:val="20"/>
          <w:szCs w:val="20"/>
          <w:color w:val="auto"/>
        </w:rPr>
      </w:pPr>
      <w:r>
        <w:rPr>
          <w:rFonts w:ascii="Times New Roman" w:cs="Times New Roman" w:eastAsia="Times New Roman" w:hAnsi="Times New Roman"/>
          <w:sz w:val="14"/>
          <w:szCs w:val="14"/>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72" w:lineRule="exact"/>
        <w:rPr>
          <w:sz w:val="20"/>
          <w:szCs w:val="20"/>
          <w:color w:val="auto"/>
        </w:rPr>
      </w:pPr>
    </w:p>
    <w:p>
      <w:pPr>
        <w:ind w:left="1260" w:right="1399" w:firstLine="284"/>
        <w:spacing w:after="0" w:line="260" w:lineRule="auto"/>
        <w:rPr>
          <w:sz w:val="20"/>
          <w:szCs w:val="20"/>
          <w:color w:val="auto"/>
        </w:rPr>
      </w:pPr>
      <w:r>
        <w:rPr>
          <w:rFonts w:ascii="Times New Roman" w:cs="Times New Roman" w:eastAsia="Times New Roman" w:hAnsi="Times New Roman"/>
          <w:sz w:val="14"/>
          <w:szCs w:val="14"/>
          <w:color w:val="auto"/>
        </w:rPr>
        <w:t>Viper Energy Partners and Viper Energy have provided the descriptions herein of the operations and procedures of DTC, Euroclear and Clearstream solely as a matter of convenience. These operations and procedures are solely within the control of DTC, Euroclear and Clearstream and are subject to change by them from time to time. Viper Energy Partners and Viper Energy believe that the sources from which the information in this section and elsewhere in this prospectus concerning DTC, Euroclear, Euroclear SA/NV, Euroclear Clearance Systems S.C., Euroclear’s system. Clearstream and Clearstream’s system has been</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0">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2" w:name="page23"/>
    <w:bookmarkEnd w:id="22"/>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599"/>
        <w:spacing w:after="0" w:line="288" w:lineRule="auto"/>
        <w:rPr>
          <w:sz w:val="20"/>
          <w:szCs w:val="20"/>
          <w:color w:val="auto"/>
        </w:rPr>
      </w:pPr>
      <w:r>
        <w:rPr>
          <w:rFonts w:ascii="Times New Roman" w:cs="Times New Roman" w:eastAsia="Times New Roman" w:hAnsi="Times New Roman"/>
          <w:sz w:val="14"/>
          <w:szCs w:val="14"/>
          <w:color w:val="auto"/>
        </w:rPr>
        <w:t>obtained are reliable, but neither Viper Energy Partners, Viper Energy, any underwriters nor the Trustee takes any responsibility for the accuracy of the information.</w:t>
      </w:r>
    </w:p>
    <w:p>
      <w:pPr>
        <w:spacing w:after="0" w:line="60" w:lineRule="exact"/>
        <w:rPr>
          <w:sz w:val="20"/>
          <w:szCs w:val="20"/>
          <w:color w:val="auto"/>
        </w:rPr>
      </w:pPr>
    </w:p>
    <w:p>
      <w:pPr>
        <w:ind w:left="1260" w:right="1439" w:firstLine="284"/>
        <w:spacing w:after="0" w:line="248" w:lineRule="auto"/>
        <w:rPr>
          <w:sz w:val="20"/>
          <w:szCs w:val="20"/>
          <w:color w:val="auto"/>
        </w:rPr>
      </w:pPr>
      <w:r>
        <w:rPr>
          <w:rFonts w:ascii="Times New Roman" w:cs="Times New Roman" w:eastAsia="Times New Roman" w:hAnsi="Times New Roman"/>
          <w:sz w:val="14"/>
          <w:szCs w:val="14"/>
          <w:color w:val="auto"/>
        </w:rPr>
        <w:t>Initial settlement for the securities will be made in immediately available funds. Secondary market trading between DTC participants will occur in the ordinary way in accordance with DTC’s rules and will be settled in immediately available funds. Secondary market trading between Euroclear participants and Clearstream participants will occur in the ordinary way in accordance with the applicable rules and operating procedures of Euroclear and Clearstream, as applicable, and will be settled using the procedures applicable to conventional eurobonds in immediately available funds.</w:t>
      </w:r>
    </w:p>
    <w:p>
      <w:pPr>
        <w:spacing w:after="0" w:line="87" w:lineRule="exact"/>
        <w:rPr>
          <w:sz w:val="20"/>
          <w:szCs w:val="20"/>
          <w:color w:val="auto"/>
        </w:rPr>
      </w:pPr>
    </w:p>
    <w:p>
      <w:pPr>
        <w:ind w:left="1260" w:right="1299" w:firstLine="284"/>
        <w:spacing w:after="0" w:line="247" w:lineRule="auto"/>
        <w:rPr>
          <w:sz w:val="20"/>
          <w:szCs w:val="20"/>
          <w:color w:val="auto"/>
        </w:rPr>
      </w:pPr>
      <w:r>
        <w:rPr>
          <w:rFonts w:ascii="Times New Roman" w:cs="Times New Roman" w:eastAsia="Times New Roman" w:hAnsi="Times New Roman"/>
          <w:sz w:val="14"/>
          <w:szCs w:val="14"/>
          <w:color w:val="auto"/>
        </w:rPr>
        <w:t>Cross-market transfers between persons holding directly or indirectly through DTC, on the one hand, and directly or indirectly through Euroclear or Clearstream participants, on the other, will be effected within DTC in accordance with DTC’s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securities in DTC, and making or receiving payment in accordance with normal procedures for same-day funds settlement applicable to DTC. Euroclear participants and Clearstream participants may not deliver instructions directly to their respective U.S. depositaries.</w:t>
      </w:r>
    </w:p>
    <w:p>
      <w:pPr>
        <w:spacing w:after="0" w:line="258" w:lineRule="exact"/>
        <w:rPr>
          <w:sz w:val="20"/>
          <w:szCs w:val="20"/>
          <w:color w:val="auto"/>
        </w:rPr>
      </w:pPr>
    </w:p>
    <w:p>
      <w:pPr>
        <w:ind w:left="1260" w:right="1319" w:firstLine="284"/>
        <w:spacing w:after="0" w:line="247" w:lineRule="auto"/>
        <w:rPr>
          <w:sz w:val="20"/>
          <w:szCs w:val="20"/>
          <w:color w:val="auto"/>
        </w:rPr>
      </w:pPr>
      <w:r>
        <w:rPr>
          <w:rFonts w:ascii="Times New Roman" w:cs="Times New Roman" w:eastAsia="Times New Roman" w:hAnsi="Times New Roman"/>
          <w:sz w:val="14"/>
          <w:szCs w:val="14"/>
          <w:color w:val="auto"/>
        </w:rPr>
        <w:t>Because of time -zone differences, credits of securities received in Euroclear or Clearstream as a result of a transaction with a DTC participant will be made during subsequent securities settlement processing and dated the business day following the DTC settlement date. Such credits, or any transactions in securities settled during such processing, will be reported to the relevant Euroclear participants or Clearstream participants on the following business day. Cash received in Euroclear or Clearstream as a result of sales of debt securities by or through a Euroclear participant or a Clearstream participant to a DTC participant will be received with value on the business day of settlement in DTC but will be available in the relevant Euroclear or Clearstream cash account only as of the business day following settlement in DTC.</w:t>
      </w:r>
    </w:p>
    <w:p>
      <w:pPr>
        <w:spacing w:after="0" w:line="90" w:lineRule="exact"/>
        <w:rPr>
          <w:sz w:val="20"/>
          <w:szCs w:val="20"/>
          <w:color w:val="auto"/>
        </w:rPr>
      </w:pPr>
    </w:p>
    <w:p>
      <w:pPr>
        <w:ind w:left="1260" w:right="1479" w:firstLine="284"/>
        <w:spacing w:after="0" w:line="256" w:lineRule="auto"/>
        <w:rPr>
          <w:sz w:val="20"/>
          <w:szCs w:val="20"/>
          <w:color w:val="auto"/>
        </w:rPr>
      </w:pPr>
      <w:r>
        <w:rPr>
          <w:rFonts w:ascii="Times New Roman" w:cs="Times New Roman" w:eastAsia="Times New Roman" w:hAnsi="Times New Roman"/>
          <w:sz w:val="14"/>
          <w:szCs w:val="14"/>
          <w:color w:val="auto"/>
        </w:rPr>
        <w:t>Although DTC, Euroclear and Clearstream have agreed to the foregoing procedures in order to facilitate transfers of securities among participants of DTC, Euroclear and Clearstream, they are under no obligation to perform or continue to perform such procedures and they may discontinue the procedures at any time.</w:t>
      </w:r>
    </w:p>
    <w:p>
      <w:pPr>
        <w:spacing w:after="0" w:line="3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Certain Covenants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Maintenance of Office or Agency</w:t>
      </w:r>
    </w:p>
    <w:p>
      <w:pPr>
        <w:spacing w:after="0" w:line="128" w:lineRule="exact"/>
        <w:rPr>
          <w:sz w:val="20"/>
          <w:szCs w:val="20"/>
          <w:color w:val="auto"/>
        </w:rPr>
      </w:pPr>
    </w:p>
    <w:p>
      <w:pPr>
        <w:ind w:left="1260" w:right="1319" w:firstLine="284"/>
        <w:spacing w:after="0" w:line="249" w:lineRule="auto"/>
        <w:rPr>
          <w:sz w:val="20"/>
          <w:szCs w:val="20"/>
          <w:color w:val="auto"/>
        </w:rPr>
      </w:pPr>
      <w:r>
        <w:rPr>
          <w:rFonts w:ascii="Times New Roman" w:cs="Times New Roman" w:eastAsia="Times New Roman" w:hAnsi="Times New Roman"/>
          <w:sz w:val="14"/>
          <w:szCs w:val="14"/>
          <w:color w:val="auto"/>
        </w:rPr>
        <w:t>Viper Energy Partners will be required to maintain an office or agency in each place of payment for each series of debt securities, for notice and demand purposes and for the purposes of presenting or surrendering debt securities for payment, registration of transfer, conversion or exchange. Unless we inform you otherwise in a prospectus supplement, we have designated the Trustee as our paying agent for payments on debt securities issued under the Indentures. We may at any time designate additional or alternative paying agents, including Viper Energy Partners or an affiliate thereof, or rescind the designation of any paying agent or approve a change in the office through which any paying agent acts.</w:t>
      </w:r>
    </w:p>
    <w:p>
      <w:pPr>
        <w:spacing w:after="0" w:line="1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Paying Agents, etc.</w:t>
      </w:r>
    </w:p>
    <w:p>
      <w:pPr>
        <w:spacing w:after="0" w:line="128" w:lineRule="exact"/>
        <w:rPr>
          <w:sz w:val="20"/>
          <w:szCs w:val="20"/>
          <w:color w:val="auto"/>
        </w:rPr>
      </w:pPr>
    </w:p>
    <w:p>
      <w:pPr>
        <w:ind w:left="1260" w:right="1319" w:firstLine="284"/>
        <w:spacing w:after="0" w:line="247" w:lineRule="auto"/>
        <w:rPr>
          <w:sz w:val="20"/>
          <w:szCs w:val="20"/>
          <w:color w:val="auto"/>
        </w:rPr>
      </w:pPr>
      <w:r>
        <w:rPr>
          <w:rFonts w:ascii="Times New Roman" w:cs="Times New Roman" w:eastAsia="Times New Roman" w:hAnsi="Times New Roman"/>
          <w:sz w:val="14"/>
          <w:szCs w:val="14"/>
          <w:color w:val="auto"/>
        </w:rPr>
        <w:t>If Viper Energy Partners acts as its own paying agent with respect to any series of debt securities, on or before each due date of the principal of or any premium or interest on any of the debt securities of that series, Viper Energy Partners will be required to segregate and hold in trust for the benefit of the persons entitled to such payment a sum sufficient to pay the amount due until such sum is paid to such persons or otherwise disposed of as provided in the Indenture and to notify the Trustee promptly in writing of Viper Energy Partners’ action or failure to act. If Viper Energy Partners has one or more paying agents for any series of debt securities, on each due date of the principal of or any premium or interest on any debt securities of that series, Viper Energy Partners will be required to deposit with a paying agent a sum sufficient to pay the amount due and, unless the paying agent is the Trustee, to promptly notify the Trustee in writing of Viper</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1">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3" w:name="page24"/>
    <w:bookmarkEnd w:id="23"/>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319"/>
        <w:spacing w:after="0" w:line="254" w:lineRule="auto"/>
        <w:rPr>
          <w:sz w:val="20"/>
          <w:szCs w:val="20"/>
          <w:color w:val="auto"/>
        </w:rPr>
      </w:pPr>
      <w:r>
        <w:rPr>
          <w:rFonts w:ascii="Times New Roman" w:cs="Times New Roman" w:eastAsia="Times New Roman" w:hAnsi="Times New Roman"/>
          <w:sz w:val="14"/>
          <w:szCs w:val="14"/>
          <w:color w:val="auto"/>
        </w:rPr>
        <w:t>Energy Partners’ action or failure to act. Any money deposited with a paying agent or the Trustee for the payment of the principal of or any premium or interest on any debt securities that remains unclaimed for two years after the principal or any premium or interest has become due and payable may be repaid to Viper Energy Partners, subject to applicable escheatment laws, and thereafter the holder of those debt securities may look only to Viper Energy Partners for payment thereof.</w:t>
      </w:r>
    </w:p>
    <w:p>
      <w:pPr>
        <w:spacing w:after="0" w:line="1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Issuer Consolidation, Merger, Sale, Conveyance, Transfer or Lease</w:t>
      </w:r>
    </w:p>
    <w:p>
      <w:pPr>
        <w:spacing w:after="0" w:line="128" w:lineRule="exact"/>
        <w:rPr>
          <w:sz w:val="20"/>
          <w:szCs w:val="20"/>
          <w:color w:val="auto"/>
        </w:rPr>
      </w:pPr>
    </w:p>
    <w:p>
      <w:pPr>
        <w:ind w:left="1260" w:right="1519" w:firstLine="284"/>
        <w:spacing w:after="0" w:line="255" w:lineRule="auto"/>
        <w:rPr>
          <w:sz w:val="20"/>
          <w:szCs w:val="20"/>
          <w:color w:val="auto"/>
        </w:rPr>
      </w:pPr>
      <w:r>
        <w:rPr>
          <w:rFonts w:ascii="Times New Roman" w:cs="Times New Roman" w:eastAsia="Times New Roman" w:hAnsi="Times New Roman"/>
          <w:sz w:val="14"/>
          <w:szCs w:val="14"/>
          <w:color w:val="auto"/>
        </w:rPr>
        <w:t>Viper Energy Partners will not, in a single transaction or a series of related transactions, consolidate with or merge with or into, or sell, convey, transfer or lease all or substantially all of its properties and assets on a consolidated basis to, any person, unless:</w:t>
      </w:r>
    </w:p>
    <w:p>
      <w:pPr>
        <w:spacing w:after="0" w:line="83" w:lineRule="exact"/>
        <w:rPr>
          <w:sz w:val="20"/>
          <w:szCs w:val="20"/>
          <w:color w:val="auto"/>
        </w:rPr>
      </w:pPr>
    </w:p>
    <w:p>
      <w:pPr>
        <w:ind w:left="1560" w:right="1299" w:firstLine="277"/>
        <w:spacing w:after="0" w:line="263" w:lineRule="auto"/>
        <w:tabs>
          <w:tab w:leader="none" w:pos="213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resulting, surviving or transferee person (the “Successor Company”) will be a corporation, limited liability company, partnership, trust or other entity organized and validly existing under the laws of the United States of America, any State thereof or the District of Columbia;</w:t>
      </w:r>
    </w:p>
    <w:p>
      <w:pPr>
        <w:spacing w:after="0" w:line="77" w:lineRule="exact"/>
        <w:rPr>
          <w:rFonts w:ascii="Times New Roman" w:cs="Times New Roman" w:eastAsia="Times New Roman" w:hAnsi="Times New Roman"/>
          <w:sz w:val="14"/>
          <w:szCs w:val="14"/>
          <w:color w:val="auto"/>
        </w:rPr>
      </w:pPr>
    </w:p>
    <w:p>
      <w:pPr>
        <w:ind w:left="1560" w:right="1319" w:firstLine="277"/>
        <w:spacing w:after="0" w:line="251" w:lineRule="auto"/>
        <w:tabs>
          <w:tab w:leader="none" w:pos="213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Company (if not Viper Energy Partners) will expressly assume, by supplemental indenture, executed and delivered to the Trustee, in form reasonably satisfactory to the Trustee, the due and punctual payment of the principal of and any premium and interest on all the debt securities and the performance or observance of every covenant of the Indenture on the part of Viper Energy Partners to be performed or observed and, for each debt security that by its terms provides for conversion, shall have provided for the right to convert such debt security in accordance with its terms;</w:t>
      </w:r>
    </w:p>
    <w:p>
      <w:pPr>
        <w:spacing w:after="0" w:line="85" w:lineRule="exact"/>
        <w:rPr>
          <w:rFonts w:ascii="Times New Roman" w:cs="Times New Roman" w:eastAsia="Times New Roman" w:hAnsi="Times New Roman"/>
          <w:sz w:val="14"/>
          <w:szCs w:val="14"/>
          <w:color w:val="auto"/>
        </w:rPr>
      </w:pPr>
    </w:p>
    <w:p>
      <w:pPr>
        <w:ind w:left="1560" w:right="1479" w:firstLine="277"/>
        <w:spacing w:after="0" w:line="250" w:lineRule="auto"/>
        <w:tabs>
          <w:tab w:leader="none" w:pos="213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such transaction and treating any indebtedness that becomes an obligation of Viper Energy Partners or any subsidiary as a result of such transaction as having been incurred by Viper Energy Partners or such subsidiary at the time of such transaction, no event of default, and no event which, after notice or lapse of time or both, would become an event of default, shall have occurred and be continuing; and</w:t>
      </w:r>
    </w:p>
    <w:p>
      <w:pPr>
        <w:spacing w:after="0" w:line="87" w:lineRule="exact"/>
        <w:rPr>
          <w:rFonts w:ascii="Times New Roman" w:cs="Times New Roman" w:eastAsia="Times New Roman" w:hAnsi="Times New Roman"/>
          <w:sz w:val="14"/>
          <w:szCs w:val="14"/>
          <w:color w:val="auto"/>
        </w:rPr>
      </w:pPr>
    </w:p>
    <w:p>
      <w:pPr>
        <w:ind w:left="1560" w:right="1439" w:firstLine="277"/>
        <w:spacing w:after="0" w:line="250" w:lineRule="auto"/>
        <w:tabs>
          <w:tab w:leader="none" w:pos="213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Viper Energy Partners has delivered to the Trustee an officer’s certificate and an opinion of counsel, each stating that such consolidation, merger, sale, conveyance, transfer or lease and, if a supplemental indenture is required in connection with such transaction, such supplemental indenture, comply with this covenant and that all conditions precedent provided for in the Indenture relating to such transaction have been complied with.</w:t>
      </w:r>
    </w:p>
    <w:p>
      <w:pPr>
        <w:spacing w:after="0" w:line="87" w:lineRule="exact"/>
        <w:rPr>
          <w:sz w:val="20"/>
          <w:szCs w:val="20"/>
          <w:color w:val="auto"/>
        </w:rPr>
      </w:pPr>
    </w:p>
    <w:p>
      <w:pPr>
        <w:ind w:left="1260" w:right="1279" w:firstLine="284"/>
        <w:spacing w:after="0" w:line="257" w:lineRule="auto"/>
        <w:rPr>
          <w:sz w:val="20"/>
          <w:szCs w:val="20"/>
          <w:color w:val="auto"/>
        </w:rPr>
      </w:pPr>
      <w:r>
        <w:rPr>
          <w:rFonts w:ascii="Times New Roman" w:cs="Times New Roman" w:eastAsia="Times New Roman" w:hAnsi="Times New Roman"/>
          <w:sz w:val="14"/>
          <w:szCs w:val="14"/>
          <w:color w:val="auto"/>
        </w:rPr>
        <w:t>Upon any consolidation of Viper Energy Partners with, or merger of Viper Energy Partners with or into, or any sale, conveyance, transfer or lease of all or substantially all of the properties and assets of the Company on a consolidated basis to, any person, in each case in accordance with the foregoing covenant, the Successor Company shall succeed to, and be substituted for, and may exercise every right and power of, Viper Energy Partners under the Indenture with the same effect as if the Successor Company had been named as Viper Energy Partners (the “Issuer”) in the Indenture, and thereafter the predecessor Issuer shall be relieved of all obligations and covenants under the Indenture and the debt securities, except in the case of a lease of all or substantially all of the properties and assets of Viper Energy Partners on a consolidated basis, in which case the predecessor Issuer shall not be released from the obligation to pay the principal of, any premium on, and interest on the debt securities.</w:t>
      </w:r>
    </w:p>
    <w:p>
      <w:pPr>
        <w:spacing w:after="0" w:line="268" w:lineRule="exact"/>
        <w:rPr>
          <w:sz w:val="20"/>
          <w:szCs w:val="20"/>
          <w:color w:val="auto"/>
        </w:rPr>
      </w:pPr>
    </w:p>
    <w:p>
      <w:pPr>
        <w:ind w:left="1260" w:right="1359" w:firstLine="284"/>
        <w:spacing w:after="0" w:line="288" w:lineRule="auto"/>
        <w:rPr>
          <w:sz w:val="20"/>
          <w:szCs w:val="20"/>
          <w:color w:val="auto"/>
        </w:rPr>
      </w:pPr>
      <w:r>
        <w:rPr>
          <w:rFonts w:ascii="Times New Roman" w:cs="Times New Roman" w:eastAsia="Times New Roman" w:hAnsi="Times New Roman"/>
          <w:sz w:val="14"/>
          <w:szCs w:val="14"/>
          <w:color w:val="auto"/>
        </w:rPr>
        <w:t>This section shall only apply to a merger with or sale, conveyance, transfer or lease to any party that is not Viper Energy Partners or any guarantor.</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1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following are events of default under the Indenture with respect to debt securities of any series:</w:t>
      </w:r>
    </w:p>
    <w:p>
      <w:pPr>
        <w:spacing w:after="0" w:line="126" w:lineRule="exact"/>
        <w:rPr>
          <w:sz w:val="20"/>
          <w:szCs w:val="20"/>
          <w:color w:val="auto"/>
        </w:rPr>
      </w:pPr>
    </w:p>
    <w:p>
      <w:pPr>
        <w:ind w:left="1560" w:right="1359" w:firstLine="277"/>
        <w:spacing w:after="0" w:line="288" w:lineRule="auto"/>
        <w:tabs>
          <w:tab w:leader="none" w:pos="21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any payment of interest on any debt securities of that series when due and payable, continued for 30 days;</w:t>
      </w:r>
    </w:p>
    <w:p>
      <w:pPr>
        <w:spacing w:after="0" w:line="71" w:lineRule="exact"/>
        <w:rPr>
          <w:rFonts w:ascii="Times New Roman" w:cs="Times New Roman" w:eastAsia="Times New Roman" w:hAnsi="Times New Roman"/>
          <w:sz w:val="14"/>
          <w:szCs w:val="14"/>
          <w:color w:val="auto"/>
        </w:rPr>
      </w:pPr>
    </w:p>
    <w:p>
      <w:pPr>
        <w:ind w:left="1560" w:right="1519" w:firstLine="277"/>
        <w:spacing w:after="0" w:line="271" w:lineRule="auto"/>
        <w:tabs>
          <w:tab w:leader="none" w:pos="21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the principal of or premium, if any, on any debt securities of that series when due and payable at its stated maturity, upon optional redemption, upon acceleration or otherwise;</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2">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4" w:name="page25"/>
    <w:bookmarkEnd w:id="24"/>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560" w:right="1399" w:firstLine="277"/>
        <w:spacing w:after="0" w:line="288" w:lineRule="auto"/>
        <w:tabs>
          <w:tab w:leader="none" w:pos="21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Viper Energy Partners to comply for 180 days after notice as provided below with the covenant related to financial reporting contained in the Indenture;</w:t>
      </w:r>
    </w:p>
    <w:p>
      <w:pPr>
        <w:spacing w:after="0" w:line="71" w:lineRule="exact"/>
        <w:rPr>
          <w:rFonts w:ascii="Times New Roman" w:cs="Times New Roman" w:eastAsia="Times New Roman" w:hAnsi="Times New Roman"/>
          <w:sz w:val="14"/>
          <w:szCs w:val="14"/>
          <w:color w:val="auto"/>
        </w:rPr>
      </w:pPr>
    </w:p>
    <w:p>
      <w:pPr>
        <w:ind w:left="1560" w:right="1299" w:firstLine="277"/>
        <w:spacing w:after="0" w:line="271" w:lineRule="auto"/>
        <w:tabs>
          <w:tab w:leader="none" w:pos="21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Viper Energy Partners to comply for 90 days after notice as provided below with its agreements (other than the agreements that are the subjects of clauses (l)-(3) above) contained in the Indenture;</w:t>
      </w:r>
    </w:p>
    <w:p>
      <w:pPr>
        <w:spacing w:after="0" w:line="82" w:lineRule="exact"/>
        <w:rPr>
          <w:rFonts w:ascii="Times New Roman" w:cs="Times New Roman" w:eastAsia="Times New Roman" w:hAnsi="Times New Roman"/>
          <w:sz w:val="14"/>
          <w:szCs w:val="14"/>
          <w:color w:val="auto"/>
        </w:rPr>
      </w:pPr>
    </w:p>
    <w:p>
      <w:pPr>
        <w:ind w:left="1560" w:right="1339" w:firstLine="277"/>
        <w:spacing w:after="0" w:line="288" w:lineRule="auto"/>
        <w:tabs>
          <w:tab w:leader="none" w:pos="21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specified events of bankruptcy, insolvency or reorganization involving Viper Energy Partners or Viper Energy;</w:t>
      </w:r>
    </w:p>
    <w:p>
      <w:pPr>
        <w:spacing w:after="0" w:line="60" w:lineRule="exact"/>
        <w:rPr>
          <w:rFonts w:ascii="Times New Roman" w:cs="Times New Roman" w:eastAsia="Times New Roman" w:hAnsi="Times New Roman"/>
          <w:sz w:val="14"/>
          <w:szCs w:val="14"/>
          <w:color w:val="auto"/>
        </w:rPr>
      </w:pPr>
    </w:p>
    <w:p>
      <w:pPr>
        <w:ind w:left="1560" w:right="1359" w:firstLine="277"/>
        <w:spacing w:after="0" w:line="260" w:lineRule="auto"/>
        <w:tabs>
          <w:tab w:leader="none" w:pos="21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guarantee by Viper Energy or by any guarantor required to guarantee the debt securities pursuant to the terms of the applicable supplemental indenture of the debt securities of that series ceases to be in full force and effect (except as contemplated by the terms of the Indenture) or is declared null and void in a judicial proceeding or such guarantor denies or disaffirms its obligations under the Indenture or its guarantee of debt securities of that series, in each case unless such guarantee of debt securities of that series has been released pursuant to the terms of the Indenture; and</w:t>
      </w:r>
    </w:p>
    <w:p>
      <w:pPr>
        <w:spacing w:after="0" w:line="92" w:lineRule="exact"/>
        <w:rPr>
          <w:rFonts w:ascii="Times New Roman" w:cs="Times New Roman" w:eastAsia="Times New Roman" w:hAnsi="Times New Roman"/>
          <w:sz w:val="14"/>
          <w:szCs w:val="14"/>
          <w:color w:val="auto"/>
        </w:rPr>
      </w:pPr>
    </w:p>
    <w:p>
      <w:pPr>
        <w:ind w:left="1560" w:right="1299" w:firstLine="277"/>
        <w:spacing w:after="0" w:line="288" w:lineRule="auto"/>
        <w:tabs>
          <w:tab w:leader="none" w:pos="21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for the benefit of the securities described in the applicable prospectus supplement.</w:t>
      </w:r>
    </w:p>
    <w:p>
      <w:pPr>
        <w:spacing w:after="0" w:line="71" w:lineRule="exact"/>
        <w:rPr>
          <w:sz w:val="20"/>
          <w:szCs w:val="20"/>
          <w:color w:val="auto"/>
        </w:rPr>
      </w:pPr>
    </w:p>
    <w:p>
      <w:pPr>
        <w:ind w:left="1260" w:right="1279" w:firstLine="284"/>
        <w:spacing w:after="0" w:line="263" w:lineRule="auto"/>
        <w:rPr>
          <w:sz w:val="20"/>
          <w:szCs w:val="20"/>
          <w:color w:val="auto"/>
        </w:rPr>
      </w:pPr>
      <w:r>
        <w:rPr>
          <w:rFonts w:ascii="Times New Roman" w:cs="Times New Roman" w:eastAsia="Times New Roman" w:hAnsi="Times New Roman"/>
          <w:sz w:val="14"/>
          <w:szCs w:val="14"/>
          <w:color w:val="auto"/>
        </w:rPr>
        <w:t>The Trustee is required to give to the holders of the debt securities of that series notice of all defaults or events of default known to it within 90 days of the occurrence thereof, except that other than in the case of a default of the character contemplated in clause (1) or (2) above, the Trustee may withhold notice if and so long as it in good faith determines that the withholding of notice is in the interests of the holders of the debt securities of that series.</w:t>
      </w:r>
    </w:p>
    <w:p>
      <w:pPr>
        <w:spacing w:after="0" w:line="252" w:lineRule="exact"/>
        <w:rPr>
          <w:sz w:val="20"/>
          <w:szCs w:val="20"/>
          <w:color w:val="auto"/>
        </w:rPr>
      </w:pPr>
    </w:p>
    <w:p>
      <w:pPr>
        <w:ind w:left="1260" w:right="1439" w:firstLine="284"/>
        <w:spacing w:after="0" w:line="256" w:lineRule="auto"/>
        <w:rPr>
          <w:sz w:val="20"/>
          <w:szCs w:val="20"/>
          <w:color w:val="auto"/>
        </w:rPr>
      </w:pPr>
      <w:r>
        <w:rPr>
          <w:rFonts w:ascii="Times New Roman" w:cs="Times New Roman" w:eastAsia="Times New Roman" w:hAnsi="Times New Roman"/>
          <w:sz w:val="14"/>
          <w:szCs w:val="14"/>
          <w:color w:val="auto"/>
        </w:rPr>
        <w:t>Notwithstanding the foregoing, default under clause (3) or (4) above will not constitute an event of default with respect to a given series of debt securities until the Trustee or the holders of at least 33% in principal amount of the then outstanding debt securities of that series notify Viper Energy Partners in writing of the default and Viper Energy Partners does not cure such default within the applicable time specified in clause (3) or (4) above after receipt of such notice. Such notice must specify the default, demand that it be remedied and state that such notice is a “Notice of Default;” provided that no Notice of Default may be given with respect to any action taken, and reported publicly, more than two years prior to such Notice of Default. The Trustee shall not be deemed to have notice of a default under clause (3) or</w:t>
      </w:r>
    </w:p>
    <w:p>
      <w:pPr>
        <w:spacing w:after="0" w:line="2" w:lineRule="exact"/>
        <w:rPr>
          <w:sz w:val="20"/>
          <w:szCs w:val="20"/>
          <w:color w:val="auto"/>
        </w:rPr>
      </w:pPr>
    </w:p>
    <w:p>
      <w:pPr>
        <w:ind w:left="1260" w:right="1799" w:firstLine="10"/>
        <w:spacing w:after="0" w:line="267" w:lineRule="auto"/>
        <w:tabs>
          <w:tab w:leader="none" w:pos="147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unless a responsible officer of the Trustee obtains actual knowledge thereof or the Trustee receives written notice of any event which is in fact such a default.</w:t>
      </w:r>
    </w:p>
    <w:p>
      <w:pPr>
        <w:spacing w:after="0" w:line="85" w:lineRule="exact"/>
        <w:rPr>
          <w:sz w:val="20"/>
          <w:szCs w:val="20"/>
          <w:color w:val="auto"/>
        </w:rPr>
      </w:pPr>
    </w:p>
    <w:p>
      <w:pPr>
        <w:ind w:left="1260" w:right="1299" w:firstLine="284"/>
        <w:spacing w:after="0" w:line="258" w:lineRule="auto"/>
        <w:rPr>
          <w:sz w:val="20"/>
          <w:szCs w:val="20"/>
          <w:color w:val="auto"/>
        </w:rPr>
      </w:pPr>
      <w:r>
        <w:rPr>
          <w:rFonts w:ascii="Times New Roman" w:cs="Times New Roman" w:eastAsia="Times New Roman" w:hAnsi="Times New Roman"/>
          <w:sz w:val="14"/>
          <w:szCs w:val="14"/>
          <w:color w:val="auto"/>
        </w:rPr>
        <w:t>If an event of default (other than an event of default described in clause (5) above) with respect to the then outstanding debt securities of a series occurs and is continuing, the Trustee by written notice to Viper Energy Partners, or holders of at least 33% in principal amount of the then outstanding debt securities of such series by written notice to Viper Energy Partners and the Trustee, may, and the Trustee at the request of holders of at least 33% in principal amount of the then outstanding debt securities of that series shall, declare the principal, premium, if any, and accrued and unpaid interest, if any, on all the debt securities of that series to be due and payable. Such notice must specify the event of default and state that such notice is a “Notice of Acceleration.” Upon such a declaration, such principal, premium, if any, and accrued and unpaid interest in respect of the debt securities of that series will be due and payable immediately.</w:t>
      </w:r>
    </w:p>
    <w:p>
      <w:pPr>
        <w:spacing w:after="0" w:line="92" w:lineRule="exact"/>
        <w:rPr>
          <w:sz w:val="20"/>
          <w:szCs w:val="20"/>
          <w:color w:val="auto"/>
        </w:rPr>
      </w:pPr>
    </w:p>
    <w:p>
      <w:pPr>
        <w:ind w:left="1260" w:right="1519" w:firstLine="284"/>
        <w:spacing w:after="0" w:line="271" w:lineRule="auto"/>
        <w:rPr>
          <w:sz w:val="20"/>
          <w:szCs w:val="20"/>
          <w:color w:val="auto"/>
        </w:rPr>
      </w:pPr>
      <w:r>
        <w:rPr>
          <w:rFonts w:ascii="Times New Roman" w:cs="Times New Roman" w:eastAsia="Times New Roman" w:hAnsi="Times New Roman"/>
          <w:sz w:val="14"/>
          <w:szCs w:val="14"/>
          <w:color w:val="auto"/>
        </w:rPr>
        <w:t>If an event of default described in clause (5) above occurs, the principal of, premium, if any, and accrued and unpaid interest on the debt securities will become immediately due and payable without any declaration or other action on the part of the Trustee or any holder.</w:t>
      </w:r>
    </w:p>
    <w:p>
      <w:pPr>
        <w:spacing w:after="0" w:line="72" w:lineRule="exact"/>
        <w:rPr>
          <w:sz w:val="20"/>
          <w:szCs w:val="20"/>
          <w:color w:val="auto"/>
        </w:rPr>
      </w:pPr>
    </w:p>
    <w:p>
      <w:pPr>
        <w:ind w:left="1260" w:right="1279" w:firstLine="284"/>
        <w:spacing w:after="0" w:line="259" w:lineRule="auto"/>
        <w:rPr>
          <w:sz w:val="20"/>
          <w:szCs w:val="20"/>
          <w:color w:val="auto"/>
        </w:rPr>
      </w:pPr>
      <w:r>
        <w:rPr>
          <w:rFonts w:ascii="Times New Roman" w:cs="Times New Roman" w:eastAsia="Times New Roman" w:hAnsi="Times New Roman"/>
          <w:sz w:val="14"/>
          <w:szCs w:val="14"/>
          <w:color w:val="auto"/>
        </w:rPr>
        <w:t>At any time after a declaration of acceleration with respect to the debt securities of a series, but before a judgment or decree for the payment of the money due has been obtained by the Trustee, holders of a majority in principal amount of the outstanding debt securities of that series may by notice to Viper Energy Partners, any guarantor of the debt securities of that series and the Trustee (including, without limitation, waivers and consents obtained in connection with a purchase of, or tender offer or exchange offer for, debt securities (other than any nonpayment resulting from any acceleration subject to rescission described below)) waive all past defaults (except with respect to nonpayment of principal, premium, if any, or interest)</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3">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5" w:name="page26"/>
    <w:bookmarkEnd w:id="25"/>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499"/>
        <w:spacing w:after="0" w:line="288" w:lineRule="auto"/>
        <w:rPr>
          <w:sz w:val="20"/>
          <w:szCs w:val="20"/>
          <w:color w:val="auto"/>
        </w:rPr>
      </w:pPr>
      <w:r>
        <w:rPr>
          <w:rFonts w:ascii="Times New Roman" w:cs="Times New Roman" w:eastAsia="Times New Roman" w:hAnsi="Times New Roman"/>
          <w:sz w:val="14"/>
          <w:szCs w:val="14"/>
          <w:color w:val="auto"/>
        </w:rPr>
        <w:t>and rescind any such acceleration with respect to the debt securities of that series and its consequences if rescission would not conflict with any judgment or decree of a court of competent jurisdiction.</w:t>
      </w:r>
    </w:p>
    <w:p>
      <w:pPr>
        <w:spacing w:after="0" w:line="71" w:lineRule="exact"/>
        <w:rPr>
          <w:sz w:val="20"/>
          <w:szCs w:val="20"/>
          <w:color w:val="auto"/>
        </w:rPr>
      </w:pPr>
    </w:p>
    <w:p>
      <w:pPr>
        <w:ind w:left="1260" w:right="1439" w:firstLine="284"/>
        <w:spacing w:after="0" w:line="262" w:lineRule="auto"/>
        <w:rPr>
          <w:sz w:val="20"/>
          <w:szCs w:val="20"/>
          <w:color w:val="auto"/>
        </w:rPr>
      </w:pPr>
      <w:r>
        <w:rPr>
          <w:rFonts w:ascii="Times New Roman" w:cs="Times New Roman" w:eastAsia="Times New Roman" w:hAnsi="Times New Roman"/>
          <w:sz w:val="14"/>
          <w:szCs w:val="14"/>
          <w:color w:val="auto"/>
        </w:rPr>
        <w:t>Subject to the duty of the Trustee to act with the requisite standard of care during an event of default, the Trustee will be under no obligation to exercise any of the rights or powers under the Indenture at the request or direction of any holders of debt securities of any series unless such holders have offered to the Trustee security or indemnity satisfactory to it against the costs, expenses and liabilities that might be incurred by it in compliance with such request or direction.</w:t>
      </w:r>
    </w:p>
    <w:p>
      <w:pPr>
        <w:spacing w:after="0" w:line="89" w:lineRule="exact"/>
        <w:rPr>
          <w:sz w:val="20"/>
          <w:szCs w:val="20"/>
          <w:color w:val="auto"/>
        </w:rPr>
      </w:pPr>
    </w:p>
    <w:p>
      <w:pPr>
        <w:ind w:left="1260" w:right="1459" w:firstLine="284"/>
        <w:spacing w:after="0" w:line="288" w:lineRule="auto"/>
        <w:rPr>
          <w:sz w:val="20"/>
          <w:szCs w:val="20"/>
          <w:color w:val="auto"/>
        </w:rPr>
      </w:pPr>
      <w:r>
        <w:rPr>
          <w:rFonts w:ascii="Times New Roman" w:cs="Times New Roman" w:eastAsia="Times New Roman" w:hAnsi="Times New Roman"/>
          <w:sz w:val="14"/>
          <w:szCs w:val="14"/>
          <w:color w:val="auto"/>
        </w:rPr>
        <w:t>Except to enforce the right to receive payment of principal, premium, if any, or interest when due, no holder may institute any proceeding with respect to the Indenture unless:</w:t>
      </w:r>
    </w:p>
    <w:p>
      <w:pPr>
        <w:spacing w:after="0" w:line="60" w:lineRule="exact"/>
        <w:rPr>
          <w:sz w:val="20"/>
          <w:szCs w:val="20"/>
          <w:color w:val="auto"/>
        </w:rPr>
      </w:pPr>
    </w:p>
    <w:p>
      <w:pPr>
        <w:ind w:left="1560" w:right="1459" w:firstLine="277"/>
        <w:spacing w:after="0" w:line="288" w:lineRule="auto"/>
        <w:tabs>
          <w:tab w:leader="none" w:pos="21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has previously given the Trustee written notice of a continuing event of default with respect to the debt securities of that series;</w:t>
      </w:r>
    </w:p>
    <w:p>
      <w:pPr>
        <w:spacing w:after="0" w:line="71" w:lineRule="exact"/>
        <w:rPr>
          <w:rFonts w:ascii="Times New Roman" w:cs="Times New Roman" w:eastAsia="Times New Roman" w:hAnsi="Times New Roman"/>
          <w:sz w:val="14"/>
          <w:szCs w:val="14"/>
          <w:color w:val="auto"/>
        </w:rPr>
      </w:pPr>
    </w:p>
    <w:p>
      <w:pPr>
        <w:ind w:left="1560" w:right="1519" w:firstLine="277"/>
        <w:spacing w:after="0" w:line="281" w:lineRule="auto"/>
        <w:tabs>
          <w:tab w:leader="none" w:pos="21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not less than 25% in principal amount of the outstanding debt securities of such series have requested in writing that the Trustee institute proceedings in respect of such event of default;</w:t>
      </w:r>
    </w:p>
    <w:p>
      <w:pPr>
        <w:spacing w:after="0" w:line="250" w:lineRule="exact"/>
        <w:rPr>
          <w:rFonts w:ascii="Times New Roman" w:cs="Times New Roman" w:eastAsia="Times New Roman" w:hAnsi="Times New Roman"/>
          <w:sz w:val="14"/>
          <w:szCs w:val="14"/>
          <w:color w:val="auto"/>
        </w:rPr>
      </w:pPr>
    </w:p>
    <w:p>
      <w:pPr>
        <w:ind w:left="1560" w:right="1499" w:firstLine="277"/>
        <w:spacing w:after="0" w:line="288" w:lineRule="auto"/>
        <w:tabs>
          <w:tab w:leader="none" w:pos="21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holders have offered to the Trustee security or indemnity satisfactory to it against any costs, expenses and liabilities to be incurred in compliance with such request;</w:t>
      </w:r>
    </w:p>
    <w:p>
      <w:pPr>
        <w:spacing w:after="0" w:line="60" w:lineRule="exact"/>
        <w:rPr>
          <w:rFonts w:ascii="Times New Roman" w:cs="Times New Roman" w:eastAsia="Times New Roman" w:hAnsi="Times New Roman"/>
          <w:sz w:val="14"/>
          <w:szCs w:val="14"/>
          <w:color w:val="auto"/>
        </w:rPr>
      </w:pPr>
    </w:p>
    <w:p>
      <w:pPr>
        <w:ind w:left="1560" w:right="1419" w:firstLine="277"/>
        <w:spacing w:after="0" w:line="288" w:lineRule="auto"/>
        <w:tabs>
          <w:tab w:leader="none" w:pos="21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has failed to institute any such proceeding within 60 days after the receipt of the request and the offer of security or indemnity; and</w:t>
      </w:r>
    </w:p>
    <w:p>
      <w:pPr>
        <w:spacing w:after="0" w:line="71" w:lineRule="exact"/>
        <w:rPr>
          <w:rFonts w:ascii="Times New Roman" w:cs="Times New Roman" w:eastAsia="Times New Roman" w:hAnsi="Times New Roman"/>
          <w:sz w:val="14"/>
          <w:szCs w:val="14"/>
          <w:color w:val="auto"/>
        </w:rPr>
      </w:pPr>
    </w:p>
    <w:p>
      <w:pPr>
        <w:jc w:val="both"/>
        <w:ind w:left="1560" w:right="1379" w:firstLine="277"/>
        <w:spacing w:after="0" w:line="288" w:lineRule="auto"/>
        <w:tabs>
          <w:tab w:leader="none" w:pos="21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 majority in principal amount of the outstanding debt securities of such series have not given the Trustee a direction that is inconsistent with such request within such 60 day period.</w:t>
      </w:r>
    </w:p>
    <w:p>
      <w:pPr>
        <w:spacing w:after="0" w:line="71" w:lineRule="exact"/>
        <w:rPr>
          <w:sz w:val="20"/>
          <w:szCs w:val="20"/>
          <w:color w:val="auto"/>
        </w:rPr>
      </w:pPr>
    </w:p>
    <w:p>
      <w:pPr>
        <w:ind w:left="1260" w:right="1279" w:firstLine="284"/>
        <w:spacing w:after="0" w:line="257" w:lineRule="auto"/>
        <w:rPr>
          <w:sz w:val="20"/>
          <w:szCs w:val="20"/>
          <w:color w:val="auto"/>
        </w:rPr>
      </w:pPr>
      <w:r>
        <w:rPr>
          <w:rFonts w:ascii="Times New Roman" w:cs="Times New Roman" w:eastAsia="Times New Roman" w:hAnsi="Times New Roman"/>
          <w:sz w:val="14"/>
          <w:szCs w:val="14"/>
          <w:color w:val="auto"/>
        </w:rPr>
        <w:t>Subject to certain restrictions, the holders of a majority in principal amount of the outstanding debt securities of any series are given the right to direct the time, method and place of conducting any proceeding for any remedy available to the Trustee or of exercising any trust or power conferred on the Trustee. The Indenture provides that in the event an event of default has occurred and is continuing, the Trustee will be required in the exercise of its rights and powers to use the degree of care and skill that a prudent person would exercise or use under the circumstances in the conduct of its own affairs. The Trustee, however, may refuse to follow any direction that conflicts with law or the Indenture or that the Trustee determines in good faith would involve the Trustee in personal liability. Prior to taking any action under the Indenture, the Trustee will be entitled to security or indemnification satisfactory to it against the costs, expenses and liabilities that might be incurred by it in compliance with any request or direction.</w:t>
      </w:r>
    </w:p>
    <w:p>
      <w:pPr>
        <w:spacing w:after="0" w:line="257" w:lineRule="exact"/>
        <w:rPr>
          <w:sz w:val="20"/>
          <w:szCs w:val="20"/>
          <w:color w:val="auto"/>
        </w:rPr>
      </w:pPr>
    </w:p>
    <w:p>
      <w:pPr>
        <w:ind w:left="1260" w:right="1359" w:firstLine="284"/>
        <w:spacing w:after="0" w:line="271" w:lineRule="auto"/>
        <w:rPr>
          <w:sz w:val="20"/>
          <w:szCs w:val="20"/>
          <w:color w:val="auto"/>
        </w:rPr>
      </w:pPr>
      <w:r>
        <w:rPr>
          <w:rFonts w:ascii="Times New Roman" w:cs="Times New Roman" w:eastAsia="Times New Roman" w:hAnsi="Times New Roman"/>
          <w:sz w:val="14"/>
          <w:szCs w:val="14"/>
          <w:color w:val="auto"/>
        </w:rPr>
        <w:t>Any additional events of default with respect to any series of debt securities, and any variations from the foregoing events of default applicable to any series of debt securities, will be described in an applicable prospectus supplement.</w:t>
      </w:r>
    </w:p>
    <w:p>
      <w:pPr>
        <w:spacing w:after="0" w:line="82" w:lineRule="exact"/>
        <w:rPr>
          <w:sz w:val="20"/>
          <w:szCs w:val="20"/>
          <w:color w:val="auto"/>
        </w:rPr>
      </w:pPr>
    </w:p>
    <w:p>
      <w:pPr>
        <w:ind w:left="1260" w:right="1399" w:firstLine="284"/>
        <w:spacing w:after="0" w:line="288" w:lineRule="auto"/>
        <w:rPr>
          <w:sz w:val="20"/>
          <w:szCs w:val="20"/>
          <w:color w:val="auto"/>
        </w:rPr>
      </w:pPr>
      <w:r>
        <w:rPr>
          <w:rFonts w:ascii="Times New Roman" w:cs="Times New Roman" w:eastAsia="Times New Roman" w:hAnsi="Times New Roman"/>
          <w:sz w:val="14"/>
          <w:szCs w:val="14"/>
          <w:color w:val="auto"/>
        </w:rPr>
        <w:t>An event of default for a particular series of debt securities does not necessarily constitute an event of default for any other series issued under the Indenture.</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Amendment, Supplement and Waivers</w:t>
      </w:r>
    </w:p>
    <w:p>
      <w:pPr>
        <w:spacing w:after="0" w:line="128" w:lineRule="exact"/>
        <w:rPr>
          <w:sz w:val="20"/>
          <w:szCs w:val="20"/>
          <w:color w:val="auto"/>
        </w:rPr>
      </w:pPr>
    </w:p>
    <w:p>
      <w:pPr>
        <w:ind w:left="1260" w:right="1299" w:firstLine="284"/>
        <w:spacing w:after="0" w:line="257" w:lineRule="auto"/>
        <w:rPr>
          <w:sz w:val="20"/>
          <w:szCs w:val="20"/>
          <w:color w:val="auto"/>
        </w:rPr>
      </w:pPr>
      <w:r>
        <w:rPr>
          <w:rFonts w:ascii="Times New Roman" w:cs="Times New Roman" w:eastAsia="Times New Roman" w:hAnsi="Times New Roman"/>
          <w:sz w:val="14"/>
          <w:szCs w:val="14"/>
          <w:color w:val="auto"/>
        </w:rPr>
        <w:t>Subject to certain exceptions, Viper Energy Partners and the Trustee may amend or supplement the Indenture (as it relates to the debt securities of any series and any guarantee) and the debt securities with the consent of the holders of a majority in principal amount of the debt securities affected by such amendment or supplement then outstanding voting as a single class (including, without limitation, consents obtained in connection with a purchase of, or tender offer or exchange offer for, such debt securities) and any past default or compliance with any provisions of the Indenture (as it relates to the debt securities of any series and any guarantees) and the debt securities may be waived with the consent of holders of a majority in principal amount of the debt securities affected by such waiver then outstanding voting as a single class (including, without limitation, consents obtained in connection with a purchase of, or tender offer or exchange offer for, such debt securities).</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6" w:name="page27"/>
    <w:bookmarkEnd w:id="26"/>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359" w:firstLine="284"/>
        <w:spacing w:after="0" w:line="263" w:lineRule="auto"/>
        <w:rPr>
          <w:sz w:val="20"/>
          <w:szCs w:val="20"/>
          <w:color w:val="auto"/>
        </w:rPr>
      </w:pPr>
      <w:r>
        <w:rPr>
          <w:rFonts w:ascii="Times New Roman" w:cs="Times New Roman" w:eastAsia="Times New Roman" w:hAnsi="Times New Roman"/>
          <w:sz w:val="14"/>
          <w:szCs w:val="14"/>
          <w:color w:val="auto"/>
        </w:rPr>
        <w:t>In addition, without the consent of any holder, Viper Energy Partners and the Trustee may amend or supplement the Indenture as it relates to any series of debt securities (including any guarantee) and the debt securities of any series to:</w:t>
      </w:r>
    </w:p>
    <w:p>
      <w:pPr>
        <w:spacing w:after="0" w:line="45" w:lineRule="exact"/>
        <w:rPr>
          <w:sz w:val="20"/>
          <w:szCs w:val="20"/>
          <w:color w:val="auto"/>
        </w:rPr>
      </w:pPr>
    </w:p>
    <w:p>
      <w:pPr>
        <w:ind w:left="1700" w:hanging="147"/>
        <w:spacing w:after="0"/>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 any ambiguity, omission, defect or inconsistency;</w:t>
      </w:r>
    </w:p>
    <w:p>
      <w:pPr>
        <w:spacing w:after="0" w:line="83" w:lineRule="exact"/>
        <w:rPr>
          <w:rFonts w:ascii="Times New Roman" w:cs="Times New Roman" w:eastAsia="Times New Roman" w:hAnsi="Times New Roman"/>
          <w:sz w:val="14"/>
          <w:szCs w:val="14"/>
          <w:color w:val="auto"/>
        </w:rPr>
      </w:pPr>
    </w:p>
    <w:p>
      <w:pPr>
        <w:ind w:left="1700" w:right="1479" w:hanging="147"/>
        <w:spacing w:after="0" w:line="281" w:lineRule="auto"/>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the assumption by a successor entity of the obligations of Viper Energy Partners under the Indenture (as it relates to the debt securities) or the debt securities in accordance with the Indenture;</w:t>
      </w:r>
    </w:p>
    <w:p>
      <w:pPr>
        <w:spacing w:after="0" w:line="208" w:lineRule="exact"/>
        <w:rPr>
          <w:rFonts w:ascii="Times New Roman" w:cs="Times New Roman" w:eastAsia="Times New Roman" w:hAnsi="Times New Roman"/>
          <w:sz w:val="14"/>
          <w:szCs w:val="14"/>
          <w:color w:val="auto"/>
        </w:rPr>
      </w:pPr>
    </w:p>
    <w:p>
      <w:pPr>
        <w:ind w:left="1700" w:right="1499" w:hanging="147"/>
        <w:spacing w:after="0" w:line="271" w:lineRule="auto"/>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provide for or facilitate the issuance of uncertificated debt securities in addition to or in place of certificated debt securities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uncertificated debt securities are issued in registered form for purposes of Section 163(f) of the Code);</w:t>
      </w:r>
    </w:p>
    <w:p>
      <w:pPr>
        <w:spacing w:after="0" w:line="50" w:lineRule="exact"/>
        <w:rPr>
          <w:rFonts w:ascii="Times New Roman" w:cs="Times New Roman" w:eastAsia="Times New Roman" w:hAnsi="Times New Roman"/>
          <w:sz w:val="14"/>
          <w:szCs w:val="14"/>
          <w:color w:val="auto"/>
        </w:rPr>
      </w:pPr>
    </w:p>
    <w:p>
      <w:pPr>
        <w:ind w:left="1700" w:right="1459" w:hanging="147"/>
        <w:spacing w:after="0" w:line="271" w:lineRule="auto"/>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guarantees with respect to the debt securities of any series, evidence the release of a guarantor from its guarantee or provide for the assumption by a successor entity of the obligations of a guarantor in accordance with the applicable provisions of the Indenture;</w:t>
      </w:r>
    </w:p>
    <w:p>
      <w:pPr>
        <w:spacing w:after="0" w:line="39"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 the debt securities of any series or any guarantee thereof;</w:t>
      </w:r>
    </w:p>
    <w:p>
      <w:pPr>
        <w:spacing w:after="0" w:line="83" w:lineRule="exact"/>
        <w:rPr>
          <w:rFonts w:ascii="Times New Roman" w:cs="Times New Roman" w:eastAsia="Times New Roman" w:hAnsi="Times New Roman"/>
          <w:sz w:val="14"/>
          <w:szCs w:val="14"/>
          <w:color w:val="auto"/>
        </w:rPr>
      </w:pPr>
    </w:p>
    <w:p>
      <w:pPr>
        <w:ind w:left="1700" w:right="1299" w:hanging="147"/>
        <w:spacing w:after="0" w:line="261" w:lineRule="auto"/>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covenants of Viper Energy Partners or other obligor for the benefit of the holders of all or any series of debt securities under the Indenture (as it relates to such debt securities) or such debt securities, as the case may be, or events of default for the benefit of the holders of all or any series of debt securities or to make other changes that would provide additional rights to the holders of all or any series of debt securities or to surrender any right or power conferred upon Viper Energy Partners or other such obligor;</w:t>
      </w:r>
    </w:p>
    <w:p>
      <w:pPr>
        <w:spacing w:after="0" w:line="220" w:lineRule="exact"/>
        <w:rPr>
          <w:rFonts w:ascii="Times New Roman" w:cs="Times New Roman" w:eastAsia="Times New Roman" w:hAnsi="Times New Roman"/>
          <w:sz w:val="14"/>
          <w:szCs w:val="14"/>
          <w:color w:val="auto"/>
        </w:rPr>
      </w:pPr>
    </w:p>
    <w:p>
      <w:pPr>
        <w:ind w:left="1700" w:right="1339" w:hanging="147"/>
        <w:spacing w:after="0" w:line="288" w:lineRule="auto"/>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that does not adversely affect the legal or contractual rights of any holder of debt securities of a series under the Indenture (as it relates to such debt securities) or such debt securities;</w:t>
      </w:r>
    </w:p>
    <w:p>
      <w:pPr>
        <w:spacing w:after="0" w:line="28" w:lineRule="exact"/>
        <w:rPr>
          <w:rFonts w:ascii="Times New Roman" w:cs="Times New Roman" w:eastAsia="Times New Roman" w:hAnsi="Times New Roman"/>
          <w:sz w:val="14"/>
          <w:szCs w:val="14"/>
          <w:color w:val="auto"/>
        </w:rPr>
      </w:pPr>
    </w:p>
    <w:p>
      <w:pPr>
        <w:ind w:left="1700" w:right="1399" w:hanging="147"/>
        <w:spacing w:after="0" w:line="271" w:lineRule="auto"/>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evidence and provide for the acceptance of an appointment under the Indenture (as it relates to the debt securities) of a successor trustee;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successor trustee is otherwise qualified and eligible to act as such under the terms of the Indenture (as it relates to the debt securities);</w:t>
      </w:r>
    </w:p>
    <w:p>
      <w:pPr>
        <w:spacing w:after="0" w:line="50" w:lineRule="exact"/>
        <w:rPr>
          <w:rFonts w:ascii="Times New Roman" w:cs="Times New Roman" w:eastAsia="Times New Roman" w:hAnsi="Times New Roman"/>
          <w:sz w:val="14"/>
          <w:szCs w:val="14"/>
          <w:color w:val="auto"/>
        </w:rPr>
      </w:pPr>
    </w:p>
    <w:p>
      <w:pPr>
        <w:ind w:left="1700" w:right="1319" w:hanging="147"/>
        <w:spacing w:after="0" w:line="288" w:lineRule="auto"/>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the issuance of additional debt securities permitted to be issued under the Indenture (as it relates to the debt securities);</w:t>
      </w:r>
    </w:p>
    <w:p>
      <w:pPr>
        <w:spacing w:after="0" w:line="28"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the rules of any applicable securities depositary;</w:t>
      </w:r>
    </w:p>
    <w:p>
      <w:pPr>
        <w:spacing w:after="0" w:line="83" w:lineRule="exact"/>
        <w:rPr>
          <w:rFonts w:ascii="Times New Roman" w:cs="Times New Roman" w:eastAsia="Times New Roman" w:hAnsi="Times New Roman"/>
          <w:sz w:val="14"/>
          <w:szCs w:val="14"/>
          <w:color w:val="auto"/>
        </w:rPr>
      </w:pPr>
    </w:p>
    <w:p>
      <w:pPr>
        <w:ind w:left="1700" w:right="1299" w:hanging="147"/>
        <w:spacing w:after="0" w:line="257" w:lineRule="auto"/>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conform the text of the Indenture (as it relates to the debt securities and any guarantee), the debt securities or any guarantee to any provision of the section of the accompanying base prospectus entitled “Description of Debt Securities” or the section (or comparable section) in any offering memorandum, prospectus or prospectus supplement of Viper Energy Partners prepared from time to time with respect to the offer and sale of debt securities of any series entitled “Description of Notes” to the extent that such provision in the “Description of Notes” or the “Description of Debt Securities” was intended to be a complete description or summary of a provision of the Indenture (as it relates to the debt securities or any guarantee), the debt securities or any guarantee, which intent shall be established by an officer’s certificate (other than to the extent superseded by the “Description of Debt Securities” (or​ comparable section) in any offering memorandum, prospectus or prospectus supplement of the Company prepared form time to time with respect to the offer and sale of debt securities); or</w:t>
      </w:r>
    </w:p>
    <w:p>
      <w:pPr>
        <w:spacing w:after="0" w:line="218" w:lineRule="exact"/>
        <w:rPr>
          <w:rFonts w:ascii="Times New Roman" w:cs="Times New Roman" w:eastAsia="Times New Roman" w:hAnsi="Times New Roman"/>
          <w:sz w:val="14"/>
          <w:szCs w:val="14"/>
          <w:color w:val="auto"/>
        </w:rPr>
      </w:pPr>
    </w:p>
    <w:p>
      <w:pPr>
        <w:ind w:left="1700" w:right="1359" w:hanging="147"/>
        <w:spacing w:after="0" w:line="272" w:lineRule="auto"/>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make any other provisions with respect to matters or questions arising under the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action pursuant to this clause shall not adversely affect the interests of the Holders of Securities of any series in any material respect.</w:t>
      </w:r>
    </w:p>
    <w:p>
      <w:pPr>
        <w:spacing w:after="0" w:line="82" w:lineRule="exact"/>
        <w:rPr>
          <w:sz w:val="20"/>
          <w:szCs w:val="20"/>
          <w:color w:val="auto"/>
        </w:rPr>
      </w:pPr>
    </w:p>
    <w:p>
      <w:pPr>
        <w:ind w:left="1260" w:right="1619" w:firstLine="284"/>
        <w:spacing w:after="0" w:line="255" w:lineRule="auto"/>
        <w:rPr>
          <w:sz w:val="20"/>
          <w:szCs w:val="20"/>
          <w:color w:val="auto"/>
        </w:rPr>
      </w:pPr>
      <w:r>
        <w:rPr>
          <w:rFonts w:ascii="Times New Roman" w:cs="Times New Roman" w:eastAsia="Times New Roman" w:hAnsi="Times New Roman"/>
          <w:sz w:val="14"/>
          <w:szCs w:val="14"/>
          <w:color w:val="auto"/>
        </w:rPr>
        <w:t>However, without the consent of each holder of an outstanding debt security affected thereby, no amendment, supplement or waiver may (with respect to any debt securities held by any non-consenting holder):</w:t>
      </w:r>
    </w:p>
    <w:p>
      <w:pPr>
        <w:spacing w:after="0" w:line="61" w:lineRule="exact"/>
        <w:rPr>
          <w:sz w:val="20"/>
          <w:szCs w:val="20"/>
          <w:color w:val="auto"/>
        </w:rPr>
      </w:pPr>
    </w:p>
    <w:p>
      <w:pPr>
        <w:ind w:left="1700" w:right="1779" w:hanging="147"/>
        <w:spacing w:after="0" w:line="288" w:lineRule="auto"/>
        <w:tabs>
          <w:tab w:leader="none" w:pos="1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debt securities of any series whose holders must consent to an amendment, supplement or waiver;</w:t>
      </w:r>
    </w:p>
    <w:p>
      <w:pPr>
        <w:spacing w:after="0" w:line="28" w:lineRule="exact"/>
        <w:rPr>
          <w:rFonts w:ascii="Times New Roman" w:cs="Times New Roman" w:eastAsia="Times New Roman" w:hAnsi="Times New Roman"/>
          <w:sz w:val="14"/>
          <w:szCs w:val="14"/>
          <w:color w:val="auto"/>
        </w:rPr>
      </w:pPr>
    </w:p>
    <w:p>
      <w:pPr>
        <w:ind w:left="1700" w:right="1799" w:hanging="147"/>
        <w:spacing w:after="0" w:line="288" w:lineRule="auto"/>
        <w:tabs>
          <w:tab w:leader="none" w:pos="1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stated rate of interest or extend the stated time for payment of interest on any debt security;</w:t>
      </w: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7" w:name="page28"/>
    <w:bookmarkEnd w:id="27"/>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700" w:hanging="147"/>
        <w:spacing w:after="0"/>
        <w:tabs>
          <w:tab w:leader="none" w:pos="17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extend the maturity of any debt security;</w:t>
      </w:r>
    </w:p>
    <w:p>
      <w:pPr>
        <w:spacing w:after="0" w:line="94" w:lineRule="exact"/>
        <w:rPr>
          <w:rFonts w:ascii="Times New Roman" w:cs="Times New Roman" w:eastAsia="Times New Roman" w:hAnsi="Times New Roman"/>
          <w:sz w:val="14"/>
          <w:szCs w:val="14"/>
          <w:color w:val="auto"/>
        </w:rPr>
      </w:pPr>
    </w:p>
    <w:p>
      <w:pPr>
        <w:ind w:left="1700" w:right="1359" w:hanging="147"/>
        <w:spacing w:after="0" w:line="265" w:lineRule="auto"/>
        <w:tabs>
          <w:tab w:leader="none" w:pos="17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or event of default in the payment of principal of, premium, if any, or interest on the debt securities (except a rescission of acceleration of any debt securities by holders of a majority in aggregate principal amount of the then outstanding debt securities with respect to a nonpayment default and a waiver of the payment default that resulted from such acceleration);</w:t>
      </w:r>
    </w:p>
    <w:p>
      <w:pPr>
        <w:spacing w:after="0" w:line="65" w:lineRule="exact"/>
        <w:rPr>
          <w:rFonts w:ascii="Times New Roman" w:cs="Times New Roman" w:eastAsia="Times New Roman" w:hAnsi="Times New Roman"/>
          <w:sz w:val="14"/>
          <w:szCs w:val="14"/>
          <w:color w:val="auto"/>
        </w:rPr>
      </w:pPr>
    </w:p>
    <w:p>
      <w:pPr>
        <w:jc w:val="both"/>
        <w:ind w:left="1700" w:right="1459" w:hanging="147"/>
        <w:spacing w:after="0" w:line="271" w:lineRule="auto"/>
        <w:tabs>
          <w:tab w:leader="none" w:pos="17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premium payable upon the redemption of any debt security or change the time at which any debt security may be redeemed, whether through an amendment or waiver of the provisions of the Indenture governing redemption, related definitions or otherwise;</w:t>
      </w:r>
    </w:p>
    <w:p>
      <w:pPr>
        <w:spacing w:after="0" w:line="50"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debt security payable in money other than that stated in the debt security;</w:t>
      </w:r>
    </w:p>
    <w:p>
      <w:pPr>
        <w:spacing w:after="0" w:line="94" w:lineRule="exact"/>
        <w:rPr>
          <w:rFonts w:ascii="Times New Roman" w:cs="Times New Roman" w:eastAsia="Times New Roman" w:hAnsi="Times New Roman"/>
          <w:sz w:val="14"/>
          <w:szCs w:val="14"/>
          <w:color w:val="auto"/>
        </w:rPr>
      </w:pPr>
    </w:p>
    <w:p>
      <w:pPr>
        <w:ind w:left="1700" w:right="1379" w:hanging="147"/>
        <w:spacing w:after="0" w:line="271" w:lineRule="auto"/>
        <w:tabs>
          <w:tab w:leader="none" w:pos="17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right of any holder to receive payment of principal, premium, if any, and interest on such holder’s debt securities on or after the due dates therefor or to institute suit for the enforcement of any payment on or with respect to such holder’s debt securities;</w:t>
      </w:r>
    </w:p>
    <w:p>
      <w:pPr>
        <w:spacing w:after="0" w:line="50" w:lineRule="exact"/>
        <w:rPr>
          <w:rFonts w:ascii="Times New Roman" w:cs="Times New Roman" w:eastAsia="Times New Roman" w:hAnsi="Times New Roman"/>
          <w:sz w:val="14"/>
          <w:szCs w:val="14"/>
          <w:color w:val="auto"/>
        </w:rPr>
      </w:pPr>
    </w:p>
    <w:p>
      <w:pPr>
        <w:ind w:left="1700" w:right="1439" w:hanging="147"/>
        <w:spacing w:after="0" w:line="271" w:lineRule="auto"/>
        <w:tabs>
          <w:tab w:leader="none" w:pos="17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guarantee by Viper Energy or otherwise required to be provided pursuant to the supplemental indenture in respect of such series of the debt securities in any manner adverse to the holders of the debt securities; or</w:t>
      </w:r>
    </w:p>
    <w:p>
      <w:pPr>
        <w:spacing w:after="0" w:line="50" w:lineRule="exact"/>
        <w:rPr>
          <w:rFonts w:ascii="Times New Roman" w:cs="Times New Roman" w:eastAsia="Times New Roman" w:hAnsi="Times New Roman"/>
          <w:sz w:val="14"/>
          <w:szCs w:val="14"/>
          <w:color w:val="auto"/>
        </w:rPr>
      </w:pPr>
    </w:p>
    <w:p>
      <w:pPr>
        <w:ind w:left="1700" w:right="1399" w:hanging="147"/>
        <w:spacing w:after="0" w:line="288" w:lineRule="auto"/>
        <w:tabs>
          <w:tab w:leader="none" w:pos="17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the amendment or waiver provisions of the Indenture that require each holder’s consent.</w:t>
      </w:r>
    </w:p>
    <w:p>
      <w:pPr>
        <w:spacing w:after="0" w:line="60" w:lineRule="exact"/>
        <w:rPr>
          <w:sz w:val="20"/>
          <w:szCs w:val="20"/>
          <w:color w:val="auto"/>
        </w:rPr>
      </w:pPr>
    </w:p>
    <w:p>
      <w:pPr>
        <w:ind w:left="1260" w:right="1319" w:firstLine="284"/>
        <w:spacing w:after="0" w:line="262" w:lineRule="auto"/>
        <w:rPr>
          <w:sz w:val="20"/>
          <w:szCs w:val="20"/>
          <w:color w:val="auto"/>
        </w:rPr>
      </w:pPr>
      <w:r>
        <w:rPr>
          <w:rFonts w:ascii="Times New Roman" w:cs="Times New Roman" w:eastAsia="Times New Roman" w:hAnsi="Times New Roman"/>
          <w:sz w:val="14"/>
          <w:szCs w:val="14"/>
          <w:color w:val="auto"/>
        </w:rPr>
        <w:t>The consent of the holders will not be necessary under the Indenture to approve the particular form of any proposed amendment, supplement or waiver. It will be sufficient if such consent approves the substance of the proposed amendment, supplement or waiver. A consent to any amendment, supplement or waiver under the Indenture by any holder of debt securities given in connection with a tender of such holder’s debt securities will not be rendered invalid by such tender.</w:t>
      </w:r>
    </w:p>
    <w:p>
      <w:pPr>
        <w:spacing w:after="0" w:line="1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Defeasance</w:t>
      </w:r>
    </w:p>
    <w:p>
      <w:pPr>
        <w:spacing w:after="0" w:line="128" w:lineRule="exact"/>
        <w:rPr>
          <w:sz w:val="20"/>
          <w:szCs w:val="20"/>
          <w:color w:val="auto"/>
        </w:rPr>
      </w:pPr>
    </w:p>
    <w:p>
      <w:pPr>
        <w:ind w:left="1260" w:right="1319" w:firstLine="284"/>
        <w:spacing w:after="0" w:line="262" w:lineRule="auto"/>
        <w:rPr>
          <w:sz w:val="20"/>
          <w:szCs w:val="20"/>
          <w:color w:val="auto"/>
        </w:rPr>
      </w:pPr>
      <w:r>
        <w:rPr>
          <w:rFonts w:ascii="Times New Roman" w:cs="Times New Roman" w:eastAsia="Times New Roman" w:hAnsi="Times New Roman"/>
          <w:sz w:val="14"/>
          <w:szCs w:val="14"/>
          <w:color w:val="auto"/>
        </w:rPr>
        <w:t>Viper Energy Partners at any time may terminate all of its and any guarantor’s obligations under the debt securities of any series and the Indenture (“legal defeasance”), except for certain obligations, including those respecting the defeasance trust and obligations to register the transfer or exchange of such debt securities, to replace mutilated, destroyed, lost or stolen debt securities and to maintain a registrar and paying agent in respect of the debt securities of any series.</w:t>
      </w:r>
    </w:p>
    <w:p>
      <w:pPr>
        <w:spacing w:after="0" w:line="89" w:lineRule="exact"/>
        <w:rPr>
          <w:sz w:val="20"/>
          <w:szCs w:val="20"/>
          <w:color w:val="auto"/>
        </w:rPr>
      </w:pPr>
    </w:p>
    <w:p>
      <w:pPr>
        <w:ind w:left="1260" w:right="1379" w:firstLine="284"/>
        <w:spacing w:after="0" w:line="261" w:lineRule="auto"/>
        <w:rPr>
          <w:sz w:val="20"/>
          <w:szCs w:val="20"/>
          <w:color w:val="auto"/>
        </w:rPr>
      </w:pPr>
      <w:r>
        <w:rPr>
          <w:rFonts w:ascii="Times New Roman" w:cs="Times New Roman" w:eastAsia="Times New Roman" w:hAnsi="Times New Roman"/>
          <w:sz w:val="14"/>
          <w:szCs w:val="14"/>
          <w:color w:val="auto"/>
        </w:rPr>
        <w:t xml:space="preserve">Viper Energy Partners may at any time terminate its and any guarantor’s obligations to comply with certain covenants described above under “— </w:t>
      </w:r>
      <w:r>
        <w:rPr>
          <w:rFonts w:ascii="Times New Roman" w:cs="Times New Roman" w:eastAsia="Times New Roman" w:hAnsi="Times New Roman"/>
          <w:sz w:val="14"/>
          <w:szCs w:val="14"/>
          <w:i w:val="1"/>
          <w:iCs w:val="1"/>
          <w:color w:val="auto"/>
        </w:rPr>
        <w:t>Certain Covenants”</w:t>
      </w:r>
      <w:r>
        <w:rPr>
          <w:rFonts w:ascii="Times New Roman" w:cs="Times New Roman" w:eastAsia="Times New Roman" w:hAnsi="Times New Roman"/>
          <w:sz w:val="14"/>
          <w:szCs w:val="14"/>
          <w:color w:val="auto"/>
        </w:rPr>
        <w:t xml:space="preserve"> and certain covenants of any outstanding series of debt securities that may be contained in any applicable prospectus supplement, and may omit to comply with such covenants without creating an event of default (“covenant defeasance”). Viper Energy Partners may exercise its legal defeasance option notwithstanding its prior exercise of its covenant defeasance option.</w:t>
      </w:r>
    </w:p>
    <w:p>
      <w:pPr>
        <w:spacing w:after="0" w:line="252" w:lineRule="exact"/>
        <w:rPr>
          <w:sz w:val="20"/>
          <w:szCs w:val="20"/>
          <w:color w:val="auto"/>
        </w:rPr>
      </w:pPr>
    </w:p>
    <w:p>
      <w:pPr>
        <w:ind w:left="1260" w:right="1279" w:firstLine="284"/>
        <w:spacing w:after="0" w:line="257" w:lineRule="auto"/>
        <w:rPr>
          <w:sz w:val="20"/>
          <w:szCs w:val="20"/>
          <w:color w:val="auto"/>
        </w:rPr>
      </w:pPr>
      <w:r>
        <w:rPr>
          <w:rFonts w:ascii="Times New Roman" w:cs="Times New Roman" w:eastAsia="Times New Roman" w:hAnsi="Times New Roman"/>
          <w:sz w:val="14"/>
          <w:szCs w:val="14"/>
          <w:color w:val="auto"/>
        </w:rPr>
        <w:t>In order to exercise either defeasance option, Viper Energy Partners must irrevocably deposit in trust (the “defeasance trust”) with the Trustee money or U.S. government obligations for the payment of principal, premium, if any, and interest on the debt securities of any series to redemption or maturity, as the case may be, and must comply with certain other conditions, including, without limitation, delivery to the Trustee of an opinion of counsel (subject to customary assumptions and exclusions) to the effect that holders of such series will not recognize gain or loss for Federal income tax purposes as a result of such deposit and defeasance and will be subject to Federal income tax on the same amount and in the same manner and at the same times as would have been the case if such deposit and defeasance had not occurred. In the case of legal defeasance only, such opinion of counsel must be based on a ruling of the Internal Revenue Service or other change in applicable Federal income tax law.</w:t>
      </w:r>
    </w:p>
    <w:p>
      <w:pPr>
        <w:spacing w:after="0" w:line="268" w:lineRule="exact"/>
        <w:rPr>
          <w:sz w:val="20"/>
          <w:szCs w:val="20"/>
          <w:color w:val="auto"/>
        </w:rPr>
      </w:pPr>
    </w:p>
    <w:p>
      <w:pPr>
        <w:ind w:left="1260" w:right="1359" w:firstLine="284"/>
        <w:spacing w:after="0" w:line="265" w:lineRule="auto"/>
        <w:rPr>
          <w:sz w:val="20"/>
          <w:szCs w:val="20"/>
          <w:color w:val="auto"/>
        </w:rPr>
      </w:pPr>
      <w:r>
        <w:rPr>
          <w:rFonts w:ascii="Times New Roman" w:cs="Times New Roman" w:eastAsia="Times New Roman" w:hAnsi="Times New Roman"/>
          <w:sz w:val="14"/>
          <w:szCs w:val="14"/>
          <w:color w:val="auto"/>
        </w:rPr>
        <w:t>Upon the effectiveness of a legal defeasance or covenant defeasance with respect to any series of guaranteed debt securities, each guarantor of the debt securities of such series shall be automatically and unconditionally released and discharged from all of its obligations under its guarantee of the debt securities of such series and all of its other obligations under the applicable indenture in respect of the debt securities</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205105</wp:posOffset>
            </wp:positionV>
            <wp:extent cx="538988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8" w:name="page29"/>
    <w:bookmarkEnd w:id="28"/>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339"/>
        <w:spacing w:after="0" w:line="288" w:lineRule="auto"/>
        <w:rPr>
          <w:sz w:val="20"/>
          <w:szCs w:val="20"/>
          <w:color w:val="auto"/>
        </w:rPr>
      </w:pPr>
      <w:r>
        <w:rPr>
          <w:rFonts w:ascii="Times New Roman" w:cs="Times New Roman" w:eastAsia="Times New Roman" w:hAnsi="Times New Roman"/>
          <w:sz w:val="14"/>
          <w:szCs w:val="14"/>
          <w:color w:val="auto"/>
        </w:rPr>
        <w:t>of that series, without any action by us, any guarantor or the Trustee, and without the consent of the holders of any debt securities.</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128" w:lineRule="exact"/>
        <w:rPr>
          <w:sz w:val="20"/>
          <w:szCs w:val="20"/>
          <w:color w:val="auto"/>
        </w:rPr>
      </w:pPr>
    </w:p>
    <w:p>
      <w:pPr>
        <w:ind w:left="1260" w:right="1319" w:firstLine="284"/>
        <w:spacing w:after="0" w:line="260" w:lineRule="auto"/>
        <w:rPr>
          <w:sz w:val="20"/>
          <w:szCs w:val="20"/>
          <w:color w:val="auto"/>
        </w:rPr>
      </w:pPr>
      <w:r>
        <w:rPr>
          <w:rFonts w:ascii="Times New Roman" w:cs="Times New Roman" w:eastAsia="Times New Roman" w:hAnsi="Times New Roman"/>
          <w:sz w:val="14"/>
          <w:szCs w:val="14"/>
          <w:color w:val="auto"/>
        </w:rPr>
        <w:t>The Indenture shall upon request of Viper Energy Partners cease to be of further effect with respect to the debt securities of any series and any guarantees of such debt securities (except as to any surviving rights of conversion, registration of transfer or exchange of any such debt security expressly provided for in the Indenture or in the terms of such debt security), and the Trustee, at the expense of Viper Energy Partners, shall execute proper instruments acknowledging satisfaction and discharge of the Indenture with respect to such debt securities, when:</w:t>
      </w:r>
    </w:p>
    <w:p>
      <w:pPr>
        <w:spacing w:after="0" w:line="92" w:lineRule="exact"/>
        <w:rPr>
          <w:sz w:val="20"/>
          <w:szCs w:val="20"/>
          <w:color w:val="auto"/>
        </w:rPr>
      </w:pPr>
    </w:p>
    <w:p>
      <w:pPr>
        <w:ind w:left="2120" w:hanging="283"/>
        <w:spacing w:after="0"/>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115" w:lineRule="exact"/>
        <w:rPr>
          <w:rFonts w:ascii="Times New Roman" w:cs="Times New Roman" w:eastAsia="Times New Roman" w:hAnsi="Times New Roman"/>
          <w:sz w:val="14"/>
          <w:szCs w:val="14"/>
          <w:color w:val="auto"/>
        </w:rPr>
      </w:pPr>
    </w:p>
    <w:p>
      <w:pPr>
        <w:ind w:left="1840" w:right="1399" w:firstLine="281"/>
        <w:spacing w:after="0" w:line="262" w:lineRule="auto"/>
        <w:tabs>
          <w:tab w:leader="none" w:pos="2444"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such debt securities theretofore authenticated and delivered (other than (i) debt securities that have been destroyed, lost or wrongfully taken and that have been replaced or paid and (ii) debt securities for the payment of which money has theretofore been deposited in trust or segregated and held in trust by Viper Energy Partners and thereafter repaid to Viper Energy Partners or discharged from such trust) have been delivered to the Trustee for cancellation; or</w:t>
      </w:r>
    </w:p>
    <w:p>
      <w:pPr>
        <w:spacing w:after="0" w:line="89" w:lineRule="exact"/>
        <w:rPr>
          <w:rFonts w:ascii="Times New Roman" w:cs="Times New Roman" w:eastAsia="Times New Roman" w:hAnsi="Times New Roman"/>
          <w:sz w:val="14"/>
          <w:szCs w:val="14"/>
          <w:color w:val="auto"/>
        </w:rPr>
      </w:pPr>
    </w:p>
    <w:p>
      <w:pPr>
        <w:ind w:left="2440" w:hanging="319"/>
        <w:spacing w:after="0"/>
        <w:tabs>
          <w:tab w:leader="none" w:pos="244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such debt securities not theretofore delivered to the Trustee for cancellation</w:t>
      </w:r>
    </w:p>
    <w:p>
      <w:pPr>
        <w:spacing w:after="0" w:line="126" w:lineRule="exact"/>
        <w:rPr>
          <w:rFonts w:ascii="Times New Roman" w:cs="Times New Roman" w:eastAsia="Times New Roman" w:hAnsi="Times New Roman"/>
          <w:sz w:val="14"/>
          <w:szCs w:val="14"/>
          <w:color w:val="auto"/>
        </w:rPr>
      </w:pPr>
    </w:p>
    <w:p>
      <w:pPr>
        <w:ind w:left="2660" w:hanging="255"/>
        <w:spacing w:after="0"/>
        <w:tabs>
          <w:tab w:leader="none" w:pos="2660" w:val="left"/>
        </w:tabs>
        <w:numPr>
          <w:ilvl w:val="2"/>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become due and payable, or</w:t>
      </w:r>
    </w:p>
    <w:p>
      <w:pPr>
        <w:spacing w:after="0" w:line="115" w:lineRule="exact"/>
        <w:rPr>
          <w:rFonts w:ascii="Times New Roman" w:cs="Times New Roman" w:eastAsia="Times New Roman" w:hAnsi="Times New Roman"/>
          <w:sz w:val="14"/>
          <w:szCs w:val="14"/>
          <w:color w:val="auto"/>
        </w:rPr>
      </w:pPr>
    </w:p>
    <w:p>
      <w:pPr>
        <w:ind w:left="2700" w:hanging="295"/>
        <w:spacing w:after="0"/>
        <w:tabs>
          <w:tab w:leader="none" w:pos="2700" w:val="left"/>
        </w:tabs>
        <w:numPr>
          <w:ilvl w:val="2"/>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become due and payable at their stated maturity within one year, or</w:t>
      </w:r>
    </w:p>
    <w:p>
      <w:pPr>
        <w:spacing w:after="0" w:line="126" w:lineRule="exact"/>
        <w:rPr>
          <w:rFonts w:ascii="Times New Roman" w:cs="Times New Roman" w:eastAsia="Times New Roman" w:hAnsi="Times New Roman"/>
          <w:sz w:val="14"/>
          <w:szCs w:val="14"/>
          <w:color w:val="auto"/>
        </w:rPr>
      </w:pPr>
    </w:p>
    <w:p>
      <w:pPr>
        <w:ind w:left="2120" w:right="1379" w:firstLine="285"/>
        <w:spacing w:after="0" w:line="271" w:lineRule="auto"/>
        <w:tabs>
          <w:tab w:leader="none" w:pos="2745" w:val="left"/>
        </w:tabs>
        <w:numPr>
          <w:ilvl w:val="2"/>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to be called for redemption within one year under arrangements satisfactory to the Trustee for the giving of notice of redemption by the Trustee in the name, and at the expense, of Viper Energy Partners,</w:t>
      </w:r>
    </w:p>
    <w:p>
      <w:pPr>
        <w:spacing w:after="0" w:line="8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and Viper Energy Partners or a guarantor in the case of (i), (ii) or (iii) of subsection</w:t>
      </w:r>
    </w:p>
    <w:p>
      <w:pPr>
        <w:spacing w:after="0" w:line="23" w:lineRule="exact"/>
        <w:rPr>
          <w:sz w:val="20"/>
          <w:szCs w:val="20"/>
          <w:color w:val="auto"/>
        </w:rPr>
      </w:pPr>
    </w:p>
    <w:p>
      <w:pPr>
        <w:ind w:left="2120" w:right="1319" w:firstLine="1"/>
        <w:spacing w:after="0" w:line="255" w:lineRule="auto"/>
        <w:tabs>
          <w:tab w:leader="none" w:pos="2356"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has deposited or caused to be deposited with the Trustee as trust funds in trust solely for the benefit of the holders of the debt securities, cash in U.S. dollars, U.S. government obligations, or a combination thereof, in such amounts as will be sufficient (without consideration of any reinvestment of interest and, solely in the case of U.S. government obligations, as certified in an Officer’s Certificate from the chief financial officer of the Company), to pay and discharge the entire indebtedness on such debt securities not theretofore delivered to the Trustee for cancellation, for principal and any premium and interest to the date of such deposit (in the case of debt securities that have become due and payable) or to the stated maturity or redemption date, as the case may be;</w:t>
      </w:r>
    </w:p>
    <w:p>
      <w:pPr>
        <w:spacing w:after="0" w:line="84" w:lineRule="exact"/>
        <w:rPr>
          <w:rFonts w:ascii="Times New Roman" w:cs="Times New Roman" w:eastAsia="Times New Roman" w:hAnsi="Times New Roman"/>
          <w:sz w:val="14"/>
          <w:szCs w:val="14"/>
          <w:color w:val="auto"/>
        </w:rPr>
      </w:pPr>
    </w:p>
    <w:p>
      <w:pPr>
        <w:ind w:left="1560" w:right="1379" w:firstLine="277"/>
        <w:spacing w:after="0" w:line="271" w:lineRule="auto"/>
        <w:tabs>
          <w:tab w:leader="none" w:pos="213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Viper Energy Partners and the guarantors (if any) have paid or caused to be paid all other sums payable under the Indenture by Viper Energy Partners and the guarantors (if any) with respect to such debt securities; and</w:t>
      </w:r>
    </w:p>
    <w:p>
      <w:pPr>
        <w:spacing w:after="0" w:line="82" w:lineRule="exact"/>
        <w:rPr>
          <w:rFonts w:ascii="Times New Roman" w:cs="Times New Roman" w:eastAsia="Times New Roman" w:hAnsi="Times New Roman"/>
          <w:sz w:val="14"/>
          <w:szCs w:val="14"/>
          <w:color w:val="auto"/>
        </w:rPr>
      </w:pPr>
    </w:p>
    <w:p>
      <w:pPr>
        <w:ind w:left="1560" w:right="1459" w:firstLine="277"/>
        <w:spacing w:after="0" w:line="265" w:lineRule="auto"/>
        <w:tabs>
          <w:tab w:leader="none" w:pos="213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Viper Energy Partners has delivered to the Trustee an officer’s certificate and an opinion of counsel (which opinion of counsel may be subject to customary assumptions and exclusions), each stating that all conditions precedent in the Indenture relating to the satisfaction and discharge of the Indenture with respect to such debt securities have been satisfied.</w:t>
      </w:r>
    </w:p>
    <w:p>
      <w:pPr>
        <w:spacing w:after="0" w:line="87" w:lineRule="exact"/>
        <w:rPr>
          <w:sz w:val="20"/>
          <w:szCs w:val="20"/>
          <w:color w:val="auto"/>
        </w:rPr>
      </w:pPr>
    </w:p>
    <w:p>
      <w:pPr>
        <w:ind w:left="1260" w:right="1319" w:firstLine="284"/>
        <w:spacing w:after="0" w:line="271" w:lineRule="auto"/>
        <w:rPr>
          <w:sz w:val="20"/>
          <w:szCs w:val="20"/>
          <w:color w:val="auto"/>
        </w:rPr>
      </w:pPr>
      <w:r>
        <w:rPr>
          <w:rFonts w:ascii="Times New Roman" w:cs="Times New Roman" w:eastAsia="Times New Roman" w:hAnsi="Times New Roman"/>
          <w:sz w:val="14"/>
          <w:szCs w:val="14"/>
          <w:color w:val="auto"/>
        </w:rPr>
        <w:t>Notwithstanding the satisfaction and discharge of the Indenture with respect to debt securities of any series, certain obligations of Viper Energy Partners and the Trustee listed in the Indenture shall survive such satisfaction and discharge.</w:t>
      </w:r>
    </w:p>
    <w:p>
      <w:pPr>
        <w:spacing w:after="0" w:line="1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Payments</w:t>
      </w:r>
    </w:p>
    <w:p>
      <w:pPr>
        <w:spacing w:after="0" w:line="118" w:lineRule="exact"/>
        <w:rPr>
          <w:sz w:val="20"/>
          <w:szCs w:val="20"/>
          <w:color w:val="auto"/>
        </w:rPr>
      </w:pPr>
    </w:p>
    <w:p>
      <w:pPr>
        <w:ind w:left="1260" w:right="1379" w:firstLine="284"/>
        <w:spacing w:after="0" w:line="271" w:lineRule="auto"/>
        <w:rPr>
          <w:sz w:val="20"/>
          <w:szCs w:val="20"/>
          <w:color w:val="auto"/>
        </w:rPr>
      </w:pPr>
      <w:r>
        <w:rPr>
          <w:rFonts w:ascii="Times New Roman" w:cs="Times New Roman" w:eastAsia="Times New Roman" w:hAnsi="Times New Roman"/>
          <w:sz w:val="14"/>
          <w:szCs w:val="14"/>
          <w:color w:val="auto"/>
        </w:rPr>
        <w:t>Viper Energy Partners will pay interest, principal and other amounts payable with respect to the debt securities of any series to the holders of record of those debt securities as of the record dates and otherwise in the manner specified below or in the prospectus supplement for that series.</w:t>
      </w: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9" w:name="page30"/>
    <w:bookmarkEnd w:id="29"/>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319" w:firstLine="284"/>
        <w:spacing w:after="0" w:line="254" w:lineRule="auto"/>
        <w:rPr>
          <w:sz w:val="20"/>
          <w:szCs w:val="20"/>
          <w:color w:val="auto"/>
        </w:rPr>
      </w:pPr>
      <w:r>
        <w:rPr>
          <w:rFonts w:ascii="Times New Roman" w:cs="Times New Roman" w:eastAsia="Times New Roman" w:hAnsi="Times New Roman"/>
          <w:sz w:val="14"/>
          <w:szCs w:val="14"/>
          <w:color w:val="auto"/>
        </w:rPr>
        <w:t>Viper Energy Partners will make payments on a global debt security in accordance with the applicable policies of the depositary as in effect from time to time. Under those policies, Viper Energy Partners will pay directly to the depositary, or its nominee, and not to any indirect owners who own beneficial interests in the global debt security. An indirect owner’s right to receive those payments will be governed by the rules and practices of the depositary and its participants.</w:t>
      </w:r>
    </w:p>
    <w:p>
      <w:pPr>
        <w:spacing w:after="0" w:line="84" w:lineRule="exact"/>
        <w:rPr>
          <w:sz w:val="20"/>
          <w:szCs w:val="20"/>
          <w:color w:val="auto"/>
        </w:rPr>
      </w:pPr>
    </w:p>
    <w:p>
      <w:pPr>
        <w:ind w:left="1260" w:right="1319" w:firstLine="284"/>
        <w:spacing w:after="0" w:line="248" w:lineRule="auto"/>
        <w:rPr>
          <w:sz w:val="20"/>
          <w:szCs w:val="20"/>
          <w:color w:val="auto"/>
        </w:rPr>
      </w:pPr>
      <w:r>
        <w:rPr>
          <w:rFonts w:ascii="Times New Roman" w:cs="Times New Roman" w:eastAsia="Times New Roman" w:hAnsi="Times New Roman"/>
          <w:sz w:val="14"/>
          <w:szCs w:val="14"/>
          <w:color w:val="auto"/>
        </w:rPr>
        <w:t>Viper Energy Partners will make payments on a debt security in non- global, registered form as follows. Viper Energy Partners will pay interest that is due on an interest payment date by check mailed on the interest payment date to the holder at his or her address shown on the Trustee’s records as of the close of business on the regular record date. Viper Energy Partners will make all other payments by check at the paying agent described below, against surrender of the debt security. All payments by check will be made in next-day funds (i.e., funds that become available on the day after the check is cashed).</w:t>
      </w:r>
    </w:p>
    <w:p>
      <w:pPr>
        <w:spacing w:after="0" w:line="87" w:lineRule="exact"/>
        <w:rPr>
          <w:sz w:val="20"/>
          <w:szCs w:val="20"/>
          <w:color w:val="auto"/>
        </w:rPr>
      </w:pPr>
    </w:p>
    <w:p>
      <w:pPr>
        <w:ind w:left="1260" w:right="1319" w:firstLine="284"/>
        <w:spacing w:after="0" w:line="248" w:lineRule="auto"/>
        <w:rPr>
          <w:sz w:val="20"/>
          <w:szCs w:val="20"/>
          <w:color w:val="auto"/>
        </w:rPr>
      </w:pPr>
      <w:r>
        <w:rPr>
          <w:rFonts w:ascii="Times New Roman" w:cs="Times New Roman" w:eastAsia="Times New Roman" w:hAnsi="Times New Roman"/>
          <w:sz w:val="14"/>
          <w:szCs w:val="14"/>
          <w:color w:val="auto"/>
        </w:rPr>
        <w:t>Alternatively, if a non-global debt security has a face amount of at least $1,000,000 and the holder asks us to do so, Viper Energy Partners will pay any amount that becomes due on the debt security by wire transfer of immediately available funds to an account at a bank in the United States of America, on the due date. To request wire payment, the holder must give the paying agent appropriate wire transfer instructions at least five business days before the requested wire payment is due. In the case of any interest payment due on an interest payment date, the instructions must be given by the person or entity who is the holder on the relevant regular record date. In the case of any other payment, payment will be made only after the debt security is surrendered to the paying agent. Any wire instructions, once properly given, will remain in effect unless and until new instructions are given in the manner described above.</w:t>
      </w:r>
    </w:p>
    <w:p>
      <w:pPr>
        <w:spacing w:after="0" w:line="88" w:lineRule="exact"/>
        <w:rPr>
          <w:sz w:val="20"/>
          <w:szCs w:val="20"/>
          <w:color w:val="auto"/>
        </w:rPr>
      </w:pPr>
    </w:p>
    <w:p>
      <w:pPr>
        <w:ind w:left="1260" w:right="1579" w:firstLine="284"/>
        <w:spacing w:after="0" w:line="272" w:lineRule="auto"/>
        <w:rPr>
          <w:sz w:val="20"/>
          <w:szCs w:val="20"/>
          <w:color w:val="auto"/>
        </w:rPr>
      </w:pPr>
      <w:r>
        <w:rPr>
          <w:rFonts w:ascii="Times New Roman" w:cs="Times New Roman" w:eastAsia="Times New Roman" w:hAnsi="Times New Roman"/>
          <w:sz w:val="14"/>
          <w:szCs w:val="14"/>
          <w:color w:val="auto"/>
        </w:rPr>
        <w:t>Book-entry and other indirect owners should consult their banks or brokers for information on how they will receive payments on their debt securities.</w:t>
      </w:r>
    </w:p>
    <w:p>
      <w:pPr>
        <w:spacing w:after="0" w:line="1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Certain Waivers and Limitations</w:t>
      </w:r>
    </w:p>
    <w:p>
      <w:pPr>
        <w:spacing w:after="0" w:line="118" w:lineRule="exact"/>
        <w:rPr>
          <w:sz w:val="20"/>
          <w:szCs w:val="20"/>
          <w:color w:val="auto"/>
        </w:rPr>
      </w:pPr>
    </w:p>
    <w:p>
      <w:pPr>
        <w:ind w:left="1260" w:right="1339" w:firstLine="284"/>
        <w:spacing w:after="0" w:line="245" w:lineRule="auto"/>
        <w:rPr>
          <w:sz w:val="20"/>
          <w:szCs w:val="20"/>
          <w:color w:val="auto"/>
        </w:rPr>
      </w:pPr>
      <w:r>
        <w:rPr>
          <w:rFonts w:ascii="Times New Roman" w:cs="Times New Roman" w:eastAsia="Times New Roman" w:hAnsi="Times New Roman"/>
          <w:sz w:val="14"/>
          <w:szCs w:val="14"/>
          <w:color w:val="auto"/>
        </w:rPr>
        <w:t>No past, present or future director, officer, employee, manager, member, partner, incorporator or stockholder of Viper Energy Partners or any guarantor, or any employee or agent of any affiliate of Viper Energy or any guarantor who has been seconded to Viper Energy, Viper Energy Partners, any guarantor or any of their respective subsidiaries, as such, will have any liability for any obligations of Viper Energy Partners or any guarantor under the debt securities or the Indenture or for any claim based on, in respect of, or by reason of, such 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 The only payment provisions, representations and warranties, covenants, events of default, guarantee provisions and other obligations applicable to Viper Energy Partners and any guarantor are those expressly set forth in the Indenture and, by acceptance of any Note, each holder waives and expressly disclaims to the maximum extent permitted by applicable law any implied covenant and other similar provision that may exist in law or in equity and that may be applicable to Viper Energy Partners or any guarantor and each holder agrees that it will not participate in any cause of action with respect to, alleging the existing or breach of, or seeking to enforce any such implied covenant or similar provision. In addition, the “integrated transaction doctrine” any similar legal doctrine or theory is expressly waived by each holder by acceptance of any Note. Without limiting the foregoing, each holder agrees by acceptance of any Note that (a) any series of related transactions shall be permitted by the Indenture if each individual transaction would be permitted, and (b) any series of related transactions that are consummate substantially concurrently may be deemed to be consummated in any order determined by Viper Energy Partners that complies with the Indenture with permissibility of each transaction evaluated in light of such order.</w:t>
      </w:r>
    </w:p>
    <w:p>
      <w:pPr>
        <w:spacing w:after="0" w:line="3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28" w:lineRule="exact"/>
        <w:rPr>
          <w:sz w:val="20"/>
          <w:szCs w:val="20"/>
          <w:color w:val="auto"/>
        </w:rPr>
      </w:pPr>
    </w:p>
    <w:p>
      <w:pPr>
        <w:ind w:left="1260" w:right="2059" w:firstLine="284"/>
        <w:spacing w:after="0" w:line="272" w:lineRule="auto"/>
        <w:rPr>
          <w:sz w:val="20"/>
          <w:szCs w:val="20"/>
          <w:color w:val="auto"/>
        </w:rPr>
      </w:pPr>
      <w:r>
        <w:rPr>
          <w:rFonts w:ascii="Times New Roman" w:cs="Times New Roman" w:eastAsia="Times New Roman" w:hAnsi="Times New Roman"/>
          <w:sz w:val="14"/>
          <w:szCs w:val="14"/>
          <w:color w:val="auto"/>
        </w:rPr>
        <w:t>The Indenture is, and the debt securities (and any guarantees thereof) will be, governed by, and construed in accordance with, the laws of the State of New York.</w:t>
      </w:r>
    </w:p>
    <w:p>
      <w:pPr>
        <w:spacing w:after="0" w:line="1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Guarantees</w:t>
      </w:r>
    </w:p>
    <w:p>
      <w:pPr>
        <w:spacing w:after="0" w:line="128" w:lineRule="exact"/>
        <w:rPr>
          <w:sz w:val="20"/>
          <w:szCs w:val="20"/>
          <w:color w:val="auto"/>
        </w:rPr>
      </w:pPr>
    </w:p>
    <w:p>
      <w:pPr>
        <w:ind w:left="1260" w:right="1439" w:firstLine="284"/>
        <w:spacing w:after="0" w:line="272" w:lineRule="auto"/>
        <w:rPr>
          <w:sz w:val="20"/>
          <w:szCs w:val="20"/>
          <w:color w:val="auto"/>
        </w:rPr>
      </w:pPr>
      <w:r>
        <w:rPr>
          <w:rFonts w:ascii="Times New Roman" w:cs="Times New Roman" w:eastAsia="Times New Roman" w:hAnsi="Times New Roman"/>
          <w:sz w:val="14"/>
          <w:szCs w:val="14"/>
          <w:color w:val="auto"/>
        </w:rPr>
        <w:t>The debt securities of any series may be guaranteed by Viper Energy or any guarantor required to guarantee the debt securities pursuant to the terms of the applicable supplemental indenture. However, the</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0" w:name="page31"/>
    <w:bookmarkEnd w:id="30"/>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359"/>
        <w:spacing w:after="0" w:line="254" w:lineRule="auto"/>
        <w:rPr>
          <w:sz w:val="20"/>
          <w:szCs w:val="20"/>
          <w:color w:val="auto"/>
        </w:rPr>
      </w:pPr>
      <w:r>
        <w:rPr>
          <w:rFonts w:ascii="Times New Roman" w:cs="Times New Roman" w:eastAsia="Times New Roman" w:hAnsi="Times New Roman"/>
          <w:sz w:val="14"/>
          <w:szCs w:val="14"/>
          <w:color w:val="auto"/>
        </w:rPr>
        <w:t>Indenture will not require that any of our existing or future subsidiaries be a guarantor of any series of debt securities and will permit the guarantors of any series of guaranteed debt securities to differ from the guarantors of any other series of guaranteed debt securities. If we issue a series of guaranteed debt securities, the identity of the specific guarantors of the debt securities of that series will be identified in the applicable prospectus supplement.</w:t>
      </w:r>
    </w:p>
    <w:p>
      <w:pPr>
        <w:spacing w:after="0" w:line="84" w:lineRule="exact"/>
        <w:rPr>
          <w:sz w:val="20"/>
          <w:szCs w:val="20"/>
          <w:color w:val="auto"/>
        </w:rPr>
      </w:pPr>
    </w:p>
    <w:p>
      <w:pPr>
        <w:ind w:left="1260" w:right="1339" w:firstLine="284"/>
        <w:spacing w:after="0" w:line="248" w:lineRule="auto"/>
        <w:rPr>
          <w:sz w:val="20"/>
          <w:szCs w:val="20"/>
          <w:color w:val="auto"/>
        </w:rPr>
      </w:pPr>
      <w:r>
        <w:rPr>
          <w:rFonts w:ascii="Times New Roman" w:cs="Times New Roman" w:eastAsia="Times New Roman" w:hAnsi="Times New Roman"/>
          <w:sz w:val="14"/>
          <w:szCs w:val="14"/>
          <w:color w:val="auto"/>
        </w:rPr>
        <w:t>If we issue a series of guaranteed debt securities, a description of some of the terms of guarantees of those debt securities will be set forth in the applicable prospectus supplement. Unless otherwise provided in the prospectus supplement relating to a series of guaranteed debt securities, each guarantor of the debt securities of such series will fully and unconditionally guarantee the due and punctual payment of the principal of, and premium, if any, and interest on each debt security of such series, all in accordance with the terms of such debt securities and the Indenture.</w:t>
      </w:r>
    </w:p>
    <w:p>
      <w:pPr>
        <w:spacing w:after="0" w:line="87" w:lineRule="exact"/>
        <w:rPr>
          <w:sz w:val="20"/>
          <w:szCs w:val="20"/>
          <w:color w:val="auto"/>
        </w:rPr>
      </w:pPr>
    </w:p>
    <w:p>
      <w:pPr>
        <w:ind w:left="1260" w:right="1299" w:firstLine="284"/>
        <w:spacing w:after="0" w:line="247" w:lineRule="auto"/>
        <w:rPr>
          <w:sz w:val="20"/>
          <w:szCs w:val="20"/>
          <w:color w:val="auto"/>
        </w:rPr>
      </w:pPr>
      <w:r>
        <w:rPr>
          <w:rFonts w:ascii="Times New Roman" w:cs="Times New Roman" w:eastAsia="Times New Roman" w:hAnsi="Times New Roman"/>
          <w:sz w:val="14"/>
          <w:szCs w:val="14"/>
          <w:color w:val="auto"/>
        </w:rPr>
        <w:t>Notwithstanding the foregoing, unless otherwise provided in the prospectus supplement relating to a series of guaranteed debt securities, the Indenture will contain provisions intended to limit the obligations of each guarantor under its guarantees and the Indenture to the maximum amount as will, after giving effect to all other contingent and fixed liabilities of such guarantor, result in the obligations of such guarantor under such guarantees and such Indenture not constituting a fraudulent conveyance or fraudulent transfer under applicable law. However, there can be no assurance that, notwithstanding such limitation, a court would not determine that a guarantee constituted a fraudulent conveyance or fraudulent transfer under applicable law. If that were to occur, the court could void the applicable guarantor’s obligations under that guarantee, subordinate that guarantee to other debt and other liabilities of that guarantor or take other action detrimental to holders of the debt securities of the applicable series, including directing the holders to return any payments received from the applicable guarantor.</w:t>
      </w:r>
    </w:p>
    <w:p>
      <w:pPr>
        <w:spacing w:after="0" w:line="258" w:lineRule="exact"/>
        <w:rPr>
          <w:sz w:val="20"/>
          <w:szCs w:val="20"/>
          <w:color w:val="auto"/>
        </w:rPr>
      </w:pPr>
    </w:p>
    <w:p>
      <w:pPr>
        <w:ind w:left="1260" w:right="1299" w:firstLine="284"/>
        <w:spacing w:after="0" w:line="244" w:lineRule="auto"/>
        <w:rPr>
          <w:sz w:val="20"/>
          <w:szCs w:val="20"/>
          <w:color w:val="auto"/>
        </w:rPr>
      </w:pPr>
      <w:r>
        <w:rPr>
          <w:rFonts w:ascii="Times New Roman" w:cs="Times New Roman" w:eastAsia="Times New Roman" w:hAnsi="Times New Roman"/>
          <w:sz w:val="14"/>
          <w:szCs w:val="14"/>
          <w:color w:val="auto"/>
        </w:rPr>
        <w:t>Unless otherwise provided in the prospectus supplement relating to a series of guaranteed debt securities, the Indenture will (i) provide that each guarantor will be released and discharged automatically and unconditionally from all its obligations under the Indenture and its guarantee with respect to a series of debt securities, and will cease to be a guarantor with respect to such debt securities, without any further action required on the part of the Trustee or any holder, (a) in the case of a subsidiary guarantor, in the event the subsidiary guarantor is sold or disposed of (whether by merger, consolidation, the sale of a sufficient amount of its (or an intermediate holding company’s) capital stock so that it no longer constitutes a “subsidiary” of ours or the sale of all or substantially all of its properties and assets on a consolidated basis (other than by lease)), and whether or not the guarantor is the surviving entity in such transaction, to a person that is not (and does not thereupon become) Viper Energy Partners or a subsidiary of Viper Energy Partners, (b) in the case of a parent guarantor, to the extent that Viper Energy Partners no longer intends to rely upon the annual reports and the information, documents and other reports filed by the parent guarantor for purposes of compliance with Section 704 of the Indenture, upon delivery of an Officer’s Certificate to the Trustee certifying thereto and confirming release of the guarantee provided by the parent guarantor,</w:t>
      </w:r>
    </w:p>
    <w:p>
      <w:pPr>
        <w:spacing w:after="0" w:line="1" w:lineRule="exact"/>
        <w:rPr>
          <w:sz w:val="20"/>
          <w:szCs w:val="20"/>
          <w:color w:val="auto"/>
        </w:rPr>
      </w:pPr>
    </w:p>
    <w:p>
      <w:pPr>
        <w:ind w:left="1260" w:right="1319" w:firstLine="10"/>
        <w:spacing w:after="0" w:line="244" w:lineRule="auto"/>
        <w:tabs>
          <w:tab w:leader="none" w:pos="146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any merger with and into Viper Energy Partners, Viper Energy or any other guarantor, (d) in connection with any covenant defeasance, legal defeasance or satisfaction and discharge of the debt securities of that series, (e) if no event of default has occurred and is then continuing, upon the liquidation or dissolution of the guarantor, or (f) upon delivery of an Officer’s Certificate to the Trustee certifying that such Guarantor does not guarantee (or is substantially concurrently being released from its guarantee of) the obligations of the Company under any indebtedness for borrowed money (including any release that would be conditioned only on the release or discharge of the Guarantee of the Securities, other than indebtedness for borrowed money) and (ii) permit us to cause the guarantee of any guarantor of such debt securities to be released at any time if we satisfy such conditions, if any, as are specified in the prospectus supplement for such debt securities.</w:t>
      </w:r>
    </w:p>
    <w:p>
      <w:pPr>
        <w:spacing w:after="0" w:line="256" w:lineRule="exact"/>
        <w:rPr>
          <w:sz w:val="20"/>
          <w:szCs w:val="20"/>
          <w:color w:val="auto"/>
        </w:rPr>
      </w:pPr>
    </w:p>
    <w:p>
      <w:pPr>
        <w:ind w:left="1260" w:right="1439" w:firstLine="284"/>
        <w:spacing w:after="0" w:line="272" w:lineRule="auto"/>
        <w:rPr>
          <w:sz w:val="20"/>
          <w:szCs w:val="20"/>
          <w:color w:val="auto"/>
        </w:rPr>
      </w:pPr>
      <w:r>
        <w:rPr>
          <w:rFonts w:ascii="Times New Roman" w:cs="Times New Roman" w:eastAsia="Times New Roman" w:hAnsi="Times New Roman"/>
          <w:sz w:val="14"/>
          <w:szCs w:val="14"/>
          <w:color w:val="auto"/>
        </w:rPr>
        <w:t>The applicable prospectus supplement relating to any series of guaranteed debt securities will specify other terms of the applicable guarantees.</w:t>
      </w:r>
    </w:p>
    <w:p>
      <w:pPr>
        <w:spacing w:after="0" w:line="71" w:lineRule="exact"/>
        <w:rPr>
          <w:sz w:val="20"/>
          <w:szCs w:val="20"/>
          <w:color w:val="auto"/>
        </w:rPr>
      </w:pPr>
    </w:p>
    <w:p>
      <w:pPr>
        <w:ind w:left="1260" w:right="1299" w:firstLine="284"/>
        <w:spacing w:after="0" w:line="254" w:lineRule="auto"/>
        <w:rPr>
          <w:sz w:val="20"/>
          <w:szCs w:val="20"/>
          <w:color w:val="auto"/>
        </w:rPr>
      </w:pPr>
      <w:r>
        <w:rPr>
          <w:rFonts w:ascii="Times New Roman" w:cs="Times New Roman" w:eastAsia="Times New Roman" w:hAnsi="Times New Roman"/>
          <w:sz w:val="14"/>
          <w:szCs w:val="14"/>
          <w:color w:val="auto"/>
        </w:rPr>
        <w:t>If the applicable prospectus supplement relating to a series of our debt securities provides that those debt securities will have the benefit of a guarantee by any or all of our existing or future subsidiaries, unless otherwise provided in the applicable prospectus supplement, each such guarantee will be the unsubordinated and unsecured obligation of the applicable guarantor and will rank equally in right of payment with all of the unsecured and unsubordinated indebtedness of such guarantor.</w:t>
      </w: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1" w:name="page32"/>
    <w:bookmarkEnd w:id="31"/>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Regarding the Trustee</w:t>
      </w:r>
    </w:p>
    <w:p>
      <w:pPr>
        <w:spacing w:after="0" w:line="128" w:lineRule="exact"/>
        <w:rPr>
          <w:sz w:val="20"/>
          <w:szCs w:val="20"/>
          <w:color w:val="auto"/>
        </w:rPr>
      </w:pPr>
    </w:p>
    <w:p>
      <w:pPr>
        <w:ind w:left="1260" w:right="1339" w:firstLine="284"/>
        <w:spacing w:after="0" w:line="256" w:lineRule="auto"/>
        <w:rPr>
          <w:sz w:val="20"/>
          <w:szCs w:val="20"/>
          <w:color w:val="auto"/>
        </w:rPr>
      </w:pPr>
      <w:r>
        <w:rPr>
          <w:rFonts w:ascii="Times New Roman" w:cs="Times New Roman" w:eastAsia="Times New Roman" w:hAnsi="Times New Roman"/>
          <w:sz w:val="14"/>
          <w:szCs w:val="14"/>
          <w:color w:val="auto"/>
        </w:rPr>
        <w:t xml:space="preserve">The Indenture will provide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Except as provided above under the heading </w:t>
      </w:r>
      <w:r>
        <w:rPr>
          <w:rFonts w:ascii="Times New Roman" w:cs="Times New Roman" w:eastAsia="Times New Roman" w:hAnsi="Times New Roman"/>
          <w:sz w:val="14"/>
          <w:szCs w:val="14"/>
          <w:i w:val="1"/>
          <w:iCs w:val="1"/>
          <w:color w:val="auto"/>
        </w:rPr>
        <w:t>“Payments”</w:t>
      </w:r>
      <w:r>
        <w:rPr>
          <w:rFonts w:ascii="Times New Roman" w:cs="Times New Roman" w:eastAsia="Times New Roman" w:hAnsi="Times New Roman"/>
          <w:sz w:val="14"/>
          <w:szCs w:val="14"/>
          <w:color w:val="auto"/>
        </w:rPr>
        <w:t xml:space="preserve"> or as otherwise provided in the applicable prospectus supplement, all payments of principal of, premium, if any, and interest on, and all registration, transfer, exchange, authentication and delivery (including authentication and delivery on original issuance of the debt securities) of, the debt securities of a series will be effected by the Trustee with respect to that series at an office designated by the Trustee, which is initially the corporate trust office of the Trustee in St. Paul, Minnesota.</w:t>
      </w:r>
    </w:p>
    <w:p>
      <w:pPr>
        <w:spacing w:after="0" w:line="269" w:lineRule="exact"/>
        <w:rPr>
          <w:sz w:val="20"/>
          <w:szCs w:val="20"/>
          <w:color w:val="auto"/>
        </w:rPr>
      </w:pPr>
    </w:p>
    <w:p>
      <w:pPr>
        <w:ind w:left="1260" w:right="1359" w:firstLine="284"/>
        <w:spacing w:after="0" w:line="263" w:lineRule="auto"/>
        <w:rPr>
          <w:sz w:val="20"/>
          <w:szCs w:val="20"/>
          <w:color w:val="auto"/>
        </w:rPr>
      </w:pPr>
      <w:r>
        <w:rPr>
          <w:rFonts w:ascii="Times New Roman" w:cs="Times New Roman" w:eastAsia="Times New Roman" w:hAnsi="Times New Roman"/>
          <w:sz w:val="14"/>
          <w:szCs w:val="14"/>
          <w:color w:val="auto"/>
        </w:rPr>
        <w:t>The Indenture does not prohibit the Trustee from serving as trustee under any other indenture to which Viper Energy Partners or Viper Energy may be a party from time to time or from engaging in other transactions with us. If the Trustee acquires any conflicting interest within the meaning of the Trust Indenture Act and there is an event of default with respect to any series of debt securities, the Trustee must eliminate the conflict or resign.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2" w:name="page33"/>
    <w:bookmarkEnd w:id="32"/>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OTHER SECURITIES</w:t>
      </w:r>
    </w:p>
    <w:p>
      <w:pPr>
        <w:spacing w:after="0" w:line="128" w:lineRule="exact"/>
        <w:rPr>
          <w:sz w:val="20"/>
          <w:szCs w:val="20"/>
          <w:color w:val="auto"/>
        </w:rPr>
      </w:pPr>
    </w:p>
    <w:p>
      <w:pPr>
        <w:ind w:left="1260" w:right="1519" w:firstLine="284"/>
        <w:spacing w:after="0" w:line="288" w:lineRule="auto"/>
        <w:rPr>
          <w:sz w:val="20"/>
          <w:szCs w:val="20"/>
          <w:color w:val="auto"/>
        </w:rPr>
      </w:pPr>
      <w:r>
        <w:rPr>
          <w:rFonts w:ascii="Times New Roman" w:cs="Times New Roman" w:eastAsia="Times New Roman" w:hAnsi="Times New Roman"/>
          <w:sz w:val="14"/>
          <w:szCs w:val="14"/>
          <w:color w:val="auto"/>
        </w:rPr>
        <w:t>We will set forth in the applicable prospectus supplement a description of any warrants issued by us that may be offered and sold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3" w:name="page34"/>
    <w:bookmarkEnd w:id="33"/>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Book-Entry, Delivery and Form</w:t>
      </w:r>
    </w:p>
    <w:p>
      <w:pPr>
        <w:spacing w:after="0" w:line="128" w:lineRule="exact"/>
        <w:rPr>
          <w:sz w:val="20"/>
          <w:szCs w:val="20"/>
          <w:color w:val="auto"/>
        </w:rPr>
      </w:pPr>
    </w:p>
    <w:p>
      <w:pPr>
        <w:ind w:left="1260" w:right="1339" w:firstLine="284"/>
        <w:spacing w:after="0" w:line="247" w:lineRule="auto"/>
        <w:rPr>
          <w:sz w:val="20"/>
          <w:szCs w:val="20"/>
          <w:color w:val="auto"/>
        </w:rPr>
      </w:pPr>
      <w:r>
        <w:rPr>
          <w:rFonts w:ascii="Times New Roman" w:cs="Times New Roman" w:eastAsia="Times New Roman" w:hAnsi="Times New Roman"/>
          <w:sz w:val="14"/>
          <w:szCs w:val="14"/>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9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DTC has advised us that it is:</w:t>
      </w:r>
    </w:p>
    <w:p>
      <w:pPr>
        <w:spacing w:after="0" w:line="94" w:lineRule="exact"/>
        <w:rPr>
          <w:sz w:val="20"/>
          <w:szCs w:val="20"/>
          <w:color w:val="auto"/>
        </w:rPr>
      </w:pPr>
    </w:p>
    <w:p>
      <w:pPr>
        <w:ind w:left="1700" w:hanging="147"/>
        <w:spacing w:after="0"/>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limited-purpose trust company organized under the New York Banking Law;</w:t>
      </w:r>
    </w:p>
    <w:p>
      <w:pPr>
        <w:spacing w:after="0" w:line="83"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“banking organization” within the meaning of the New York Banking Law;</w:t>
      </w:r>
    </w:p>
    <w:p>
      <w:pPr>
        <w:spacing w:after="0" w:line="94"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member of the Federal Reserve System;</w:t>
      </w:r>
    </w:p>
    <w:p>
      <w:pPr>
        <w:spacing w:after="0" w:line="94"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corporation” within the meaning of the New York Uniform Commercial Code; and</w:t>
      </w:r>
    </w:p>
    <w:p>
      <w:pPr>
        <w:spacing w:after="0" w:line="83"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agency” registered pursuant to the provisions of Section 17A of the Exchange Act.</w:t>
      </w:r>
    </w:p>
    <w:p>
      <w:pPr>
        <w:spacing w:after="0" w:line="126" w:lineRule="exact"/>
        <w:rPr>
          <w:sz w:val="20"/>
          <w:szCs w:val="20"/>
          <w:color w:val="auto"/>
        </w:rPr>
      </w:pPr>
    </w:p>
    <w:p>
      <w:pPr>
        <w:ind w:left="1260" w:right="1339" w:firstLine="284"/>
        <w:spacing w:after="0" w:line="246" w:lineRule="auto"/>
        <w:rPr>
          <w:sz w:val="20"/>
          <w:szCs w:val="20"/>
          <w:color w:val="auto"/>
        </w:rPr>
      </w:pPr>
      <w:r>
        <w:rPr>
          <w:rFonts w:ascii="Times New Roman" w:cs="Times New Roman" w:eastAsia="Times New Roman" w:hAnsi="Times New Roman"/>
          <w:sz w:val="14"/>
          <w:szCs w:val="14"/>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89" w:lineRule="exact"/>
        <w:rPr>
          <w:sz w:val="20"/>
          <w:szCs w:val="20"/>
          <w:color w:val="auto"/>
        </w:rPr>
      </w:pPr>
    </w:p>
    <w:p>
      <w:pPr>
        <w:ind w:left="1260" w:right="1339" w:firstLine="284"/>
        <w:spacing w:after="0" w:line="247" w:lineRule="auto"/>
        <w:rPr>
          <w:sz w:val="20"/>
          <w:szCs w:val="20"/>
          <w:color w:val="auto"/>
        </w:rPr>
      </w:pPr>
      <w:r>
        <w:rPr>
          <w:rFonts w:ascii="Times New Roman" w:cs="Times New Roman" w:eastAsia="Times New Roman" w:hAnsi="Times New Roman"/>
          <w:sz w:val="14"/>
          <w:szCs w:val="14"/>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88" w:lineRule="exact"/>
        <w:rPr>
          <w:sz w:val="20"/>
          <w:szCs w:val="20"/>
          <w:color w:val="auto"/>
        </w:rPr>
      </w:pPr>
    </w:p>
    <w:p>
      <w:pPr>
        <w:ind w:left="1260" w:right="1299" w:firstLine="284"/>
        <w:spacing w:after="0" w:line="247" w:lineRule="auto"/>
        <w:rPr>
          <w:sz w:val="20"/>
          <w:szCs w:val="20"/>
          <w:color w:val="auto"/>
        </w:rPr>
      </w:pPr>
      <w:r>
        <w:rPr>
          <w:rFonts w:ascii="Times New Roman" w:cs="Times New Roman" w:eastAsia="Times New Roman" w:hAnsi="Times New Roman"/>
          <w:sz w:val="14"/>
          <w:szCs w:val="14"/>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255" w:lineRule="exact"/>
        <w:rPr>
          <w:sz w:val="20"/>
          <w:szCs w:val="20"/>
          <w:color w:val="auto"/>
        </w:rPr>
      </w:pPr>
    </w:p>
    <w:p>
      <w:pPr>
        <w:ind w:left="1260" w:right="1359" w:firstLine="284"/>
        <w:spacing w:after="0" w:line="254" w:lineRule="auto"/>
        <w:rPr>
          <w:sz w:val="20"/>
          <w:szCs w:val="20"/>
          <w:color w:val="auto"/>
        </w:rPr>
      </w:pPr>
      <w:r>
        <w:rPr>
          <w:rFonts w:ascii="Times New Roman" w:cs="Times New Roman" w:eastAsia="Times New Roman" w:hAnsi="Times New Roman"/>
          <w:sz w:val="14"/>
          <w:szCs w:val="14"/>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4" w:name="page35"/>
    <w:bookmarkEnd w:id="34"/>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379" w:firstLine="284"/>
        <w:spacing w:after="0" w:line="263" w:lineRule="auto"/>
        <w:rPr>
          <w:sz w:val="20"/>
          <w:szCs w:val="20"/>
          <w:color w:val="auto"/>
        </w:rPr>
      </w:pPr>
      <w:r>
        <w:rPr>
          <w:rFonts w:ascii="Times New Roman" w:cs="Times New Roman" w:eastAsia="Times New Roman" w:hAnsi="Times New Roman"/>
          <w:sz w:val="14"/>
          <w:szCs w:val="14"/>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77" w:lineRule="exact"/>
        <w:rPr>
          <w:sz w:val="20"/>
          <w:szCs w:val="20"/>
          <w:color w:val="auto"/>
        </w:rPr>
      </w:pPr>
    </w:p>
    <w:p>
      <w:pPr>
        <w:ind w:left="1260" w:right="1319" w:firstLine="284"/>
        <w:spacing w:after="0" w:line="263" w:lineRule="auto"/>
        <w:rPr>
          <w:sz w:val="20"/>
          <w:szCs w:val="20"/>
          <w:color w:val="auto"/>
        </w:rPr>
      </w:pPr>
      <w:r>
        <w:rPr>
          <w:rFonts w:ascii="Times New Roman" w:cs="Times New Roman" w:eastAsia="Times New Roman" w:hAnsi="Times New Roman"/>
          <w:sz w:val="14"/>
          <w:szCs w:val="14"/>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77" w:lineRule="exact"/>
        <w:rPr>
          <w:sz w:val="20"/>
          <w:szCs w:val="20"/>
          <w:color w:val="auto"/>
        </w:rPr>
      </w:pPr>
    </w:p>
    <w:p>
      <w:pPr>
        <w:ind w:left="1260" w:right="1459" w:firstLine="284"/>
        <w:spacing w:after="0" w:line="250" w:lineRule="auto"/>
        <w:rPr>
          <w:sz w:val="20"/>
          <w:szCs w:val="20"/>
          <w:color w:val="auto"/>
        </w:rPr>
      </w:pPr>
      <w:r>
        <w:rPr>
          <w:rFonts w:ascii="Times New Roman" w:cs="Times New Roman" w:eastAsia="Times New Roman" w:hAnsi="Times New Roman"/>
          <w:sz w:val="14"/>
          <w:szCs w:val="14"/>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87" w:lineRule="exact"/>
        <w:rPr>
          <w:sz w:val="20"/>
          <w:szCs w:val="20"/>
          <w:color w:val="auto"/>
        </w:rPr>
      </w:pPr>
    </w:p>
    <w:p>
      <w:pPr>
        <w:ind w:left="1260" w:right="1379" w:firstLine="284"/>
        <w:spacing w:after="0" w:line="248" w:lineRule="auto"/>
        <w:rPr>
          <w:sz w:val="20"/>
          <w:szCs w:val="20"/>
          <w:color w:val="auto"/>
        </w:rPr>
      </w:pPr>
      <w:r>
        <w:rPr>
          <w:rFonts w:ascii="Times New Roman" w:cs="Times New Roman" w:eastAsia="Times New Roman" w:hAnsi="Times New Roman"/>
          <w:sz w:val="14"/>
          <w:szCs w:val="14"/>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25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Redemption proceeds, distributions and dividend payments on the securities will be made to</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Cede &amp; Co., or such other nominee as may be requested by an authorized representative of DTC. DTC’s</w:t>
      </w:r>
    </w:p>
    <w:p>
      <w:pPr>
        <w:ind w:left="1260"/>
        <w:spacing w:after="0" w:line="237" w:lineRule="auto"/>
        <w:rPr>
          <w:sz w:val="20"/>
          <w:szCs w:val="20"/>
          <w:color w:val="auto"/>
        </w:rPr>
      </w:pPr>
      <w:r>
        <w:rPr>
          <w:rFonts w:ascii="Times New Roman" w:cs="Times New Roman" w:eastAsia="Times New Roman" w:hAnsi="Times New Roman"/>
          <w:sz w:val="14"/>
          <w:szCs w:val="14"/>
          <w:color w:val="auto"/>
        </w:rPr>
        <w:t>practice is to credit direct participants’ accounts upon DTC’s receipt of funds and corresponding detail</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information from us on the payment date in accordance with their respective holdings shown on DTC</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records. Payments by participants to beneficial owners will be governed by standing instructions and</w:t>
      </w:r>
    </w:p>
    <w:p>
      <w:pPr>
        <w:ind w:left="1260"/>
        <w:spacing w:after="0"/>
        <w:rPr>
          <w:sz w:val="20"/>
          <w:szCs w:val="20"/>
          <w:color w:val="auto"/>
        </w:rPr>
      </w:pPr>
      <w:r>
        <w:rPr>
          <w:rFonts w:ascii="Times New Roman" w:cs="Times New Roman" w:eastAsia="Times New Roman" w:hAnsi="Times New Roman"/>
          <w:sz w:val="14"/>
          <w:szCs w:val="14"/>
          <w:color w:val="auto"/>
        </w:rPr>
        <w:t>customary practices, as is the case with securities held for the account of customers in bearer form or</w:t>
      </w:r>
    </w:p>
    <w:p>
      <w:pPr>
        <w:ind w:left="1260"/>
        <w:spacing w:after="0"/>
        <w:rPr>
          <w:sz w:val="20"/>
          <w:szCs w:val="20"/>
          <w:color w:val="auto"/>
        </w:rPr>
      </w:pPr>
      <w:r>
        <w:rPr>
          <w:rFonts w:ascii="Times New Roman" w:cs="Times New Roman" w:eastAsia="Times New Roman" w:hAnsi="Times New Roman"/>
          <w:sz w:val="14"/>
          <w:szCs w:val="14"/>
          <w:color w:val="auto"/>
        </w:rPr>
        <w:t>registered in “street name.” Those payments will be the responsibility of participants and not of DTC or us,</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subject to any statutory or regulatory requirements in effect from time to time. Payment of redemption</w:t>
      </w:r>
    </w:p>
    <w:p>
      <w:pPr>
        <w:ind w:left="1260"/>
        <w:spacing w:after="0"/>
        <w:rPr>
          <w:sz w:val="20"/>
          <w:szCs w:val="20"/>
          <w:color w:val="auto"/>
        </w:rPr>
      </w:pPr>
      <w:r>
        <w:rPr>
          <w:rFonts w:ascii="Times New Roman" w:cs="Times New Roman" w:eastAsia="Times New Roman" w:hAnsi="Times New Roman"/>
          <w:sz w:val="14"/>
          <w:szCs w:val="14"/>
          <w:color w:val="auto"/>
        </w:rPr>
        <w:t>proceeds, distributions and dividend payments to Cede &amp; Co., or such other nominee as may be requested</w:t>
      </w:r>
    </w:p>
    <w:p>
      <w:pPr>
        <w:ind w:left="1260"/>
        <w:spacing w:after="0"/>
        <w:rPr>
          <w:sz w:val="20"/>
          <w:szCs w:val="20"/>
          <w:color w:val="auto"/>
        </w:rPr>
      </w:pPr>
      <w:r>
        <w:rPr>
          <w:rFonts w:ascii="Times New Roman" w:cs="Times New Roman" w:eastAsia="Times New Roman" w:hAnsi="Times New Roman"/>
          <w:sz w:val="14"/>
          <w:szCs w:val="14"/>
          <w:color w:val="auto"/>
        </w:rPr>
        <w:t>by an authorized representative of DTC, is our responsibility, disbursement of payments to direct</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participants is the responsibility of DTC, and disbursement of payments to the beneficial owners is the</w:t>
      </w:r>
    </w:p>
    <w:p>
      <w:pPr>
        <w:ind w:left="1260"/>
        <w:spacing w:after="0"/>
        <w:rPr>
          <w:sz w:val="20"/>
          <w:szCs w:val="20"/>
          <w:color w:val="auto"/>
        </w:rPr>
      </w:pPr>
      <w:r>
        <w:rPr>
          <w:rFonts w:ascii="Times New Roman" w:cs="Times New Roman" w:eastAsia="Times New Roman" w:hAnsi="Times New Roman"/>
          <w:sz w:val="14"/>
          <w:szCs w:val="14"/>
          <w:color w:val="auto"/>
        </w:rPr>
        <w:t>responsibility of direct and indirect participants.</w:t>
      </w:r>
    </w:p>
    <w:p>
      <w:pPr>
        <w:spacing w:after="0" w:line="100" w:lineRule="exact"/>
        <w:rPr>
          <w:sz w:val="20"/>
          <w:szCs w:val="20"/>
          <w:color w:val="auto"/>
        </w:rPr>
      </w:pPr>
    </w:p>
    <w:p>
      <w:pPr>
        <w:ind w:left="1260" w:right="1339" w:firstLine="284"/>
        <w:spacing w:after="0" w:line="254" w:lineRule="auto"/>
        <w:rPr>
          <w:sz w:val="20"/>
          <w:szCs w:val="20"/>
          <w:color w:val="auto"/>
        </w:rPr>
      </w:pPr>
      <w:r>
        <w:rPr>
          <w:rFonts w:ascii="Times New Roman" w:cs="Times New Roman" w:eastAsia="Times New Roman" w:hAnsi="Times New Roman"/>
          <w:sz w:val="14"/>
          <w:szCs w:val="14"/>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85" w:lineRule="exact"/>
        <w:rPr>
          <w:sz w:val="20"/>
          <w:szCs w:val="20"/>
          <w:color w:val="auto"/>
        </w:rPr>
      </w:pPr>
    </w:p>
    <w:p>
      <w:pPr>
        <w:ind w:left="1260" w:right="1339" w:firstLine="284"/>
        <w:spacing w:after="0" w:line="263" w:lineRule="auto"/>
        <w:rPr>
          <w:sz w:val="20"/>
          <w:szCs w:val="20"/>
          <w:color w:val="auto"/>
        </w:rPr>
      </w:pPr>
      <w:r>
        <w:rPr>
          <w:rFonts w:ascii="Times New Roman" w:cs="Times New Roman" w:eastAsia="Times New Roman" w:hAnsi="Times New Roman"/>
          <w:sz w:val="14"/>
          <w:szCs w:val="14"/>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77" w:lineRule="exact"/>
        <w:rPr>
          <w:sz w:val="20"/>
          <w:szCs w:val="20"/>
          <w:color w:val="auto"/>
        </w:rPr>
      </w:pPr>
    </w:p>
    <w:p>
      <w:pPr>
        <w:jc w:val="both"/>
        <w:ind w:left="1260" w:right="1299" w:firstLine="284"/>
        <w:spacing w:after="0" w:line="255" w:lineRule="auto"/>
        <w:rPr>
          <w:sz w:val="20"/>
          <w:szCs w:val="20"/>
          <w:color w:val="auto"/>
        </w:rPr>
      </w:pPr>
      <w:r>
        <w:rPr>
          <w:rFonts w:ascii="Times New Roman" w:cs="Times New Roman" w:eastAsia="Times New Roman" w:hAnsi="Times New Roman"/>
          <w:sz w:val="14"/>
          <w:szCs w:val="14"/>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83" w:lineRule="exact"/>
        <w:rPr>
          <w:sz w:val="20"/>
          <w:szCs w:val="20"/>
          <w:color w:val="auto"/>
        </w:rPr>
      </w:pPr>
    </w:p>
    <w:p>
      <w:pPr>
        <w:ind w:left="1260" w:right="1839" w:firstLine="284"/>
        <w:spacing w:after="0" w:line="288" w:lineRule="auto"/>
        <w:rPr>
          <w:sz w:val="20"/>
          <w:szCs w:val="20"/>
          <w:color w:val="auto"/>
        </w:rPr>
      </w:pPr>
      <w:r>
        <w:rPr>
          <w:rFonts w:ascii="Times New Roman" w:cs="Times New Roman" w:eastAsia="Times New Roman" w:hAnsi="Times New Roman"/>
          <w:sz w:val="14"/>
          <w:szCs w:val="14"/>
          <w:color w:val="auto"/>
        </w:rPr>
        <w:t>As noted above, beneficial owners of a particular series of securities generally will not receive certificates representing their ownership interests in those securities. However, if:</w:t>
      </w:r>
    </w:p>
    <w:p>
      <w:pPr>
        <w:spacing w:after="0" w:line="29" w:lineRule="exact"/>
        <w:rPr>
          <w:sz w:val="20"/>
          <w:szCs w:val="20"/>
          <w:color w:val="auto"/>
        </w:rPr>
      </w:pPr>
    </w:p>
    <w:p>
      <w:pPr>
        <w:ind w:left="1700" w:right="1359" w:hanging="147"/>
        <w:spacing w:after="0" w:line="262" w:lineRule="auto"/>
        <w:tabs>
          <w:tab w:leader="none" w:pos="17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46" w:lineRule="exact"/>
        <w:rPr>
          <w:rFonts w:ascii="Times New Roman" w:cs="Times New Roman" w:eastAsia="Times New Roman" w:hAnsi="Times New Roman"/>
          <w:sz w:val="14"/>
          <w:szCs w:val="14"/>
          <w:color w:val="auto"/>
        </w:rPr>
      </w:pPr>
    </w:p>
    <w:p>
      <w:pPr>
        <w:ind w:left="1700" w:right="1479" w:hanging="147"/>
        <w:spacing w:after="0" w:line="288" w:lineRule="auto"/>
        <w:tabs>
          <w:tab w:leader="none" w:pos="17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determine, in our sole discretion, not to have such securities represented by one or more global securities; or</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5" w:name="page36"/>
    <w:bookmarkEnd w:id="35"/>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  an event of default has occurred and is continuing with respect to such series of securities,</w:t>
      </w:r>
    </w:p>
    <w:p>
      <w:pPr>
        <w:spacing w:after="0" w:line="126" w:lineRule="exact"/>
        <w:rPr>
          <w:sz w:val="20"/>
          <w:szCs w:val="20"/>
          <w:color w:val="auto"/>
        </w:rPr>
      </w:pPr>
    </w:p>
    <w:p>
      <w:pPr>
        <w:ind w:left="1260" w:right="1399"/>
        <w:spacing w:after="0" w:line="251" w:lineRule="auto"/>
        <w:rPr>
          <w:sz w:val="20"/>
          <w:szCs w:val="20"/>
          <w:color w:val="auto"/>
        </w:rPr>
      </w:pPr>
      <w:r>
        <w:rPr>
          <w:rFonts w:ascii="Times New Roman" w:cs="Times New Roman" w:eastAsia="Times New Roman" w:hAnsi="Times New Roman"/>
          <w:sz w:val="14"/>
          <w:szCs w:val="14"/>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3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Euroclear and Clearstream</w:t>
      </w:r>
    </w:p>
    <w:p>
      <w:pPr>
        <w:spacing w:after="0" w:line="128" w:lineRule="exact"/>
        <w:rPr>
          <w:sz w:val="20"/>
          <w:szCs w:val="20"/>
          <w:color w:val="auto"/>
        </w:rPr>
      </w:pPr>
    </w:p>
    <w:p>
      <w:pPr>
        <w:ind w:left="1260" w:right="1299" w:firstLine="284"/>
        <w:spacing w:after="0" w:line="247" w:lineRule="auto"/>
        <w:rPr>
          <w:sz w:val="20"/>
          <w:szCs w:val="20"/>
          <w:color w:val="auto"/>
        </w:rPr>
      </w:pPr>
      <w:r>
        <w:rPr>
          <w:rFonts w:ascii="Times New Roman" w:cs="Times New Roman" w:eastAsia="Times New Roman" w:hAnsi="Times New Roman"/>
          <w:sz w:val="14"/>
          <w:szCs w:val="14"/>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255" w:lineRule="exact"/>
        <w:rPr>
          <w:sz w:val="20"/>
          <w:szCs w:val="20"/>
          <w:color w:val="auto"/>
        </w:rPr>
      </w:pPr>
    </w:p>
    <w:p>
      <w:pPr>
        <w:ind w:left="1260" w:right="1379" w:firstLine="284"/>
        <w:spacing w:after="0" w:line="254" w:lineRule="auto"/>
        <w:rPr>
          <w:sz w:val="20"/>
          <w:szCs w:val="20"/>
          <w:color w:val="auto"/>
        </w:rPr>
      </w:pPr>
      <w:r>
        <w:rPr>
          <w:rFonts w:ascii="Times New Roman" w:cs="Times New Roman" w:eastAsia="Times New Roman" w:hAnsi="Times New Roman"/>
          <w:sz w:val="14"/>
          <w:szCs w:val="14"/>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85" w:lineRule="exact"/>
        <w:rPr>
          <w:sz w:val="20"/>
          <w:szCs w:val="20"/>
          <w:color w:val="auto"/>
        </w:rPr>
      </w:pPr>
    </w:p>
    <w:p>
      <w:pPr>
        <w:ind w:left="1260" w:right="1419" w:firstLine="284"/>
        <w:spacing w:after="0" w:line="254" w:lineRule="auto"/>
        <w:rPr>
          <w:sz w:val="20"/>
          <w:szCs w:val="20"/>
          <w:color w:val="auto"/>
        </w:rPr>
      </w:pPr>
      <w:r>
        <w:rPr>
          <w:rFonts w:ascii="Times New Roman" w:cs="Times New Roman" w:eastAsia="Times New Roman" w:hAnsi="Times New Roman"/>
          <w:sz w:val="14"/>
          <w:szCs w:val="14"/>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85" w:lineRule="exact"/>
        <w:rPr>
          <w:sz w:val="20"/>
          <w:szCs w:val="20"/>
          <w:color w:val="auto"/>
        </w:rPr>
      </w:pPr>
    </w:p>
    <w:p>
      <w:pPr>
        <w:ind w:left="1260" w:right="1539" w:firstLine="284"/>
        <w:spacing w:after="0" w:line="254" w:lineRule="auto"/>
        <w:rPr>
          <w:sz w:val="20"/>
          <w:szCs w:val="20"/>
          <w:color w:val="auto"/>
        </w:rPr>
      </w:pPr>
      <w:r>
        <w:rPr>
          <w:rFonts w:ascii="Times New Roman" w:cs="Times New Roman" w:eastAsia="Times New Roman" w:hAnsi="Times New Roman"/>
          <w:sz w:val="14"/>
          <w:szCs w:val="14"/>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85" w:lineRule="exact"/>
        <w:rPr>
          <w:sz w:val="20"/>
          <w:szCs w:val="20"/>
          <w:color w:val="auto"/>
        </w:rPr>
      </w:pPr>
    </w:p>
    <w:p>
      <w:pPr>
        <w:ind w:left="1260" w:right="1299" w:firstLine="284"/>
        <w:spacing w:after="0" w:line="246" w:lineRule="auto"/>
        <w:rPr>
          <w:sz w:val="20"/>
          <w:szCs w:val="20"/>
          <w:color w:val="auto"/>
        </w:rPr>
      </w:pPr>
      <w:r>
        <w:rPr>
          <w:rFonts w:ascii="Times New Roman" w:cs="Times New Roman" w:eastAsia="Times New Roman" w:hAnsi="Times New Roman"/>
          <w:sz w:val="14"/>
          <w:szCs w:val="14"/>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254" w:lineRule="exact"/>
        <w:rPr>
          <w:sz w:val="20"/>
          <w:szCs w:val="20"/>
          <w:color w:val="auto"/>
        </w:rPr>
      </w:pPr>
    </w:p>
    <w:p>
      <w:pPr>
        <w:ind w:left="1260" w:right="1299" w:firstLine="284"/>
        <w:spacing w:after="0" w:line="248" w:lineRule="auto"/>
        <w:rPr>
          <w:sz w:val="20"/>
          <w:szCs w:val="20"/>
          <w:color w:val="auto"/>
        </w:rPr>
      </w:pPr>
      <w:r>
        <w:rPr>
          <w:rFonts w:ascii="Times New Roman" w:cs="Times New Roman" w:eastAsia="Times New Roman" w:hAnsi="Times New Roman"/>
          <w:sz w:val="14"/>
          <w:szCs w:val="14"/>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3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128" w:lineRule="exact"/>
        <w:rPr>
          <w:sz w:val="20"/>
          <w:szCs w:val="20"/>
          <w:color w:val="auto"/>
        </w:rPr>
      </w:pPr>
    </w:p>
    <w:p>
      <w:pPr>
        <w:ind w:left="1260" w:right="1399" w:firstLine="284"/>
        <w:spacing w:after="0" w:line="272" w:lineRule="auto"/>
        <w:rPr>
          <w:sz w:val="20"/>
          <w:szCs w:val="20"/>
          <w:color w:val="auto"/>
        </w:rPr>
      </w:pPr>
      <w:r>
        <w:rPr>
          <w:rFonts w:ascii="Times New Roman" w:cs="Times New Roman" w:eastAsia="Times New Roman" w:hAnsi="Times New Roman"/>
          <w:sz w:val="14"/>
          <w:szCs w:val="14"/>
          <w:color w:val="auto"/>
        </w:rPr>
        <w:t>The information in this section of this prospectus concerning DTC, Clearstream, Euroclear and their respective book-entry systems has been obtained from sources that we believe to be reliable, but we do not</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6" w:name="page37"/>
    <w:bookmarkEnd w:id="36"/>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299"/>
        <w:spacing w:after="0" w:line="257" w:lineRule="auto"/>
        <w:rPr>
          <w:sz w:val="20"/>
          <w:szCs w:val="20"/>
          <w:color w:val="auto"/>
        </w:rPr>
      </w:pPr>
      <w:r>
        <w:rPr>
          <w:rFonts w:ascii="Times New Roman" w:cs="Times New Roman" w:eastAsia="Times New Roman" w:hAnsi="Times New Roman"/>
          <w:sz w:val="14"/>
          <w:szCs w:val="14"/>
          <w:color w:val="auto"/>
        </w:rPr>
        <w:t>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7" w:name="page38"/>
    <w:bookmarkEnd w:id="37"/>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We may sell the offered securities from time to time:</w:t>
      </w:r>
    </w:p>
    <w:p>
      <w:pPr>
        <w:spacing w:after="0" w:line="94" w:lineRule="exact"/>
        <w:rPr>
          <w:sz w:val="20"/>
          <w:szCs w:val="20"/>
          <w:color w:val="auto"/>
        </w:rPr>
      </w:pPr>
    </w:p>
    <w:p>
      <w:pPr>
        <w:ind w:left="1700" w:hanging="147"/>
        <w:spacing w:after="0"/>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or dealers;</w:t>
      </w:r>
    </w:p>
    <w:p>
      <w:pPr>
        <w:spacing w:after="0" w:line="94"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94"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one or more purchasers; or</w:t>
      </w:r>
    </w:p>
    <w:p>
      <w:pPr>
        <w:spacing w:after="0" w:line="94"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w:t>
      </w:r>
    </w:p>
    <w:p>
      <w:pPr>
        <w:spacing w:after="0" w:line="126" w:lineRule="exact"/>
        <w:rPr>
          <w:sz w:val="20"/>
          <w:szCs w:val="20"/>
          <w:color w:val="auto"/>
        </w:rPr>
      </w:pPr>
    </w:p>
    <w:p>
      <w:pPr>
        <w:ind w:left="1260" w:right="1419" w:firstLine="284"/>
        <w:spacing w:after="0" w:line="288" w:lineRule="auto"/>
        <w:rPr>
          <w:sz w:val="20"/>
          <w:szCs w:val="20"/>
          <w:color w:val="auto"/>
        </w:rPr>
      </w:pPr>
      <w:r>
        <w:rPr>
          <w:rFonts w:ascii="Times New Roman" w:cs="Times New Roman" w:eastAsia="Times New Roman" w:hAnsi="Times New Roman"/>
          <w:sz w:val="14"/>
          <w:szCs w:val="14"/>
          <w:color w:val="auto"/>
        </w:rPr>
        <w:t>We will identify the specific plan of distribution, including any underwriters, dealers, agents or direct purchasers and their compensation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8" w:name="page39"/>
    <w:bookmarkEnd w:id="38"/>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8" w:lineRule="exact"/>
        <w:rPr>
          <w:sz w:val="20"/>
          <w:szCs w:val="20"/>
          <w:color w:val="auto"/>
        </w:rPr>
      </w:pPr>
    </w:p>
    <w:p>
      <w:pPr>
        <w:ind w:left="1260" w:right="1299" w:firstLine="284"/>
        <w:spacing w:after="0" w:line="268" w:lineRule="auto"/>
        <w:rPr>
          <w:sz w:val="20"/>
          <w:szCs w:val="20"/>
          <w:color w:val="auto"/>
        </w:rPr>
      </w:pPr>
      <w:r>
        <w:rPr>
          <w:rFonts w:ascii="Times New Roman" w:cs="Times New Roman" w:eastAsia="Times New Roman" w:hAnsi="Times New Roman"/>
          <w:sz w:val="14"/>
          <w:szCs w:val="14"/>
          <w:color w:val="auto"/>
        </w:rPr>
        <w:t>Latham &amp; Watkins LLP will pass upon certain legal matters relating to the issuance and sale of the securities offered hereby on behalf of Viper Energy, Inc. Additional legal matters may be passed upon for us or any underwriters, dealers or agents, by counsel that we will name in the applicable prospectus supplement.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8" w:lineRule="exact"/>
        <w:rPr>
          <w:sz w:val="20"/>
          <w:szCs w:val="20"/>
          <w:color w:val="auto"/>
        </w:rPr>
      </w:pPr>
    </w:p>
    <w:p>
      <w:pPr>
        <w:ind w:left="1260" w:right="1419" w:firstLine="284"/>
        <w:spacing w:after="0" w:line="262" w:lineRule="auto"/>
        <w:rPr>
          <w:sz w:val="20"/>
          <w:szCs w:val="20"/>
          <w:color w:val="auto"/>
        </w:rPr>
      </w:pPr>
      <w:r>
        <w:rPr>
          <w:rFonts w:ascii="Times New Roman" w:cs="Times New Roman" w:eastAsia="Times New Roman" w:hAnsi="Times New Roman"/>
          <w:sz w:val="14"/>
          <w:szCs w:val="14"/>
          <w:color w:val="auto"/>
        </w:rPr>
        <w:t>The audited financial statements of Viper Energy, Inc.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79" w:lineRule="exact"/>
        <w:rPr>
          <w:sz w:val="20"/>
          <w:szCs w:val="20"/>
          <w:color w:val="auto"/>
        </w:rPr>
      </w:pPr>
    </w:p>
    <w:p>
      <w:pPr>
        <w:ind w:left="1260" w:right="1379" w:firstLine="284"/>
        <w:spacing w:after="0" w:line="260" w:lineRule="auto"/>
        <w:rPr>
          <w:sz w:val="20"/>
          <w:szCs w:val="20"/>
          <w:color w:val="auto"/>
        </w:rPr>
      </w:pPr>
      <w:r>
        <w:rPr>
          <w:rFonts w:ascii="Times New Roman" w:cs="Times New Roman" w:eastAsia="Times New Roman" w:hAnsi="Times New Roman"/>
          <w:sz w:val="14"/>
          <w:szCs w:val="14"/>
          <w:color w:val="auto"/>
        </w:rPr>
        <w:t>The audited statements of revenues and direct operating expenses attributable to certain mineral and royalty interests of Diamondback Energy, Inc. and several of its subsidiaries, Endeavor Energy Resources, LP, 1979 Royalties LP and 1979 Royalties GP, LLC (the “Endeavor Mineral and Royalty Interests”) incorporated by reference in this prospectus and elsewhere in the registration statement have been so incorporated by reference in reliance upon the report of Grant Thornton LLP, independent certified public accountants, upon the authority of said firm as experts in accounting and auditing.</w:t>
      </w:r>
    </w:p>
    <w:p>
      <w:pPr>
        <w:spacing w:after="0" w:line="92" w:lineRule="exact"/>
        <w:rPr>
          <w:sz w:val="20"/>
          <w:szCs w:val="20"/>
          <w:color w:val="auto"/>
        </w:rPr>
      </w:pPr>
    </w:p>
    <w:p>
      <w:pPr>
        <w:ind w:left="1260" w:right="1379" w:firstLine="284"/>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of Sitio Royalties Corp. as of December 31, 2024 and 2023, and for each of the years in the three-year period ended December 31, 2024, and management’s assessment of the effectiveness of internal control over financial reporting as of December 31, 2024 have been incorporated by reference herein in reliance upon the report of KPMG LLP, independent registered public accounting firm, incorporated by reference herein, and upon the authority of said firm as experts in accounting and auditing.</w:t>
      </w:r>
    </w:p>
    <w:p>
      <w:pPr>
        <w:spacing w:after="0" w:line="263" w:lineRule="exact"/>
        <w:rPr>
          <w:sz w:val="20"/>
          <w:szCs w:val="20"/>
          <w:color w:val="auto"/>
        </w:rPr>
      </w:pPr>
    </w:p>
    <w:p>
      <w:pPr>
        <w:ind w:left="1260" w:right="1359" w:firstLine="284"/>
        <w:spacing w:after="0" w:line="261" w:lineRule="auto"/>
        <w:rPr>
          <w:sz w:val="20"/>
          <w:szCs w:val="20"/>
          <w:color w:val="auto"/>
        </w:rPr>
      </w:pPr>
      <w:r>
        <w:rPr>
          <w:rFonts w:ascii="Times New Roman" w:cs="Times New Roman" w:eastAsia="Times New Roman" w:hAnsi="Times New Roman"/>
          <w:sz w:val="14"/>
          <w:szCs w:val="14"/>
          <w:color w:val="auto"/>
        </w:rPr>
        <w:t>Information incorporated by reference in this prospectus regarding estimated quantities of proved reserves, future production and income attributable to certain royalty interests of the Company is based upon estimates of such reserves, future production and income prepared by Diamondback’s internal reserve engineers and audited by Ryder Scott Company, L.P., an independent petroleum engineering firm. This information is incorporated by reference in this prospectus in reliance upon the authority of such firm as experts in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9" w:name="page40"/>
    <w:bookmarkEnd w:id="39"/>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128" w:lineRule="exact"/>
        <w:rPr>
          <w:sz w:val="20"/>
          <w:szCs w:val="20"/>
          <w:color w:val="auto"/>
        </w:rPr>
      </w:pPr>
    </w:p>
    <w:p>
      <w:pPr>
        <w:ind w:left="1260" w:right="1359" w:firstLine="284"/>
        <w:spacing w:after="0" w:line="256" w:lineRule="auto"/>
        <w:rPr>
          <w:sz w:val="20"/>
          <w:szCs w:val="20"/>
          <w:color w:val="auto"/>
        </w:rPr>
      </w:pPr>
      <w:r>
        <w:rPr>
          <w:rFonts w:ascii="Times New Roman" w:cs="Times New Roman" w:eastAsia="Times New Roman" w:hAnsi="Times New Roman"/>
          <w:sz w:val="14"/>
          <w:szCs w:val="14"/>
          <w:color w:val="auto"/>
        </w:rPr>
        <w:t>The following is an estimate of the expenses (all of which are to be paid by the registrant) that we may incur in connection with the securities being registered hereby.</w:t>
      </w:r>
    </w:p>
    <w:tbl>
      <w:tblPr>
        <w:tblLayout w:type="fixed"/>
        <w:tblInd w:w="1260" w:type="dxa"/>
        <w:tblCellMar>
          <w:top w:w="0" w:type="dxa"/>
          <w:left w:w="0" w:type="dxa"/>
          <w:bottom w:w="0" w:type="dxa"/>
          <w:right w:w="0" w:type="dxa"/>
        </w:tblCellMar>
      </w:tblPr>
      <w:tr>
        <w:trPr>
          <w:trHeight w:val="139"/>
        </w:trPr>
        <w:tc>
          <w:tcPr>
            <w:tcW w:w="30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vMerge w:val="restart"/>
          </w:tcPr>
          <w:p>
            <w:pPr>
              <w:spacing w:after="0" w:line="270" w:lineRule="exact"/>
              <w:rPr>
                <w:sz w:val="20"/>
                <w:szCs w:val="20"/>
                <w:color w:val="auto"/>
              </w:rPr>
            </w:pPr>
            <w:r>
              <w:rPr>
                <w:rFonts w:ascii="Times New Roman" w:cs="Times New Roman" w:eastAsia="Times New Roman" w:hAnsi="Times New Roman"/>
                <w:sz w:val="28"/>
                <w:szCs w:val="28"/>
                <w:color w:val="auto"/>
                <w:w w:val="75"/>
                <w:vertAlign w:val="subscript"/>
              </w:rPr>
              <w:t>​</w:t>
            </w:r>
            <w:r>
              <w:rPr>
                <w:rFonts w:ascii="Times New Roman" w:cs="Times New Roman" w:eastAsia="Times New Roman" w:hAnsi="Times New Roman"/>
                <w:sz w:val="9"/>
                <w:szCs w:val="9"/>
                <w:color w:val="auto"/>
                <w:w w:val="75"/>
              </w:rPr>
              <w:t>(1)</w:t>
            </w:r>
          </w:p>
        </w:tc>
        <w:tc>
          <w:tcPr>
            <w:tcW w:w="0" w:type="dxa"/>
            <w:vAlign w:val="bottom"/>
          </w:tcPr>
          <w:p>
            <w:pPr>
              <w:spacing w:after="0"/>
              <w:rPr>
                <w:sz w:val="1"/>
                <w:szCs w:val="1"/>
                <w:color w:val="auto"/>
              </w:rPr>
            </w:pPr>
          </w:p>
        </w:tc>
      </w:tr>
      <w:tr>
        <w:trPr>
          <w:trHeight w:val="149"/>
        </w:trPr>
        <w:tc>
          <w:tcPr>
            <w:tcW w:w="300" w:type="dxa"/>
            <w:vAlign w:val="bottom"/>
            <w:vMerge w:val="continue"/>
          </w:tcPr>
          <w:p>
            <w:pPr>
              <w:spacing w:after="0"/>
              <w:rPr>
                <w:sz w:val="12"/>
                <w:szCs w:val="12"/>
                <w:color w:val="auto"/>
              </w:rPr>
            </w:pPr>
          </w:p>
        </w:tc>
        <w:tc>
          <w:tcPr>
            <w:tcW w:w="5220" w:type="dxa"/>
            <w:vAlign w:val="bottom"/>
            <w:gridSpan w:val="2"/>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​SEC registration fee</w:t>
            </w:r>
          </w:p>
        </w:tc>
        <w:tc>
          <w:tcPr>
            <w:tcW w:w="680" w:type="dxa"/>
            <w:vAlign w:val="bottom"/>
            <w:tcBorders>
              <w:right w:val="single" w:sz="8" w:color="CCEEFF"/>
            </w:tcBorders>
            <w:gridSpan w:val="2"/>
            <w:shd w:val="clear" w:color="auto" w:fill="CCEEFF"/>
          </w:tcPr>
          <w:p>
            <w:pPr>
              <w:ind w:left="40"/>
              <w:spacing w:after="0" w:line="131" w:lineRule="exact"/>
              <w:rPr>
                <w:sz w:val="20"/>
                <w:szCs w:val="20"/>
                <w:color w:val="auto"/>
              </w:rPr>
            </w:pPr>
            <w:r>
              <w:rPr>
                <w:rFonts w:ascii="Times New Roman" w:cs="Times New Roman" w:eastAsia="Times New Roman" w:hAnsi="Times New Roman"/>
                <w:sz w:val="14"/>
                <w:szCs w:val="14"/>
                <w:color w:val="auto"/>
              </w:rPr>
              <w:t xml:space="preserve">​ ​​$           </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5520" w:type="dxa"/>
            <w:vAlign w:val="bottom"/>
            <w:gridSpan w:val="3"/>
            <w:vMerge w:val="restart"/>
          </w:tcPr>
          <w:p>
            <w:pPr>
              <w:ind w:left="300"/>
              <w:spacing w:after="0" w:line="112" w:lineRule="exact"/>
              <w:rPr>
                <w:sz w:val="20"/>
                <w:szCs w:val="20"/>
                <w:color w:val="auto"/>
              </w:rPr>
            </w:pPr>
            <w:r>
              <w:rPr>
                <w:rFonts w:ascii="Times New Roman" w:cs="Times New Roman" w:eastAsia="Times New Roman" w:hAnsi="Times New Roman"/>
                <w:sz w:val="12"/>
                <w:szCs w:val="12"/>
                <w:color w:val="auto"/>
              </w:rPr>
              <w:t>Rating agency fees</w:t>
            </w: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line="75" w:lineRule="exact"/>
              <w:rPr>
                <w:sz w:val="20"/>
                <w:szCs w:val="20"/>
                <w:color w:val="auto"/>
              </w:rPr>
            </w:pPr>
            <w:r>
              <w:rPr>
                <w:rFonts w:ascii="Times New Roman" w:cs="Times New Roman" w:eastAsia="Times New Roman" w:hAnsi="Times New Roman"/>
                <w:sz w:val="8"/>
                <w:szCs w:val="8"/>
                <w:color w:val="auto"/>
                <w:w w:val="85"/>
              </w:rPr>
              <w:t>(2)</w:t>
            </w:r>
          </w:p>
        </w:tc>
        <w:tc>
          <w:tcPr>
            <w:tcW w:w="0" w:type="dxa"/>
            <w:vAlign w:val="bottom"/>
          </w:tcPr>
          <w:p>
            <w:pPr>
              <w:spacing w:after="0"/>
              <w:rPr>
                <w:sz w:val="1"/>
                <w:szCs w:val="1"/>
                <w:color w:val="auto"/>
              </w:rPr>
            </w:pPr>
          </w:p>
        </w:tc>
      </w:tr>
      <w:tr>
        <w:trPr>
          <w:trHeight w:val="37"/>
        </w:trPr>
        <w:tc>
          <w:tcPr>
            <w:tcW w:w="552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vMerge w:val="restart"/>
          </w:tcPr>
          <w:p>
            <w:pPr>
              <w:ind w:left="20"/>
              <w:spacing w:after="0" w:line="106"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line="20" w:lineRule="exact"/>
              <w:rPr>
                <w:sz w:val="1"/>
                <w:szCs w:val="1"/>
                <w:color w:val="auto"/>
              </w:rPr>
            </w:pPr>
          </w:p>
        </w:tc>
      </w:tr>
      <w:tr>
        <w:trPr>
          <w:trHeight w:val="73"/>
        </w:trPr>
        <w:tc>
          <w:tcPr>
            <w:tcW w:w="5520" w:type="dxa"/>
            <w:vAlign w:val="bottom"/>
            <w:gridSpan w:val="3"/>
          </w:tcPr>
          <w:p>
            <w:pPr>
              <w:ind w:left="300"/>
              <w:spacing w:after="0" w:line="73"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ind w:left="40"/>
              <w:spacing w:after="0" w:line="73" w:lineRule="exact"/>
              <w:rPr>
                <w:sz w:val="20"/>
                <w:szCs w:val="20"/>
                <w:color w:val="auto"/>
              </w:rPr>
            </w:pPr>
            <w:r>
              <w:rPr>
                <w:rFonts w:ascii="Times New Roman" w:cs="Times New Roman" w:eastAsia="Times New Roman" w:hAnsi="Times New Roman"/>
                <w:sz w:val="8"/>
                <w:szCs w:val="8"/>
                <w:color w:val="auto"/>
              </w:rPr>
              <w:t>​ ​​</w:t>
            </w:r>
          </w:p>
        </w:tc>
        <w:tc>
          <w:tcPr>
            <w:tcW w:w="4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00" w:type="dxa"/>
            <w:vAlign w:val="bottom"/>
          </w:tcPr>
          <w:p>
            <w:pPr>
              <w:spacing w:after="0"/>
              <w:rPr>
                <w:sz w:val="8"/>
                <w:szCs w:val="8"/>
                <w:color w:val="auto"/>
              </w:rPr>
            </w:pPr>
          </w:p>
        </w:tc>
        <w:tc>
          <w:tcPr>
            <w:tcW w:w="5220" w:type="dxa"/>
            <w:vAlign w:val="bottom"/>
            <w:gridSpan w:val="2"/>
            <w:vMerge w:val="restart"/>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FINRA filing fee</w:t>
            </w:r>
          </w:p>
        </w:tc>
        <w:tc>
          <w:tcPr>
            <w:tcW w:w="220" w:type="dxa"/>
            <w:vAlign w:val="bottom"/>
            <w:tcBorders>
              <w:right w:val="single" w:sz="8" w:color="CCEEFF"/>
            </w:tcBorders>
            <w:shd w:val="clear" w:color="auto" w:fill="CCEEFF"/>
          </w:tcPr>
          <w:p>
            <w:pPr>
              <w:spacing w:after="0"/>
              <w:rPr>
                <w:sz w:val="8"/>
                <w:szCs w:val="8"/>
                <w:color w:val="auto"/>
              </w:rPr>
            </w:pPr>
          </w:p>
        </w:tc>
        <w:tc>
          <w:tcPr>
            <w:tcW w:w="460" w:type="dxa"/>
            <w:vAlign w:val="bottom"/>
            <w:tcBorders>
              <w:right w:val="single" w:sz="8" w:color="CCEEFF"/>
            </w:tcBorders>
            <w:shd w:val="clear" w:color="auto" w:fill="CCEEFF"/>
          </w:tcPr>
          <w:p>
            <w:pPr>
              <w:spacing w:after="0"/>
              <w:rPr>
                <w:sz w:val="8"/>
                <w:szCs w:val="8"/>
                <w:color w:val="auto"/>
              </w:rPr>
            </w:pPr>
          </w:p>
        </w:tc>
        <w:tc>
          <w:tcPr>
            <w:tcW w:w="100" w:type="dxa"/>
            <w:vAlign w:val="bottom"/>
          </w:tcPr>
          <w:p>
            <w:pPr>
              <w:spacing w:after="0" w:line="92" w:lineRule="exact"/>
              <w:rPr>
                <w:sz w:val="20"/>
                <w:szCs w:val="20"/>
                <w:color w:val="auto"/>
              </w:rPr>
            </w:pPr>
            <w:r>
              <w:rPr>
                <w:rFonts w:ascii="Times New Roman" w:cs="Times New Roman" w:eastAsia="Times New Roman" w:hAnsi="Times New Roman"/>
                <w:sz w:val="9"/>
                <w:szCs w:val="9"/>
                <w:color w:val="auto"/>
                <w:w w:val="75"/>
              </w:rPr>
              <w:t>(2)</w:t>
            </w:r>
          </w:p>
        </w:tc>
        <w:tc>
          <w:tcPr>
            <w:tcW w:w="0" w:type="dxa"/>
            <w:vAlign w:val="bottom"/>
          </w:tcPr>
          <w:p>
            <w:pPr>
              <w:spacing w:after="0"/>
              <w:rPr>
                <w:sz w:val="1"/>
                <w:szCs w:val="1"/>
                <w:color w:val="auto"/>
              </w:rPr>
            </w:pPr>
          </w:p>
        </w:tc>
      </w:tr>
      <w:tr>
        <w:trPr>
          <w:trHeight w:val="37"/>
        </w:trPr>
        <w:tc>
          <w:tcPr>
            <w:tcW w:w="300" w:type="dxa"/>
            <w:vAlign w:val="bottom"/>
          </w:tcPr>
          <w:p>
            <w:pPr>
              <w:spacing w:after="0"/>
              <w:rPr>
                <w:sz w:val="3"/>
                <w:szCs w:val="3"/>
                <w:color w:val="auto"/>
              </w:rPr>
            </w:pPr>
          </w:p>
        </w:tc>
        <w:tc>
          <w:tcPr>
            <w:tcW w:w="5220" w:type="dxa"/>
            <w:vAlign w:val="bottom"/>
            <w:gridSpan w:val="2"/>
            <w:vMerge w:val="continue"/>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460" w:type="dxa"/>
            <w:vAlign w:val="bottom"/>
            <w:tcBorders>
              <w:right w:val="single" w:sz="8" w:color="CCEEFF"/>
            </w:tcBorders>
            <w:vMerge w:val="restart"/>
            <w:shd w:val="clear" w:color="auto" w:fill="CCEEFF"/>
          </w:tcPr>
          <w:p>
            <w:pPr>
              <w:ind w:left="20"/>
              <w:spacing w:after="0" w:line="106"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line="20" w:lineRule="exact"/>
              <w:rPr>
                <w:sz w:val="1"/>
                <w:szCs w:val="1"/>
                <w:color w:val="auto"/>
              </w:rPr>
            </w:pPr>
          </w:p>
        </w:tc>
      </w:tr>
      <w:tr>
        <w:trPr>
          <w:trHeight w:val="90"/>
        </w:trPr>
        <w:tc>
          <w:tcPr>
            <w:tcW w:w="300" w:type="dxa"/>
            <w:vAlign w:val="bottom"/>
          </w:tcPr>
          <w:p>
            <w:pPr>
              <w:spacing w:after="0"/>
              <w:rPr>
                <w:sz w:val="7"/>
                <w:szCs w:val="7"/>
                <w:color w:val="auto"/>
              </w:rPr>
            </w:pPr>
          </w:p>
        </w:tc>
        <w:tc>
          <w:tcPr>
            <w:tcW w:w="5220" w:type="dxa"/>
            <w:vAlign w:val="bottom"/>
            <w:gridSpan w:val="2"/>
            <w:shd w:val="clear" w:color="auto" w:fill="CCEEFF"/>
          </w:tcPr>
          <w:p>
            <w:pPr>
              <w:spacing w:after="0" w:line="73"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tcBorders>
              <w:right w:val="single" w:sz="8" w:color="CCEEFF"/>
            </w:tcBorders>
            <w:shd w:val="clear" w:color="auto" w:fill="CCEEFF"/>
          </w:tcPr>
          <w:p>
            <w:pPr>
              <w:ind w:left="40"/>
              <w:spacing w:after="0" w:line="73" w:lineRule="exact"/>
              <w:rPr>
                <w:sz w:val="20"/>
                <w:szCs w:val="20"/>
                <w:color w:val="auto"/>
              </w:rPr>
            </w:pPr>
            <w:r>
              <w:rPr>
                <w:rFonts w:ascii="Times New Roman" w:cs="Times New Roman" w:eastAsia="Times New Roman" w:hAnsi="Times New Roman"/>
                <w:sz w:val="8"/>
                <w:szCs w:val="8"/>
                <w:color w:val="auto"/>
              </w:rPr>
              <w:t>​ ​​</w:t>
            </w:r>
          </w:p>
        </w:tc>
        <w:tc>
          <w:tcPr>
            <w:tcW w:w="460" w:type="dxa"/>
            <w:vAlign w:val="bottom"/>
            <w:tcBorders>
              <w:right w:val="single" w:sz="8" w:color="CCEEFF"/>
            </w:tcBorders>
            <w:vMerge w:val="continue"/>
            <w:shd w:val="clear" w:color="auto" w:fill="CCEEFF"/>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5520" w:type="dxa"/>
            <w:vAlign w:val="bottom"/>
            <w:gridSpan w:val="3"/>
            <w:vMerge w:val="restart"/>
          </w:tcPr>
          <w:p>
            <w:pPr>
              <w:ind w:left="300"/>
              <w:spacing w:after="0" w:line="112" w:lineRule="exact"/>
              <w:rPr>
                <w:sz w:val="20"/>
                <w:szCs w:val="20"/>
                <w:color w:val="auto"/>
              </w:rPr>
            </w:pPr>
            <w:r>
              <w:rPr>
                <w:rFonts w:ascii="Times New Roman" w:cs="Times New Roman" w:eastAsia="Times New Roman" w:hAnsi="Times New Roman"/>
                <w:sz w:val="12"/>
                <w:szCs w:val="12"/>
                <w:color w:val="auto"/>
              </w:rPr>
              <w:t>Printing expenses</w:t>
            </w: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line="75" w:lineRule="exact"/>
              <w:rPr>
                <w:sz w:val="20"/>
                <w:szCs w:val="20"/>
                <w:color w:val="auto"/>
              </w:rPr>
            </w:pPr>
            <w:r>
              <w:rPr>
                <w:rFonts w:ascii="Times New Roman" w:cs="Times New Roman" w:eastAsia="Times New Roman" w:hAnsi="Times New Roman"/>
                <w:sz w:val="8"/>
                <w:szCs w:val="8"/>
                <w:color w:val="auto"/>
                <w:w w:val="85"/>
              </w:rPr>
              <w:t>(2)</w:t>
            </w:r>
          </w:p>
        </w:tc>
        <w:tc>
          <w:tcPr>
            <w:tcW w:w="0" w:type="dxa"/>
            <w:vAlign w:val="bottom"/>
          </w:tcPr>
          <w:p>
            <w:pPr>
              <w:spacing w:after="0"/>
              <w:rPr>
                <w:sz w:val="1"/>
                <w:szCs w:val="1"/>
                <w:color w:val="auto"/>
              </w:rPr>
            </w:pPr>
          </w:p>
        </w:tc>
      </w:tr>
      <w:tr>
        <w:trPr>
          <w:trHeight w:val="37"/>
        </w:trPr>
        <w:tc>
          <w:tcPr>
            <w:tcW w:w="552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vMerge w:val="restart"/>
          </w:tcPr>
          <w:p>
            <w:pPr>
              <w:ind w:left="20"/>
              <w:spacing w:after="0" w:line="106"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line="20" w:lineRule="exact"/>
              <w:rPr>
                <w:sz w:val="1"/>
                <w:szCs w:val="1"/>
                <w:color w:val="auto"/>
              </w:rPr>
            </w:pPr>
          </w:p>
        </w:tc>
      </w:tr>
      <w:tr>
        <w:trPr>
          <w:trHeight w:val="73"/>
        </w:trPr>
        <w:tc>
          <w:tcPr>
            <w:tcW w:w="5520" w:type="dxa"/>
            <w:vAlign w:val="bottom"/>
            <w:gridSpan w:val="3"/>
          </w:tcPr>
          <w:p>
            <w:pPr>
              <w:ind w:left="300"/>
              <w:spacing w:after="0" w:line="73"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ind w:left="40"/>
              <w:spacing w:after="0" w:line="73" w:lineRule="exact"/>
              <w:rPr>
                <w:sz w:val="20"/>
                <w:szCs w:val="20"/>
                <w:color w:val="auto"/>
              </w:rPr>
            </w:pPr>
            <w:r>
              <w:rPr>
                <w:rFonts w:ascii="Times New Roman" w:cs="Times New Roman" w:eastAsia="Times New Roman" w:hAnsi="Times New Roman"/>
                <w:sz w:val="8"/>
                <w:szCs w:val="8"/>
                <w:color w:val="auto"/>
              </w:rPr>
              <w:t>​ ​​</w:t>
            </w:r>
          </w:p>
        </w:tc>
        <w:tc>
          <w:tcPr>
            <w:tcW w:w="4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00" w:type="dxa"/>
            <w:vAlign w:val="bottom"/>
          </w:tcPr>
          <w:p>
            <w:pPr>
              <w:spacing w:after="0"/>
              <w:rPr>
                <w:sz w:val="8"/>
                <w:szCs w:val="8"/>
                <w:color w:val="auto"/>
              </w:rPr>
            </w:pPr>
          </w:p>
        </w:tc>
        <w:tc>
          <w:tcPr>
            <w:tcW w:w="5220" w:type="dxa"/>
            <w:vAlign w:val="bottom"/>
            <w:gridSpan w:val="2"/>
            <w:vMerge w:val="restart"/>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Legal fees and expenses</w:t>
            </w:r>
          </w:p>
        </w:tc>
        <w:tc>
          <w:tcPr>
            <w:tcW w:w="220" w:type="dxa"/>
            <w:vAlign w:val="bottom"/>
            <w:tcBorders>
              <w:right w:val="single" w:sz="8" w:color="CCEEFF"/>
            </w:tcBorders>
            <w:shd w:val="clear" w:color="auto" w:fill="CCEEFF"/>
          </w:tcPr>
          <w:p>
            <w:pPr>
              <w:spacing w:after="0"/>
              <w:rPr>
                <w:sz w:val="8"/>
                <w:szCs w:val="8"/>
                <w:color w:val="auto"/>
              </w:rPr>
            </w:pPr>
          </w:p>
        </w:tc>
        <w:tc>
          <w:tcPr>
            <w:tcW w:w="460" w:type="dxa"/>
            <w:vAlign w:val="bottom"/>
            <w:tcBorders>
              <w:right w:val="single" w:sz="8" w:color="CCEEFF"/>
            </w:tcBorders>
            <w:shd w:val="clear" w:color="auto" w:fill="CCEEFF"/>
          </w:tcPr>
          <w:p>
            <w:pPr>
              <w:spacing w:after="0"/>
              <w:rPr>
                <w:sz w:val="8"/>
                <w:szCs w:val="8"/>
                <w:color w:val="auto"/>
              </w:rPr>
            </w:pPr>
          </w:p>
        </w:tc>
        <w:tc>
          <w:tcPr>
            <w:tcW w:w="100" w:type="dxa"/>
            <w:vAlign w:val="bottom"/>
          </w:tcPr>
          <w:p>
            <w:pPr>
              <w:spacing w:after="0" w:line="92" w:lineRule="exact"/>
              <w:rPr>
                <w:sz w:val="20"/>
                <w:szCs w:val="20"/>
                <w:color w:val="auto"/>
              </w:rPr>
            </w:pPr>
            <w:r>
              <w:rPr>
                <w:rFonts w:ascii="Times New Roman" w:cs="Times New Roman" w:eastAsia="Times New Roman" w:hAnsi="Times New Roman"/>
                <w:sz w:val="9"/>
                <w:szCs w:val="9"/>
                <w:color w:val="auto"/>
                <w:w w:val="75"/>
              </w:rPr>
              <w:t>(2)</w:t>
            </w:r>
          </w:p>
        </w:tc>
        <w:tc>
          <w:tcPr>
            <w:tcW w:w="0" w:type="dxa"/>
            <w:vAlign w:val="bottom"/>
          </w:tcPr>
          <w:p>
            <w:pPr>
              <w:spacing w:after="0"/>
              <w:rPr>
                <w:sz w:val="1"/>
                <w:szCs w:val="1"/>
                <w:color w:val="auto"/>
              </w:rPr>
            </w:pPr>
          </w:p>
        </w:tc>
      </w:tr>
      <w:tr>
        <w:trPr>
          <w:trHeight w:val="37"/>
        </w:trPr>
        <w:tc>
          <w:tcPr>
            <w:tcW w:w="300" w:type="dxa"/>
            <w:vAlign w:val="bottom"/>
          </w:tcPr>
          <w:p>
            <w:pPr>
              <w:spacing w:after="0"/>
              <w:rPr>
                <w:sz w:val="3"/>
                <w:szCs w:val="3"/>
                <w:color w:val="auto"/>
              </w:rPr>
            </w:pPr>
          </w:p>
        </w:tc>
        <w:tc>
          <w:tcPr>
            <w:tcW w:w="5220" w:type="dxa"/>
            <w:vAlign w:val="bottom"/>
            <w:gridSpan w:val="2"/>
            <w:vMerge w:val="continue"/>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460" w:type="dxa"/>
            <w:vAlign w:val="bottom"/>
            <w:tcBorders>
              <w:right w:val="single" w:sz="8" w:color="CCEEFF"/>
            </w:tcBorders>
            <w:vMerge w:val="restart"/>
            <w:shd w:val="clear" w:color="auto" w:fill="CCEEFF"/>
          </w:tcPr>
          <w:p>
            <w:pPr>
              <w:ind w:left="20"/>
              <w:spacing w:after="0" w:line="106"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line="20" w:lineRule="exact"/>
              <w:rPr>
                <w:sz w:val="1"/>
                <w:szCs w:val="1"/>
                <w:color w:val="auto"/>
              </w:rPr>
            </w:pPr>
          </w:p>
        </w:tc>
      </w:tr>
      <w:tr>
        <w:trPr>
          <w:trHeight w:val="90"/>
        </w:trPr>
        <w:tc>
          <w:tcPr>
            <w:tcW w:w="300" w:type="dxa"/>
            <w:vAlign w:val="bottom"/>
          </w:tcPr>
          <w:p>
            <w:pPr>
              <w:spacing w:after="0"/>
              <w:rPr>
                <w:sz w:val="7"/>
                <w:szCs w:val="7"/>
                <w:color w:val="auto"/>
              </w:rPr>
            </w:pPr>
          </w:p>
        </w:tc>
        <w:tc>
          <w:tcPr>
            <w:tcW w:w="5220" w:type="dxa"/>
            <w:vAlign w:val="bottom"/>
            <w:gridSpan w:val="2"/>
            <w:shd w:val="clear" w:color="auto" w:fill="CCEEFF"/>
          </w:tcPr>
          <w:p>
            <w:pPr>
              <w:spacing w:after="0" w:line="73"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tcBorders>
              <w:right w:val="single" w:sz="8" w:color="CCEEFF"/>
            </w:tcBorders>
            <w:shd w:val="clear" w:color="auto" w:fill="CCEEFF"/>
          </w:tcPr>
          <w:p>
            <w:pPr>
              <w:ind w:left="40"/>
              <w:spacing w:after="0" w:line="73" w:lineRule="exact"/>
              <w:rPr>
                <w:sz w:val="20"/>
                <w:szCs w:val="20"/>
                <w:color w:val="auto"/>
              </w:rPr>
            </w:pPr>
            <w:r>
              <w:rPr>
                <w:rFonts w:ascii="Times New Roman" w:cs="Times New Roman" w:eastAsia="Times New Roman" w:hAnsi="Times New Roman"/>
                <w:sz w:val="8"/>
                <w:szCs w:val="8"/>
                <w:color w:val="auto"/>
              </w:rPr>
              <w:t>​ ​​</w:t>
            </w:r>
          </w:p>
        </w:tc>
        <w:tc>
          <w:tcPr>
            <w:tcW w:w="460" w:type="dxa"/>
            <w:vAlign w:val="bottom"/>
            <w:tcBorders>
              <w:right w:val="single" w:sz="8" w:color="CCEEFF"/>
            </w:tcBorders>
            <w:vMerge w:val="continue"/>
            <w:shd w:val="clear" w:color="auto" w:fill="CCEEFF"/>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5520" w:type="dxa"/>
            <w:vAlign w:val="bottom"/>
            <w:gridSpan w:val="3"/>
            <w:vMerge w:val="restart"/>
          </w:tcPr>
          <w:p>
            <w:pPr>
              <w:ind w:left="300"/>
              <w:spacing w:after="0" w:line="112" w:lineRule="exact"/>
              <w:rPr>
                <w:sz w:val="20"/>
                <w:szCs w:val="20"/>
                <w:color w:val="auto"/>
              </w:rPr>
            </w:pPr>
            <w:r>
              <w:rPr>
                <w:rFonts w:ascii="Times New Roman" w:cs="Times New Roman" w:eastAsia="Times New Roman" w:hAnsi="Times New Roman"/>
                <w:sz w:val="12"/>
                <w:szCs w:val="12"/>
                <w:color w:val="auto"/>
              </w:rPr>
              <w:t>Accounting fees and expenses</w:t>
            </w: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line="75" w:lineRule="exact"/>
              <w:rPr>
                <w:sz w:val="20"/>
                <w:szCs w:val="20"/>
                <w:color w:val="auto"/>
              </w:rPr>
            </w:pPr>
            <w:r>
              <w:rPr>
                <w:rFonts w:ascii="Times New Roman" w:cs="Times New Roman" w:eastAsia="Times New Roman" w:hAnsi="Times New Roman"/>
                <w:sz w:val="8"/>
                <w:szCs w:val="8"/>
                <w:color w:val="auto"/>
                <w:w w:val="85"/>
              </w:rPr>
              <w:t>(2)</w:t>
            </w:r>
          </w:p>
        </w:tc>
        <w:tc>
          <w:tcPr>
            <w:tcW w:w="0" w:type="dxa"/>
            <w:vAlign w:val="bottom"/>
          </w:tcPr>
          <w:p>
            <w:pPr>
              <w:spacing w:after="0"/>
              <w:rPr>
                <w:sz w:val="1"/>
                <w:szCs w:val="1"/>
                <w:color w:val="auto"/>
              </w:rPr>
            </w:pPr>
          </w:p>
        </w:tc>
      </w:tr>
      <w:tr>
        <w:trPr>
          <w:trHeight w:val="37"/>
        </w:trPr>
        <w:tc>
          <w:tcPr>
            <w:tcW w:w="552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vMerge w:val="restart"/>
          </w:tcPr>
          <w:p>
            <w:pPr>
              <w:ind w:left="20"/>
              <w:spacing w:after="0" w:line="106"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line="20" w:lineRule="exact"/>
              <w:rPr>
                <w:sz w:val="1"/>
                <w:szCs w:val="1"/>
                <w:color w:val="auto"/>
              </w:rPr>
            </w:pPr>
          </w:p>
        </w:tc>
      </w:tr>
      <w:tr>
        <w:trPr>
          <w:trHeight w:val="73"/>
        </w:trPr>
        <w:tc>
          <w:tcPr>
            <w:tcW w:w="5520" w:type="dxa"/>
            <w:vAlign w:val="bottom"/>
            <w:gridSpan w:val="3"/>
          </w:tcPr>
          <w:p>
            <w:pPr>
              <w:ind w:left="300"/>
              <w:spacing w:after="0" w:line="73"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ind w:left="40"/>
              <w:spacing w:after="0" w:line="73" w:lineRule="exact"/>
              <w:rPr>
                <w:sz w:val="20"/>
                <w:szCs w:val="20"/>
                <w:color w:val="auto"/>
              </w:rPr>
            </w:pPr>
            <w:r>
              <w:rPr>
                <w:rFonts w:ascii="Times New Roman" w:cs="Times New Roman" w:eastAsia="Times New Roman" w:hAnsi="Times New Roman"/>
                <w:sz w:val="8"/>
                <w:szCs w:val="8"/>
                <w:color w:val="auto"/>
              </w:rPr>
              <w:t>​ ​​</w:t>
            </w:r>
          </w:p>
        </w:tc>
        <w:tc>
          <w:tcPr>
            <w:tcW w:w="4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00" w:type="dxa"/>
            <w:vAlign w:val="bottom"/>
          </w:tcPr>
          <w:p>
            <w:pPr>
              <w:spacing w:after="0"/>
              <w:rPr>
                <w:sz w:val="8"/>
                <w:szCs w:val="8"/>
                <w:color w:val="auto"/>
              </w:rPr>
            </w:pPr>
          </w:p>
        </w:tc>
        <w:tc>
          <w:tcPr>
            <w:tcW w:w="5220" w:type="dxa"/>
            <w:vAlign w:val="bottom"/>
            <w:gridSpan w:val="2"/>
            <w:vMerge w:val="restart"/>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Blue Sky, qualification fees and expenses</w:t>
            </w:r>
          </w:p>
        </w:tc>
        <w:tc>
          <w:tcPr>
            <w:tcW w:w="220" w:type="dxa"/>
            <w:vAlign w:val="bottom"/>
            <w:tcBorders>
              <w:right w:val="single" w:sz="8" w:color="CCEEFF"/>
            </w:tcBorders>
            <w:shd w:val="clear" w:color="auto" w:fill="CCEEFF"/>
          </w:tcPr>
          <w:p>
            <w:pPr>
              <w:spacing w:after="0"/>
              <w:rPr>
                <w:sz w:val="8"/>
                <w:szCs w:val="8"/>
                <w:color w:val="auto"/>
              </w:rPr>
            </w:pPr>
          </w:p>
        </w:tc>
        <w:tc>
          <w:tcPr>
            <w:tcW w:w="460" w:type="dxa"/>
            <w:vAlign w:val="bottom"/>
            <w:tcBorders>
              <w:right w:val="single" w:sz="8" w:color="CCEEFF"/>
            </w:tcBorders>
            <w:shd w:val="clear" w:color="auto" w:fill="CCEEFF"/>
          </w:tcPr>
          <w:p>
            <w:pPr>
              <w:spacing w:after="0"/>
              <w:rPr>
                <w:sz w:val="8"/>
                <w:szCs w:val="8"/>
                <w:color w:val="auto"/>
              </w:rPr>
            </w:pPr>
          </w:p>
        </w:tc>
        <w:tc>
          <w:tcPr>
            <w:tcW w:w="100" w:type="dxa"/>
            <w:vAlign w:val="bottom"/>
          </w:tcPr>
          <w:p>
            <w:pPr>
              <w:spacing w:after="0" w:line="92" w:lineRule="exact"/>
              <w:rPr>
                <w:sz w:val="20"/>
                <w:szCs w:val="20"/>
                <w:color w:val="auto"/>
              </w:rPr>
            </w:pPr>
            <w:r>
              <w:rPr>
                <w:rFonts w:ascii="Times New Roman" w:cs="Times New Roman" w:eastAsia="Times New Roman" w:hAnsi="Times New Roman"/>
                <w:sz w:val="9"/>
                <w:szCs w:val="9"/>
                <w:color w:val="auto"/>
                <w:w w:val="75"/>
              </w:rPr>
              <w:t>(2)</w:t>
            </w:r>
          </w:p>
        </w:tc>
        <w:tc>
          <w:tcPr>
            <w:tcW w:w="0" w:type="dxa"/>
            <w:vAlign w:val="bottom"/>
          </w:tcPr>
          <w:p>
            <w:pPr>
              <w:spacing w:after="0"/>
              <w:rPr>
                <w:sz w:val="1"/>
                <w:szCs w:val="1"/>
                <w:color w:val="auto"/>
              </w:rPr>
            </w:pPr>
          </w:p>
        </w:tc>
      </w:tr>
      <w:tr>
        <w:trPr>
          <w:trHeight w:val="37"/>
        </w:trPr>
        <w:tc>
          <w:tcPr>
            <w:tcW w:w="300" w:type="dxa"/>
            <w:vAlign w:val="bottom"/>
          </w:tcPr>
          <w:p>
            <w:pPr>
              <w:spacing w:after="0"/>
              <w:rPr>
                <w:sz w:val="3"/>
                <w:szCs w:val="3"/>
                <w:color w:val="auto"/>
              </w:rPr>
            </w:pPr>
          </w:p>
        </w:tc>
        <w:tc>
          <w:tcPr>
            <w:tcW w:w="5220" w:type="dxa"/>
            <w:vAlign w:val="bottom"/>
            <w:gridSpan w:val="2"/>
            <w:vMerge w:val="continue"/>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460" w:type="dxa"/>
            <w:vAlign w:val="bottom"/>
            <w:tcBorders>
              <w:right w:val="single" w:sz="8" w:color="CCEEFF"/>
            </w:tcBorders>
            <w:vMerge w:val="restart"/>
            <w:shd w:val="clear" w:color="auto" w:fill="CCEEFF"/>
          </w:tcPr>
          <w:p>
            <w:pPr>
              <w:ind w:left="20"/>
              <w:spacing w:after="0" w:line="106"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line="20" w:lineRule="exact"/>
              <w:rPr>
                <w:sz w:val="1"/>
                <w:szCs w:val="1"/>
                <w:color w:val="auto"/>
              </w:rPr>
            </w:pPr>
          </w:p>
        </w:tc>
      </w:tr>
      <w:tr>
        <w:trPr>
          <w:trHeight w:val="70"/>
        </w:trPr>
        <w:tc>
          <w:tcPr>
            <w:tcW w:w="300" w:type="dxa"/>
            <w:vAlign w:val="bottom"/>
          </w:tcPr>
          <w:p>
            <w:pPr>
              <w:spacing w:after="0"/>
              <w:rPr>
                <w:sz w:val="6"/>
                <w:szCs w:val="6"/>
                <w:color w:val="auto"/>
              </w:rPr>
            </w:pPr>
          </w:p>
        </w:tc>
        <w:tc>
          <w:tcPr>
            <w:tcW w:w="5220" w:type="dxa"/>
            <w:vAlign w:val="bottom"/>
            <w:tcBorders>
              <w:bottom w:val="single" w:sz="8" w:color="CCEEFF"/>
            </w:tcBorders>
            <w:gridSpan w:val="2"/>
            <w:shd w:val="clear" w:color="auto" w:fill="CCEEFF"/>
          </w:tcPr>
          <w:p>
            <w:pPr>
              <w:spacing w:after="0" w:line="71"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tcBorders>
              <w:bottom w:val="single" w:sz="8" w:color="CCEEFF"/>
              <w:right w:val="single" w:sz="8" w:color="CCEEFF"/>
            </w:tcBorders>
            <w:shd w:val="clear" w:color="auto" w:fill="CCEEFF"/>
          </w:tcPr>
          <w:p>
            <w:pPr>
              <w:ind w:left="40"/>
              <w:spacing w:after="0" w:line="71" w:lineRule="exact"/>
              <w:rPr>
                <w:sz w:val="20"/>
                <w:szCs w:val="20"/>
                <w:color w:val="auto"/>
              </w:rPr>
            </w:pPr>
            <w:r>
              <w:rPr>
                <w:rFonts w:ascii="Times New Roman" w:cs="Times New Roman" w:eastAsia="Times New Roman" w:hAnsi="Times New Roman"/>
                <w:sz w:val="8"/>
                <w:szCs w:val="8"/>
                <w:color w:val="auto"/>
              </w:rPr>
              <w:t>​ ​​</w:t>
            </w:r>
          </w:p>
        </w:tc>
        <w:tc>
          <w:tcPr>
            <w:tcW w:w="460" w:type="dxa"/>
            <w:vAlign w:val="bottom"/>
            <w:tcBorders>
              <w:bottom w:val="single" w:sz="8" w:color="CCEEFF"/>
              <w:right w:val="single" w:sz="8" w:color="CCEEFF"/>
            </w:tcBorders>
            <w:vMerge w:val="continue"/>
            <w:shd w:val="clear" w:color="auto" w:fill="CCEEFF"/>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5520" w:type="dxa"/>
            <w:vAlign w:val="bottom"/>
            <w:gridSpan w:val="3"/>
            <w:vMerge w:val="restart"/>
          </w:tcPr>
          <w:p>
            <w:pPr>
              <w:ind w:left="300"/>
              <w:spacing w:after="0" w:line="123" w:lineRule="exact"/>
              <w:rPr>
                <w:sz w:val="20"/>
                <w:szCs w:val="20"/>
                <w:color w:val="auto"/>
              </w:rPr>
            </w:pPr>
            <w:r>
              <w:rPr>
                <w:rFonts w:ascii="Times New Roman" w:cs="Times New Roman" w:eastAsia="Times New Roman" w:hAnsi="Times New Roman"/>
                <w:sz w:val="14"/>
                <w:szCs w:val="14"/>
                <w:color w:val="auto"/>
              </w:rPr>
              <w:t>Transfer agent fees and expenses</w:t>
            </w: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line="85" w:lineRule="exact"/>
              <w:rPr>
                <w:sz w:val="20"/>
                <w:szCs w:val="20"/>
                <w:color w:val="auto"/>
              </w:rPr>
            </w:pPr>
            <w:r>
              <w:rPr>
                <w:rFonts w:ascii="Times New Roman" w:cs="Times New Roman" w:eastAsia="Times New Roman" w:hAnsi="Times New Roman"/>
                <w:sz w:val="9"/>
                <w:szCs w:val="9"/>
                <w:color w:val="auto"/>
                <w:w w:val="75"/>
              </w:rPr>
              <w:t>(2)</w:t>
            </w:r>
          </w:p>
        </w:tc>
        <w:tc>
          <w:tcPr>
            <w:tcW w:w="0" w:type="dxa"/>
            <w:vAlign w:val="bottom"/>
          </w:tcPr>
          <w:p>
            <w:pPr>
              <w:spacing w:after="0"/>
              <w:rPr>
                <w:sz w:val="1"/>
                <w:szCs w:val="1"/>
                <w:color w:val="auto"/>
              </w:rPr>
            </w:pPr>
          </w:p>
        </w:tc>
      </w:tr>
      <w:tr>
        <w:trPr>
          <w:trHeight w:val="37"/>
        </w:trPr>
        <w:tc>
          <w:tcPr>
            <w:tcW w:w="552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vMerge w:val="restart"/>
          </w:tcPr>
          <w:p>
            <w:pPr>
              <w:ind w:left="20"/>
              <w:spacing w:after="0" w:line="106"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line="12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69"/>
        </w:trPr>
        <w:tc>
          <w:tcPr>
            <w:tcW w:w="5520" w:type="dxa"/>
            <w:vAlign w:val="bottom"/>
            <w:gridSpan w:val="3"/>
            <w:vMerge w:val="restart"/>
          </w:tcPr>
          <w:p>
            <w:pPr>
              <w:ind w:left="300"/>
              <w:spacing w:after="0" w:line="91"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vMerge w:val="restart"/>
          </w:tcPr>
          <w:p>
            <w:pPr>
              <w:ind w:left="40"/>
              <w:spacing w:after="0" w:line="91" w:lineRule="exact"/>
              <w:rPr>
                <w:sz w:val="20"/>
                <w:szCs w:val="20"/>
                <w:color w:val="auto"/>
              </w:rPr>
            </w:pPr>
            <w:r>
              <w:rPr>
                <w:rFonts w:ascii="Times New Roman" w:cs="Times New Roman" w:eastAsia="Times New Roman" w:hAnsi="Times New Roman"/>
                <w:sz w:val="10"/>
                <w:szCs w:val="10"/>
                <w:color w:val="auto"/>
              </w:rPr>
              <w:t>​ ​​</w:t>
            </w:r>
          </w:p>
        </w:tc>
        <w:tc>
          <w:tcPr>
            <w:tcW w:w="4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5520" w:type="dxa"/>
            <w:vAlign w:val="bottom"/>
            <w:gridSpan w:val="3"/>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300" w:type="dxa"/>
            <w:vAlign w:val="bottom"/>
          </w:tcPr>
          <w:p>
            <w:pPr>
              <w:spacing w:after="0"/>
              <w:rPr>
                <w:sz w:val="7"/>
                <w:szCs w:val="7"/>
                <w:color w:val="auto"/>
              </w:rPr>
            </w:pPr>
          </w:p>
        </w:tc>
        <w:tc>
          <w:tcPr>
            <w:tcW w:w="5220" w:type="dxa"/>
            <w:vAlign w:val="bottom"/>
            <w:gridSpan w:val="2"/>
            <w:vMerge w:val="restart"/>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Trustee fees and expenses</w:t>
            </w:r>
          </w:p>
        </w:tc>
        <w:tc>
          <w:tcPr>
            <w:tcW w:w="220" w:type="dxa"/>
            <w:vAlign w:val="bottom"/>
            <w:tcBorders>
              <w:right w:val="single" w:sz="8" w:color="CCEEFF"/>
            </w:tcBorders>
            <w:shd w:val="clear" w:color="auto" w:fill="CCEEFF"/>
          </w:tcPr>
          <w:p>
            <w:pPr>
              <w:spacing w:after="0"/>
              <w:rPr>
                <w:sz w:val="7"/>
                <w:szCs w:val="7"/>
                <w:color w:val="auto"/>
              </w:rPr>
            </w:pPr>
          </w:p>
        </w:tc>
        <w:tc>
          <w:tcPr>
            <w:tcW w:w="460" w:type="dxa"/>
            <w:vAlign w:val="bottom"/>
            <w:tcBorders>
              <w:right w:val="single" w:sz="8" w:color="CCEEFF"/>
            </w:tcBorders>
            <w:shd w:val="clear" w:color="auto" w:fill="CCEEFF"/>
          </w:tcPr>
          <w:p>
            <w:pPr>
              <w:spacing w:after="0"/>
              <w:rPr>
                <w:sz w:val="7"/>
                <w:szCs w:val="7"/>
                <w:color w:val="auto"/>
              </w:rPr>
            </w:pPr>
          </w:p>
        </w:tc>
        <w:tc>
          <w:tcPr>
            <w:tcW w:w="100" w:type="dxa"/>
            <w:vAlign w:val="bottom"/>
          </w:tcPr>
          <w:p>
            <w:pPr>
              <w:spacing w:after="0" w:line="85" w:lineRule="exact"/>
              <w:rPr>
                <w:sz w:val="20"/>
                <w:szCs w:val="20"/>
                <w:color w:val="auto"/>
              </w:rPr>
            </w:pPr>
            <w:r>
              <w:rPr>
                <w:rFonts w:ascii="Times New Roman" w:cs="Times New Roman" w:eastAsia="Times New Roman" w:hAnsi="Times New Roman"/>
                <w:sz w:val="9"/>
                <w:szCs w:val="9"/>
                <w:color w:val="auto"/>
                <w:w w:val="75"/>
              </w:rPr>
              <w:t>(2)</w:t>
            </w:r>
          </w:p>
        </w:tc>
        <w:tc>
          <w:tcPr>
            <w:tcW w:w="0" w:type="dxa"/>
            <w:vAlign w:val="bottom"/>
          </w:tcPr>
          <w:p>
            <w:pPr>
              <w:spacing w:after="0"/>
              <w:rPr>
                <w:sz w:val="1"/>
                <w:szCs w:val="1"/>
                <w:color w:val="auto"/>
              </w:rPr>
            </w:pPr>
          </w:p>
        </w:tc>
      </w:tr>
      <w:tr>
        <w:trPr>
          <w:trHeight w:val="37"/>
        </w:trPr>
        <w:tc>
          <w:tcPr>
            <w:tcW w:w="300" w:type="dxa"/>
            <w:vAlign w:val="bottom"/>
          </w:tcPr>
          <w:p>
            <w:pPr>
              <w:spacing w:after="0"/>
              <w:rPr>
                <w:sz w:val="3"/>
                <w:szCs w:val="3"/>
                <w:color w:val="auto"/>
              </w:rPr>
            </w:pPr>
          </w:p>
        </w:tc>
        <w:tc>
          <w:tcPr>
            <w:tcW w:w="5220" w:type="dxa"/>
            <w:vAlign w:val="bottom"/>
            <w:gridSpan w:val="2"/>
            <w:vMerge w:val="continue"/>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460" w:type="dxa"/>
            <w:vAlign w:val="bottom"/>
            <w:tcBorders>
              <w:right w:val="single" w:sz="8" w:color="CCEEFF"/>
            </w:tcBorders>
            <w:vMerge w:val="restart"/>
            <w:shd w:val="clear" w:color="auto" w:fill="CCEEFF"/>
          </w:tcPr>
          <w:p>
            <w:pPr>
              <w:ind w:left="20"/>
              <w:spacing w:after="0" w:line="106"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line="20" w:lineRule="exact"/>
              <w:rPr>
                <w:sz w:val="1"/>
                <w:szCs w:val="1"/>
                <w:color w:val="auto"/>
              </w:rPr>
            </w:pPr>
          </w:p>
        </w:tc>
      </w:tr>
      <w:tr>
        <w:trPr>
          <w:trHeight w:val="70"/>
        </w:trPr>
        <w:tc>
          <w:tcPr>
            <w:tcW w:w="300" w:type="dxa"/>
            <w:vAlign w:val="bottom"/>
          </w:tcPr>
          <w:p>
            <w:pPr>
              <w:spacing w:after="0"/>
              <w:rPr>
                <w:sz w:val="6"/>
                <w:szCs w:val="6"/>
                <w:color w:val="auto"/>
              </w:rPr>
            </w:pPr>
          </w:p>
        </w:tc>
        <w:tc>
          <w:tcPr>
            <w:tcW w:w="5220" w:type="dxa"/>
            <w:vAlign w:val="bottom"/>
            <w:tcBorders>
              <w:bottom w:val="single" w:sz="8" w:color="CCEEFF"/>
            </w:tcBorders>
            <w:gridSpan w:val="2"/>
            <w:shd w:val="clear" w:color="auto" w:fill="CCEEFF"/>
          </w:tcPr>
          <w:p>
            <w:pPr>
              <w:spacing w:after="0" w:line="71"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tcBorders>
              <w:bottom w:val="single" w:sz="8" w:color="CCEEFF"/>
              <w:right w:val="single" w:sz="8" w:color="CCEEFF"/>
            </w:tcBorders>
            <w:shd w:val="clear" w:color="auto" w:fill="CCEEFF"/>
          </w:tcPr>
          <w:p>
            <w:pPr>
              <w:ind w:left="40"/>
              <w:spacing w:after="0" w:line="71" w:lineRule="exact"/>
              <w:rPr>
                <w:sz w:val="20"/>
                <w:szCs w:val="20"/>
                <w:color w:val="auto"/>
              </w:rPr>
            </w:pPr>
            <w:r>
              <w:rPr>
                <w:rFonts w:ascii="Times New Roman" w:cs="Times New Roman" w:eastAsia="Times New Roman" w:hAnsi="Times New Roman"/>
                <w:sz w:val="8"/>
                <w:szCs w:val="8"/>
                <w:color w:val="auto"/>
              </w:rPr>
              <w:t>​ ​​</w:t>
            </w:r>
          </w:p>
        </w:tc>
        <w:tc>
          <w:tcPr>
            <w:tcW w:w="460" w:type="dxa"/>
            <w:vAlign w:val="bottom"/>
            <w:tcBorders>
              <w:bottom w:val="single" w:sz="8" w:color="CCEEFF"/>
              <w:right w:val="single" w:sz="8" w:color="CCEEFF"/>
            </w:tcBorders>
            <w:vMerge w:val="continue"/>
            <w:shd w:val="clear" w:color="auto" w:fill="CCEEFF"/>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5520" w:type="dxa"/>
            <w:vAlign w:val="bottom"/>
            <w:gridSpan w:val="3"/>
            <w:vMerge w:val="restart"/>
          </w:tcPr>
          <w:p>
            <w:pPr>
              <w:ind w:left="300"/>
              <w:spacing w:after="0" w:line="123" w:lineRule="exact"/>
              <w:rPr>
                <w:sz w:val="20"/>
                <w:szCs w:val="20"/>
                <w:color w:val="auto"/>
              </w:rPr>
            </w:pPr>
            <w:r>
              <w:rPr>
                <w:rFonts w:ascii="Times New Roman" w:cs="Times New Roman" w:eastAsia="Times New Roman" w:hAnsi="Times New Roman"/>
                <w:sz w:val="14"/>
                <w:szCs w:val="14"/>
                <w:color w:val="auto"/>
              </w:rPr>
              <w:t>Warrant agent fees and expenses</w:t>
            </w: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line="85" w:lineRule="exact"/>
              <w:rPr>
                <w:sz w:val="20"/>
                <w:szCs w:val="20"/>
                <w:color w:val="auto"/>
              </w:rPr>
            </w:pPr>
            <w:r>
              <w:rPr>
                <w:rFonts w:ascii="Times New Roman" w:cs="Times New Roman" w:eastAsia="Times New Roman" w:hAnsi="Times New Roman"/>
                <w:sz w:val="9"/>
                <w:szCs w:val="9"/>
                <w:color w:val="auto"/>
                <w:w w:val="75"/>
              </w:rPr>
              <w:t>(2)</w:t>
            </w:r>
          </w:p>
        </w:tc>
        <w:tc>
          <w:tcPr>
            <w:tcW w:w="0" w:type="dxa"/>
            <w:vAlign w:val="bottom"/>
          </w:tcPr>
          <w:p>
            <w:pPr>
              <w:spacing w:after="0"/>
              <w:rPr>
                <w:sz w:val="1"/>
                <w:szCs w:val="1"/>
                <w:color w:val="auto"/>
              </w:rPr>
            </w:pPr>
          </w:p>
        </w:tc>
      </w:tr>
      <w:tr>
        <w:trPr>
          <w:trHeight w:val="37"/>
        </w:trPr>
        <w:tc>
          <w:tcPr>
            <w:tcW w:w="552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vMerge w:val="restart"/>
          </w:tcPr>
          <w:p>
            <w:pPr>
              <w:ind w:left="20"/>
              <w:spacing w:after="0" w:line="106"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line="12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69"/>
        </w:trPr>
        <w:tc>
          <w:tcPr>
            <w:tcW w:w="5520" w:type="dxa"/>
            <w:vAlign w:val="bottom"/>
            <w:gridSpan w:val="3"/>
            <w:vMerge w:val="restart"/>
          </w:tcPr>
          <w:p>
            <w:pPr>
              <w:ind w:left="300"/>
              <w:spacing w:after="0" w:line="91"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vMerge w:val="restart"/>
          </w:tcPr>
          <w:p>
            <w:pPr>
              <w:ind w:left="40"/>
              <w:spacing w:after="0" w:line="91" w:lineRule="exact"/>
              <w:rPr>
                <w:sz w:val="20"/>
                <w:szCs w:val="20"/>
                <w:color w:val="auto"/>
              </w:rPr>
            </w:pPr>
            <w:r>
              <w:rPr>
                <w:rFonts w:ascii="Times New Roman" w:cs="Times New Roman" w:eastAsia="Times New Roman" w:hAnsi="Times New Roman"/>
                <w:sz w:val="10"/>
                <w:szCs w:val="10"/>
                <w:color w:val="auto"/>
              </w:rPr>
              <w:t>​ ​​</w:t>
            </w:r>
          </w:p>
        </w:tc>
        <w:tc>
          <w:tcPr>
            <w:tcW w:w="4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5520" w:type="dxa"/>
            <w:vAlign w:val="bottom"/>
            <w:gridSpan w:val="3"/>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300" w:type="dxa"/>
            <w:vAlign w:val="bottom"/>
          </w:tcPr>
          <w:p>
            <w:pPr>
              <w:spacing w:after="0"/>
              <w:rPr>
                <w:sz w:val="7"/>
                <w:szCs w:val="7"/>
                <w:color w:val="auto"/>
              </w:rPr>
            </w:pPr>
          </w:p>
        </w:tc>
        <w:tc>
          <w:tcPr>
            <w:tcW w:w="5220" w:type="dxa"/>
            <w:vAlign w:val="bottom"/>
            <w:gridSpan w:val="2"/>
            <w:vMerge w:val="restart"/>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Miscellaneous</w:t>
            </w:r>
          </w:p>
        </w:tc>
        <w:tc>
          <w:tcPr>
            <w:tcW w:w="220" w:type="dxa"/>
            <w:vAlign w:val="bottom"/>
            <w:tcBorders>
              <w:right w:val="single" w:sz="8" w:color="CCEEFF"/>
            </w:tcBorders>
            <w:shd w:val="clear" w:color="auto" w:fill="CCEEFF"/>
          </w:tcPr>
          <w:p>
            <w:pPr>
              <w:spacing w:after="0"/>
              <w:rPr>
                <w:sz w:val="7"/>
                <w:szCs w:val="7"/>
                <w:color w:val="auto"/>
              </w:rPr>
            </w:pPr>
          </w:p>
        </w:tc>
        <w:tc>
          <w:tcPr>
            <w:tcW w:w="460" w:type="dxa"/>
            <w:vAlign w:val="bottom"/>
            <w:tcBorders>
              <w:right w:val="single" w:sz="8" w:color="CCEEFF"/>
            </w:tcBorders>
            <w:shd w:val="clear" w:color="auto" w:fill="CCEEFF"/>
          </w:tcPr>
          <w:p>
            <w:pPr>
              <w:spacing w:after="0"/>
              <w:rPr>
                <w:sz w:val="7"/>
                <w:szCs w:val="7"/>
                <w:color w:val="auto"/>
              </w:rPr>
            </w:pPr>
          </w:p>
        </w:tc>
        <w:tc>
          <w:tcPr>
            <w:tcW w:w="100" w:type="dxa"/>
            <w:vAlign w:val="bottom"/>
          </w:tcPr>
          <w:p>
            <w:pPr>
              <w:spacing w:after="0" w:line="85" w:lineRule="exact"/>
              <w:rPr>
                <w:sz w:val="20"/>
                <w:szCs w:val="20"/>
                <w:color w:val="auto"/>
              </w:rPr>
            </w:pPr>
            <w:r>
              <w:rPr>
                <w:rFonts w:ascii="Times New Roman" w:cs="Times New Roman" w:eastAsia="Times New Roman" w:hAnsi="Times New Roman"/>
                <w:sz w:val="9"/>
                <w:szCs w:val="9"/>
                <w:color w:val="auto"/>
                <w:w w:val="75"/>
              </w:rPr>
              <w:t>(2)</w:t>
            </w:r>
          </w:p>
        </w:tc>
        <w:tc>
          <w:tcPr>
            <w:tcW w:w="0" w:type="dxa"/>
            <w:vAlign w:val="bottom"/>
          </w:tcPr>
          <w:p>
            <w:pPr>
              <w:spacing w:after="0"/>
              <w:rPr>
                <w:sz w:val="1"/>
                <w:szCs w:val="1"/>
                <w:color w:val="auto"/>
              </w:rPr>
            </w:pPr>
          </w:p>
        </w:tc>
      </w:tr>
      <w:tr>
        <w:trPr>
          <w:trHeight w:val="37"/>
        </w:trPr>
        <w:tc>
          <w:tcPr>
            <w:tcW w:w="300" w:type="dxa"/>
            <w:vAlign w:val="bottom"/>
          </w:tcPr>
          <w:p>
            <w:pPr>
              <w:spacing w:after="0"/>
              <w:rPr>
                <w:sz w:val="3"/>
                <w:szCs w:val="3"/>
                <w:color w:val="auto"/>
              </w:rPr>
            </w:pPr>
          </w:p>
        </w:tc>
        <w:tc>
          <w:tcPr>
            <w:tcW w:w="5220" w:type="dxa"/>
            <w:vAlign w:val="bottom"/>
            <w:gridSpan w:val="2"/>
            <w:vMerge w:val="continue"/>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460" w:type="dxa"/>
            <w:vAlign w:val="bottom"/>
            <w:tcBorders>
              <w:right w:val="single" w:sz="8" w:color="CCEEFF"/>
            </w:tcBorders>
            <w:vMerge w:val="restart"/>
            <w:shd w:val="clear" w:color="auto" w:fill="CCEEFF"/>
          </w:tcPr>
          <w:p>
            <w:pPr>
              <w:ind w:left="20"/>
              <w:spacing w:after="0" w:line="118"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line="11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81"/>
        </w:trPr>
        <w:tc>
          <w:tcPr>
            <w:tcW w:w="300" w:type="dxa"/>
            <w:vAlign w:val="bottom"/>
          </w:tcPr>
          <w:p>
            <w:pPr>
              <w:spacing w:after="0"/>
              <w:rPr>
                <w:sz w:val="7"/>
                <w:szCs w:val="7"/>
                <w:color w:val="auto"/>
              </w:rPr>
            </w:pPr>
          </w:p>
        </w:tc>
        <w:tc>
          <w:tcPr>
            <w:tcW w:w="5220" w:type="dxa"/>
            <w:vAlign w:val="bottom"/>
            <w:tcBorders>
              <w:bottom w:val="single" w:sz="8" w:color="CCEEFF"/>
            </w:tcBorders>
            <w:gridSpan w:val="2"/>
            <w:shd w:val="clear" w:color="auto" w:fill="CCEEFF"/>
          </w:tcPr>
          <w:p>
            <w:pPr>
              <w:spacing w:after="0" w:line="82"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Borders>
              <w:bottom w:val="single" w:sz="8" w:color="CCEEFF"/>
              <w:right w:val="single" w:sz="8" w:color="CCEEFF"/>
            </w:tcBorders>
            <w:shd w:val="clear" w:color="auto" w:fill="CCEEFF"/>
          </w:tcPr>
          <w:p>
            <w:pPr>
              <w:ind w:left="40"/>
              <w:spacing w:after="0" w:line="82" w:lineRule="exact"/>
              <w:rPr>
                <w:sz w:val="20"/>
                <w:szCs w:val="20"/>
                <w:color w:val="auto"/>
              </w:rPr>
            </w:pPr>
            <w:r>
              <w:rPr>
                <w:rFonts w:ascii="Times New Roman" w:cs="Times New Roman" w:eastAsia="Times New Roman" w:hAnsi="Times New Roman"/>
                <w:sz w:val="9"/>
                <w:szCs w:val="9"/>
                <w:color w:val="auto"/>
              </w:rPr>
              <w:t>​ ​​</w:t>
            </w:r>
          </w:p>
        </w:tc>
        <w:tc>
          <w:tcPr>
            <w:tcW w:w="460" w:type="dxa"/>
            <w:vAlign w:val="bottom"/>
            <w:tcBorders>
              <w:bottom w:val="single" w:sz="8" w:color="CCEEFF"/>
              <w:right w:val="single" w:sz="8" w:color="CCEEFF"/>
            </w:tcBorders>
            <w:vMerge w:val="continue"/>
            <w:shd w:val="clear" w:color="auto" w:fill="CCEEFF"/>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tcPr>
          <w:p>
            <w:pPr>
              <w:spacing w:after="0" w:line="96" w:lineRule="exact"/>
              <w:rPr>
                <w:sz w:val="20"/>
                <w:szCs w:val="20"/>
                <w:color w:val="auto"/>
              </w:rPr>
            </w:pPr>
            <w:r>
              <w:rPr>
                <w:rFonts w:ascii="Times New Roman" w:cs="Times New Roman" w:eastAsia="Times New Roman" w:hAnsi="Times New Roman"/>
                <w:sz w:val="9"/>
                <w:szCs w:val="9"/>
                <w:color w:val="auto"/>
                <w:w w:val="75"/>
              </w:rPr>
              <w:t>(2)</w:t>
            </w:r>
          </w:p>
        </w:tc>
        <w:tc>
          <w:tcPr>
            <w:tcW w:w="0" w:type="dxa"/>
            <w:vAlign w:val="bottom"/>
          </w:tcPr>
          <w:p>
            <w:pPr>
              <w:spacing w:after="0" w:line="20" w:lineRule="exact"/>
              <w:rPr>
                <w:sz w:val="1"/>
                <w:szCs w:val="1"/>
                <w:color w:val="auto"/>
              </w:rPr>
            </w:pPr>
          </w:p>
        </w:tc>
      </w:tr>
      <w:tr>
        <w:trPr>
          <w:trHeight w:val="76"/>
        </w:trPr>
        <w:tc>
          <w:tcPr>
            <w:tcW w:w="55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6"/>
                <w:szCs w:val="6"/>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5520" w:type="dxa"/>
            <w:vAlign w:val="bottom"/>
            <w:gridSpan w:val="3"/>
            <w:vMerge w:val="continue"/>
          </w:tcPr>
          <w:p>
            <w:pPr>
              <w:spacing w:after="0"/>
              <w:rPr>
                <w:sz w:val="8"/>
                <w:szCs w:val="8"/>
                <w:color w:val="auto"/>
              </w:rPr>
            </w:pPr>
          </w:p>
        </w:tc>
        <w:tc>
          <w:tcPr>
            <w:tcW w:w="220" w:type="dxa"/>
            <w:vAlign w:val="bottom"/>
            <w:vMerge w:val="restart"/>
          </w:tcPr>
          <w:p>
            <w:pPr>
              <w:ind w:left="40"/>
              <w:spacing w:after="0" w:line="108" w:lineRule="exact"/>
              <w:rPr>
                <w:sz w:val="20"/>
                <w:szCs w:val="20"/>
                <w:color w:val="auto"/>
              </w:rPr>
            </w:pPr>
            <w:r>
              <w:rPr>
                <w:rFonts w:ascii="Times New Roman" w:cs="Times New Roman" w:eastAsia="Times New Roman" w:hAnsi="Times New Roman"/>
                <w:sz w:val="12"/>
                <w:szCs w:val="12"/>
                <w:b w:val="1"/>
                <w:bCs w:val="1"/>
                <w:color w:val="auto"/>
              </w:rPr>
              <w:t>​ ​​</w:t>
            </w:r>
          </w:p>
        </w:tc>
        <w:tc>
          <w:tcPr>
            <w:tcW w:w="460" w:type="dxa"/>
            <w:vAlign w:val="bottom"/>
            <w:vMerge w:val="continue"/>
          </w:tcPr>
          <w:p>
            <w:pPr>
              <w:spacing w:after="0"/>
              <w:rPr>
                <w:sz w:val="8"/>
                <w:szCs w:val="8"/>
                <w:color w:val="auto"/>
              </w:rPr>
            </w:pPr>
          </w:p>
        </w:tc>
        <w:tc>
          <w:tcPr>
            <w:tcW w:w="10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32"/>
        </w:trPr>
        <w:tc>
          <w:tcPr>
            <w:tcW w:w="5520" w:type="dxa"/>
            <w:vAlign w:val="bottom"/>
            <w:gridSpan w:val="3"/>
          </w:tcPr>
          <w:p>
            <w:pPr>
              <w:ind w:left="300"/>
              <w:spacing w:after="0"/>
              <w:rPr>
                <w:sz w:val="20"/>
                <w:szCs w:val="20"/>
                <w:color w:val="auto"/>
              </w:rPr>
            </w:pPr>
            <w:r>
              <w:rPr>
                <w:rFonts w:ascii="Times New Roman" w:cs="Times New Roman" w:eastAsia="Times New Roman" w:hAnsi="Times New Roman"/>
                <w:sz w:val="1"/>
                <w:szCs w:val="1"/>
                <w:b w:val="1"/>
                <w:bCs w:val="1"/>
                <w:color w:val="auto"/>
              </w:rPr>
              <w:t>​</w:t>
            </w:r>
          </w:p>
        </w:tc>
        <w:tc>
          <w:tcPr>
            <w:tcW w:w="22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3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1560" w:right="1299" w:hanging="290"/>
        <w:spacing w:after="0" w:line="271" w:lineRule="auto"/>
        <w:tabs>
          <w:tab w:leader="none" w:pos="15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Rules 456(b) and 457(r) under the Securities Act of 1933, as amended, the SEC registration fee will be paid at the time of any particular offering of securities under the registration statement, and is therefore not currently determinable.</w:t>
      </w:r>
    </w:p>
    <w:p>
      <w:pPr>
        <w:spacing w:after="0" w:line="18" w:lineRule="exact"/>
        <w:rPr>
          <w:rFonts w:ascii="Times New Roman" w:cs="Times New Roman" w:eastAsia="Times New Roman" w:hAnsi="Times New Roman"/>
          <w:sz w:val="14"/>
          <w:szCs w:val="14"/>
          <w:color w:val="auto"/>
        </w:rPr>
      </w:pPr>
    </w:p>
    <w:p>
      <w:pPr>
        <w:ind w:left="1560" w:right="1419" w:hanging="290"/>
        <w:spacing w:after="0" w:line="288" w:lineRule="auto"/>
        <w:tabs>
          <w:tab w:leader="none" w:pos="15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Limitation of Liability</w:t>
      </w:r>
    </w:p>
    <w:p>
      <w:pPr>
        <w:spacing w:after="0" w:line="128" w:lineRule="exact"/>
        <w:rPr>
          <w:sz w:val="20"/>
          <w:szCs w:val="20"/>
          <w:color w:val="auto"/>
        </w:rPr>
      </w:pPr>
    </w:p>
    <w:p>
      <w:pPr>
        <w:ind w:left="1260" w:right="1339" w:firstLine="284"/>
        <w:spacing w:after="0" w:line="255" w:lineRule="auto"/>
        <w:rPr>
          <w:sz w:val="20"/>
          <w:szCs w:val="20"/>
          <w:color w:val="auto"/>
        </w:rPr>
      </w:pPr>
      <w:r>
        <w:rPr>
          <w:rFonts w:ascii="Times New Roman" w:cs="Times New Roman" w:eastAsia="Times New Roman" w:hAnsi="Times New Roman"/>
          <w:sz w:val="14"/>
          <w:szCs w:val="14"/>
          <w:color w:val="auto"/>
        </w:rPr>
        <w:t>Section 102(b)(7) of the DGCL permits a corporation, in its certificate of incorporation, to limit or eliminate, subject to certain statutory limitations, the liability of directors or officer to the corporation or its stockholders for monetary damages for breaches of fiduciary duty, except for liability:</w:t>
      </w:r>
    </w:p>
    <w:p>
      <w:pPr>
        <w:spacing w:after="0" w:line="51" w:lineRule="exact"/>
        <w:rPr>
          <w:sz w:val="20"/>
          <w:szCs w:val="20"/>
          <w:color w:val="auto"/>
        </w:rPr>
      </w:pPr>
    </w:p>
    <w:p>
      <w:pPr>
        <w:ind w:left="1700" w:hanging="147"/>
        <w:spacing w:after="0"/>
        <w:tabs>
          <w:tab w:leader="none" w:pos="1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breach of the director’s or officer’s duty of loyalty to the company or its stockholders;</w:t>
      </w:r>
    </w:p>
    <w:p>
      <w:pPr>
        <w:spacing w:after="0" w:line="94" w:lineRule="exact"/>
        <w:rPr>
          <w:rFonts w:ascii="Times New Roman" w:cs="Times New Roman" w:eastAsia="Times New Roman" w:hAnsi="Times New Roman"/>
          <w:sz w:val="14"/>
          <w:szCs w:val="14"/>
          <w:color w:val="auto"/>
        </w:rPr>
      </w:pPr>
    </w:p>
    <w:p>
      <w:pPr>
        <w:ind w:left="1700" w:right="1379" w:hanging="147"/>
        <w:spacing w:after="0" w:line="288" w:lineRule="auto"/>
        <w:tabs>
          <w:tab w:leader="none" w:pos="1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acts or omissions by a director or officer not in good faith or that involve intentional misconduct or a knowing violation of law;</w:t>
      </w:r>
    </w:p>
    <w:p>
      <w:pPr>
        <w:spacing w:after="0" w:line="39"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 in respect of certain unlawful dividend payments or stock redemptions or repurchases;</w:t>
      </w:r>
    </w:p>
    <w:p>
      <w:pPr>
        <w:spacing w:after="0" w:line="83" w:lineRule="exact"/>
        <w:rPr>
          <w:rFonts w:ascii="Times New Roman" w:cs="Times New Roman" w:eastAsia="Times New Roman" w:hAnsi="Times New Roman"/>
          <w:sz w:val="14"/>
          <w:szCs w:val="14"/>
          <w:color w:val="auto"/>
        </w:rPr>
      </w:pPr>
    </w:p>
    <w:p>
      <w:pPr>
        <w:ind w:left="1700" w:right="1739" w:hanging="147"/>
        <w:spacing w:after="0" w:line="288" w:lineRule="auto"/>
        <w:tabs>
          <w:tab w:leader="none" w:pos="1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 or officer for any transaction from which the director or officer derives an improper personal benefit; and</w:t>
      </w:r>
    </w:p>
    <w:p>
      <w:pPr>
        <w:spacing w:after="0" w:line="39" w:lineRule="exact"/>
        <w:rPr>
          <w:rFonts w:ascii="Times New Roman" w:cs="Times New Roman" w:eastAsia="Times New Roman" w:hAnsi="Times New Roman"/>
          <w:sz w:val="14"/>
          <w:szCs w:val="14"/>
          <w:color w:val="auto"/>
        </w:rPr>
      </w:pPr>
    </w:p>
    <w:p>
      <w:pPr>
        <w:ind w:left="1700" w:hanging="147"/>
        <w:spacing w:after="0"/>
        <w:tabs>
          <w:tab w:leader="none" w:pos="1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 in any action by or in the right of the corporation.</w:t>
      </w:r>
    </w:p>
    <w:p>
      <w:pPr>
        <w:spacing w:after="0" w:line="11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In accordance with Section 102(b)(7) of the DGCL, Section 9.1 of Viper Energy’s certificate of</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incorporation provides that no director or officer will be personally liable to Viper Energy or any of its</w:t>
      </w:r>
    </w:p>
    <w:p>
      <w:pPr>
        <w:ind w:left="1260"/>
        <w:spacing w:after="0"/>
        <w:rPr>
          <w:sz w:val="20"/>
          <w:szCs w:val="20"/>
          <w:color w:val="auto"/>
        </w:rPr>
      </w:pPr>
      <w:r>
        <w:rPr>
          <w:rFonts w:ascii="Times New Roman" w:cs="Times New Roman" w:eastAsia="Times New Roman" w:hAnsi="Times New Roman"/>
          <w:sz w:val="14"/>
          <w:szCs w:val="14"/>
          <w:color w:val="auto"/>
        </w:rPr>
        <w:t>stockholders for monetary damages resulting from breaches of their fiduciary duty as directors or officers,</w:t>
      </w:r>
    </w:p>
    <w:p>
      <w:pPr>
        <w:ind w:left="1260"/>
        <w:spacing w:after="0"/>
        <w:rPr>
          <w:sz w:val="20"/>
          <w:szCs w:val="20"/>
          <w:color w:val="auto"/>
        </w:rPr>
      </w:pPr>
      <w:r>
        <w:rPr>
          <w:rFonts w:ascii="Times New Roman" w:cs="Times New Roman" w:eastAsia="Times New Roman" w:hAnsi="Times New Roman"/>
          <w:sz w:val="14"/>
          <w:szCs w:val="14"/>
          <w:color w:val="auto"/>
        </w:rPr>
        <w:t>except to the extent such limitation on or exemption from liability is not permitted under the DGCL. The</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effect of this provision of Viper Energy’s certificate of incorporation is to eliminate Viper Energy’s rights</w:t>
      </w:r>
    </w:p>
    <w:p>
      <w:pPr>
        <w:ind w:left="1260"/>
        <w:spacing w:after="0"/>
        <w:rPr>
          <w:sz w:val="20"/>
          <w:szCs w:val="20"/>
          <w:color w:val="auto"/>
        </w:rPr>
      </w:pPr>
      <w:r>
        <w:rPr>
          <w:rFonts w:ascii="Times New Roman" w:cs="Times New Roman" w:eastAsia="Times New Roman" w:hAnsi="Times New Roman"/>
          <w:sz w:val="14"/>
          <w:szCs w:val="14"/>
          <w:color w:val="auto"/>
        </w:rPr>
        <w:t>and those of its stockholders (through stockholders’ derivative suits on our behalf) to recover monetary</w:t>
      </w:r>
    </w:p>
    <w:p>
      <w:pPr>
        <w:ind w:left="1260"/>
        <w:spacing w:after="0"/>
        <w:rPr>
          <w:sz w:val="20"/>
          <w:szCs w:val="20"/>
          <w:color w:val="auto"/>
        </w:rPr>
      </w:pPr>
      <w:r>
        <w:rPr>
          <w:rFonts w:ascii="Times New Roman" w:cs="Times New Roman" w:eastAsia="Times New Roman" w:hAnsi="Times New Roman"/>
          <w:sz w:val="14"/>
          <w:szCs w:val="14"/>
          <w:color w:val="auto"/>
        </w:rPr>
        <w:t>damages against a director or officer for breach of the fiduciary duty of care as a director or officer,</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including breaches resulting from negligent or grossly negligent behavior, except, as restricted by</w:t>
      </w:r>
    </w:p>
    <w:p>
      <w:pPr>
        <w:ind w:left="1260"/>
        <w:spacing w:after="0"/>
        <w:rPr>
          <w:sz w:val="20"/>
          <w:szCs w:val="20"/>
          <w:color w:val="auto"/>
        </w:rPr>
      </w:pPr>
      <w:r>
        <w:rPr>
          <w:rFonts w:ascii="Times New Roman" w:cs="Times New Roman" w:eastAsia="Times New Roman" w:hAnsi="Times New Roman"/>
          <w:sz w:val="14"/>
          <w:szCs w:val="14"/>
          <w:color w:val="auto"/>
        </w:rPr>
        <w:t>Section 102(b)(7) of the DGCL. However, this provision will not limit or eliminate Viper Energy’s rights or</w:t>
      </w:r>
    </w:p>
    <w:p>
      <w:pPr>
        <w:ind w:left="1260"/>
        <w:spacing w:after="0"/>
        <w:rPr>
          <w:sz w:val="20"/>
          <w:szCs w:val="20"/>
          <w:color w:val="auto"/>
        </w:rPr>
      </w:pPr>
      <w:r>
        <w:rPr>
          <w:rFonts w:ascii="Times New Roman" w:cs="Times New Roman" w:eastAsia="Times New Roman" w:hAnsi="Times New Roman"/>
          <w:sz w:val="14"/>
          <w:szCs w:val="14"/>
          <w:color w:val="auto"/>
        </w:rPr>
        <w:t>the rights of any</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0" w:name="page41"/>
    <w:bookmarkEnd w:id="40"/>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519"/>
        <w:spacing w:after="0" w:line="288" w:lineRule="auto"/>
        <w:rPr>
          <w:sz w:val="20"/>
          <w:szCs w:val="20"/>
          <w:color w:val="auto"/>
        </w:rPr>
      </w:pPr>
      <w:r>
        <w:rPr>
          <w:rFonts w:ascii="Times New Roman" w:cs="Times New Roman" w:eastAsia="Times New Roman" w:hAnsi="Times New Roman"/>
          <w:sz w:val="14"/>
          <w:szCs w:val="14"/>
          <w:color w:val="auto"/>
        </w:rPr>
        <w:t>stockholder to seek non-monetary relief, such as an injunction or rescission, in the event of a breach of a director’s or officer’s duty of care.</w:t>
      </w:r>
    </w:p>
    <w:p>
      <w:pPr>
        <w:spacing w:after="0" w:line="71" w:lineRule="exact"/>
        <w:rPr>
          <w:sz w:val="20"/>
          <w:szCs w:val="20"/>
          <w:color w:val="auto"/>
        </w:rPr>
      </w:pPr>
    </w:p>
    <w:p>
      <w:pPr>
        <w:ind w:left="1260" w:right="1319" w:firstLine="284"/>
        <w:spacing w:after="0" w:line="258" w:lineRule="auto"/>
        <w:rPr>
          <w:sz w:val="20"/>
          <w:szCs w:val="20"/>
          <w:color w:val="auto"/>
        </w:rPr>
      </w:pPr>
      <w:r>
        <w:rPr>
          <w:rFonts w:ascii="Times New Roman" w:cs="Times New Roman" w:eastAsia="Times New Roman" w:hAnsi="Times New Roman"/>
          <w:sz w:val="14"/>
          <w:szCs w:val="14"/>
          <w:color w:val="auto"/>
        </w:rPr>
        <w:t>If the DGCL is amended to authorize corporate action further eliminating or limiting the liability of directors or officers, then, in accordance with Viper Energy’s certificate of incorporation, the liability of Viper Energy’s directors and officers to Viper Energy or its stockholders will be eliminated or limited to the fullest extent authorized by the DGCL, as so amended. Any repeal or amendment of provisions of Viper Energy’s certificate of incorporation limiting or eliminating the liability of directors and officers, whether by its stockholders or by changes in law, or the adoption of any other provisions inconsistent therewith, will (unless otherwise required by law) be prospective only, except to the extent that such amendment or change in law permits Viper Energy to further limit or eliminate the liability of directors and officers on a retrospective basis.</w:t>
      </w:r>
    </w:p>
    <w:p>
      <w:pPr>
        <w:spacing w:after="0" w:line="3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under Certificate of Incorporation and Bylaws</w:t>
      </w:r>
    </w:p>
    <w:p>
      <w:pPr>
        <w:spacing w:after="0" w:line="128" w:lineRule="exact"/>
        <w:rPr>
          <w:sz w:val="20"/>
          <w:szCs w:val="20"/>
          <w:color w:val="auto"/>
        </w:rPr>
      </w:pPr>
    </w:p>
    <w:p>
      <w:pPr>
        <w:ind w:left="1260" w:right="1299" w:firstLine="284"/>
        <w:spacing w:after="0" w:line="256" w:lineRule="auto"/>
        <w:rPr>
          <w:sz w:val="20"/>
          <w:szCs w:val="20"/>
          <w:color w:val="auto"/>
        </w:rPr>
      </w:pPr>
      <w:r>
        <w:rPr>
          <w:rFonts w:ascii="Times New Roman" w:cs="Times New Roman" w:eastAsia="Times New Roman" w:hAnsi="Times New Roman"/>
          <w:sz w:val="14"/>
          <w:szCs w:val="14"/>
          <w:color w:val="auto"/>
        </w:rPr>
        <w:t>Section 145 of the DGCL permits a corporation, under specified circumstances, to indemnify its directors, officers, employees or agents against expenses (including attorneys’ fees), judgments, fines and amounts paid in settlements actually and reasonably incurred by them in connection with any action, suit or proceeding brought by third parties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reasonable cause to believe their conduct was unlawful. In a derivative action, i.e., one by or in the right of the corporation, indemnification may be made only for expenses actually and reasonably incurred by directors, officers, employees or agents in connection with the defense or settlement of an action or suit, and only with respect to a matter as to which they shall have acted in good faith and in a manner they reasonably believed to be in or not opposed to the best interests of the corporation, except that no indemnification shall be made if such person shall have been adjudged liable to the corporation, unless and only to the extent that the court in which the action or suit was brought shall determine upon application that the defendant directors, officers, employees or agents are fairly and reasonably entitled to indemnity for such expenses despite such adjudication of liability.</w:t>
      </w:r>
    </w:p>
    <w:p>
      <w:pPr>
        <w:spacing w:after="0" w:line="256" w:lineRule="exact"/>
        <w:rPr>
          <w:sz w:val="20"/>
          <w:szCs w:val="20"/>
          <w:color w:val="auto"/>
        </w:rPr>
      </w:pPr>
    </w:p>
    <w:p>
      <w:pPr>
        <w:ind w:left="1260" w:right="1339" w:firstLine="284"/>
        <w:spacing w:after="0" w:line="257" w:lineRule="auto"/>
        <w:rPr>
          <w:sz w:val="20"/>
          <w:szCs w:val="20"/>
          <w:color w:val="auto"/>
        </w:rPr>
      </w:pPr>
      <w:r>
        <w:rPr>
          <w:rFonts w:ascii="Times New Roman" w:cs="Times New Roman" w:eastAsia="Times New Roman" w:hAnsi="Times New Roman"/>
          <w:sz w:val="14"/>
          <w:szCs w:val="14"/>
          <w:color w:val="auto"/>
        </w:rPr>
        <w:t>Viper Energy’s certificate of incorporation provides that Viper Energy will, to the fullest extent authorized or permitted by applicable law, indemnify Viper Energy’s current and former directors and officers, as well as those persons who, while directors or officers of Viper Energy,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Viper Energy’s certificate of incorporation will be indemnified by Viper Energy in connection with a proceeding initiated by such person only if such proceeding was authorized by Viper Energy’s board of directors, except for proceedings to enforce rights to indemnification and advancement of expenses.</w:t>
      </w:r>
    </w:p>
    <w:p>
      <w:pPr>
        <w:spacing w:after="0" w:line="264" w:lineRule="exact"/>
        <w:rPr>
          <w:sz w:val="20"/>
          <w:szCs w:val="20"/>
          <w:color w:val="auto"/>
        </w:rPr>
      </w:pPr>
    </w:p>
    <w:p>
      <w:pPr>
        <w:ind w:left="1260" w:right="1299" w:firstLine="284"/>
        <w:spacing w:after="0" w:line="259" w:lineRule="auto"/>
        <w:rPr>
          <w:sz w:val="20"/>
          <w:szCs w:val="20"/>
          <w:color w:val="auto"/>
        </w:rPr>
      </w:pPr>
      <w:r>
        <w:rPr>
          <w:rFonts w:ascii="Times New Roman" w:cs="Times New Roman" w:eastAsia="Times New Roman" w:hAnsi="Times New Roman"/>
          <w:sz w:val="14"/>
          <w:szCs w:val="14"/>
          <w:color w:val="auto"/>
        </w:rPr>
        <w:t>The right to indemnification conferred by Viper Energy’s certificate of incorporation is a contract right that includes the right to be paid by Viper Energy the expenses incurred in defending or otherwise participating in any proceeding referenced above in advance of its final disposition; provided, however, that if the DGCL requires, an advancement of expenses incurred by Viper Energy’s officer or director will be made only upon delivery to Viper Energy of an undertaking, by or on behalf of such officer or director, to repay all amounts so advanced if it is ultimately determined by final judicial decision that such person is not entitled to be indemnified for such expenses under Viper Energy’s certificate of incorporation or otherwise.</w:t>
      </w:r>
    </w:p>
    <w:p>
      <w:pPr>
        <w:spacing w:after="0" w:line="93" w:lineRule="exact"/>
        <w:rPr>
          <w:sz w:val="20"/>
          <w:szCs w:val="20"/>
          <w:color w:val="auto"/>
        </w:rPr>
      </w:pPr>
    </w:p>
    <w:p>
      <w:pPr>
        <w:ind w:left="1260" w:right="1299" w:firstLine="284"/>
        <w:spacing w:after="0" w:line="265" w:lineRule="auto"/>
        <w:rPr>
          <w:sz w:val="20"/>
          <w:szCs w:val="20"/>
          <w:color w:val="auto"/>
        </w:rPr>
      </w:pPr>
      <w:r>
        <w:rPr>
          <w:rFonts w:ascii="Times New Roman" w:cs="Times New Roman" w:eastAsia="Times New Roman" w:hAnsi="Times New Roman"/>
          <w:sz w:val="14"/>
          <w:szCs w:val="14"/>
          <w:color w:val="auto"/>
        </w:rPr>
        <w:t>The rights to indemnification and advancement of expenses will not be deemed exclusive of any other rights which any person covered by Viper Energy’s certificate of incorporation may have or hereafter acquire under law, Viper Energy’s certificate of incorporation, Viper Energy’s bylaws, an agreement, vote of stockholders or disinterested directors, or otherwise.</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1" w:name="page42"/>
    <w:bookmarkEnd w:id="41"/>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319" w:firstLine="284"/>
        <w:spacing w:after="0" w:line="257" w:lineRule="auto"/>
        <w:rPr>
          <w:sz w:val="20"/>
          <w:szCs w:val="20"/>
          <w:color w:val="auto"/>
        </w:rPr>
      </w:pPr>
      <w:r>
        <w:rPr>
          <w:rFonts w:ascii="Times New Roman" w:cs="Times New Roman" w:eastAsia="Times New Roman" w:hAnsi="Times New Roman"/>
          <w:sz w:val="14"/>
          <w:szCs w:val="14"/>
          <w:color w:val="auto"/>
        </w:rPr>
        <w:t>Any repeal or amendment of provisions of Viper Energy’s certificate of incorporation affecting indemnification rights, whether by Viper Energy’s stockholders or by changes in law, or the adoption of any other provisions inconsistent therewith, will (unless otherwise required by law) be prospective only, except to the extent that such amendment or change in law permits Viper Energy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Viper Energy’s certificate of incorporation also permits Viper Energy, to the extent and in the manner authorized or permitted by law, to indemnify and to advance expenses to persons other than those specifically covered by Viper Energy’s certificate of incorporation.</w:t>
      </w:r>
    </w:p>
    <w:p>
      <w:pPr>
        <w:spacing w:after="0" w:line="95" w:lineRule="exact"/>
        <w:rPr>
          <w:sz w:val="20"/>
          <w:szCs w:val="20"/>
          <w:color w:val="auto"/>
        </w:rPr>
      </w:pPr>
    </w:p>
    <w:p>
      <w:pPr>
        <w:ind w:left="1260" w:right="1299" w:firstLine="284"/>
        <w:spacing w:after="0" w:line="258" w:lineRule="auto"/>
        <w:rPr>
          <w:sz w:val="20"/>
          <w:szCs w:val="20"/>
          <w:color w:val="auto"/>
        </w:rPr>
      </w:pPr>
      <w:r>
        <w:rPr>
          <w:rFonts w:ascii="Times New Roman" w:cs="Times New Roman" w:eastAsia="Times New Roman" w:hAnsi="Times New Roman"/>
          <w:sz w:val="14"/>
          <w:szCs w:val="14"/>
          <w:color w:val="auto"/>
        </w:rPr>
        <w:t>Viper Energy’s bylaws, as amended and restated to date, include the provisions relating to advancement of expenses and indemnification rights consistent with those set forth in Viper Energy’s certificate of incorporation. In addition, Viper Energy’s bylaws provide for a right of indemnitee to bring a suit in the event a claim for indemnification or advancement of expenses is not paid in full by us within a specified period of time. Viper Energy’s bylaws also permit Viper Energy to purchase and maintain insurance, at our expense, to protect Viper Energy and/or any director, officer, employee or agent of Viper Energy or another entity, trust or other enterprise against any expense, liability or loss, whether or not Viper Energy would have the power to indemnify such person against such expense, liability or loss under the DGCL.</w:t>
      </w:r>
    </w:p>
    <w:p>
      <w:pPr>
        <w:spacing w:after="0" w:line="94" w:lineRule="exact"/>
        <w:rPr>
          <w:sz w:val="20"/>
          <w:szCs w:val="20"/>
          <w:color w:val="auto"/>
        </w:rPr>
      </w:pPr>
    </w:p>
    <w:p>
      <w:pPr>
        <w:ind w:left="1260" w:right="1359" w:firstLine="284"/>
        <w:spacing w:after="0" w:line="259" w:lineRule="auto"/>
        <w:rPr>
          <w:sz w:val="20"/>
          <w:szCs w:val="20"/>
          <w:color w:val="auto"/>
        </w:rPr>
      </w:pPr>
      <w:r>
        <w:rPr>
          <w:rFonts w:ascii="Times New Roman" w:cs="Times New Roman" w:eastAsia="Times New Roman" w:hAnsi="Times New Roman"/>
          <w:sz w:val="14"/>
          <w:szCs w:val="14"/>
          <w:color w:val="auto"/>
        </w:rPr>
        <w:t>Any repeal or amendment of provisions of Viper Energy’s bylaws affecting indemnification rights, whether by Viper Energy’s board of directors, stockholders or by changes in applicable law, or the adoption of any other provisions inconsistent therewith, will (unless otherwise required by law) be prospective only, except to the extent that such amendment or change in law permits Viper Energy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by Co-Registrant</w:t>
      </w:r>
    </w:p>
    <w:p>
      <w:pPr>
        <w:spacing w:after="0" w:line="118" w:lineRule="exact"/>
        <w:rPr>
          <w:sz w:val="20"/>
          <w:szCs w:val="20"/>
          <w:color w:val="auto"/>
        </w:rPr>
      </w:pPr>
    </w:p>
    <w:p>
      <w:pPr>
        <w:ind w:left="1260" w:right="1299" w:firstLine="284"/>
        <w:spacing w:after="0" w:line="256" w:lineRule="auto"/>
        <w:rPr>
          <w:sz w:val="20"/>
          <w:szCs w:val="20"/>
          <w:color w:val="auto"/>
        </w:rPr>
      </w:pPr>
      <w:r>
        <w:rPr>
          <w:rFonts w:ascii="Times New Roman" w:cs="Times New Roman" w:eastAsia="Times New Roman" w:hAnsi="Times New Roman"/>
          <w:sz w:val="14"/>
          <w:szCs w:val="14"/>
          <w:color w:val="auto"/>
        </w:rPr>
        <w:t>Viper Energy Partners is organized in the State of Delaware. Section 17-108 of the Delaware Revised Uniform Limited Partnership Act provides that, subject to the standards and restrictions, if any, as are set forth in its partnership agreement, a Delaware limited partnership may, and shall have the power to, indemnify and hold harmless any partner or other person from and against any and all claims and demands whatsoever. The partnership agreement of Viper Energy Partners provides for indemnification of its general partner, its affiliates and their respective directors, officers, equityholders and employees to the fullest extent permitted by law, including, but not limited to, indemnification of a director or officer of the general partner or director, manager, officer, employee or agent for expenses, attorneys’ fees, judgments, fines, ERISA excise taxes or penalties, amounts paid in settlement and other losses incurred because such director or officer of the general partner or director, manager, officer, employee or agent is or was or has agreed to become a director or officer of the general partner or director, manager, officer, employee or agent of Viper Energy Partners, as well as for advancement and reimbursement of expenses incurred by them in connection therewith.</w:t>
      </w:r>
    </w:p>
    <w:p>
      <w:pPr>
        <w:spacing w:after="0" w:line="3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Agreements with Our Directors and Executive Officers</w:t>
      </w:r>
    </w:p>
    <w:p>
      <w:pPr>
        <w:spacing w:after="0" w:line="128" w:lineRule="exact"/>
        <w:rPr>
          <w:sz w:val="20"/>
          <w:szCs w:val="20"/>
          <w:color w:val="auto"/>
        </w:rPr>
      </w:pPr>
    </w:p>
    <w:p>
      <w:pPr>
        <w:ind w:left="1260" w:right="1299" w:firstLine="284"/>
        <w:spacing w:after="0" w:line="261"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the individuals who currently serve as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future directors and executive officers.</w:t>
      </w:r>
    </w:p>
    <w:p>
      <w:pPr>
        <w:spacing w:after="0" w:line="3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Arrangements Under the Sitio Merger Agreement</w:t>
      </w:r>
    </w:p>
    <w:p>
      <w:pPr>
        <w:spacing w:after="0" w:line="12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On August 19, 2025, we completed the acquisition of Sitio Royalties Corp. (“Sitio”), pursuant to the</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Agreement and Plan of Merger, dated June 2, 2025 (the “Sitio Merger Agreement”), by and among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VNOM Sub, Inc. (f/k/a Viper Energy, Inc.) (for the purpose of this section only, “Old Viper”), Viper Energy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Partners, Sitio, Sitio Royalties Operating Partnership, LP, a Delaware limited partnership (“Sitio Opco”),</w:t>
      </w: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2" w:name="page43"/>
    <w:bookmarkEnd w:id="42"/>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299"/>
        <w:spacing w:after="0" w:line="271" w:lineRule="auto"/>
        <w:rPr>
          <w:sz w:val="20"/>
          <w:szCs w:val="20"/>
          <w:color w:val="auto"/>
        </w:rPr>
      </w:pPr>
      <w:r>
        <w:rPr>
          <w:rFonts w:ascii="Times New Roman" w:cs="Times New Roman" w:eastAsia="Times New Roman" w:hAnsi="Times New Roman"/>
          <w:sz w:val="14"/>
          <w:szCs w:val="14"/>
          <w:color w:val="auto"/>
        </w:rPr>
        <w:t>Viper Energy, Cobra Merger Sub, Inc., a Delaware corporation and a wholly owned subsidiary of Viper (“Viper Merger Sub”), and Scorpion Merger Sub, Inc., a Delaware corporation and wholly owned subsidiary of Viper (“Sitio Merger Sub”).</w:t>
      </w:r>
    </w:p>
    <w:p>
      <w:pPr>
        <w:spacing w:after="0" w:line="82" w:lineRule="exact"/>
        <w:rPr>
          <w:sz w:val="20"/>
          <w:szCs w:val="20"/>
          <w:color w:val="auto"/>
        </w:rPr>
      </w:pPr>
    </w:p>
    <w:p>
      <w:pPr>
        <w:ind w:left="1260" w:right="1279" w:firstLine="284"/>
        <w:spacing w:after="0" w:line="258" w:lineRule="auto"/>
        <w:rPr>
          <w:sz w:val="20"/>
          <w:szCs w:val="20"/>
          <w:color w:val="auto"/>
        </w:rPr>
      </w:pPr>
      <w:r>
        <w:rPr>
          <w:rFonts w:ascii="Times New Roman" w:cs="Times New Roman" w:eastAsia="Times New Roman" w:hAnsi="Times New Roman"/>
          <w:sz w:val="14"/>
          <w:szCs w:val="14"/>
          <w:color w:val="auto"/>
        </w:rPr>
        <w:t>Pursuant to the terms of the Sitio Merger Agreement, Viper Energy acquired Sitio in an all-equity transaction (the “Sitio Acquisition”) through: (i) the merger of Sitio Merger Sub with and into Sitio, with Sitio continuing as the surviving corporation and a wholly owned subsidiary of Viper (the “Sitio Pubco Merger”), (ii) the merger of Viper Merger Sub with and into Old Viper, with Old Viper continuing as the surviving corporation and a wholly owned subsidiary of Viper (the “Viper Pubco Merger” and, together with the Sitio Pubco Merger, the “Pubco Mergers”), and (iii) the merger of Sitio Opco with and into the Operating Company, with the Operating Company continuing as the surviving entity (the “Opco Merger” and, together with the Pubco Mergers, the “Mergers”), in each case on the terms set forth in the Sitio Merger Agreement.</w:t>
      </w:r>
    </w:p>
    <w:p>
      <w:pPr>
        <w:spacing w:after="0" w:line="265" w:lineRule="exact"/>
        <w:rPr>
          <w:sz w:val="20"/>
          <w:szCs w:val="20"/>
          <w:color w:val="auto"/>
        </w:rPr>
      </w:pPr>
    </w:p>
    <w:p>
      <w:pPr>
        <w:ind w:left="1260" w:right="1279" w:firstLine="284"/>
        <w:spacing w:after="0" w:line="256" w:lineRule="auto"/>
        <w:rPr>
          <w:sz w:val="20"/>
          <w:szCs w:val="20"/>
          <w:color w:val="auto"/>
        </w:rPr>
      </w:pPr>
      <w:r>
        <w:rPr>
          <w:rFonts w:ascii="Times New Roman" w:cs="Times New Roman" w:eastAsia="Times New Roman" w:hAnsi="Times New Roman"/>
          <w:sz w:val="14"/>
          <w:szCs w:val="14"/>
          <w:color w:val="auto"/>
        </w:rPr>
        <w:t>The Sitio Merger Agreement provides that, for a period of six years following the completion of the Mergers, we and the surviving companies of the Mergers will, jointly and severally, indemnify, defend and hold harmless any person who is, has been, or became prior to the completion of the Mergers, a director, officer or employee of Sitio, Viper Energy or any of their respective subsidiaries or who acts as a fiduciary under any Sitio employee benefit plan or Viper employee benefit plan or any of their respective subsidiaries (referred to as an “indemnified person”), against all losses, claims, damages, costs, fines, penalties, expenses (including attorneys’ and other professionals’ fees and expenses), liabilities or judgments or amounts that are paid in settlement of, or incurred in connection with any threatened or actual claim, action, audit, demand, suit, proceeding, investigation or other proceeding to which such indemnified person is a party or is otherwise involved based on or arising out of the fact that such person is or was a director, officer or employee of Sitio, Viper Energy or any of their respective subsidiaries, a fiduciary under any employee benefit plan or any of its subsidiaries or is or was serving at the request of Sitio, Viper Energy or any of their respective subsidiaries in a similar capacity of another corporation, partnership, limited liability company, joint venture, trust or other enterprise, as applicable, whether pertaining to any act or omission occurring or existing prior to, at or after the completion of the Mergers and whether asserted or claimed prior to, at or after the completion of the Mergers.</w:t>
      </w:r>
    </w:p>
    <w:p>
      <w:pPr>
        <w:spacing w:after="0" w:line="254" w:lineRule="exact"/>
        <w:rPr>
          <w:sz w:val="20"/>
          <w:szCs w:val="20"/>
          <w:color w:val="auto"/>
        </w:rPr>
      </w:pPr>
    </w:p>
    <w:p>
      <w:pPr>
        <w:ind w:left="1260" w:right="1319" w:firstLine="284"/>
        <w:spacing w:after="0" w:line="261" w:lineRule="auto"/>
        <w:rPr>
          <w:sz w:val="20"/>
          <w:szCs w:val="20"/>
          <w:color w:val="auto"/>
        </w:rPr>
      </w:pPr>
      <w:r>
        <w:rPr>
          <w:rFonts w:ascii="Times New Roman" w:cs="Times New Roman" w:eastAsia="Times New Roman" w:hAnsi="Times New Roman"/>
          <w:sz w:val="14"/>
          <w:szCs w:val="14"/>
          <w:color w:val="auto"/>
        </w:rPr>
        <w:t>For six years following the completion of the Mergers, we, the surviving corporation in the Sitio Pubco Merger and the surviving company in the Opco Merger will not amend, repeal or otherwise modify any provision in the organizational documents of the surviving companies (or any of their respective subsidiaries) in any manner that would affect materially and adversely the rights thereunder of any indemnified person to indemnification, exculpation and advancement, except to the extent required by applicable law.</w:t>
      </w:r>
    </w:p>
    <w:p>
      <w:pPr>
        <w:spacing w:after="0" w:line="263" w:lineRule="exact"/>
        <w:rPr>
          <w:sz w:val="20"/>
          <w:szCs w:val="20"/>
          <w:color w:val="auto"/>
        </w:rPr>
      </w:pPr>
    </w:p>
    <w:p>
      <w:pPr>
        <w:ind w:left="1260" w:right="1299" w:firstLine="284"/>
        <w:spacing w:after="0" w:line="260" w:lineRule="auto"/>
        <w:rPr>
          <w:sz w:val="20"/>
          <w:szCs w:val="20"/>
          <w:color w:val="auto"/>
        </w:rPr>
      </w:pPr>
      <w:r>
        <w:rPr>
          <w:rFonts w:ascii="Times New Roman" w:cs="Times New Roman" w:eastAsia="Times New Roman" w:hAnsi="Times New Roman"/>
          <w:sz w:val="14"/>
          <w:szCs w:val="14"/>
          <w:color w:val="auto"/>
        </w:rPr>
        <w:t>We and the surviving companies of the Mergers will indemnify any indemnified person against all reasonable costs and expenses (including reasonable attorneys’ fees and expenses), such amounts to be payable in advance upon request as provided in the Sitio Merger Agreement, relating to the enforcement of any such indemnified person’s rights with respect to indemnification under the Sitio Merger Agreement or under any charter, bylaw or contract regardless of whether such indemnified person is ultimately determined to be entitled to indemnification thereunder.</w:t>
      </w:r>
    </w:p>
    <w:p>
      <w:pPr>
        <w:spacing w:after="0" w:line="92" w:lineRule="exact"/>
        <w:rPr>
          <w:sz w:val="20"/>
          <w:szCs w:val="20"/>
          <w:color w:val="auto"/>
        </w:rPr>
      </w:pPr>
    </w:p>
    <w:p>
      <w:pPr>
        <w:ind w:left="1260" w:right="1399" w:firstLine="284"/>
        <w:spacing w:after="0" w:line="264" w:lineRule="auto"/>
        <w:rPr>
          <w:sz w:val="20"/>
          <w:szCs w:val="20"/>
          <w:color w:val="auto"/>
        </w:rPr>
      </w:pPr>
      <w:r>
        <w:rPr>
          <w:rFonts w:ascii="Times New Roman" w:cs="Times New Roman" w:eastAsia="Times New Roman" w:hAnsi="Times New Roman"/>
          <w:sz w:val="14"/>
          <w:szCs w:val="14"/>
          <w:color w:val="auto"/>
        </w:rPr>
        <w:t>In the event that we or any of the surviving companies of the Mergers or any of our or their respective successors or assignees (i) consolidates or merges with another person and is not the surviving entity or</w:t>
      </w:r>
    </w:p>
    <w:p>
      <w:pPr>
        <w:ind w:left="1260" w:right="1319" w:firstLine="10"/>
        <w:spacing w:after="0" w:line="257" w:lineRule="auto"/>
        <w:tabs>
          <w:tab w:leader="none" w:pos="1483"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all or substantially all of its properties and assets to any person, then in such case, proper provisions will be made so that our or their successors and assigns, as the case may be, will assume the indemnification obligations in the Sitio Merger Agreement. We and the surviving companies of the Mergers will not sell, transfer, distribute or otherwise dispose of any of their assets in a manner that would reasonably be expected to render such entity unable to satisfy its indemnification obligations under the Sitio Merger Agreement.</w:t>
      </w:r>
    </w:p>
    <w:p>
      <w:pPr>
        <w:spacing w:after="0" w:line="3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Other Indemnification Provisions</w:t>
      </w:r>
    </w:p>
    <w:p>
      <w:pPr>
        <w:spacing w:after="0" w:line="118" w:lineRule="exact"/>
        <w:rPr>
          <w:sz w:val="20"/>
          <w:szCs w:val="20"/>
          <w:color w:val="auto"/>
        </w:rPr>
      </w:pPr>
    </w:p>
    <w:p>
      <w:pPr>
        <w:ind w:left="1260" w:right="1379" w:firstLine="284"/>
        <w:spacing w:after="0" w:line="288" w:lineRule="auto"/>
        <w:rPr>
          <w:sz w:val="20"/>
          <w:szCs w:val="20"/>
          <w:color w:val="auto"/>
        </w:rPr>
      </w:pPr>
      <w:r>
        <w:rPr>
          <w:rFonts w:ascii="Times New Roman" w:cs="Times New Roman" w:eastAsia="Times New Roman" w:hAnsi="Times New Roman"/>
          <w:sz w:val="14"/>
          <w:szCs w:val="14"/>
          <w:color w:val="auto"/>
        </w:rPr>
        <w:t>We may enter into an Underwriting Agreement in connection with a specific offering under which the underwriters will be obligated, under certain circumstances, to indemnify our directors and officers against</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3" w:name="page44"/>
    <w:bookmarkEnd w:id="43"/>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439"/>
        <w:spacing w:after="0" w:line="302" w:lineRule="auto"/>
        <w:rPr>
          <w:sz w:val="20"/>
          <w:szCs w:val="20"/>
          <w:color w:val="auto"/>
        </w:rPr>
      </w:pPr>
      <w:r>
        <w:rPr>
          <w:rFonts w:ascii="Times New Roman" w:cs="Times New Roman" w:eastAsia="Times New Roman" w:hAnsi="Times New Roman"/>
          <w:sz w:val="14"/>
          <w:szCs w:val="14"/>
          <w:color w:val="auto"/>
        </w:rPr>
        <w:t>certain liabilities, including liabilities under the Securities Act. Reference is made to the form of Underwriting Agreement to be filed as an exhibit to our Current Report on Form 8-K in connection with a specific offering.</w:t>
      </w:r>
    </w:p>
    <w:p>
      <w:pPr>
        <w:spacing w:after="0" w:line="29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 16.</w:t>
            </w:r>
          </w:p>
        </w:tc>
        <w:tc>
          <w:tcPr>
            <w:tcW w:w="5900" w:type="dxa"/>
            <w:vAlign w:val="bottom"/>
            <w:gridSpan w:val="3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Exhibits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60" w:type="dxa"/>
            <w:vAlign w:val="bottom"/>
            <w:tcBorders>
              <w:bottom w:val="single" w:sz="8" w:color="auto"/>
            </w:tcBorders>
            <w:gridSpan w:val="2"/>
          </w:tcPr>
          <w:p>
            <w:pPr>
              <w:spacing w:after="0" w:line="168"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Number</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gridSpan w:val="28"/>
          </w:tcPr>
          <w:p>
            <w:pPr>
              <w:ind w:left="8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820" w:type="dxa"/>
            <w:vAlign w:val="bottom"/>
            <w:gridSpan w:val="31"/>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42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Equity Purchase Agreement, dated as of January 30, 2025, by and among Endeavor Energy</w:t>
              </w:r>
            </w:hyperlink>
          </w:p>
        </w:tc>
        <w:tc>
          <w:tcPr>
            <w:tcW w:w="400" w:type="dxa"/>
            <w:vAlign w:val="bottom"/>
            <w:gridSpan w:val="16"/>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0" w:type="dxa"/>
            <w:vAlign w:val="bottom"/>
            <w:tcBorders>
              <w:bottom w:val="single" w:sz="8" w:color="0000EE"/>
            </w:tcBorders>
            <w:gridSpan w:val="22"/>
          </w:tcPr>
          <w:p>
            <w:pPr>
              <w:spacing w:after="0" w:line="150" w:lineRule="exact"/>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Resources, LP, as seller, 1979 Royalties LP and 1979 Royalties GP, LLC, as companies, Viper</w:t>
              </w:r>
            </w:hyperlink>
          </w:p>
        </w:tc>
        <w:tc>
          <w:tcPr>
            <w:tcW w:w="220" w:type="dxa"/>
            <w:vAlign w:val="bottom"/>
            <w:gridSpan w:val="9"/>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20" w:type="dxa"/>
            <w:vAlign w:val="bottom"/>
            <w:gridSpan w:val="31"/>
          </w:tcPr>
          <w:p>
            <w:pPr>
              <w:spacing w:after="0" w:line="150" w:lineRule="exact"/>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Energy Partners LLC, as buyer, and Viper Energy, Inc., as parent (incorporated by reference to</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20" w:type="dxa"/>
            <w:vAlign w:val="bottom"/>
            <w:tcBorders>
              <w:top w:val="single" w:sz="8" w:color="0000EE"/>
            </w:tcBorders>
            <w:gridSpan w:val="23"/>
          </w:tcPr>
          <w:p>
            <w:pPr>
              <w:spacing w:after="0" w:line="150" w:lineRule="exact"/>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Exhibit 2.1 to our predecessor’s Form 8-K (File 001-36505), filed on January 30, 2025).</w:t>
              </w:r>
            </w:hyperlink>
          </w:p>
        </w:tc>
        <w:tc>
          <w:tcPr>
            <w:tcW w:w="200" w:type="dxa"/>
            <w:vAlign w:val="bottom"/>
            <w:gridSpan w:val="8"/>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860" w:type="dxa"/>
            <w:vAlign w:val="bottom"/>
            <w:gridSpan w:val="32"/>
          </w:tcPr>
          <w:p>
            <w:pPr>
              <w:spacing w:after="0"/>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 xml:space="preserve">Agreement and Plan of Merger, dated as of June 2, 2025, by and among Viper Energy, Inc., Viper </w:t>
              </w:r>
            </w:hyperlink>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80" w:type="dxa"/>
            <w:vAlign w:val="bottom"/>
            <w:tcBorders>
              <w:top w:val="single" w:sz="8" w:color="0000EE"/>
              <w:bottom w:val="single" w:sz="8" w:color="0000EE"/>
            </w:tcBorders>
            <w:gridSpan w:val="18"/>
          </w:tcPr>
          <w:p>
            <w:pPr>
              <w:spacing w:after="0" w:line="150" w:lineRule="exact"/>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Energy Partners LLC, Sitio Royalties Corp., Sitio Royalties Operating Partnership, LP, New</w:t>
              </w:r>
            </w:hyperlink>
          </w:p>
        </w:tc>
        <w:tc>
          <w:tcPr>
            <w:tcW w:w="320" w:type="dxa"/>
            <w:vAlign w:val="bottom"/>
            <w:tcBorders>
              <w:top w:val="single" w:sz="8" w:color="0000EE"/>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40" w:type="dxa"/>
            <w:vAlign w:val="bottom"/>
            <w:tcBorders>
              <w:bottom w:val="single" w:sz="8" w:color="0000EE"/>
            </w:tcBorders>
            <w:gridSpan w:val="16"/>
          </w:tcPr>
          <w:p>
            <w:pPr>
              <w:spacing w:after="0" w:line="150" w:lineRule="exact"/>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Cobra Pubco, Inc., Cobra Merger Sub, Inc. and Scorpion Merger Sub, Inc. (incorporated by</w:t>
              </w:r>
            </w:hyperlink>
          </w:p>
        </w:tc>
        <w:tc>
          <w:tcPr>
            <w:tcW w:w="380" w:type="dxa"/>
            <w:vAlign w:val="bottom"/>
            <w:gridSpan w:val="1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20" w:type="dxa"/>
            <w:vAlign w:val="bottom"/>
            <w:gridSpan w:val="31"/>
          </w:tcPr>
          <w:p>
            <w:pPr>
              <w:spacing w:after="0" w:line="150" w:lineRule="exact"/>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reference to Exhibit 2.1 to our predecessor’s Form 8-K (File No. 001-36505), filed on June 4,</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Borders>
              <w:top w:val="single" w:sz="8" w:color="0000EE"/>
              <w:bottom w:val="single" w:sz="8" w:color="0000EE"/>
            </w:tcBorders>
          </w:tcPr>
          <w:p>
            <w:pPr>
              <w:spacing w:after="0" w:line="150" w:lineRule="exact"/>
              <w:rPr>
                <w:rFonts w:ascii="Times New Roman" w:cs="Times New Roman" w:eastAsia="Times New Roman" w:hAnsi="Times New Roman"/>
                <w:sz w:val="14"/>
                <w:szCs w:val="14"/>
                <w:color w:val="0000EE"/>
                <w:w w:val="99"/>
              </w:rPr>
            </w:pPr>
            <w:hyperlink r:id="rId83">
              <w:r>
                <w:rPr>
                  <w:rFonts w:ascii="Times New Roman" w:cs="Times New Roman" w:eastAsia="Times New Roman" w:hAnsi="Times New Roman"/>
                  <w:sz w:val="14"/>
                  <w:szCs w:val="14"/>
                  <w:color w:val="0000EE"/>
                  <w:w w:val="99"/>
                </w:rPr>
                <w:t>2025).</w:t>
              </w:r>
            </w:hyperlink>
          </w:p>
        </w:tc>
        <w:tc>
          <w:tcPr>
            <w:tcW w:w="800" w:type="dxa"/>
            <w:vAlign w:val="bottom"/>
            <w:tcBorders>
              <w:top w:val="single" w:sz="8" w:color="0000EE"/>
            </w:tcBorders>
          </w:tcPr>
          <w:p>
            <w:pPr>
              <w:spacing w:after="0"/>
              <w:rPr>
                <w:sz w:val="13"/>
                <w:szCs w:val="13"/>
                <w:color w:val="auto"/>
              </w:rPr>
            </w:pPr>
          </w:p>
        </w:tc>
        <w:tc>
          <w:tcPr>
            <w:tcW w:w="600" w:type="dxa"/>
            <w:vAlign w:val="bottom"/>
            <w:tcBorders>
              <w:top w:val="single" w:sz="8" w:color="0000EE"/>
            </w:tcBorders>
          </w:tcPr>
          <w:p>
            <w:pPr>
              <w:spacing w:after="0"/>
              <w:rPr>
                <w:sz w:val="13"/>
                <w:szCs w:val="13"/>
                <w:color w:val="auto"/>
              </w:rPr>
            </w:pPr>
          </w:p>
        </w:tc>
        <w:tc>
          <w:tcPr>
            <w:tcW w:w="19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58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40" w:type="dxa"/>
            <w:vAlign w:val="bottom"/>
            <w:vMerge w:val="continue"/>
          </w:tcPr>
          <w:p>
            <w:pPr>
              <w:spacing w:after="0"/>
              <w:rPr>
                <w:sz w:val="15"/>
                <w:szCs w:val="15"/>
                <w:color w:val="auto"/>
              </w:rPr>
            </w:pPr>
          </w:p>
        </w:tc>
        <w:tc>
          <w:tcPr>
            <w:tcW w:w="4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3.1</w:t>
            </w:r>
          </w:p>
        </w:tc>
        <w:tc>
          <w:tcPr>
            <w:tcW w:w="180" w:type="dxa"/>
            <w:vAlign w:val="bottom"/>
            <w:gridSpan w:val="2"/>
            <w:vMerge w:val="continue"/>
          </w:tcPr>
          <w:p>
            <w:pPr>
              <w:spacing w:after="0"/>
              <w:rPr>
                <w:sz w:val="15"/>
                <w:szCs w:val="15"/>
                <w:color w:val="auto"/>
              </w:rPr>
            </w:pPr>
          </w:p>
        </w:tc>
        <w:tc>
          <w:tcPr>
            <w:tcW w:w="5660" w:type="dxa"/>
            <w:vAlign w:val="bottom"/>
            <w:tcBorders>
              <w:bottom w:val="single" w:sz="8" w:color="0000EE"/>
            </w:tcBorders>
            <w:gridSpan w:val="24"/>
          </w:tcPr>
          <w:p>
            <w:pPr>
              <w:spacing w:after="0"/>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Amended and Restated Certificate of Incorporation of New Cobra Pubco, Inc. (incorporated by</w:t>
              </w:r>
            </w:hyperlink>
          </w:p>
        </w:tc>
        <w:tc>
          <w:tcPr>
            <w:tcW w:w="160" w:type="dxa"/>
            <w:vAlign w:val="bottom"/>
            <w:gridSpan w:val="7"/>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680" w:type="dxa"/>
            <w:vAlign w:val="bottom"/>
            <w:tcBorders>
              <w:bottom w:val="single" w:sz="8" w:color="0000EE"/>
            </w:tcBorders>
            <w:gridSpan w:val="25"/>
          </w:tcPr>
          <w:p>
            <w:pPr>
              <w:spacing w:after="0" w:line="150" w:lineRule="exact"/>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reference to Exhibit 3.1 to the Form 8-K12B (File No. 333-288431), filed on August 19, 2025).</w:t>
              </w:r>
            </w:hyperlink>
          </w:p>
        </w:tc>
        <w:tc>
          <w:tcPr>
            <w:tcW w:w="140" w:type="dxa"/>
            <w:vAlign w:val="bottom"/>
            <w:gridSpan w:val="6"/>
          </w:tcPr>
          <w:p>
            <w:pPr>
              <w:spacing w:after="0"/>
              <w:rPr>
                <w:sz w:val="13"/>
                <w:szCs w:val="1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40" w:type="dxa"/>
            <w:vAlign w:val="bottom"/>
            <w:vMerge w:val="continue"/>
          </w:tcPr>
          <w:p>
            <w:pPr>
              <w:spacing w:after="0"/>
              <w:rPr>
                <w:sz w:val="15"/>
                <w:szCs w:val="15"/>
                <w:color w:val="auto"/>
              </w:rPr>
            </w:pPr>
          </w:p>
        </w:tc>
        <w:tc>
          <w:tcPr>
            <w:tcW w:w="4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3.2</w:t>
            </w:r>
          </w:p>
        </w:tc>
        <w:tc>
          <w:tcPr>
            <w:tcW w:w="180" w:type="dxa"/>
            <w:vAlign w:val="bottom"/>
            <w:gridSpan w:val="2"/>
            <w:vMerge w:val="continue"/>
          </w:tcPr>
          <w:p>
            <w:pPr>
              <w:spacing w:after="0"/>
              <w:rPr>
                <w:sz w:val="15"/>
                <w:szCs w:val="15"/>
                <w:color w:val="auto"/>
              </w:rPr>
            </w:pPr>
          </w:p>
        </w:tc>
        <w:tc>
          <w:tcPr>
            <w:tcW w:w="524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Certificate of Amendment to the Certificate of Incorporation of New Cobra Pubco, Inc.</w:t>
              </w:r>
            </w:hyperlink>
          </w:p>
        </w:tc>
        <w:tc>
          <w:tcPr>
            <w:tcW w:w="580" w:type="dxa"/>
            <w:vAlign w:val="bottom"/>
            <w:gridSpan w:val="20"/>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700" w:type="dxa"/>
            <w:vAlign w:val="bottom"/>
            <w:tcBorders>
              <w:bottom w:val="single" w:sz="8" w:color="0000EE"/>
            </w:tcBorders>
            <w:gridSpan w:val="26"/>
          </w:tcPr>
          <w:p>
            <w:pPr>
              <w:spacing w:after="0" w:line="150" w:lineRule="exact"/>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(incorporated by reference to Exhibit 3.2 to the Form 8-K12B (File No. 333-288431), filed with</w:t>
              </w:r>
            </w:hyperlink>
          </w:p>
        </w:tc>
        <w:tc>
          <w:tcPr>
            <w:tcW w:w="12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780" w:type="dxa"/>
            <w:vAlign w:val="bottom"/>
            <w:tcBorders>
              <w:bottom w:val="single" w:sz="8" w:color="0000EE"/>
            </w:tcBorders>
            <w:gridSpan w:val="3"/>
          </w:tcPr>
          <w:p>
            <w:pPr>
              <w:spacing w:after="0" w:line="150" w:lineRule="exact"/>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the SEC on August 19, 2025).</w:t>
              </w:r>
            </w:hyperlink>
          </w:p>
        </w:tc>
        <w:tc>
          <w:tcPr>
            <w:tcW w:w="4040" w:type="dxa"/>
            <w:vAlign w:val="bottom"/>
            <w:gridSpan w:val="28"/>
          </w:tcPr>
          <w:p>
            <w:pPr>
              <w:spacing w:after="0"/>
              <w:rPr>
                <w:sz w:val="13"/>
                <w:szCs w:val="1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40" w:type="dxa"/>
            <w:vAlign w:val="bottom"/>
            <w:vMerge w:val="continue"/>
          </w:tcPr>
          <w:p>
            <w:pPr>
              <w:spacing w:after="0"/>
              <w:rPr>
                <w:sz w:val="15"/>
                <w:szCs w:val="15"/>
                <w:color w:val="auto"/>
              </w:rPr>
            </w:pPr>
          </w:p>
        </w:tc>
        <w:tc>
          <w:tcPr>
            <w:tcW w:w="4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3.3</w:t>
            </w:r>
          </w:p>
        </w:tc>
        <w:tc>
          <w:tcPr>
            <w:tcW w:w="180" w:type="dxa"/>
            <w:vAlign w:val="bottom"/>
            <w:gridSpan w:val="2"/>
            <w:vMerge w:val="continue"/>
          </w:tcPr>
          <w:p>
            <w:pPr>
              <w:spacing w:after="0"/>
              <w:rPr>
                <w:sz w:val="15"/>
                <w:szCs w:val="15"/>
                <w:color w:val="auto"/>
              </w:rPr>
            </w:pPr>
          </w:p>
        </w:tc>
        <w:tc>
          <w:tcPr>
            <w:tcW w:w="538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Second Amended and Restated Bylaws of Viper Energy, Inc. (incorporated by reference to</w:t>
              </w:r>
            </w:hyperlink>
          </w:p>
        </w:tc>
        <w:tc>
          <w:tcPr>
            <w:tcW w:w="440" w:type="dxa"/>
            <w:vAlign w:val="bottom"/>
            <w:gridSpan w:val="17"/>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80" w:type="dxa"/>
            <w:vAlign w:val="bottom"/>
            <w:tcBorders>
              <w:bottom w:val="single" w:sz="8" w:color="0000EE"/>
            </w:tcBorders>
            <w:gridSpan w:val="7"/>
          </w:tcPr>
          <w:p>
            <w:pPr>
              <w:spacing w:after="0" w:line="150" w:lineRule="exact"/>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Exhibit 3.3 to the Form 10-Q (File No. 333-288431), filed on November 5, 2025).</w:t>
              </w:r>
            </w:hyperlink>
          </w:p>
        </w:tc>
        <w:tc>
          <w:tcPr>
            <w:tcW w:w="940" w:type="dxa"/>
            <w:vAlign w:val="bottom"/>
            <w:gridSpan w:val="24"/>
          </w:tcPr>
          <w:p>
            <w:pPr>
              <w:spacing w:after="0"/>
              <w:rPr>
                <w:sz w:val="13"/>
                <w:szCs w:val="1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0" w:type="dxa"/>
            <w:vAlign w:val="bottom"/>
            <w:vMerge w:val="continue"/>
          </w:tcPr>
          <w:p>
            <w:pPr>
              <w:spacing w:after="0"/>
              <w:rPr>
                <w:sz w:val="16"/>
                <w:szCs w:val="16"/>
                <w:color w:val="auto"/>
              </w:rPr>
            </w:pPr>
          </w:p>
        </w:tc>
        <w:tc>
          <w:tcPr>
            <w:tcW w:w="4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3.4</w:t>
            </w:r>
          </w:p>
        </w:tc>
        <w:tc>
          <w:tcPr>
            <w:tcW w:w="180" w:type="dxa"/>
            <w:vAlign w:val="bottom"/>
            <w:gridSpan w:val="2"/>
            <w:vMerge w:val="continue"/>
          </w:tcPr>
          <w:p>
            <w:pPr>
              <w:spacing w:after="0"/>
              <w:rPr>
                <w:sz w:val="16"/>
                <w:szCs w:val="16"/>
                <w:color w:val="auto"/>
              </w:rPr>
            </w:pPr>
          </w:p>
        </w:tc>
        <w:tc>
          <w:tcPr>
            <w:tcW w:w="5820" w:type="dxa"/>
            <w:vAlign w:val="bottom"/>
            <w:gridSpan w:val="31"/>
          </w:tcPr>
          <w:p>
            <w:pPr>
              <w:spacing w:after="0"/>
              <w:rPr>
                <w:sz w:val="20"/>
                <w:szCs w:val="20"/>
                <w:color w:val="auto"/>
              </w:rPr>
            </w:pPr>
            <w:r>
              <w:rPr>
                <w:rFonts w:ascii="Times New Roman" w:cs="Times New Roman" w:eastAsia="Times New Roman" w:hAnsi="Times New Roman"/>
                <w:sz w:val="14"/>
                <w:szCs w:val="14"/>
                <w:color w:val="0000EE"/>
              </w:rPr>
              <w:t>Agreement of Limited Partnership of Viper Energy Partners LP.</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spacing w:after="0" w:line="199" w:lineRule="exact"/>
              <w:rPr>
                <w:sz w:val="20"/>
                <w:szCs w:val="20"/>
                <w:color w:val="auto"/>
              </w:rPr>
            </w:pPr>
            <w:r>
              <w:rPr>
                <w:rFonts w:ascii="Times New Roman" w:cs="Times New Roman" w:eastAsia="Times New Roman" w:hAnsi="Times New Roman"/>
                <w:sz w:val="12"/>
                <w:szCs w:val="12"/>
                <w:color w:val="auto"/>
              </w:rPr>
              <w:t xml:space="preserve">4.1* </w:t>
            </w:r>
            <w:r>
              <w:rPr>
                <w:rFonts w:ascii="Times New Roman" w:cs="Times New Roman" w:eastAsia="Times New Roman" w:hAnsi="Times New Roman"/>
                <w:sz w:val="23"/>
                <w:szCs w:val="23"/>
                <w:color w:val="auto"/>
                <w:vertAlign w:val="superscript"/>
              </w:rPr>
              <w:t>​ ​</w:t>
            </w:r>
          </w:p>
        </w:tc>
        <w:tc>
          <w:tcPr>
            <w:tcW w:w="37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auto"/>
              </w:rPr>
              <w:t>Form of Specimen Certificate Representing Preferred Stock.</w:t>
            </w:r>
          </w:p>
        </w:tc>
        <w:tc>
          <w:tcPr>
            <w:tcW w:w="2040" w:type="dxa"/>
            <w:vAlign w:val="bottom"/>
            <w:gridSpan w:val="26"/>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560" w:type="dxa"/>
            <w:vAlign w:val="bottom"/>
            <w:tcBorders>
              <w:bottom w:val="single" w:sz="8" w:color="0000EE"/>
            </w:tcBorders>
            <w:gridSpan w:val="21"/>
          </w:tcPr>
          <w:p>
            <w:pPr>
              <w:spacing w:after="0"/>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Class B Common Stock Option Agreement, dated as of October 1, 2024, by and among Viper</w:t>
              </w:r>
            </w:hyperlink>
          </w:p>
        </w:tc>
        <w:tc>
          <w:tcPr>
            <w:tcW w:w="260" w:type="dxa"/>
            <w:vAlign w:val="bottom"/>
            <w:gridSpan w:val="10"/>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560" w:type="dxa"/>
            <w:vAlign w:val="bottom"/>
            <w:tcBorders>
              <w:bottom w:val="single" w:sz="8" w:color="0000EE"/>
            </w:tcBorders>
            <w:gridSpan w:val="21"/>
          </w:tcPr>
          <w:p>
            <w:pPr>
              <w:spacing w:after="0" w:line="150"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Energy, Inc., Viper Energy Partners LLC and Tumbleweed Royalty IV, LLC (incorporated by</w:t>
              </w:r>
            </w:hyperlink>
          </w:p>
        </w:tc>
        <w:tc>
          <w:tcPr>
            <w:tcW w:w="260" w:type="dxa"/>
            <w:vAlign w:val="bottom"/>
            <w:gridSpan w:val="10"/>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20" w:type="dxa"/>
            <w:vAlign w:val="bottom"/>
            <w:gridSpan w:val="31"/>
          </w:tcPr>
          <w:p>
            <w:pPr>
              <w:spacing w:after="0" w:line="150"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reference to Exhibit 4.1 to our predecessor’s Form 8-K (File No. 001-36505), filed on October 2,</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Borders>
              <w:top w:val="single" w:sz="8" w:color="0000EE"/>
              <w:bottom w:val="single" w:sz="8" w:color="0000EE"/>
            </w:tcBorders>
          </w:tcPr>
          <w:p>
            <w:pPr>
              <w:spacing w:after="0" w:line="150" w:lineRule="exact"/>
              <w:rPr>
                <w:rFonts w:ascii="Times New Roman" w:cs="Times New Roman" w:eastAsia="Times New Roman" w:hAnsi="Times New Roman"/>
                <w:sz w:val="14"/>
                <w:szCs w:val="14"/>
                <w:color w:val="0000EE"/>
                <w:w w:val="99"/>
              </w:rPr>
            </w:pPr>
            <w:hyperlink r:id="rId87">
              <w:r>
                <w:rPr>
                  <w:rFonts w:ascii="Times New Roman" w:cs="Times New Roman" w:eastAsia="Times New Roman" w:hAnsi="Times New Roman"/>
                  <w:sz w:val="14"/>
                  <w:szCs w:val="14"/>
                  <w:color w:val="0000EE"/>
                  <w:w w:val="99"/>
                </w:rPr>
                <w:t>2024).</w:t>
              </w:r>
            </w:hyperlink>
          </w:p>
        </w:tc>
        <w:tc>
          <w:tcPr>
            <w:tcW w:w="800" w:type="dxa"/>
            <w:vAlign w:val="bottom"/>
            <w:tcBorders>
              <w:top w:val="single" w:sz="8" w:color="0000EE"/>
            </w:tcBorders>
          </w:tcPr>
          <w:p>
            <w:pPr>
              <w:spacing w:after="0"/>
              <w:rPr>
                <w:sz w:val="13"/>
                <w:szCs w:val="13"/>
                <w:color w:val="auto"/>
              </w:rPr>
            </w:pPr>
          </w:p>
        </w:tc>
        <w:tc>
          <w:tcPr>
            <w:tcW w:w="600" w:type="dxa"/>
            <w:vAlign w:val="bottom"/>
            <w:tcBorders>
              <w:top w:val="single" w:sz="8" w:color="0000EE"/>
            </w:tcBorders>
          </w:tcPr>
          <w:p>
            <w:pPr>
              <w:spacing w:after="0"/>
              <w:rPr>
                <w:sz w:val="13"/>
                <w:szCs w:val="13"/>
                <w:color w:val="auto"/>
              </w:rPr>
            </w:pPr>
          </w:p>
        </w:tc>
        <w:tc>
          <w:tcPr>
            <w:tcW w:w="19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58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40" w:type="dxa"/>
            <w:vAlign w:val="bottom"/>
            <w:vMerge w:val="continue"/>
          </w:tcPr>
          <w:p>
            <w:pPr>
              <w:spacing w:after="0"/>
              <w:rPr>
                <w:sz w:val="15"/>
                <w:szCs w:val="15"/>
                <w:color w:val="auto"/>
              </w:rPr>
            </w:pPr>
          </w:p>
        </w:tc>
        <w:tc>
          <w:tcPr>
            <w:tcW w:w="4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4.3</w:t>
            </w:r>
          </w:p>
        </w:tc>
        <w:tc>
          <w:tcPr>
            <w:tcW w:w="180" w:type="dxa"/>
            <w:vAlign w:val="bottom"/>
            <w:gridSpan w:val="2"/>
            <w:vMerge w:val="continue"/>
          </w:tcPr>
          <w:p>
            <w:pPr>
              <w:spacing w:after="0"/>
              <w:rPr>
                <w:sz w:val="15"/>
                <w:szCs w:val="15"/>
                <w:color w:val="auto"/>
              </w:rPr>
            </w:pPr>
          </w:p>
        </w:tc>
        <w:tc>
          <w:tcPr>
            <w:tcW w:w="5820" w:type="dxa"/>
            <w:vAlign w:val="bottom"/>
            <w:gridSpan w:val="31"/>
          </w:tcPr>
          <w:p>
            <w:pPr>
              <w:spacing w:after="0"/>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Second Amended and Restated Exchange Agreement, dated October 1, 2024, by and among</w:t>
              </w:r>
            </w:hyperlink>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20" w:type="dxa"/>
            <w:vAlign w:val="bottom"/>
            <w:gridSpan w:val="31"/>
          </w:tcPr>
          <w:p>
            <w:pPr>
              <w:spacing w:after="0" w:line="150" w:lineRule="exact"/>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Viper Energy, Inc., Viper Energy Partners LLC, Diamondback E&amp;P LLC, Diamondback Energy,</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180" w:type="dxa"/>
            <w:vAlign w:val="bottom"/>
            <w:tcBorders>
              <w:top w:val="single" w:sz="8" w:color="0000EE"/>
              <w:bottom w:val="single" w:sz="8" w:color="0000EE"/>
            </w:tcBorders>
            <w:gridSpan w:val="10"/>
          </w:tcPr>
          <w:p>
            <w:pPr>
              <w:spacing w:after="0" w:line="150" w:lineRule="exact"/>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Inc. and Tumbleweed Royalty IV, LLC (incorporated by reference to Exhibit 4.2 to our</w:t>
              </w:r>
            </w:hyperlink>
          </w:p>
        </w:tc>
        <w:tc>
          <w:tcPr>
            <w:tcW w:w="540" w:type="dxa"/>
            <w:vAlign w:val="bottom"/>
            <w:tcBorders>
              <w:top w:val="single" w:sz="8" w:color="0000EE"/>
            </w:tcBorders>
            <w:gridSpan w:val="17"/>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360" w:type="dxa"/>
            <w:vAlign w:val="bottom"/>
            <w:tcBorders>
              <w:bottom w:val="single" w:sz="8" w:color="0000EE"/>
            </w:tcBorders>
            <w:gridSpan w:val="6"/>
          </w:tcPr>
          <w:p>
            <w:pPr>
              <w:spacing w:after="0" w:line="150" w:lineRule="exact"/>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predecessor’s Form 8-K (File No. 001-36505), filed on October 2, 2024).</w:t>
              </w:r>
            </w:hyperlink>
          </w:p>
        </w:tc>
        <w:tc>
          <w:tcPr>
            <w:tcW w:w="1460" w:type="dxa"/>
            <w:vAlign w:val="bottom"/>
            <w:gridSpan w:val="25"/>
          </w:tcPr>
          <w:p>
            <w:pPr>
              <w:spacing w:after="0"/>
              <w:rPr>
                <w:sz w:val="13"/>
                <w:szCs w:val="1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40" w:type="dxa"/>
            <w:vAlign w:val="bottom"/>
            <w:vMerge w:val="continue"/>
          </w:tcPr>
          <w:p>
            <w:pPr>
              <w:spacing w:after="0"/>
              <w:rPr>
                <w:sz w:val="15"/>
                <w:szCs w:val="15"/>
                <w:color w:val="auto"/>
              </w:rPr>
            </w:pPr>
          </w:p>
        </w:tc>
        <w:tc>
          <w:tcPr>
            <w:tcW w:w="4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4.4</w:t>
            </w:r>
          </w:p>
        </w:tc>
        <w:tc>
          <w:tcPr>
            <w:tcW w:w="180" w:type="dxa"/>
            <w:vAlign w:val="bottom"/>
            <w:gridSpan w:val="2"/>
            <w:vMerge w:val="continue"/>
          </w:tcPr>
          <w:p>
            <w:pPr>
              <w:spacing w:after="0"/>
              <w:rPr>
                <w:sz w:val="15"/>
                <w:szCs w:val="15"/>
                <w:color w:val="auto"/>
              </w:rPr>
            </w:pPr>
          </w:p>
        </w:tc>
        <w:tc>
          <w:tcPr>
            <w:tcW w:w="5820" w:type="dxa"/>
            <w:vAlign w:val="bottom"/>
            <w:gridSpan w:val="31"/>
          </w:tcPr>
          <w:p>
            <w:pPr>
              <w:spacing w:after="0"/>
              <w:rPr>
                <w:rFonts w:ascii="Times New Roman" w:cs="Times New Roman" w:eastAsia="Times New Roman" w:hAnsi="Times New Roman"/>
                <w:sz w:val="14"/>
                <w:szCs w:val="14"/>
                <w:color w:val="0000EE"/>
              </w:rPr>
            </w:pPr>
            <w:hyperlink r:id="rId89">
              <w:r>
                <w:rPr>
                  <w:rFonts w:ascii="Times New Roman" w:cs="Times New Roman" w:eastAsia="Times New Roman" w:hAnsi="Times New Roman"/>
                  <w:sz w:val="14"/>
                  <w:szCs w:val="14"/>
                  <w:color w:val="0000EE"/>
                </w:rPr>
                <w:t>Amended and Restated Registration Rights Agreement, dated as of January 30, 2025, by and</w:t>
              </w:r>
            </w:hyperlink>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380" w:type="dxa"/>
            <w:vAlign w:val="bottom"/>
            <w:tcBorders>
              <w:top w:val="single" w:sz="8" w:color="0000EE"/>
              <w:bottom w:val="single" w:sz="8" w:color="0000EE"/>
            </w:tcBorders>
            <w:gridSpan w:val="14"/>
          </w:tcPr>
          <w:p>
            <w:pPr>
              <w:spacing w:after="0" w:line="150" w:lineRule="exact"/>
              <w:rPr>
                <w:rFonts w:ascii="Times New Roman" w:cs="Times New Roman" w:eastAsia="Times New Roman" w:hAnsi="Times New Roman"/>
                <w:sz w:val="14"/>
                <w:szCs w:val="14"/>
                <w:color w:val="0000EE"/>
              </w:rPr>
            </w:pPr>
            <w:hyperlink r:id="rId89">
              <w:r>
                <w:rPr>
                  <w:rFonts w:ascii="Times New Roman" w:cs="Times New Roman" w:eastAsia="Times New Roman" w:hAnsi="Times New Roman"/>
                  <w:sz w:val="14"/>
                  <w:szCs w:val="14"/>
                  <w:color w:val="0000EE"/>
                </w:rPr>
                <w:t>among Viper Energy, Inc. and Tumbleweed Royalty IV, LLC (incorporated by reference to</w:t>
              </w:r>
            </w:hyperlink>
          </w:p>
        </w:tc>
        <w:tc>
          <w:tcPr>
            <w:tcW w:w="120" w:type="dxa"/>
            <w:vAlign w:val="bottom"/>
            <w:tcBorders>
              <w:top w:val="single" w:sz="8" w:color="0000EE"/>
            </w:tcBorders>
            <w:gridSpan w:val="5"/>
          </w:tcPr>
          <w:p>
            <w:pPr>
              <w:spacing w:after="0"/>
              <w:rPr>
                <w:sz w:val="13"/>
                <w:szCs w:val="13"/>
                <w:color w:val="auto"/>
              </w:rPr>
            </w:pPr>
          </w:p>
        </w:tc>
        <w:tc>
          <w:tcPr>
            <w:tcW w:w="320" w:type="dxa"/>
            <w:vAlign w:val="bottom"/>
            <w:gridSpan w:val="1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540" w:type="dxa"/>
            <w:vAlign w:val="bottom"/>
            <w:tcBorders>
              <w:bottom w:val="single" w:sz="8" w:color="0000EE"/>
            </w:tcBorders>
            <w:gridSpan w:val="20"/>
          </w:tcPr>
          <w:p>
            <w:pPr>
              <w:spacing w:after="0" w:line="150" w:lineRule="exact"/>
              <w:rPr>
                <w:rFonts w:ascii="Times New Roman" w:cs="Times New Roman" w:eastAsia="Times New Roman" w:hAnsi="Times New Roman"/>
                <w:sz w:val="14"/>
                <w:szCs w:val="14"/>
                <w:color w:val="0000EE"/>
              </w:rPr>
            </w:pPr>
            <w:hyperlink r:id="rId89">
              <w:r>
                <w:rPr>
                  <w:rFonts w:ascii="Times New Roman" w:cs="Times New Roman" w:eastAsia="Times New Roman" w:hAnsi="Times New Roman"/>
                  <w:sz w:val="14"/>
                  <w:szCs w:val="14"/>
                  <w:color w:val="0000EE"/>
                </w:rPr>
                <w:t>Exhibit 4.4 to our predecessor’s Registration Statement on Form S-3, filed on April 1, 2025).</w:t>
              </w:r>
            </w:hyperlink>
          </w:p>
        </w:tc>
        <w:tc>
          <w:tcPr>
            <w:tcW w:w="280" w:type="dxa"/>
            <w:vAlign w:val="bottom"/>
            <w:gridSpan w:val="11"/>
          </w:tcPr>
          <w:p>
            <w:pPr>
              <w:spacing w:after="0"/>
              <w:rPr>
                <w:sz w:val="13"/>
                <w:szCs w:val="1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40" w:type="dxa"/>
            <w:vAlign w:val="bottom"/>
            <w:vMerge w:val="continue"/>
          </w:tcPr>
          <w:p>
            <w:pPr>
              <w:spacing w:after="0"/>
              <w:rPr>
                <w:sz w:val="15"/>
                <w:szCs w:val="15"/>
                <w:color w:val="auto"/>
              </w:rPr>
            </w:pPr>
          </w:p>
        </w:tc>
        <w:tc>
          <w:tcPr>
            <w:tcW w:w="4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gridSpan w:val="2"/>
            <w:vMerge w:val="continue"/>
          </w:tcPr>
          <w:p>
            <w:pPr>
              <w:spacing w:after="0"/>
              <w:rPr>
                <w:sz w:val="15"/>
                <w:szCs w:val="15"/>
                <w:color w:val="auto"/>
              </w:rPr>
            </w:pPr>
          </w:p>
        </w:tc>
        <w:tc>
          <w:tcPr>
            <w:tcW w:w="5820" w:type="dxa"/>
            <w:vAlign w:val="bottom"/>
            <w:gridSpan w:val="31"/>
          </w:tcPr>
          <w:p>
            <w:pPr>
              <w:spacing w:after="0"/>
              <w:rPr>
                <w:rFonts w:ascii="Times New Roman" w:cs="Times New Roman" w:eastAsia="Times New Roman" w:hAnsi="Times New Roman"/>
                <w:sz w:val="14"/>
                <w:szCs w:val="14"/>
                <w:color w:val="0000EE"/>
              </w:rPr>
            </w:pPr>
            <w:hyperlink r:id="rId90">
              <w:r>
                <w:rPr>
                  <w:rFonts w:ascii="Times New Roman" w:cs="Times New Roman" w:eastAsia="Times New Roman" w:hAnsi="Times New Roman"/>
                  <w:sz w:val="14"/>
                  <w:szCs w:val="14"/>
                  <w:color w:val="0000EE"/>
                </w:rPr>
                <w:t>Second Amended and Restated Registration Rights Agreement, dated as of November 13, 2023,</w:t>
              </w:r>
            </w:hyperlink>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700" w:type="dxa"/>
            <w:vAlign w:val="bottom"/>
            <w:tcBorders>
              <w:top w:val="single" w:sz="8" w:color="0000EE"/>
            </w:tcBorders>
            <w:gridSpan w:val="26"/>
          </w:tcPr>
          <w:p>
            <w:pPr>
              <w:spacing w:after="0" w:line="150" w:lineRule="exact"/>
              <w:rPr>
                <w:rFonts w:ascii="Times New Roman" w:cs="Times New Roman" w:eastAsia="Times New Roman" w:hAnsi="Times New Roman"/>
                <w:sz w:val="14"/>
                <w:szCs w:val="14"/>
                <w:color w:val="0000EE"/>
              </w:rPr>
            </w:pPr>
            <w:hyperlink r:id="rId90">
              <w:r>
                <w:rPr>
                  <w:rFonts w:ascii="Times New Roman" w:cs="Times New Roman" w:eastAsia="Times New Roman" w:hAnsi="Times New Roman"/>
                  <w:sz w:val="14"/>
                  <w:szCs w:val="14"/>
                  <w:color w:val="0000EE"/>
                </w:rPr>
                <w:t>by and between Viper Energy Partners LP, as predecessor to Viper Energy, Inc., and</w:t>
              </w:r>
            </w:hyperlink>
          </w:p>
        </w:tc>
        <w:tc>
          <w:tcPr>
            <w:tcW w:w="12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360" w:type="dxa"/>
            <w:vAlign w:val="bottom"/>
            <w:tcBorders>
              <w:bottom w:val="single" w:sz="8" w:color="0000EE"/>
            </w:tcBorders>
            <w:gridSpan w:val="13"/>
          </w:tcPr>
          <w:p>
            <w:pPr>
              <w:spacing w:after="0" w:line="150" w:lineRule="exact"/>
              <w:rPr>
                <w:rFonts w:ascii="Times New Roman" w:cs="Times New Roman" w:eastAsia="Times New Roman" w:hAnsi="Times New Roman"/>
                <w:sz w:val="14"/>
                <w:szCs w:val="14"/>
                <w:color w:val="0000EE"/>
              </w:rPr>
            </w:pPr>
            <w:hyperlink r:id="rId90">
              <w:r>
                <w:rPr>
                  <w:rFonts w:ascii="Times New Roman" w:cs="Times New Roman" w:eastAsia="Times New Roman" w:hAnsi="Times New Roman"/>
                  <w:sz w:val="14"/>
                  <w:szCs w:val="14"/>
                  <w:color w:val="0000EE"/>
                </w:rPr>
                <w:t>Diamondback Energy, Inc. (incorporated by reference to Exhibit 10.3 to our predecessor’s</w:t>
              </w:r>
            </w:hyperlink>
          </w:p>
        </w:tc>
        <w:tc>
          <w:tcPr>
            <w:tcW w:w="460" w:type="dxa"/>
            <w:vAlign w:val="bottom"/>
            <w:gridSpan w:val="18"/>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20" w:type="dxa"/>
            <w:vAlign w:val="bottom"/>
            <w:gridSpan w:val="31"/>
          </w:tcPr>
          <w:p>
            <w:pPr>
              <w:spacing w:after="0" w:line="150" w:lineRule="exact"/>
              <w:rPr>
                <w:rFonts w:ascii="Times New Roman" w:cs="Times New Roman" w:eastAsia="Times New Roman" w:hAnsi="Times New Roman"/>
                <w:sz w:val="14"/>
                <w:szCs w:val="14"/>
                <w:color w:val="0000EE"/>
              </w:rPr>
            </w:pPr>
            <w:hyperlink r:id="rId90">
              <w:r>
                <w:rPr>
                  <w:rFonts w:ascii="Times New Roman" w:cs="Times New Roman" w:eastAsia="Times New Roman" w:hAnsi="Times New Roman"/>
                  <w:sz w:val="14"/>
                  <w:szCs w:val="14"/>
                  <w:color w:val="0000EE"/>
                </w:rPr>
                <w:t>Form 8-K (File No. 001-36505), filed on November 13, 2023).</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860" w:type="dxa"/>
            <w:vAlign w:val="bottom"/>
            <w:gridSpan w:val="32"/>
          </w:tcPr>
          <w:p>
            <w:pPr>
              <w:spacing w:after="0"/>
              <w:rPr>
                <w:rFonts w:ascii="Times New Roman" w:cs="Times New Roman" w:eastAsia="Times New Roman" w:hAnsi="Times New Roman"/>
                <w:sz w:val="14"/>
                <w:szCs w:val="14"/>
                <w:color w:val="0000EE"/>
              </w:rPr>
            </w:pPr>
            <w:hyperlink r:id="rId91">
              <w:r>
                <w:rPr>
                  <w:rFonts w:ascii="Times New Roman" w:cs="Times New Roman" w:eastAsia="Times New Roman" w:hAnsi="Times New Roman"/>
                  <w:sz w:val="14"/>
                  <w:szCs w:val="14"/>
                  <w:color w:val="0000EE"/>
                </w:rPr>
                <w:t xml:space="preserve">Registration Rights Agreement, dated as of February 14, 2025, by and among Viper Energy, Inc.  </w:t>
              </w:r>
            </w:hyperlink>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84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0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6"/>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20" w:type="dxa"/>
            <w:vAlign w:val="bottom"/>
            <w:gridSpan w:val="31"/>
          </w:tcPr>
          <w:p>
            <w:pPr>
              <w:spacing w:after="0" w:line="150" w:lineRule="exact"/>
              <w:rPr>
                <w:rFonts w:ascii="Times New Roman" w:cs="Times New Roman" w:eastAsia="Times New Roman" w:hAnsi="Times New Roman"/>
                <w:sz w:val="14"/>
                <w:szCs w:val="14"/>
                <w:color w:val="0000EE"/>
              </w:rPr>
            </w:pPr>
            <w:hyperlink r:id="rId91">
              <w:r>
                <w:rPr>
                  <w:rFonts w:ascii="Times New Roman" w:cs="Times New Roman" w:eastAsia="Times New Roman" w:hAnsi="Times New Roman"/>
                  <w:sz w:val="14"/>
                  <w:szCs w:val="14"/>
                  <w:color w:val="0000EE"/>
                </w:rPr>
                <w:t>and certain affiliates of Morita Ranches Minerals, LLC (incorporated by reference to Exhibit 4.4</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740" w:type="dxa"/>
            <w:vAlign w:val="bottom"/>
            <w:tcBorders>
              <w:top w:val="single" w:sz="8" w:color="0000EE"/>
            </w:tcBorders>
            <w:gridSpan w:val="28"/>
          </w:tcPr>
          <w:p>
            <w:pPr>
              <w:spacing w:after="0" w:line="150" w:lineRule="exact"/>
              <w:rPr>
                <w:rFonts w:ascii="Times New Roman" w:cs="Times New Roman" w:eastAsia="Times New Roman" w:hAnsi="Times New Roman"/>
                <w:sz w:val="14"/>
                <w:szCs w:val="14"/>
                <w:color w:val="0000EE"/>
              </w:rPr>
            </w:pPr>
            <w:hyperlink r:id="rId91">
              <w:r>
                <w:rPr>
                  <w:rFonts w:ascii="Times New Roman" w:cs="Times New Roman" w:eastAsia="Times New Roman" w:hAnsi="Times New Roman"/>
                  <w:sz w:val="14"/>
                  <w:szCs w:val="14"/>
                  <w:color w:val="0000EE"/>
                </w:rPr>
                <w:t>to our predecessor’s Form 10-K (File No. 0001-36505), filed on February 26, 2025).</w:t>
              </w:r>
            </w:hyperlink>
          </w:p>
        </w:tc>
        <w:tc>
          <w:tcPr>
            <w:tcW w:w="80" w:type="dxa"/>
            <w:vAlign w:val="bottom"/>
            <w:gridSpan w:val="3"/>
          </w:tcPr>
          <w:p>
            <w:pPr>
              <w:spacing w:after="0"/>
              <w:rPr>
                <w:sz w:val="13"/>
                <w:szCs w:val="1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840" w:type="dxa"/>
            <w:vAlign w:val="bottom"/>
            <w:gridSpan w:val="7"/>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vMerge w:val="continue"/>
          </w:tcPr>
          <w:p>
            <w:pPr>
              <w:spacing w:after="0"/>
              <w:rPr>
                <w:sz w:val="15"/>
                <w:szCs w:val="15"/>
                <w:color w:val="auto"/>
              </w:rPr>
            </w:pPr>
          </w:p>
        </w:tc>
        <w:tc>
          <w:tcPr>
            <w:tcW w:w="4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4.7</w:t>
            </w:r>
          </w:p>
        </w:tc>
        <w:tc>
          <w:tcPr>
            <w:tcW w:w="180" w:type="dxa"/>
            <w:vAlign w:val="bottom"/>
            <w:gridSpan w:val="2"/>
            <w:vMerge w:val="continue"/>
          </w:tcPr>
          <w:p>
            <w:pPr>
              <w:spacing w:after="0"/>
              <w:rPr>
                <w:sz w:val="15"/>
                <w:szCs w:val="15"/>
                <w:color w:val="auto"/>
              </w:rPr>
            </w:pPr>
          </w:p>
        </w:tc>
        <w:tc>
          <w:tcPr>
            <w:tcW w:w="5820" w:type="dxa"/>
            <w:vAlign w:val="bottom"/>
            <w:gridSpan w:val="31"/>
          </w:tcPr>
          <w:p>
            <w:pPr>
              <w:spacing w:after="0"/>
              <w:rPr>
                <w:rFonts w:ascii="Times New Roman" w:cs="Times New Roman" w:eastAsia="Times New Roman" w:hAnsi="Times New Roman"/>
                <w:sz w:val="14"/>
                <w:szCs w:val="14"/>
                <w:color w:val="0000EE"/>
              </w:rPr>
            </w:pPr>
            <w:hyperlink r:id="rId92">
              <w:r>
                <w:rPr>
                  <w:rFonts w:ascii="Times New Roman" w:cs="Times New Roman" w:eastAsia="Times New Roman" w:hAnsi="Times New Roman"/>
                  <w:sz w:val="14"/>
                  <w:szCs w:val="14"/>
                  <w:color w:val="0000EE"/>
                </w:rPr>
                <w:t>Exchange Agreement, dated as of February 14, 2025, by and among Viper Energy, Inc., Viper</w:t>
              </w:r>
            </w:hyperlink>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80" w:type="dxa"/>
            <w:vAlign w:val="bottom"/>
            <w:gridSpan w:val="10"/>
            <w:shd w:val="clear" w:color="auto" w:fill="0000EE"/>
          </w:tcPr>
          <w:p>
            <w:pPr>
              <w:spacing w:after="0" w:line="20" w:lineRule="exact"/>
              <w:rPr>
                <w:sz w:val="1"/>
                <w:szCs w:val="1"/>
                <w:color w:val="auto"/>
              </w:rPr>
            </w:pPr>
          </w:p>
        </w:tc>
        <w:tc>
          <w:tcPr>
            <w:tcW w:w="300" w:type="dxa"/>
            <w:vAlign w:val="bottom"/>
            <w:gridSpan w:val="9"/>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0" w:type="dxa"/>
            <w:vAlign w:val="bottom"/>
            <w:tcBorders>
              <w:bottom w:val="single" w:sz="8" w:color="0000EE"/>
            </w:tcBorders>
            <w:gridSpan w:val="22"/>
          </w:tcPr>
          <w:p>
            <w:pPr>
              <w:spacing w:after="0" w:line="150" w:lineRule="exact"/>
              <w:rPr>
                <w:rFonts w:ascii="Times New Roman" w:cs="Times New Roman" w:eastAsia="Times New Roman" w:hAnsi="Times New Roman"/>
                <w:sz w:val="14"/>
                <w:szCs w:val="14"/>
                <w:color w:val="0000EE"/>
              </w:rPr>
            </w:pPr>
            <w:hyperlink r:id="rId92">
              <w:r>
                <w:rPr>
                  <w:rFonts w:ascii="Times New Roman" w:cs="Times New Roman" w:eastAsia="Times New Roman" w:hAnsi="Times New Roman"/>
                  <w:sz w:val="14"/>
                  <w:szCs w:val="14"/>
                  <w:color w:val="0000EE"/>
                </w:rPr>
                <w:t>Energy Partners LLC and certain affiliates of Morita Ranches Minerals, LLC (incorporated by</w:t>
              </w:r>
            </w:hyperlink>
          </w:p>
        </w:tc>
        <w:tc>
          <w:tcPr>
            <w:tcW w:w="220" w:type="dxa"/>
            <w:vAlign w:val="bottom"/>
            <w:gridSpan w:val="9"/>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60" w:type="dxa"/>
            <w:vAlign w:val="bottom"/>
            <w:tcBorders>
              <w:bottom w:val="single" w:sz="8" w:color="0000EE"/>
            </w:tcBorders>
            <w:gridSpan w:val="12"/>
          </w:tcPr>
          <w:p>
            <w:pPr>
              <w:spacing w:after="0" w:line="150" w:lineRule="exact"/>
              <w:rPr>
                <w:rFonts w:ascii="Times New Roman" w:cs="Times New Roman" w:eastAsia="Times New Roman" w:hAnsi="Times New Roman"/>
                <w:sz w:val="14"/>
                <w:szCs w:val="14"/>
                <w:color w:val="0000EE"/>
              </w:rPr>
            </w:pPr>
            <w:hyperlink r:id="rId92">
              <w:r>
                <w:rPr>
                  <w:rFonts w:ascii="Times New Roman" w:cs="Times New Roman" w:eastAsia="Times New Roman" w:hAnsi="Times New Roman"/>
                  <w:sz w:val="14"/>
                  <w:szCs w:val="14"/>
                  <w:color w:val="0000EE"/>
                </w:rPr>
                <w:t>reference to Exhibit 4.5 to our predecessor’s Form 10-K (File No. 0001-36505), filed on</w:t>
              </w:r>
            </w:hyperlink>
          </w:p>
        </w:tc>
        <w:tc>
          <w:tcPr>
            <w:tcW w:w="560" w:type="dxa"/>
            <w:vAlign w:val="bottom"/>
            <w:gridSpan w:val="19"/>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Borders>
              <w:bottom w:val="single" w:sz="8" w:color="0000EE"/>
            </w:tcBorders>
            <w:gridSpan w:val="2"/>
          </w:tcPr>
          <w:p>
            <w:pPr>
              <w:spacing w:after="0" w:line="150" w:lineRule="exact"/>
              <w:rPr>
                <w:rFonts w:ascii="Times New Roman" w:cs="Times New Roman" w:eastAsia="Times New Roman" w:hAnsi="Times New Roman"/>
                <w:sz w:val="14"/>
                <w:szCs w:val="14"/>
                <w:color w:val="0000EE"/>
              </w:rPr>
            </w:pPr>
            <w:hyperlink r:id="rId92">
              <w:r>
                <w:rPr>
                  <w:rFonts w:ascii="Times New Roman" w:cs="Times New Roman" w:eastAsia="Times New Roman" w:hAnsi="Times New Roman"/>
                  <w:sz w:val="14"/>
                  <w:szCs w:val="14"/>
                  <w:color w:val="0000EE"/>
                </w:rPr>
                <w:t>February 26, 2025).</w:t>
              </w:r>
            </w:hyperlink>
          </w:p>
        </w:tc>
        <w:tc>
          <w:tcPr>
            <w:tcW w:w="4640" w:type="dxa"/>
            <w:vAlign w:val="bottom"/>
            <w:gridSpan w:val="29"/>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3">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4" w:name="page45"/>
    <w:bookmarkEnd w:id="44"/>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260" w:type="dxa"/>
        <w:tblCellMar>
          <w:top w:w="0" w:type="dxa"/>
          <w:left w:w="0" w:type="dxa"/>
          <w:bottom w:w="0" w:type="dxa"/>
          <w:right w:w="0" w:type="dxa"/>
        </w:tblCellMar>
      </w:tblPr>
      <w:tr>
        <w:trPr>
          <w:trHeight w:val="128"/>
        </w:trPr>
        <w:tc>
          <w:tcPr>
            <w:tcW w:w="60" w:type="dxa"/>
            <w:vAlign w:val="bottom"/>
          </w:tcPr>
          <w:p>
            <w:pPr>
              <w:spacing w:after="0"/>
              <w:rPr>
                <w:sz w:val="11"/>
                <w:szCs w:val="11"/>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80" w:type="dxa"/>
            <w:vAlign w:val="bottom"/>
            <w:tcBorders>
              <w:bottom w:val="single" w:sz="8" w:color="auto"/>
            </w:tcBorders>
            <w:gridSpan w:val="2"/>
          </w:tcPr>
          <w:p>
            <w:pPr>
              <w:spacing w:after="0" w:line="168"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Number</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15"/>
          </w:tcPr>
          <w:p>
            <w:pPr>
              <w:ind w:left="1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0"/>
        </w:trPr>
        <w:tc>
          <w:tcPr>
            <w:tcW w:w="6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100"/>
              <w:spacing w:after="0" w:line="150" w:lineRule="exact"/>
              <w:rPr>
                <w:sz w:val="20"/>
                <w:szCs w:val="20"/>
                <w:color w:val="auto"/>
              </w:rPr>
            </w:pPr>
            <w:r>
              <w:rPr>
                <w:rFonts w:ascii="Times New Roman" w:cs="Times New Roman" w:eastAsia="Times New Roman" w:hAnsi="Times New Roman"/>
                <w:sz w:val="14"/>
                <w:szCs w:val="14"/>
                <w:color w:val="auto"/>
              </w:rPr>
              <w:t>4.8</w:t>
            </w:r>
          </w:p>
        </w:tc>
        <w:tc>
          <w:tcPr>
            <w:tcW w:w="16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3"/>
                <w:szCs w:val="13"/>
                <w:color w:val="auto"/>
              </w:rPr>
            </w:pPr>
          </w:p>
        </w:tc>
        <w:tc>
          <w:tcPr>
            <w:tcW w:w="5820" w:type="dxa"/>
            <w:vAlign w:val="bottom"/>
            <w:gridSpan w:val="20"/>
          </w:tcPr>
          <w:p>
            <w:pPr>
              <w:spacing w:after="0" w:line="150" w:lineRule="exact"/>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Registration Rights Agreement, dated as of August 19, 2025, by and among VNOM Sub, Inc.</w:t>
              </w:r>
            </w:hyperlink>
          </w:p>
        </w:tc>
        <w:tc>
          <w:tcPr>
            <w:tcW w:w="4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tcBorders>
              <w:bottom w:val="single" w:sz="8" w:color="0000EE"/>
            </w:tcBorders>
            <w:gridSpan w:val="15"/>
          </w:tcPr>
          <w:p>
            <w:pPr>
              <w:spacing w:after="0" w:line="150" w:lineRule="exact"/>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(f/k/a Viper Energy, Inc.), Viper Energy, Inc. (f/k/a New Cobra Pubco, Inc.) and certain holders</w:t>
              </w:r>
            </w:hyperlink>
          </w:p>
        </w:tc>
        <w:tc>
          <w:tcPr>
            <w:tcW w:w="16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20"/>
          </w:tcPr>
          <w:p>
            <w:pPr>
              <w:spacing w:after="0" w:line="150" w:lineRule="exact"/>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of Sitio Opco Units (incorporated by reference to Exhibit 4.1 to the Form 8-K12B (File No. 333-</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Borders>
              <w:top w:val="single" w:sz="8" w:color="0000EE"/>
              <w:bottom w:val="single" w:sz="8" w:color="0000EE"/>
            </w:tcBorders>
            <w:gridSpan w:val="4"/>
          </w:tcPr>
          <w:p>
            <w:pPr>
              <w:spacing w:after="0" w:line="150" w:lineRule="exact"/>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288431)</w:t>
              </w:r>
              <w:r>
                <w:rPr>
                  <w:rFonts w:ascii="Times New Roman" w:cs="Times New Roman" w:eastAsia="Times New Roman" w:hAnsi="Times New Roman"/>
                  <w:sz w:val="14"/>
                  <w:szCs w:val="14"/>
                  <w:u w:val="single" w:color="auto"/>
                  <w:color w:val="0000EE"/>
                </w:rPr>
                <w:t>,</w:t>
              </w:r>
              <w:r>
                <w:rPr>
                  <w:rFonts w:ascii="Times New Roman" w:cs="Times New Roman" w:eastAsia="Times New Roman" w:hAnsi="Times New Roman"/>
                  <w:sz w:val="14"/>
                  <w:szCs w:val="14"/>
                  <w:color w:val="0000EE"/>
                </w:rPr>
                <w:t xml:space="preserve"> filed on August 19, 2025).</w:t>
              </w:r>
            </w:hyperlink>
          </w:p>
        </w:tc>
        <w:tc>
          <w:tcPr>
            <w:tcW w:w="3600" w:type="dxa"/>
            <w:vAlign w:val="bottom"/>
            <w:tcBorders>
              <w:top w:val="single" w:sz="8" w:color="0000EE"/>
            </w:tcBorders>
            <w:gridSpan w:val="14"/>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4.9</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6"/>
                <w:szCs w:val="16"/>
                <w:color w:val="auto"/>
              </w:rPr>
            </w:pPr>
          </w:p>
        </w:tc>
        <w:tc>
          <w:tcPr>
            <w:tcW w:w="55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Indenture, dated as of July 23, 2025, between Viper Energy Partners LLC and Computershare</w:t>
              </w:r>
            </w:hyperlink>
          </w:p>
        </w:tc>
        <w:tc>
          <w:tcPr>
            <w:tcW w:w="260" w:type="dxa"/>
            <w:vAlign w:val="bottom"/>
            <w:gridSpan w:val="6"/>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bottom w:val="single" w:sz="8" w:color="0000EE"/>
            </w:tcBorders>
            <w:gridSpan w:val="19"/>
          </w:tcPr>
          <w:p>
            <w:pPr>
              <w:spacing w:after="0" w:line="150" w:lineRule="exact"/>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Trust Company, National Association, as Trustee (incorporated by reference to Exhibit 4.1 of our</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bottom w:val="single" w:sz="8" w:color="0000EE"/>
            </w:tcBorders>
            <w:gridSpan w:val="10"/>
          </w:tcPr>
          <w:p>
            <w:pPr>
              <w:spacing w:after="0" w:line="150" w:lineRule="exact"/>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predecessor’s Current Report on Form 8-K (file No. 001-36505), filed on July 23, 2025).</w:t>
              </w:r>
            </w:hyperlink>
          </w:p>
        </w:tc>
        <w:tc>
          <w:tcPr>
            <w:tcW w:w="540" w:type="dxa"/>
            <w:vAlign w:val="bottom"/>
            <w:gridSpan w:val="10"/>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4.10</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6"/>
                <w:szCs w:val="16"/>
                <w:color w:val="auto"/>
              </w:rPr>
            </w:pPr>
          </w:p>
        </w:tc>
        <w:tc>
          <w:tcPr>
            <w:tcW w:w="55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96">
              <w:r>
                <w:rPr>
                  <w:rFonts w:ascii="Times New Roman" w:cs="Times New Roman" w:eastAsia="Times New Roman" w:hAnsi="Times New Roman"/>
                  <w:sz w:val="14"/>
                  <w:szCs w:val="14"/>
                  <w:color w:val="0000EE"/>
                </w:rPr>
                <w:t>First Supplemental Indenture, dated as of July 23, 2025, by and among Viper Energy Partners</w:t>
              </w:r>
            </w:hyperlink>
          </w:p>
        </w:tc>
        <w:tc>
          <w:tcPr>
            <w:tcW w:w="260" w:type="dxa"/>
            <w:vAlign w:val="bottom"/>
            <w:gridSpan w:val="6"/>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20"/>
          </w:tcPr>
          <w:p>
            <w:pPr>
              <w:spacing w:after="0" w:line="150" w:lineRule="exact"/>
              <w:rPr>
                <w:rFonts w:ascii="Times New Roman" w:cs="Times New Roman" w:eastAsia="Times New Roman" w:hAnsi="Times New Roman"/>
                <w:sz w:val="14"/>
                <w:szCs w:val="14"/>
                <w:color w:val="0000EE"/>
              </w:rPr>
            </w:pPr>
            <w:hyperlink r:id="rId96">
              <w:r>
                <w:rPr>
                  <w:rFonts w:ascii="Times New Roman" w:cs="Times New Roman" w:eastAsia="Times New Roman" w:hAnsi="Times New Roman"/>
                  <w:sz w:val="14"/>
                  <w:szCs w:val="14"/>
                  <w:color w:val="0000EE"/>
                </w:rPr>
                <w:t>LLC, Former Viper and Computershare Trust Company, National Association, as Trustee</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bottom w:val="single" w:sz="8" w:color="0000EE"/>
            </w:tcBorders>
            <w:gridSpan w:val="16"/>
          </w:tcPr>
          <w:p>
            <w:pPr>
              <w:spacing w:after="0" w:line="150" w:lineRule="exact"/>
              <w:rPr>
                <w:rFonts w:ascii="Times New Roman" w:cs="Times New Roman" w:eastAsia="Times New Roman" w:hAnsi="Times New Roman"/>
                <w:sz w:val="14"/>
                <w:szCs w:val="14"/>
                <w:color w:val="0000EE"/>
              </w:rPr>
            </w:pPr>
            <w:hyperlink r:id="rId96">
              <w:r>
                <w:rPr>
                  <w:rFonts w:ascii="Times New Roman" w:cs="Times New Roman" w:eastAsia="Times New Roman" w:hAnsi="Times New Roman"/>
                  <w:sz w:val="14"/>
                  <w:szCs w:val="14"/>
                  <w:color w:val="0000EE"/>
                </w:rPr>
                <w:t>(including the form of the Notes) (incorporated by reference to Exhibit 4.2 of our predecessor’s</w:t>
              </w:r>
            </w:hyperlink>
          </w:p>
        </w:tc>
        <w:tc>
          <w:tcPr>
            <w:tcW w:w="14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20"/>
          </w:tcPr>
          <w:p>
            <w:pPr>
              <w:spacing w:after="0" w:line="150" w:lineRule="exact"/>
              <w:rPr>
                <w:rFonts w:ascii="Times New Roman" w:cs="Times New Roman" w:eastAsia="Times New Roman" w:hAnsi="Times New Roman"/>
                <w:sz w:val="14"/>
                <w:szCs w:val="14"/>
                <w:color w:val="0000EE"/>
              </w:rPr>
            </w:pPr>
            <w:hyperlink r:id="rId96">
              <w:r>
                <w:rPr>
                  <w:rFonts w:ascii="Times New Roman" w:cs="Times New Roman" w:eastAsia="Times New Roman" w:hAnsi="Times New Roman"/>
                  <w:sz w:val="14"/>
                  <w:szCs w:val="14"/>
                  <w:color w:val="0000EE"/>
                </w:rPr>
                <w:t>Current Report on Form 8-K (File No. 001-36505), filed on July 23, 2025).</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93"/>
        </w:trPr>
        <w:tc>
          <w:tcPr>
            <w:tcW w:w="60" w:type="dxa"/>
            <w:vAlign w:val="bottom"/>
            <w:vMerge w:val="continue"/>
          </w:tcPr>
          <w:p>
            <w:pPr>
              <w:spacing w:after="0"/>
              <w:rPr>
                <w:sz w:val="16"/>
                <w:szCs w:val="16"/>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4.11</w:t>
            </w:r>
          </w:p>
        </w:tc>
        <w:tc>
          <w:tcPr>
            <w:tcW w:w="1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534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Second Supplemental Indenture, dated as of August 19, 2025, by and among Viper OpCo,</w:t>
              </w:r>
            </w:hyperlink>
          </w:p>
        </w:tc>
        <w:tc>
          <w:tcPr>
            <w:tcW w:w="480" w:type="dxa"/>
            <w:vAlign w:val="bottom"/>
            <w:gridSpan w:val="9"/>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bottom w:val="single" w:sz="8" w:color="0000EE"/>
            </w:tcBorders>
            <w:gridSpan w:val="17"/>
          </w:tcPr>
          <w:p>
            <w:pPr>
              <w:spacing w:after="0" w:line="150" w:lineRule="exact"/>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New Viper and Computershare Trust Company, National Association (incorporated by reference</w:t>
              </w:r>
            </w:hyperlink>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20"/>
          </w:tcPr>
          <w:p>
            <w:pPr>
              <w:spacing w:after="0" w:line="150" w:lineRule="exact"/>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to Exhibit 4.8 of our predecessor’s Current Report on Form 8-K12B (File No. 001-42807), filed</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EE"/>
              <w:bottom w:val="single" w:sz="8" w:color="0000EE"/>
            </w:tcBorders>
            <w:gridSpan w:val="2"/>
          </w:tcPr>
          <w:p>
            <w:pPr>
              <w:spacing w:after="0" w:line="150" w:lineRule="exact"/>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on August 19, 2025.</w:t>
              </w:r>
            </w:hyperlink>
          </w:p>
        </w:tc>
        <w:tc>
          <w:tcPr>
            <w:tcW w:w="4480" w:type="dxa"/>
            <w:vAlign w:val="bottom"/>
            <w:tcBorders>
              <w:top w:val="single" w:sz="8" w:color="0000EE"/>
            </w:tcBorders>
            <w:gridSpan w:val="14"/>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4.12</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6"/>
                <w:szCs w:val="16"/>
                <w:color w:val="auto"/>
              </w:rPr>
            </w:pPr>
          </w:p>
        </w:tc>
        <w:tc>
          <w:tcPr>
            <w:tcW w:w="51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rPr>
              <w:t>Form of Indenture between Viper Energy Partners LP, any guarantors party thereto and</w:t>
            </w:r>
          </w:p>
        </w:tc>
        <w:tc>
          <w:tcPr>
            <w:tcW w:w="660" w:type="dxa"/>
            <w:vAlign w:val="bottom"/>
            <w:gridSpan w:val="11"/>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20"/>
          </w:tcPr>
          <w:p>
            <w:pPr>
              <w:spacing w:after="0" w:line="150" w:lineRule="exact"/>
              <w:rPr>
                <w:sz w:val="20"/>
                <w:szCs w:val="20"/>
                <w:color w:val="auto"/>
              </w:rPr>
            </w:pPr>
            <w:r>
              <w:rPr>
                <w:rFonts w:ascii="Times New Roman" w:cs="Times New Roman" w:eastAsia="Times New Roman" w:hAnsi="Times New Roman"/>
                <w:sz w:val="14"/>
                <w:szCs w:val="14"/>
                <w:color w:val="0000EE"/>
              </w:rPr>
              <w:t>Computershare Trust Company, National Association, as trustee (including form of Debt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EE"/>
              <w:bottom w:val="single" w:sz="8" w:color="0000EE"/>
            </w:tcBorders>
          </w:tcPr>
          <w:p>
            <w:pPr>
              <w:spacing w:after="0" w:line="150" w:lineRule="exact"/>
              <w:rPr>
                <w:sz w:val="20"/>
                <w:szCs w:val="20"/>
                <w:color w:val="auto"/>
              </w:rPr>
            </w:pPr>
            <w:r>
              <w:rPr>
                <w:rFonts w:ascii="Times New Roman" w:cs="Times New Roman" w:eastAsia="Times New Roman" w:hAnsi="Times New Roman"/>
                <w:sz w:val="14"/>
                <w:szCs w:val="14"/>
                <w:color w:val="0000EE"/>
              </w:rPr>
              <w:t>Security).</w:t>
            </w:r>
          </w:p>
        </w:tc>
        <w:tc>
          <w:tcPr>
            <w:tcW w:w="4700" w:type="dxa"/>
            <w:vAlign w:val="bottom"/>
            <w:tcBorders>
              <w:top w:val="single" w:sz="8" w:color="0000EE"/>
            </w:tcBorders>
            <w:gridSpan w:val="9"/>
          </w:tcPr>
          <w:p>
            <w:pPr>
              <w:spacing w:after="0"/>
              <w:rPr>
                <w:sz w:val="13"/>
                <w:szCs w:val="13"/>
                <w:color w:val="auto"/>
              </w:rPr>
            </w:pPr>
          </w:p>
        </w:tc>
        <w:tc>
          <w:tcPr>
            <w:tcW w:w="540" w:type="dxa"/>
            <w:vAlign w:val="bottom"/>
            <w:gridSpan w:val="10"/>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20" w:type="dxa"/>
            <w:vAlign w:val="bottom"/>
            <w:gridSpan w:val="23"/>
          </w:tcPr>
          <w:p>
            <w:pPr>
              <w:ind w:left="100"/>
              <w:spacing w:after="0" w:line="231" w:lineRule="exact"/>
              <w:rPr>
                <w:sz w:val="20"/>
                <w:szCs w:val="20"/>
                <w:color w:val="auto"/>
              </w:rPr>
            </w:pPr>
            <w:r>
              <w:rPr>
                <w:rFonts w:ascii="Times New Roman" w:cs="Times New Roman" w:eastAsia="Times New Roman" w:hAnsi="Times New Roman"/>
                <w:sz w:val="13"/>
                <w:szCs w:val="13"/>
                <w:color w:val="auto"/>
              </w:rPr>
              <w:t>4.13*</w:t>
            </w: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3"/>
                <w:szCs w:val="13"/>
                <w:color w:val="auto"/>
              </w:rPr>
              <w:t xml:space="preserve"> Form of Warrant.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20" w:type="dxa"/>
            <w:vAlign w:val="bottom"/>
            <w:gridSpan w:val="23"/>
          </w:tcPr>
          <w:p>
            <w:pPr>
              <w:ind w:left="100"/>
              <w:spacing w:after="0" w:line="223" w:lineRule="exact"/>
              <w:rPr>
                <w:sz w:val="20"/>
                <w:szCs w:val="20"/>
                <w:color w:val="auto"/>
              </w:rPr>
            </w:pPr>
            <w:r>
              <w:rPr>
                <w:rFonts w:ascii="Times New Roman" w:cs="Times New Roman" w:eastAsia="Times New Roman" w:hAnsi="Times New Roman"/>
                <w:sz w:val="13"/>
                <w:szCs w:val="13"/>
                <w:color w:val="auto"/>
              </w:rPr>
              <w:t>4.14*</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Form of Warrant Agreement.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5.1</w:t>
            </w:r>
          </w:p>
        </w:tc>
        <w:tc>
          <w:tcPr>
            <w:tcW w:w="6000" w:type="dxa"/>
            <w:vAlign w:val="bottom"/>
            <w:gridSpan w:val="22"/>
          </w:tcPr>
          <w:p>
            <w:pPr>
              <w:spacing w:after="0" w:line="196"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Opinion of Latham &amp; Watkins LLP.</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 w:type="dxa"/>
            <w:vAlign w:val="bottom"/>
            <w:gridSpan w:val="2"/>
          </w:tcPr>
          <w:p>
            <w:pPr>
              <w:spacing w:after="0" w:line="203"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 xml:space="preserve"> 22.1</w:t>
            </w:r>
          </w:p>
        </w:tc>
        <w:tc>
          <w:tcPr>
            <w:tcW w:w="6000" w:type="dxa"/>
            <w:vAlign w:val="bottom"/>
            <w:gridSpan w:val="22"/>
          </w:tcPr>
          <w:p>
            <w:pPr>
              <w:spacing w:after="0" w:line="203" w:lineRule="exact"/>
              <w:rPr>
                <w:sz w:val="20"/>
                <w:szCs w:val="20"/>
                <w:color w:val="auto"/>
              </w:rPr>
            </w:pPr>
            <w:r>
              <w:rPr>
                <w:rFonts w:ascii="Times New Roman" w:cs="Times New Roman" w:eastAsia="Times New Roman" w:hAnsi="Times New Roman"/>
                <w:sz w:val="23"/>
                <w:szCs w:val="23"/>
                <w:color w:val="000000"/>
                <w:vertAlign w:val="superscript"/>
              </w:rPr>
              <w:t>​ ​</w:t>
            </w:r>
            <w:r>
              <w:rPr>
                <w:rFonts w:ascii="Times New Roman" w:cs="Times New Roman" w:eastAsia="Times New Roman" w:hAnsi="Times New Roman"/>
                <w:sz w:val="12"/>
                <w:szCs w:val="12"/>
                <w:color w:val="0000EE"/>
              </w:rPr>
              <w:t xml:space="preserve"> List of Issuers and Subsidiary Guarantors.</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 w:type="dxa"/>
            <w:vAlign w:val="bottom"/>
            <w:gridSpan w:val="2"/>
          </w:tcPr>
          <w:p>
            <w:pPr>
              <w:spacing w:after="0" w:line="203"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 xml:space="preserve"> 23.1</w:t>
            </w:r>
          </w:p>
        </w:tc>
        <w:tc>
          <w:tcPr>
            <w:tcW w:w="6000" w:type="dxa"/>
            <w:vAlign w:val="bottom"/>
            <w:gridSpan w:val="22"/>
          </w:tcPr>
          <w:p>
            <w:pPr>
              <w:spacing w:after="0" w:line="203" w:lineRule="exact"/>
              <w:rPr>
                <w:sz w:val="20"/>
                <w:szCs w:val="20"/>
                <w:color w:val="auto"/>
              </w:rPr>
            </w:pPr>
            <w:r>
              <w:rPr>
                <w:rFonts w:ascii="Times New Roman" w:cs="Times New Roman" w:eastAsia="Times New Roman" w:hAnsi="Times New Roman"/>
                <w:sz w:val="23"/>
                <w:szCs w:val="23"/>
                <w:color w:val="000000"/>
                <w:vertAlign w:val="superscript"/>
              </w:rPr>
              <w:t>​ ​</w:t>
            </w:r>
            <w:r>
              <w:rPr>
                <w:rFonts w:ascii="Times New Roman" w:cs="Times New Roman" w:eastAsia="Times New Roman" w:hAnsi="Times New Roman"/>
                <w:sz w:val="12"/>
                <w:szCs w:val="12"/>
                <w:color w:val="0000EE"/>
              </w:rPr>
              <w:t xml:space="preserve"> Consent of Latham &amp; Watkins LLP (included in Exhibit 5.1).</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920" w:type="dxa"/>
            <w:vAlign w:val="bottom"/>
            <w:gridSpan w:val="6"/>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23.2</w:t>
            </w:r>
          </w:p>
        </w:tc>
        <w:tc>
          <w:tcPr>
            <w:tcW w:w="604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Consent of Grant Thornton LLP with respect to Viper Energy, Inc.’s audited financial statements.</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920" w:type="dxa"/>
            <w:vAlign w:val="bottom"/>
            <w:gridSpan w:val="6"/>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23.3</w:t>
            </w:r>
          </w:p>
        </w:tc>
        <w:tc>
          <w:tcPr>
            <w:tcW w:w="600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Consent of Grant Thornton LLP with respect to certain mineral and royalty interests of</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6"/>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20"/>
          </w:tcPr>
          <w:p>
            <w:pPr>
              <w:spacing w:after="0" w:line="150" w:lineRule="exact"/>
              <w:rPr>
                <w:sz w:val="20"/>
                <w:szCs w:val="20"/>
                <w:color w:val="auto"/>
              </w:rPr>
            </w:pPr>
            <w:r>
              <w:rPr>
                <w:rFonts w:ascii="Times New Roman" w:cs="Times New Roman" w:eastAsia="Times New Roman" w:hAnsi="Times New Roman"/>
                <w:sz w:val="14"/>
                <w:szCs w:val="14"/>
                <w:color w:val="0000EE"/>
              </w:rPr>
              <w:t>Diamondback Energy, Inc. and several of its subsidiaries, Endeavor Energy Resources, LP,</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20" w:type="dxa"/>
            <w:vAlign w:val="bottom"/>
            <w:tcBorders>
              <w:top w:val="single" w:sz="8" w:color="0000EE"/>
              <w:bottom w:val="single" w:sz="8" w:color="0000EE"/>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EE"/>
              </w:rPr>
              <w:t>1979 Royalties, LP and 1979 Royalties GP, LLC.</w:t>
            </w:r>
          </w:p>
        </w:tc>
        <w:tc>
          <w:tcPr>
            <w:tcW w:w="2460" w:type="dxa"/>
            <w:vAlign w:val="bottom"/>
            <w:tcBorders>
              <w:top w:val="single" w:sz="8" w:color="0000EE"/>
            </w:tcBorders>
            <w:gridSpan w:val="6"/>
          </w:tcPr>
          <w:p>
            <w:pPr>
              <w:spacing w:after="0"/>
              <w:rPr>
                <w:sz w:val="13"/>
                <w:szCs w:val="13"/>
                <w:color w:val="auto"/>
              </w:rPr>
            </w:pPr>
          </w:p>
        </w:tc>
        <w:tc>
          <w:tcPr>
            <w:tcW w:w="440" w:type="dxa"/>
            <w:vAlign w:val="bottom"/>
            <w:gridSpan w:val="8"/>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108" w:right="1440" w:bottom="1440" w:gutter="0" w:footer="0" w:header="0"/>
        </w:sectPr>
      </w:pPr>
    </w:p>
    <w:p>
      <w:pPr>
        <w:ind w:left="1340" w:hanging="70"/>
        <w:spacing w:after="0" w:line="189" w:lineRule="auto"/>
        <w:tabs>
          <w:tab w:leader="none" w:pos="1340" w:val="left"/>
        </w:tabs>
        <w:numPr>
          <w:ilvl w:val="0"/>
          <w:numId w:val="3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23.4</w:t>
      </w:r>
    </w:p>
    <w:p>
      <w:pPr>
        <w:spacing w:after="0" w:line="56" w:lineRule="exact"/>
        <w:rPr>
          <w:rFonts w:ascii="Times New Roman" w:cs="Times New Roman" w:eastAsia="Times New Roman" w:hAnsi="Times New Roman"/>
          <w:sz w:val="28"/>
          <w:szCs w:val="28"/>
          <w:color w:val="auto"/>
          <w:vertAlign w:val="superscript"/>
        </w:rPr>
      </w:pPr>
    </w:p>
    <w:p>
      <w:pPr>
        <w:ind w:left="1340" w:hanging="70"/>
        <w:spacing w:after="0" w:line="184" w:lineRule="auto"/>
        <w:tabs>
          <w:tab w:leader="none" w:pos="1340"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23.5</w:t>
      </w:r>
    </w:p>
    <w:p>
      <w:pPr>
        <w:spacing w:after="0" w:line="55" w:lineRule="exact"/>
        <w:rPr>
          <w:rFonts w:ascii="Times New Roman" w:cs="Times New Roman" w:eastAsia="Times New Roman" w:hAnsi="Times New Roman"/>
          <w:sz w:val="19"/>
          <w:szCs w:val="19"/>
          <w:color w:val="auto"/>
          <w:vertAlign w:val="superscript"/>
        </w:rPr>
      </w:pPr>
    </w:p>
    <w:p>
      <w:pPr>
        <w:ind w:left="1340" w:hanging="70"/>
        <w:spacing w:after="0" w:line="184" w:lineRule="auto"/>
        <w:tabs>
          <w:tab w:leader="none" w:pos="1340"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24.1</w:t>
      </w:r>
    </w:p>
    <w:p>
      <w:pPr>
        <w:spacing w:after="0" w:line="45" w:lineRule="exact"/>
        <w:rPr>
          <w:rFonts w:ascii="Times New Roman" w:cs="Times New Roman" w:eastAsia="Times New Roman" w:hAnsi="Times New Roman"/>
          <w:sz w:val="19"/>
          <w:szCs w:val="19"/>
          <w:color w:val="auto"/>
          <w:vertAlign w:val="superscript"/>
        </w:rPr>
      </w:pPr>
    </w:p>
    <w:p>
      <w:pPr>
        <w:ind w:left="1340" w:hanging="70"/>
        <w:spacing w:after="0"/>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25.1</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1239"/>
        <w:spacing w:after="0" w:line="185" w:lineRule="auto"/>
        <w:rPr>
          <w:sz w:val="20"/>
          <w:szCs w:val="20"/>
          <w:color w:val="auto"/>
        </w:rPr>
      </w:pPr>
      <w:r>
        <w:rPr>
          <w:rFonts w:ascii="Times New Roman" w:cs="Times New Roman" w:eastAsia="Times New Roman" w:hAnsi="Times New Roman"/>
          <w:sz w:val="26"/>
          <w:szCs w:val="26"/>
          <w:color w:val="000000"/>
          <w:vertAlign w:val="superscript"/>
        </w:rPr>
        <w:t>​ ​</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u w:val="single" w:color="auto"/>
          <w:color w:val="0000EE"/>
        </w:rPr>
        <w:t>Consent of KPMG LLP with respect to Sitio Royalties Corp.’s audited financial statements.</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26"/>
          <w:szCs w:val="26"/>
          <w:color w:val="000000"/>
          <w:vertAlign w:val="superscript"/>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26"/>
          <w:szCs w:val="26"/>
          <w:color w:val="000000"/>
          <w:vertAlign w:val="superscript"/>
        </w:rPr>
        <w:t>​ ​</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u w:val="single" w:color="auto"/>
          <w:color w:val="0000EE"/>
        </w:rPr>
        <w:t>Consent of Ryder Scott, L.P. with respect to the audit of Viper Energy, Inc.’s estimated reserves.</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26"/>
          <w:szCs w:val="26"/>
          <w:color w:val="000000"/>
          <w:vertAlign w:val="superscript"/>
        </w:rPr>
        <w:t>​</w:t>
      </w:r>
    </w:p>
    <w:tbl>
      <w:tblPr>
        <w:tblLayout w:type="fixed"/>
        <w:tblInd w:w="0" w:type="dxa"/>
        <w:tblCellMar>
          <w:top w:w="0" w:type="dxa"/>
          <w:left w:w="0" w:type="dxa"/>
          <w:bottom w:w="0" w:type="dxa"/>
          <w:right w:w="0" w:type="dxa"/>
        </w:tblCellMar>
      </w:tblPr>
      <w:tr>
        <w:trPr>
          <w:trHeight w:val="181"/>
        </w:trPr>
        <w:tc>
          <w:tcPr>
            <w:tcW w:w="5620" w:type="dxa"/>
            <w:vAlign w:val="bottom"/>
            <w:gridSpan w:val="4"/>
          </w:tcPr>
          <w:p>
            <w:pPr>
              <w:spacing w:after="0" w:line="182" w:lineRule="exact"/>
              <w:rPr>
                <w:sz w:val="20"/>
                <w:szCs w:val="20"/>
                <w:color w:val="auto"/>
              </w:rPr>
            </w:pPr>
            <w:r>
              <w:rPr>
                <w:rFonts w:ascii="Times New Roman" w:cs="Times New Roman" w:eastAsia="Times New Roman" w:hAnsi="Times New Roman"/>
                <w:sz w:val="21"/>
                <w:szCs w:val="21"/>
                <w:color w:val="000000"/>
                <w:vertAlign w:val="superscript"/>
              </w:rPr>
              <w:t>​ ​</w:t>
            </w:r>
            <w:r>
              <w:rPr>
                <w:rFonts w:ascii="Times New Roman" w:cs="Times New Roman" w:eastAsia="Times New Roman" w:hAnsi="Times New Roman"/>
                <w:sz w:val="12"/>
                <w:szCs w:val="12"/>
                <w:color w:val="0000EE"/>
              </w:rPr>
              <w:t xml:space="preserve"> Powers of Attorney (incorporated by reference to the signature page hereto).</w:t>
            </w:r>
          </w:p>
        </w:tc>
        <w:tc>
          <w:tcPr>
            <w:tcW w:w="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6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3"/>
        </w:trPr>
        <w:tc>
          <w:tcPr>
            <w:tcW w:w="56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Statement of Eligibility on Form T-1 under the Trust Indenture Act of 1939, as amended, of</w:t>
            </w:r>
          </w:p>
        </w:tc>
        <w:tc>
          <w:tcPr>
            <w:tcW w:w="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150"/>
        </w:trPr>
        <w:tc>
          <w:tcPr>
            <w:tcW w:w="160" w:type="dxa"/>
            <w:vAlign w:val="bottom"/>
          </w:tcPr>
          <w:p>
            <w:pPr>
              <w:spacing w:after="0"/>
              <w:rPr>
                <w:sz w:val="13"/>
                <w:szCs w:val="13"/>
                <w:color w:val="auto"/>
              </w:rPr>
            </w:pPr>
          </w:p>
        </w:tc>
        <w:tc>
          <w:tcPr>
            <w:tcW w:w="2220" w:type="dxa"/>
            <w:vAlign w:val="bottom"/>
            <w:tcBorders>
              <w:top w:val="single" w:sz="8" w:color="0000EE"/>
              <w:bottom w:val="single" w:sz="8" w:color="0000EE"/>
            </w:tcBorders>
          </w:tcPr>
          <w:p>
            <w:pPr>
              <w:spacing w:after="0" w:line="150" w:lineRule="exact"/>
              <w:rPr>
                <w:sz w:val="20"/>
                <w:szCs w:val="20"/>
                <w:color w:val="auto"/>
              </w:rPr>
            </w:pPr>
            <w:r>
              <w:rPr>
                <w:rFonts w:ascii="Times New Roman" w:cs="Times New Roman" w:eastAsia="Times New Roman" w:hAnsi="Times New Roman"/>
                <w:sz w:val="14"/>
                <w:szCs w:val="14"/>
                <w:color w:val="0000EE"/>
              </w:rPr>
              <w:t>Computershare Trust Company, N.A.</w:t>
            </w:r>
          </w:p>
        </w:tc>
        <w:tc>
          <w:tcPr>
            <w:tcW w:w="3240" w:type="dxa"/>
            <w:vAlign w:val="bottom"/>
            <w:tcBorders>
              <w:top w:val="single" w:sz="8" w:color="0000EE"/>
            </w:tcBorders>
            <w:gridSpan w:val="2"/>
          </w:tcPr>
          <w:p>
            <w:pPr>
              <w:spacing w:after="0"/>
              <w:rPr>
                <w:sz w:val="13"/>
                <w:szCs w:val="13"/>
                <w:color w:val="auto"/>
              </w:rPr>
            </w:pPr>
          </w:p>
        </w:tc>
        <w:tc>
          <w:tcPr>
            <w:tcW w:w="420" w:type="dxa"/>
            <w:vAlign w:val="bottom"/>
          </w:tcPr>
          <w:p>
            <w:pPr>
              <w:spacing w:after="0"/>
              <w:rPr>
                <w:sz w:val="13"/>
                <w:szCs w:val="13"/>
                <w:color w:val="auto"/>
              </w:rPr>
            </w:pPr>
          </w:p>
        </w:tc>
      </w:tr>
    </w:tbl>
    <w:p>
      <w:pPr>
        <w:spacing w:after="0" w:line="9" w:lineRule="exact"/>
        <w:rPr>
          <w:sz w:val="20"/>
          <w:szCs w:val="20"/>
          <w:color w:val="auto"/>
        </w:rPr>
      </w:pPr>
    </w:p>
    <w:p>
      <w:pPr>
        <w:sectPr>
          <w:pgSz w:w="11900" w:h="16838" w:orient="portrait"/>
          <w:cols w:equalWidth="0" w:num="2">
            <w:col w:w="1600" w:space="140"/>
            <w:col w:w="7279"/>
          </w:cols>
          <w:pgMar w:left="1440" w:top="108"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61"/>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0000EE"/>
              </w:rPr>
              <w:t>Filing Fee Table.</w:t>
            </w:r>
          </w:p>
        </w:tc>
        <w:tc>
          <w:tcPr>
            <w:tcW w:w="4860" w:type="dxa"/>
            <w:vAlign w:val="bottom"/>
          </w:tcPr>
          <w:p>
            <w:pPr>
              <w:ind w:left="48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8"/>
        </w:trPr>
        <w:tc>
          <w:tcPr>
            <w:tcW w:w="4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107.1</w:t>
            </w:r>
          </w:p>
        </w:tc>
        <w:tc>
          <w:tcPr>
            <w:tcW w:w="220" w:type="dxa"/>
            <w:vAlign w:val="bottom"/>
          </w:tcPr>
          <w:p>
            <w:pPr>
              <w:spacing w:after="0"/>
              <w:rPr>
                <w:sz w:val="4"/>
                <w:szCs w:val="4"/>
                <w:color w:val="auto"/>
              </w:rPr>
            </w:pPr>
          </w:p>
        </w:tc>
        <w:tc>
          <w:tcPr>
            <w:tcW w:w="1020" w:type="dxa"/>
            <w:vAlign w:val="bottom"/>
            <w:tcBorders>
              <w:bottom w:val="single" w:sz="8" w:color="0000EE"/>
            </w:tcBorders>
            <w:vMerge w:val="continue"/>
          </w:tcPr>
          <w:p>
            <w:pPr>
              <w:spacing w:after="0"/>
              <w:rPr>
                <w:sz w:val="4"/>
                <w:szCs w:val="4"/>
                <w:color w:val="auto"/>
              </w:rPr>
            </w:pPr>
          </w:p>
        </w:tc>
        <w:tc>
          <w:tcPr>
            <w:tcW w:w="48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141605</wp:posOffset>
            </wp:positionV>
            <wp:extent cx="97282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8">
                      <a:extLst>
                        <a:ext uri="{28A0092B-C50C-407E-A947-70E740481C1C}"/>
                      </a:extLst>
                    </a:blip>
                    <a:srcRect/>
                    <a:stretch>
                      <a:fillRect/>
                    </a:stretch>
                  </pic:blipFill>
                  <pic:spPr bwMode="auto">
                    <a:xfrm>
                      <a:off x="0" y="0"/>
                      <a:ext cx="972820" cy="6985"/>
                    </a:xfrm>
                    <a:prstGeom prst="rect">
                      <a:avLst/>
                    </a:prstGeom>
                    <a:noFill/>
                  </pic:spPr>
                </pic:pic>
              </a:graphicData>
            </a:graphic>
          </wp:anchor>
        </w:drawing>
      </w:r>
    </w:p>
    <w:p>
      <w:pPr>
        <w:spacing w:after="0" w:line="327" w:lineRule="exact"/>
        <w:rPr>
          <w:sz w:val="20"/>
          <w:szCs w:val="20"/>
          <w:color w:val="auto"/>
        </w:rPr>
      </w:pPr>
    </w:p>
    <w:p>
      <w:pPr>
        <w:ind w:left="1560" w:hanging="290"/>
        <w:spacing w:after="0"/>
        <w:tabs>
          <w:tab w:leader="none" w:pos="15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incorporated by reference in connection with the offering of the securities.</w:t>
      </w:r>
    </w:p>
    <w:p>
      <w:pPr>
        <w:spacing w:after="0" w:line="84" w:lineRule="exact"/>
        <w:rPr>
          <w:sz w:val="20"/>
          <w:szCs w:val="20"/>
          <w:color w:val="auto"/>
        </w:rPr>
      </w:pPr>
    </w:p>
    <w:p>
      <w:pPr>
        <w:ind w:left="1560" w:right="1299" w:hanging="290"/>
        <w:spacing w:after="0" w:line="288" w:lineRule="auto"/>
        <w:tabs>
          <w:tab w:leader="none" w:pos="15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(or similar attachments) have been omitted pursuant to Item 601(a)(5) of Regulation S-K and will be provided to the U.S. Securities and Exchange Commission upon request.</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Item 17.</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Undertakings</w:t>
      </w:r>
    </w:p>
    <w:p>
      <w:pPr>
        <w:spacing w:after="0" w:line="128" w:lineRule="exact"/>
        <w:rPr>
          <w:sz w:val="20"/>
          <w:szCs w:val="20"/>
          <w:color w:val="auto"/>
        </w:rPr>
      </w:pPr>
    </w:p>
    <w:p>
      <w:pPr>
        <w:ind w:left="1840" w:hanging="287"/>
        <w:spacing w:after="0"/>
        <w:tabs>
          <w:tab w:leader="none" w:pos="18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15" w:lineRule="exact"/>
        <w:rPr>
          <w:rFonts w:ascii="Times New Roman" w:cs="Times New Roman" w:eastAsia="Times New Roman" w:hAnsi="Times New Roman"/>
          <w:sz w:val="14"/>
          <w:szCs w:val="14"/>
          <w:color w:val="auto"/>
        </w:rPr>
      </w:pPr>
    </w:p>
    <w:p>
      <w:pPr>
        <w:ind w:left="1560" w:right="1999" w:firstLine="277"/>
        <w:spacing w:after="0" w:line="304" w:lineRule="auto"/>
        <w:tabs>
          <w:tab w:leader="none" w:pos="213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60" w:lineRule="exact"/>
        <w:rPr>
          <w:rFonts w:ascii="Times New Roman" w:cs="Times New Roman" w:eastAsia="Times New Roman" w:hAnsi="Times New Roman"/>
          <w:sz w:val="14"/>
          <w:szCs w:val="14"/>
          <w:color w:val="auto"/>
        </w:rPr>
      </w:pPr>
    </w:p>
    <w:p>
      <w:pPr>
        <w:ind w:left="2380" w:hanging="259"/>
        <w:spacing w:after="0"/>
        <w:tabs>
          <w:tab w:leader="none" w:pos="2380" w:val="left"/>
        </w:tabs>
        <w:numPr>
          <w:ilvl w:val="2"/>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9">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45" w:name="page46"/>
    <w:bookmarkEnd w:id="45"/>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40" w:right="1299" w:firstLine="281"/>
        <w:spacing w:after="0" w:line="265" w:lineRule="auto"/>
        <w:tabs>
          <w:tab w:leader="none" w:pos="24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86" w:lineRule="exact"/>
        <w:rPr>
          <w:rFonts w:ascii="Times New Roman" w:cs="Times New Roman" w:eastAsia="Times New Roman" w:hAnsi="Times New Roman"/>
          <w:sz w:val="14"/>
          <w:szCs w:val="14"/>
          <w:color w:val="auto"/>
        </w:rPr>
      </w:pPr>
    </w:p>
    <w:p>
      <w:pPr>
        <w:ind w:left="1840" w:right="1299" w:firstLine="281"/>
        <w:spacing w:after="0" w:line="271" w:lineRule="auto"/>
        <w:tabs>
          <w:tab w:leader="none" w:pos="2463"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80" w:lineRule="exact"/>
        <w:rPr>
          <w:sz w:val="20"/>
          <w:szCs w:val="20"/>
          <w:color w:val="auto"/>
        </w:rPr>
      </w:pPr>
    </w:p>
    <w:p>
      <w:pPr>
        <w:ind w:left="1560" w:right="1339"/>
        <w:spacing w:after="0" w:line="262"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(a)(1)(i), (a)(1)(ii), and (a)(1)(iii) above do not apply if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251" w:lineRule="exact"/>
        <w:rPr>
          <w:sz w:val="20"/>
          <w:szCs w:val="20"/>
          <w:color w:val="auto"/>
        </w:rPr>
      </w:pPr>
    </w:p>
    <w:p>
      <w:pPr>
        <w:ind w:left="1560" w:right="1359" w:firstLine="277"/>
        <w:spacing w:after="0" w:line="265" w:lineRule="auto"/>
        <w:tabs>
          <w:tab w:leader="none" w:pos="213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Times New Roman" w:cs="Times New Roman" w:eastAsia="Times New Roman" w:hAnsi="Times New Roman"/>
          <w:sz w:val="14"/>
          <w:szCs w:val="14"/>
          <w:color w:val="auto"/>
        </w:rPr>
      </w:pPr>
    </w:p>
    <w:p>
      <w:pPr>
        <w:ind w:left="1560" w:right="1539" w:firstLine="277"/>
        <w:spacing w:after="0" w:line="288" w:lineRule="auto"/>
        <w:tabs>
          <w:tab w:leader="none" w:pos="213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71" w:lineRule="exact"/>
        <w:rPr>
          <w:rFonts w:ascii="Times New Roman" w:cs="Times New Roman" w:eastAsia="Times New Roman" w:hAnsi="Times New Roman"/>
          <w:sz w:val="14"/>
          <w:szCs w:val="14"/>
          <w:color w:val="auto"/>
        </w:rPr>
      </w:pPr>
    </w:p>
    <w:p>
      <w:pPr>
        <w:ind w:left="1560" w:right="1859" w:firstLine="277"/>
        <w:spacing w:after="0" w:line="288" w:lineRule="auto"/>
        <w:tabs>
          <w:tab w:leader="none" w:pos="213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60" w:lineRule="exact"/>
        <w:rPr>
          <w:rFonts w:ascii="Times New Roman" w:cs="Times New Roman" w:eastAsia="Times New Roman" w:hAnsi="Times New Roman"/>
          <w:sz w:val="14"/>
          <w:szCs w:val="14"/>
          <w:color w:val="auto"/>
        </w:rPr>
      </w:pPr>
    </w:p>
    <w:p>
      <w:pPr>
        <w:ind w:left="1840" w:right="1339" w:firstLine="281"/>
        <w:spacing w:after="0" w:line="271" w:lineRule="auto"/>
        <w:tabs>
          <w:tab w:leader="none" w:pos="2444"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82" w:lineRule="exact"/>
        <w:rPr>
          <w:rFonts w:ascii="Times New Roman" w:cs="Times New Roman" w:eastAsia="Times New Roman" w:hAnsi="Times New Roman"/>
          <w:sz w:val="14"/>
          <w:szCs w:val="14"/>
          <w:color w:val="auto"/>
        </w:rPr>
      </w:pPr>
    </w:p>
    <w:p>
      <w:pPr>
        <w:ind w:left="1840" w:right="1299" w:firstLine="281"/>
        <w:spacing w:after="0" w:line="256" w:lineRule="auto"/>
        <w:tabs>
          <w:tab w:leader="none" w:pos="2436"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no statement made in a registration statement or prospectus that is part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64" w:lineRule="exact"/>
        <w:rPr>
          <w:rFonts w:ascii="Times New Roman" w:cs="Times New Roman" w:eastAsia="Times New Roman" w:hAnsi="Times New Roman"/>
          <w:sz w:val="14"/>
          <w:szCs w:val="14"/>
          <w:color w:val="auto"/>
        </w:rPr>
      </w:pPr>
    </w:p>
    <w:p>
      <w:pPr>
        <w:ind w:left="2120" w:hanging="283"/>
        <w:spacing w:after="0"/>
        <w:tabs>
          <w:tab w:leader="none" w:pos="21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w:t>
      </w:r>
    </w:p>
    <w:p>
      <w:pPr>
        <w:spacing w:after="0" w:line="23" w:lineRule="exact"/>
        <w:rPr>
          <w:rFonts w:ascii="Times New Roman" w:cs="Times New Roman" w:eastAsia="Times New Roman" w:hAnsi="Times New Roman"/>
          <w:sz w:val="14"/>
          <w:szCs w:val="14"/>
          <w:color w:val="auto"/>
        </w:rPr>
      </w:pPr>
    </w:p>
    <w:p>
      <w:pPr>
        <w:ind w:left="1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1933 to any purchaser in the initial distribution of the securities:</w:t>
      </w:r>
    </w:p>
    <w:p>
      <w:pPr>
        <w:spacing w:after="0" w:line="102" w:lineRule="exact"/>
        <w:rPr>
          <w:sz w:val="20"/>
          <w:szCs w:val="20"/>
          <w:color w:val="auto"/>
        </w:rPr>
      </w:pPr>
    </w:p>
    <w:p>
      <w:pPr>
        <w:ind w:left="1840" w:right="1399" w:firstLine="284"/>
        <w:spacing w:after="0" w:line="262" w:lineRule="auto"/>
        <w:rPr>
          <w:sz w:val="20"/>
          <w:szCs w:val="20"/>
          <w:color w:val="auto"/>
        </w:rPr>
      </w:pPr>
      <w:r>
        <w:rPr>
          <w:rFonts w:ascii="Times New Roman" w:cs="Times New Roman" w:eastAsia="Times New Roman" w:hAnsi="Times New Roman"/>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9" w:lineRule="exact"/>
        <w:rPr>
          <w:sz w:val="20"/>
          <w:szCs w:val="20"/>
          <w:color w:val="auto"/>
        </w:rPr>
      </w:pPr>
    </w:p>
    <w:p>
      <w:pPr>
        <w:ind w:left="1840" w:right="1539" w:firstLine="281"/>
        <w:spacing w:after="0" w:line="288" w:lineRule="auto"/>
        <w:tabs>
          <w:tab w:leader="none" w:pos="2373"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0">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6" w:name="page47"/>
    <w:bookmarkEnd w:id="46"/>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40" w:right="1679" w:firstLine="281"/>
        <w:spacing w:after="0" w:line="288" w:lineRule="auto"/>
        <w:tabs>
          <w:tab w:leader="none" w:pos="2415"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71" w:lineRule="exact"/>
        <w:rPr>
          <w:rFonts w:ascii="Times New Roman" w:cs="Times New Roman" w:eastAsia="Times New Roman" w:hAnsi="Times New Roman"/>
          <w:sz w:val="14"/>
          <w:szCs w:val="14"/>
          <w:color w:val="auto"/>
        </w:rPr>
      </w:pPr>
    </w:p>
    <w:p>
      <w:pPr>
        <w:ind w:left="1840" w:right="1399" w:firstLine="281"/>
        <w:spacing w:after="0" w:line="271" w:lineRule="auto"/>
        <w:tabs>
          <w:tab w:leader="none" w:pos="2463"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82" w:lineRule="exact"/>
        <w:rPr>
          <w:rFonts w:ascii="Times New Roman" w:cs="Times New Roman" w:eastAsia="Times New Roman" w:hAnsi="Times New Roman"/>
          <w:sz w:val="14"/>
          <w:szCs w:val="14"/>
          <w:color w:val="auto"/>
        </w:rPr>
      </w:pPr>
    </w:p>
    <w:p>
      <w:pPr>
        <w:ind w:left="1840" w:right="1699" w:firstLine="281"/>
        <w:spacing w:after="0" w:line="288" w:lineRule="auto"/>
        <w:tabs>
          <w:tab w:leader="none" w:pos="2447"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60" w:lineRule="exact"/>
        <w:rPr>
          <w:rFonts w:ascii="Times New Roman" w:cs="Times New Roman" w:eastAsia="Times New Roman" w:hAnsi="Times New Roman"/>
          <w:sz w:val="14"/>
          <w:szCs w:val="14"/>
          <w:color w:val="auto"/>
        </w:rPr>
      </w:pPr>
    </w:p>
    <w:p>
      <w:pPr>
        <w:ind w:left="1260" w:right="1339" w:firstLine="293"/>
        <w:spacing w:after="0" w:line="260" w:lineRule="auto"/>
        <w:tabs>
          <w:tab w:leader="none" w:pos="183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62" w:lineRule="exact"/>
        <w:rPr>
          <w:rFonts w:ascii="Times New Roman" w:cs="Times New Roman" w:eastAsia="Times New Roman" w:hAnsi="Times New Roman"/>
          <w:sz w:val="14"/>
          <w:szCs w:val="14"/>
          <w:color w:val="auto"/>
        </w:rPr>
      </w:pPr>
    </w:p>
    <w:p>
      <w:pPr>
        <w:ind w:left="1260" w:right="1299" w:firstLine="293"/>
        <w:spacing w:after="0" w:line="257" w:lineRule="auto"/>
        <w:tabs>
          <w:tab w:leader="none" w:pos="1824"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1">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7" w:name="page48"/>
    <w:bookmarkEnd w:id="47"/>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8" w:lineRule="exact"/>
        <w:rPr>
          <w:sz w:val="20"/>
          <w:szCs w:val="20"/>
          <w:color w:val="auto"/>
        </w:rPr>
      </w:pPr>
    </w:p>
    <w:p>
      <w:pPr>
        <w:jc w:val="both"/>
        <w:ind w:left="1260" w:right="1419" w:firstLine="284"/>
        <w:spacing w:after="0" w:line="265"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Midland, Texas, on the 9th day of March, 2026.</w:t>
      </w:r>
    </w:p>
    <w:p>
      <w:pPr>
        <w:spacing w:after="0" w:line="13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VIPER ENERGY, INC.</w:t>
      </w:r>
    </w:p>
    <w:p>
      <w:pPr>
        <w:spacing w:after="0" w:line="18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41910</wp:posOffset>
            </wp:positionV>
            <wp:extent cx="194564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2">
                      <a:extLst>
                        <a:ext uri="{28A0092B-C50C-407E-A947-70E740481C1C}"/>
                      </a:extLst>
                    </a:blip>
                    <a:srcRect/>
                    <a:stretch>
                      <a:fillRect/>
                    </a:stretch>
                  </pic:blipFill>
                  <pic:spPr bwMode="auto">
                    <a:xfrm>
                      <a:off x="0" y="0"/>
                      <a:ext cx="1945640" cy="6985"/>
                    </a:xfrm>
                    <a:prstGeom prst="rect">
                      <a:avLst/>
                    </a:prstGeom>
                    <a:noFill/>
                  </pic:spPr>
                </pic:pic>
              </a:graphicData>
            </a:graphic>
          </wp:anchor>
        </w:drawing>
      </w:r>
    </w:p>
    <w:p>
      <w:pPr>
        <w:spacing w:after="0" w:line="6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Kaes Van’t Hof</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3">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8" w:name="page49"/>
    <w:bookmarkEnd w:id="48"/>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8" w:lineRule="exact"/>
        <w:rPr>
          <w:sz w:val="20"/>
          <w:szCs w:val="20"/>
          <w:color w:val="auto"/>
        </w:rPr>
      </w:pPr>
    </w:p>
    <w:p>
      <w:pPr>
        <w:ind w:left="1260" w:right="1279" w:firstLine="284"/>
        <w:spacing w:after="0" w:line="256" w:lineRule="auto"/>
        <w:rPr>
          <w:sz w:val="20"/>
          <w:szCs w:val="20"/>
          <w:color w:val="auto"/>
        </w:rPr>
      </w:pPr>
      <w:r>
        <w:rPr>
          <w:rFonts w:ascii="Times New Roman" w:cs="Times New Roman" w:eastAsia="Times New Roman" w:hAnsi="Times New Roman"/>
          <w:sz w:val="14"/>
          <w:szCs w:val="14"/>
          <w:color w:val="auto"/>
        </w:rPr>
        <w:t>Each of the undersigned officers and directors of the registrant hereby severally constitutes and appoints Kaes Van’t Hof, Austen Gilfillian, Teresa L. Dick and Will Krueger, and each of them singly (with full power to each of them to act alone), as his or her true and lawful attorney-in-fact and agent,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268" w:lineRule="exact"/>
        <w:rPr>
          <w:sz w:val="20"/>
          <w:szCs w:val="20"/>
          <w:color w:val="auto"/>
        </w:rPr>
      </w:pPr>
    </w:p>
    <w:p>
      <w:pPr>
        <w:ind w:left="1260" w:right="1379" w:firstLine="284"/>
        <w:spacing w:after="0" w:line="28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below by the following persons on behalf of the registrant in the capacities and on the dates indicated.</w:t>
      </w:r>
    </w:p>
    <w:p>
      <w:pPr>
        <w:sectPr>
          <w:pgSz w:w="11900" w:h="16838" w:orient="portrait"/>
          <w:cols w:equalWidth="0" w:num="1">
            <w:col w:w="9019"/>
          </w:cols>
          <w:pgMar w:left="1440" w:top="108" w:right="1440" w:bottom="1440" w:gutter="0" w:footer="0" w:header="0"/>
        </w:sectPr>
      </w:pPr>
    </w:p>
    <w:p>
      <w:pPr>
        <w:spacing w:after="0" w:line="141" w:lineRule="exact"/>
        <w:rPr>
          <w:sz w:val="20"/>
          <w:szCs w:val="20"/>
          <w:color w:val="auto"/>
        </w:rPr>
      </w:pPr>
    </w:p>
    <w:p>
      <w:pPr>
        <w:ind w:left="2220" w:hanging="950"/>
        <w:spacing w:after="0"/>
        <w:tabs>
          <w:tab w:leader="none" w:pos="2220" w:val="left"/>
        </w:tabs>
        <w:numPr>
          <w:ilvl w:val="0"/>
          <w:numId w:val="44"/>
        </w:numPr>
        <w:rPr>
          <w:rFonts w:ascii="Times New Roman" w:cs="Times New Roman" w:eastAsia="Times New Roman" w:hAnsi="Times New Roman"/>
          <w:sz w:val="23"/>
          <w:szCs w:val="23"/>
          <w:b w:val="1"/>
          <w:bCs w:val="1"/>
          <w:color w:val="auto"/>
          <w:vertAlign w:val="subscript"/>
        </w:rPr>
      </w:pPr>
      <w:r>
        <w:rPr>
          <w:rFonts w:ascii="Times New Roman" w:cs="Times New Roman" w:eastAsia="Times New Roman" w:hAnsi="Times New Roman"/>
          <w:sz w:val="11"/>
          <w:szCs w:val="11"/>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19050</wp:posOffset>
            </wp:positionV>
            <wp:extent cx="162115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4">
                      <a:extLst>
                        <a:ext uri="{28A0092B-C50C-407E-A947-70E740481C1C}"/>
                      </a:extLst>
                    </a:blip>
                    <a:srcRect/>
                    <a:stretch>
                      <a:fillRect/>
                    </a:stretch>
                  </pic:blipFill>
                  <pic:spPr bwMode="auto">
                    <a:xfrm>
                      <a:off x="0" y="0"/>
                      <a:ext cx="1621155" cy="6985"/>
                    </a:xfrm>
                    <a:prstGeom prst="rect">
                      <a:avLst/>
                    </a:prstGeom>
                    <a:noFill/>
                  </pic:spPr>
                </pic:pic>
              </a:graphicData>
            </a:graphic>
          </wp:anchor>
        </w:drawing>
      </w:r>
    </w:p>
    <w:p>
      <w:pPr>
        <w:spacing w:after="0" w:line="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t>
      </w:r>
    </w:p>
    <w:p>
      <w:pPr>
        <w:spacing w:after="0" w:line="24"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4"/>
          <w:szCs w:val="14"/>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41910</wp:posOffset>
            </wp:positionV>
            <wp:extent cx="162115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5">
                      <a:extLst>
                        <a:ext uri="{28A0092B-C50C-407E-A947-70E740481C1C}"/>
                      </a:extLst>
                    </a:blip>
                    <a:srcRect/>
                    <a:stretch>
                      <a:fillRect/>
                    </a:stretch>
                  </pic:blipFill>
                  <pic:spPr bwMode="auto">
                    <a:xfrm>
                      <a:off x="0" y="0"/>
                      <a:ext cx="1621155" cy="6985"/>
                    </a:xfrm>
                    <a:prstGeom prst="rect">
                      <a:avLst/>
                    </a:prstGeom>
                    <a:noFill/>
                  </pic:spPr>
                </pic:pic>
              </a:graphicData>
            </a:graphic>
          </wp:anchor>
        </w:drawing>
      </w:r>
    </w:p>
    <w:p>
      <w:pPr>
        <w:spacing w:after="0" w:line="64"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4"/>
          <w:szCs w:val="14"/>
          <w:color w:val="auto"/>
        </w:rPr>
        <w:t>Kaes Van’t Hof</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t>
      </w:r>
    </w:p>
    <w:p>
      <w:pPr>
        <w:spacing w:after="0" w:line="16"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4"/>
          <w:szCs w:val="14"/>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41910</wp:posOffset>
            </wp:positionV>
            <wp:extent cx="162115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6">
                      <a:extLst>
                        <a:ext uri="{28A0092B-C50C-407E-A947-70E740481C1C}"/>
                      </a:extLst>
                    </a:blip>
                    <a:srcRect/>
                    <a:stretch>
                      <a:fillRect/>
                    </a:stretch>
                  </pic:blipFill>
                  <pic:spPr bwMode="auto">
                    <a:xfrm>
                      <a:off x="0" y="0"/>
                      <a:ext cx="1621155" cy="6985"/>
                    </a:xfrm>
                    <a:prstGeom prst="rect">
                      <a:avLst/>
                    </a:prstGeom>
                    <a:noFill/>
                  </pic:spPr>
                </pic:pic>
              </a:graphicData>
            </a:graphic>
          </wp:anchor>
        </w:drawing>
      </w:r>
    </w:p>
    <w:p>
      <w:pPr>
        <w:spacing w:after="0" w:line="64"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4"/>
          <w:szCs w:val="14"/>
          <w:color w:val="auto"/>
        </w:rPr>
        <w:t>Teresa L. Dick</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t>
      </w:r>
    </w:p>
    <w:p>
      <w:pPr>
        <w:spacing w:after="0" w:line="16"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4"/>
          <w:szCs w:val="14"/>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41910</wp:posOffset>
            </wp:positionV>
            <wp:extent cx="162115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7">
                      <a:extLst>
                        <a:ext uri="{28A0092B-C50C-407E-A947-70E740481C1C}"/>
                      </a:extLst>
                    </a:blip>
                    <a:srcRect/>
                    <a:stretch>
                      <a:fillRect/>
                    </a:stretch>
                  </pic:blipFill>
                  <pic:spPr bwMode="auto">
                    <a:xfrm>
                      <a:off x="0" y="0"/>
                      <a:ext cx="1621155" cy="6985"/>
                    </a:xfrm>
                    <a:prstGeom prst="rect">
                      <a:avLst/>
                    </a:prstGeom>
                    <a:noFill/>
                  </pic:spPr>
                </pic:pic>
              </a:graphicData>
            </a:graphic>
          </wp:anchor>
        </w:drawing>
      </w:r>
    </w:p>
    <w:p>
      <w:pPr>
        <w:spacing w:after="0" w:line="64"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4"/>
          <w:szCs w:val="14"/>
          <w:color w:val="auto"/>
        </w:rPr>
        <w:t>Travis D. Stice</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t>
      </w:r>
    </w:p>
    <w:p>
      <w:pPr>
        <w:spacing w:after="0" w:line="16"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4"/>
          <w:szCs w:val="14"/>
          <w:color w:val="auto"/>
        </w:rPr>
        <w:t>/s/ Steven E.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41910</wp:posOffset>
            </wp:positionV>
            <wp:extent cx="162115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8">
                      <a:extLst>
                        <a:ext uri="{28A0092B-C50C-407E-A947-70E740481C1C}"/>
                      </a:extLst>
                    </a:blip>
                    <a:srcRect/>
                    <a:stretch>
                      <a:fillRect/>
                    </a:stretch>
                  </pic:blipFill>
                  <pic:spPr bwMode="auto">
                    <a:xfrm>
                      <a:off x="0" y="0"/>
                      <a:ext cx="1621155" cy="6985"/>
                    </a:xfrm>
                    <a:prstGeom prst="rect">
                      <a:avLst/>
                    </a:prstGeom>
                    <a:noFill/>
                  </pic:spPr>
                </pic:pic>
              </a:graphicData>
            </a:graphic>
          </wp:anchor>
        </w:drawing>
      </w:r>
    </w:p>
    <w:p>
      <w:pPr>
        <w:spacing w:after="0" w:line="64"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4"/>
          <w:szCs w:val="14"/>
          <w:color w:val="auto"/>
        </w:rPr>
        <w:t>Steven E. West</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t>
      </w:r>
    </w:p>
    <w:p>
      <w:pPr>
        <w:spacing w:after="0" w:line="16"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4"/>
          <w:szCs w:val="14"/>
          <w:color w:val="auto"/>
        </w:rPr>
        <w:t>/s/ Laurie H. Argo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41910</wp:posOffset>
            </wp:positionV>
            <wp:extent cx="162115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9">
                      <a:extLst>
                        <a:ext uri="{28A0092B-C50C-407E-A947-70E740481C1C}"/>
                      </a:extLst>
                    </a:blip>
                    <a:srcRect/>
                    <a:stretch>
                      <a:fillRect/>
                    </a:stretch>
                  </pic:blipFill>
                  <pic:spPr bwMode="auto">
                    <a:xfrm>
                      <a:off x="0" y="0"/>
                      <a:ext cx="1621155" cy="6985"/>
                    </a:xfrm>
                    <a:prstGeom prst="rect">
                      <a:avLst/>
                    </a:prstGeom>
                    <a:noFill/>
                  </pic:spPr>
                </pic:pic>
              </a:graphicData>
            </a:graphic>
          </wp:anchor>
        </w:drawing>
      </w:r>
    </w:p>
    <w:p>
      <w:pPr>
        <w:spacing w:after="0" w:line="64"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4"/>
          <w:szCs w:val="14"/>
          <w:color w:val="auto"/>
        </w:rPr>
        <w:t>Laurie H. Argo</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t>
      </w:r>
    </w:p>
    <w:p>
      <w:pPr>
        <w:spacing w:after="0" w:line="16"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4"/>
          <w:szCs w:val="14"/>
          <w:color w:val="auto"/>
        </w:rPr>
        <w:t>/s/ Spencer D. Armour,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41910</wp:posOffset>
            </wp:positionV>
            <wp:extent cx="162115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0">
                      <a:extLst>
                        <a:ext uri="{28A0092B-C50C-407E-A947-70E740481C1C}"/>
                      </a:extLst>
                    </a:blip>
                    <a:srcRect/>
                    <a:stretch>
                      <a:fillRect/>
                    </a:stretch>
                  </pic:blipFill>
                  <pic:spPr bwMode="auto">
                    <a:xfrm>
                      <a:off x="0" y="0"/>
                      <a:ext cx="1621155" cy="6985"/>
                    </a:xfrm>
                    <a:prstGeom prst="rect">
                      <a:avLst/>
                    </a:prstGeom>
                    <a:noFill/>
                  </pic:spPr>
                </pic:pic>
              </a:graphicData>
            </a:graphic>
          </wp:anchor>
        </w:drawing>
      </w:r>
    </w:p>
    <w:p>
      <w:pPr>
        <w:spacing w:after="0" w:line="64"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4"/>
          <w:szCs w:val="14"/>
          <w:color w:val="auto"/>
        </w:rPr>
        <w:t>Spencer D. Armour, III</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t>
      </w:r>
    </w:p>
    <w:p>
      <w:pPr>
        <w:spacing w:after="0" w:line="16"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4"/>
          <w:szCs w:val="14"/>
          <w:color w:val="auto"/>
        </w:rPr>
        <w:t>/s/ Frank C.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41910</wp:posOffset>
            </wp:positionV>
            <wp:extent cx="162115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1">
                      <a:extLst>
                        <a:ext uri="{28A0092B-C50C-407E-A947-70E740481C1C}"/>
                      </a:extLst>
                    </a:blip>
                    <a:srcRect/>
                    <a:stretch>
                      <a:fillRect/>
                    </a:stretch>
                  </pic:blipFill>
                  <pic:spPr bwMode="auto">
                    <a:xfrm>
                      <a:off x="0" y="0"/>
                      <a:ext cx="1621155" cy="6985"/>
                    </a:xfrm>
                    <a:prstGeom prst="rect">
                      <a:avLst/>
                    </a:prstGeom>
                    <a:noFill/>
                  </pic:spPr>
                </pic:pic>
              </a:graphicData>
            </a:graphic>
          </wp:anchor>
        </w:drawing>
      </w:r>
    </w:p>
    <w:p>
      <w:pPr>
        <w:spacing w:after="0" w:line="64"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4"/>
          <w:szCs w:val="14"/>
          <w:color w:val="auto"/>
        </w:rPr>
        <w:t>Frank C. Hu</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t>
      </w:r>
    </w:p>
    <w:p>
      <w:pPr>
        <w:spacing w:after="0" w:line="16"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4"/>
          <w:szCs w:val="14"/>
          <w:color w:val="auto"/>
        </w:rPr>
        <w:t>/s/ W. Wesley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41910</wp:posOffset>
            </wp:positionV>
            <wp:extent cx="162115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2">
                      <a:extLst>
                        <a:ext uri="{28A0092B-C50C-407E-A947-70E740481C1C}"/>
                      </a:extLst>
                    </a:blip>
                    <a:srcRect/>
                    <a:stretch>
                      <a:fillRect/>
                    </a:stretch>
                  </pic:blipFill>
                  <pic:spPr bwMode="auto">
                    <a:xfrm>
                      <a:off x="0" y="0"/>
                      <a:ext cx="1621155" cy="6985"/>
                    </a:xfrm>
                    <a:prstGeom prst="rect">
                      <a:avLst/>
                    </a:prstGeom>
                    <a:noFill/>
                  </pic:spPr>
                </pic:pic>
              </a:graphicData>
            </a:graphic>
          </wp:anchor>
        </w:drawing>
      </w:r>
    </w:p>
    <w:p>
      <w:pPr>
        <w:spacing w:after="0" w:line="64"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4"/>
          <w:szCs w:val="14"/>
          <w:color w:val="auto"/>
        </w:rPr>
        <w:t>W. Wesley Perry</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t>
      </w:r>
    </w:p>
    <w:p>
      <w:pPr>
        <w:spacing w:after="0" w:line="16"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4"/>
          <w:szCs w:val="14"/>
          <w:color w:val="auto"/>
        </w:rPr>
        <w:t>/s/ James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41910</wp:posOffset>
            </wp:positionV>
            <wp:extent cx="162115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3">
                      <a:extLst>
                        <a:ext uri="{28A0092B-C50C-407E-A947-70E740481C1C}"/>
                      </a:extLst>
                    </a:blip>
                    <a:srcRect/>
                    <a:stretch>
                      <a:fillRect/>
                    </a:stretch>
                  </pic:blipFill>
                  <pic:spPr bwMode="auto">
                    <a:xfrm>
                      <a:off x="0" y="0"/>
                      <a:ext cx="1621155" cy="6985"/>
                    </a:xfrm>
                    <a:prstGeom prst="rect">
                      <a:avLst/>
                    </a:prstGeom>
                    <a:noFill/>
                  </pic:spPr>
                </pic:pic>
              </a:graphicData>
            </a:graphic>
          </wp:anchor>
        </w:drawing>
      </w:r>
    </w:p>
    <w:p>
      <w:pPr>
        <w:spacing w:after="0" w:line="64"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4"/>
          <w:szCs w:val="14"/>
          <w:color w:val="auto"/>
        </w:rPr>
        <w:t>James L. Rubin</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25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DATE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4"/>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March 9, 2026</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25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4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54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 (Principal</w:t>
            </w: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9, 2026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Financial and Accounting Officer)</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54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Director</w:t>
            </w:r>
          </w:p>
        </w:tc>
        <w:tc>
          <w:tcPr>
            <w:tcW w:w="1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9, 2026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140" w:type="dxa"/>
            <w:vAlign w:val="bottom"/>
          </w:tcPr>
          <w:p>
            <w:pPr>
              <w:spacing w:after="0"/>
              <w:rPr>
                <w:sz w:val="10"/>
                <w:szCs w:val="10"/>
                <w:color w:val="auto"/>
              </w:rPr>
            </w:pPr>
          </w:p>
        </w:tc>
        <w:tc>
          <w:tcPr>
            <w:tcW w:w="25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54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Director</w:t>
            </w:r>
          </w:p>
        </w:tc>
        <w:tc>
          <w:tcPr>
            <w:tcW w:w="1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9, 2026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140" w:type="dxa"/>
            <w:vAlign w:val="bottom"/>
          </w:tcPr>
          <w:p>
            <w:pPr>
              <w:spacing w:after="0"/>
              <w:rPr>
                <w:sz w:val="10"/>
                <w:szCs w:val="10"/>
                <w:color w:val="auto"/>
              </w:rPr>
            </w:pPr>
          </w:p>
        </w:tc>
        <w:tc>
          <w:tcPr>
            <w:tcW w:w="25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54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Director</w:t>
            </w:r>
          </w:p>
        </w:tc>
        <w:tc>
          <w:tcPr>
            <w:tcW w:w="1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9, 2026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140" w:type="dxa"/>
            <w:vAlign w:val="bottom"/>
          </w:tcPr>
          <w:p>
            <w:pPr>
              <w:spacing w:after="0"/>
              <w:rPr>
                <w:sz w:val="10"/>
                <w:szCs w:val="10"/>
                <w:color w:val="auto"/>
              </w:rPr>
            </w:pPr>
          </w:p>
        </w:tc>
        <w:tc>
          <w:tcPr>
            <w:tcW w:w="25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54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Director</w:t>
            </w:r>
          </w:p>
        </w:tc>
        <w:tc>
          <w:tcPr>
            <w:tcW w:w="1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9, 2026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140" w:type="dxa"/>
            <w:vAlign w:val="bottom"/>
          </w:tcPr>
          <w:p>
            <w:pPr>
              <w:spacing w:after="0"/>
              <w:rPr>
                <w:sz w:val="10"/>
                <w:szCs w:val="10"/>
                <w:color w:val="auto"/>
              </w:rPr>
            </w:pPr>
          </w:p>
        </w:tc>
        <w:tc>
          <w:tcPr>
            <w:tcW w:w="25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54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Director</w:t>
            </w:r>
          </w:p>
        </w:tc>
        <w:tc>
          <w:tcPr>
            <w:tcW w:w="1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9, 2026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140" w:type="dxa"/>
            <w:vAlign w:val="bottom"/>
          </w:tcPr>
          <w:p>
            <w:pPr>
              <w:spacing w:after="0"/>
              <w:rPr>
                <w:sz w:val="10"/>
                <w:szCs w:val="10"/>
                <w:color w:val="auto"/>
              </w:rPr>
            </w:pPr>
          </w:p>
        </w:tc>
        <w:tc>
          <w:tcPr>
            <w:tcW w:w="25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54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Director</w:t>
            </w:r>
          </w:p>
        </w:tc>
        <w:tc>
          <w:tcPr>
            <w:tcW w:w="1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9, 2026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140" w:type="dxa"/>
            <w:vAlign w:val="bottom"/>
          </w:tcPr>
          <w:p>
            <w:pPr>
              <w:spacing w:after="0"/>
              <w:rPr>
                <w:sz w:val="10"/>
                <w:szCs w:val="10"/>
                <w:color w:val="auto"/>
              </w:rPr>
            </w:pPr>
          </w:p>
        </w:tc>
        <w:tc>
          <w:tcPr>
            <w:tcW w:w="25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54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Director</w:t>
            </w:r>
          </w:p>
        </w:tc>
        <w:tc>
          <w:tcPr>
            <w:tcW w:w="1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9, 2026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140" w:type="dxa"/>
            <w:vAlign w:val="bottom"/>
          </w:tcPr>
          <w:p>
            <w:pPr>
              <w:spacing w:after="0"/>
              <w:rPr>
                <w:sz w:val="10"/>
                <w:szCs w:val="10"/>
                <w:color w:val="auto"/>
              </w:rPr>
            </w:pPr>
          </w:p>
        </w:tc>
        <w:tc>
          <w:tcPr>
            <w:tcW w:w="25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ectPr>
          <w:pgSz w:w="11900" w:h="16838" w:orient="portrait"/>
          <w:cols w:equalWidth="0" w:num="2">
            <w:col w:w="3320" w:space="540"/>
            <w:col w:w="5159"/>
          </w:cols>
          <w:pgMar w:left="1440" w:top="108" w:right="1440" w:bottom="1440" w:gutter="0" w:footer="0" w:header="0"/>
          <w:type w:val="continuous"/>
        </w:sectPr>
      </w:pP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4">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49" w:name="page50"/>
    <w:bookmarkEnd w:id="49"/>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8" w:lineRule="exact"/>
        <w:rPr>
          <w:sz w:val="20"/>
          <w:szCs w:val="20"/>
          <w:color w:val="auto"/>
        </w:rPr>
      </w:pPr>
    </w:p>
    <w:p>
      <w:pPr>
        <w:ind w:left="1260" w:right="1319" w:firstLine="284"/>
        <w:spacing w:after="0" w:line="265"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co-registrant certifies that it has reasonable grounds to believe that it meets all of the requirements for filing on Form S-3 and has duly caused this registration statement to be signed on its behalf by the undersigned, thereunto duly authorized, in the City of Midland, Texas, on the 9th day of March, 2026.</w:t>
      </w:r>
    </w:p>
    <w:p>
      <w:pPr>
        <w:spacing w:after="0" w:line="13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VIPER ENERGY PARTNERS LP</w:t>
      </w:r>
    </w:p>
    <w:p>
      <w:pPr>
        <w:spacing w:after="0" w:line="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By: Viper Energy GP LLC, its general partner</w:t>
      </w:r>
    </w:p>
    <w:p>
      <w:pPr>
        <w:spacing w:after="0" w:line="1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41910</wp:posOffset>
            </wp:positionV>
            <wp:extent cx="194564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5">
                      <a:extLst>
                        <a:ext uri="{28A0092B-C50C-407E-A947-70E740481C1C}"/>
                      </a:extLst>
                    </a:blip>
                    <a:srcRect/>
                    <a:stretch>
                      <a:fillRect/>
                    </a:stretch>
                  </pic:blipFill>
                  <pic:spPr bwMode="auto">
                    <a:xfrm>
                      <a:off x="0" y="0"/>
                      <a:ext cx="1945640" cy="6985"/>
                    </a:xfrm>
                    <a:prstGeom prst="rect">
                      <a:avLst/>
                    </a:prstGeom>
                    <a:noFill/>
                  </pic:spPr>
                </pic:pic>
              </a:graphicData>
            </a:graphic>
          </wp:anchor>
        </w:drawing>
      </w:r>
    </w:p>
    <w:p>
      <w:pPr>
        <w:spacing w:after="0" w:line="6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Kaes Van’t Hof</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198120</wp:posOffset>
            </wp:positionV>
            <wp:extent cx="538988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6">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0" w:name="page51"/>
    <w:bookmarkEnd w:id="50"/>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8" w:lineRule="exact"/>
        <w:rPr>
          <w:sz w:val="20"/>
          <w:szCs w:val="20"/>
          <w:color w:val="auto"/>
        </w:rPr>
      </w:pPr>
    </w:p>
    <w:p>
      <w:pPr>
        <w:ind w:left="1260" w:right="1279" w:firstLine="284"/>
        <w:spacing w:after="0" w:line="256" w:lineRule="auto"/>
        <w:rPr>
          <w:sz w:val="20"/>
          <w:szCs w:val="20"/>
          <w:color w:val="auto"/>
        </w:rPr>
      </w:pPr>
      <w:r>
        <w:rPr>
          <w:rFonts w:ascii="Times New Roman" w:cs="Times New Roman" w:eastAsia="Times New Roman" w:hAnsi="Times New Roman"/>
          <w:sz w:val="14"/>
          <w:szCs w:val="14"/>
          <w:color w:val="auto"/>
        </w:rPr>
        <w:t>Each of the undersigned officers and directors of the co-registrant hereby severally constitutes and appoints Kaes Van’t Hof, Austen Gilfillian, Teresa L. Dick and Will Krueger, and each of them singly (with full power to each of them to act alone), as his or her true and lawful attorney-in-fact and agent,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268" w:lineRule="exact"/>
        <w:rPr>
          <w:sz w:val="20"/>
          <w:szCs w:val="20"/>
          <w:color w:val="auto"/>
        </w:rPr>
      </w:pPr>
    </w:p>
    <w:p>
      <w:pPr>
        <w:ind w:left="1260" w:right="1379" w:firstLine="284"/>
        <w:spacing w:after="0" w:line="28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below by the following persons on behalf of the registrant in the capacities and on the dates indicated.</w:t>
      </w:r>
    </w:p>
    <w:p>
      <w:pPr>
        <w:sectPr>
          <w:pgSz w:w="11900" w:h="16838" w:orient="portrait"/>
          <w:cols w:equalWidth="0" w:num="1">
            <w:col w:w="9019"/>
          </w:cols>
          <w:pgMar w:left="1440" w:top="108" w:right="1440" w:bottom="1440" w:gutter="0" w:footer="0" w:header="0"/>
        </w:sectPr>
      </w:pPr>
    </w:p>
    <w:p>
      <w:pPr>
        <w:spacing w:after="0" w:line="141" w:lineRule="exact"/>
        <w:rPr>
          <w:sz w:val="20"/>
          <w:szCs w:val="20"/>
          <w:color w:val="auto"/>
        </w:rPr>
      </w:pPr>
    </w:p>
    <w:p>
      <w:pPr>
        <w:ind w:left="2220" w:hanging="950"/>
        <w:spacing w:after="0"/>
        <w:tabs>
          <w:tab w:leader="none" w:pos="2220" w:val="left"/>
        </w:tabs>
        <w:numPr>
          <w:ilvl w:val="0"/>
          <w:numId w:val="45"/>
        </w:numPr>
        <w:rPr>
          <w:rFonts w:ascii="Times New Roman" w:cs="Times New Roman" w:eastAsia="Times New Roman" w:hAnsi="Times New Roman"/>
          <w:sz w:val="23"/>
          <w:szCs w:val="23"/>
          <w:b w:val="1"/>
          <w:bCs w:val="1"/>
          <w:color w:val="auto"/>
          <w:vertAlign w:val="subscript"/>
        </w:rPr>
      </w:pPr>
      <w:r>
        <w:rPr>
          <w:rFonts w:ascii="Times New Roman" w:cs="Times New Roman" w:eastAsia="Times New Roman" w:hAnsi="Times New Roman"/>
          <w:sz w:val="11"/>
          <w:szCs w:val="11"/>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19050</wp:posOffset>
            </wp:positionV>
            <wp:extent cx="162115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7">
                      <a:extLst>
                        <a:ext uri="{28A0092B-C50C-407E-A947-70E740481C1C}"/>
                      </a:extLst>
                    </a:blip>
                    <a:srcRect/>
                    <a:stretch>
                      <a:fillRect/>
                    </a:stretch>
                  </pic:blipFill>
                  <pic:spPr bwMode="auto">
                    <a:xfrm>
                      <a:off x="0" y="0"/>
                      <a:ext cx="1621155" cy="6985"/>
                    </a:xfrm>
                    <a:prstGeom prst="rect">
                      <a:avLst/>
                    </a:prstGeom>
                    <a:noFill/>
                  </pic:spPr>
                </pic:pic>
              </a:graphicData>
            </a:graphic>
          </wp:anchor>
        </w:drawing>
      </w:r>
    </w:p>
    <w:p>
      <w:pPr>
        <w:spacing w:after="0" w:line="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t>
      </w:r>
    </w:p>
    <w:p>
      <w:pPr>
        <w:spacing w:after="0" w:line="24"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4"/>
          <w:szCs w:val="14"/>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41910</wp:posOffset>
            </wp:positionV>
            <wp:extent cx="162115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8">
                      <a:extLst>
                        <a:ext uri="{28A0092B-C50C-407E-A947-70E740481C1C}"/>
                      </a:extLst>
                    </a:blip>
                    <a:srcRect/>
                    <a:stretch>
                      <a:fillRect/>
                    </a:stretch>
                  </pic:blipFill>
                  <pic:spPr bwMode="auto">
                    <a:xfrm>
                      <a:off x="0" y="0"/>
                      <a:ext cx="1621155" cy="6985"/>
                    </a:xfrm>
                    <a:prstGeom prst="rect">
                      <a:avLst/>
                    </a:prstGeom>
                    <a:noFill/>
                  </pic:spPr>
                </pic:pic>
              </a:graphicData>
            </a:graphic>
          </wp:anchor>
        </w:drawing>
      </w:r>
    </w:p>
    <w:p>
      <w:pPr>
        <w:spacing w:after="0" w:line="64"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4"/>
          <w:szCs w:val="14"/>
          <w:color w:val="auto"/>
        </w:rPr>
        <w:t>Kaes Van’t Hof</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t>
      </w:r>
    </w:p>
    <w:p>
      <w:pPr>
        <w:spacing w:after="0" w:line="16"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4"/>
          <w:szCs w:val="14"/>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41910</wp:posOffset>
            </wp:positionV>
            <wp:extent cx="162115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9">
                      <a:extLst>
                        <a:ext uri="{28A0092B-C50C-407E-A947-70E740481C1C}"/>
                      </a:extLst>
                    </a:blip>
                    <a:srcRect/>
                    <a:stretch>
                      <a:fillRect/>
                    </a:stretch>
                  </pic:blipFill>
                  <pic:spPr bwMode="auto">
                    <a:xfrm>
                      <a:off x="0" y="0"/>
                      <a:ext cx="1621155" cy="6985"/>
                    </a:xfrm>
                    <a:prstGeom prst="rect">
                      <a:avLst/>
                    </a:prstGeom>
                    <a:noFill/>
                  </pic:spPr>
                </pic:pic>
              </a:graphicData>
            </a:graphic>
          </wp:anchor>
        </w:drawing>
      </w:r>
    </w:p>
    <w:p>
      <w:pPr>
        <w:spacing w:after="0" w:line="64"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4"/>
          <w:szCs w:val="14"/>
          <w:color w:val="auto"/>
        </w:rPr>
        <w:t>Teresa L. Dick</w:t>
      </w:r>
    </w:p>
    <w:p>
      <w:pPr>
        <w:spacing w:after="0" w:line="357" w:lineRule="exact"/>
        <w:rPr>
          <w:sz w:val="20"/>
          <w:szCs w:val="20"/>
          <w:color w:val="auto"/>
        </w:rPr>
      </w:pPr>
    </w:p>
    <w:p>
      <w:pPr>
        <w:ind w:left="2380" w:hanging="1110"/>
        <w:spacing w:after="0"/>
        <w:tabs>
          <w:tab w:leader="none" w:pos="2380" w:val="left"/>
        </w:tabs>
        <w:numPr>
          <w:ilvl w:val="0"/>
          <w:numId w:val="46"/>
        </w:numPr>
        <w:rPr>
          <w:rFonts w:ascii="Times New Roman" w:cs="Times New Roman" w:eastAsia="Times New Roman" w:hAnsi="Times New Roman"/>
          <w:sz w:val="23"/>
          <w:szCs w:val="23"/>
          <w:b w:val="1"/>
          <w:bCs w:val="1"/>
          <w:color w:val="auto"/>
          <w:vertAlign w:val="subscript"/>
        </w:rPr>
      </w:pPr>
      <w:r>
        <w:rPr>
          <w:rFonts w:ascii="Times New Roman" w:cs="Times New Roman" w:eastAsia="Times New Roman" w:hAnsi="Times New Roman"/>
          <w:sz w:val="11"/>
          <w:szCs w:val="11"/>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19050</wp:posOffset>
            </wp:positionV>
            <wp:extent cx="162115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0">
                      <a:extLst>
                        <a:ext uri="{28A0092B-C50C-407E-A947-70E740481C1C}"/>
                      </a:extLst>
                    </a:blip>
                    <a:srcRect/>
                    <a:stretch>
                      <a:fillRect/>
                    </a:stretch>
                  </pic:blipFill>
                  <pic:spPr bwMode="auto">
                    <a:xfrm>
                      <a:off x="0" y="0"/>
                      <a:ext cx="1621155" cy="6985"/>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VIPER ENERGY GP LLC</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t>
      </w:r>
    </w:p>
    <w:p>
      <w:pPr>
        <w:spacing w:after="0" w:line="1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4"/>
          <w:szCs w:val="14"/>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41910</wp:posOffset>
            </wp:positionV>
            <wp:extent cx="153352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1">
                      <a:extLst>
                        <a:ext uri="{28A0092B-C50C-407E-A947-70E740481C1C}"/>
                      </a:extLst>
                    </a:blip>
                    <a:srcRect/>
                    <a:stretch>
                      <a:fillRect/>
                    </a:stretch>
                  </pic:blipFill>
                  <pic:spPr bwMode="auto">
                    <a:xfrm>
                      <a:off x="0" y="0"/>
                      <a:ext cx="1533525" cy="6985"/>
                    </a:xfrm>
                    <a:prstGeom prst="rect">
                      <a:avLst/>
                    </a:prstGeom>
                    <a:noFill/>
                  </pic:spPr>
                </pic:pic>
              </a:graphicData>
            </a:graphic>
          </wp:anchor>
        </w:drawing>
      </w:r>
    </w:p>
    <w:p>
      <w:pPr>
        <w:spacing w:after="0" w:line="7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Kaes Van’t Hof,</w:t>
      </w:r>
    </w:p>
    <w:p>
      <w:pPr>
        <w:spacing w:after="0" w:line="2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25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DATE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4"/>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Chief Executive Officer (Principal</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March 9, 2026</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2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4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Executive Officer)</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54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 (Principal</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9, 2026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Financial and Accounting Officer)</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1"/>
        </w:trPr>
        <w:tc>
          <w:tcPr>
            <w:tcW w:w="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254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4"/>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General Partner of Viper Energy Partners LP</w:t>
            </w: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140" w:type="dxa"/>
            <w:vAlign w:val="bottom"/>
          </w:tcPr>
          <w:p>
            <w:pPr>
              <w:spacing w:after="0"/>
              <w:rPr>
                <w:sz w:val="15"/>
                <w:szCs w:val="15"/>
                <w:color w:val="auto"/>
              </w:rPr>
            </w:pPr>
          </w:p>
        </w:tc>
        <w:tc>
          <w:tcPr>
            <w:tcW w:w="26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198120</wp:posOffset>
            </wp:positionV>
            <wp:extent cx="538988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2">
                      <a:extLst>
                        <a:ext uri="{28A0092B-C50C-407E-A947-70E740481C1C}"/>
                      </a:extLst>
                    </a:blip>
                    <a:srcRect/>
                    <a:stretch>
                      <a:fillRect/>
                    </a:stretch>
                  </pic:blipFill>
                  <pic:spPr bwMode="auto">
                    <a:xfrm>
                      <a:off x="0" y="0"/>
                      <a:ext cx="5389880" cy="38735"/>
                    </a:xfrm>
                    <a:prstGeom prst="rect">
                      <a:avLst/>
                    </a:prstGeom>
                    <a:noFill/>
                  </pic:spPr>
                </pic:pic>
              </a:graphicData>
            </a:graphic>
          </wp:anchor>
        </w:drawing>
      </w:r>
    </w:p>
    <w:p>
      <w:pPr>
        <w:sectPr>
          <w:pgSz w:w="11900" w:h="16838" w:orient="portrait"/>
          <w:cols w:equalWidth="0" w:num="2">
            <w:col w:w="3340" w:space="520"/>
            <w:col w:w="5159"/>
          </w:cols>
          <w:pgMar w:left="1440" w:top="108" w:right="1440" w:bottom="1440" w:gutter="0" w:footer="0" w:header="0"/>
          <w:type w:val="continuous"/>
        </w:sectPr>
      </w:pPr>
    </w:p>
    <w:bookmarkStart w:id="51" w:name="page52"/>
    <w:bookmarkEnd w:id="51"/>
    <w:p>
      <w:pPr>
        <w:jc w:val="right"/>
        <w:spacing w:after="0"/>
        <w:rPr>
          <w:sz w:val="20"/>
          <w:szCs w:val="20"/>
          <w:color w:val="auto"/>
        </w:rPr>
      </w:pPr>
      <w:r>
        <w:rPr>
          <w:rFonts w:ascii="Times New Roman" w:cs="Times New Roman" w:eastAsia="Times New Roman" w:hAnsi="Times New Roman"/>
          <w:sz w:val="17"/>
          <w:szCs w:val="17"/>
          <w:b w:val="1"/>
          <w:bCs w:val="1"/>
          <w:color w:val="auto"/>
        </w:rPr>
        <w:t>Exhibit 3.4</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AGREEMENT OF LIMITED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PARTNERSHIP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VIPER ENERGY PARTNERS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 Delaware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jc w:val="both"/>
        <w:ind w:firstLine="511"/>
        <w:spacing w:after="0" w:line="267" w:lineRule="auto"/>
        <w:rPr>
          <w:sz w:val="20"/>
          <w:szCs w:val="20"/>
          <w:color w:val="auto"/>
        </w:rPr>
      </w:pPr>
      <w:r>
        <w:rPr>
          <w:rFonts w:ascii="Times New Roman" w:cs="Times New Roman" w:eastAsia="Times New Roman" w:hAnsi="Times New Roman"/>
          <w:sz w:val="14"/>
          <w:szCs w:val="14"/>
          <w:color w:val="auto"/>
        </w:rPr>
        <w:t>This AGREEMENT OF LIMITED PARTNERSHIP of Viper Energy Partners LP (this “Agreement”), dated as of December 23, 2025, is adopted, executed and agreed to by the General Partner (as defined below) and the Limited Partner (as defined below).</w:t>
      </w:r>
    </w:p>
    <w:p>
      <w:pPr>
        <w:spacing w:after="0" w:line="138"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 xml:space="preserve">WHEREAS, Viper Energy Partners LP (the “Partnership”) has been formed as a limited partnership under the Delaware Revised Uniform Limited Partnership Act (6 </w:t>
      </w:r>
      <w:r>
        <w:rPr>
          <w:rFonts w:ascii="Times New Roman" w:cs="Times New Roman" w:eastAsia="Times New Roman" w:hAnsi="Times New Roman"/>
          <w:sz w:val="14"/>
          <w:szCs w:val="14"/>
          <w:u w:val="single" w:color="auto"/>
          <w:color w:val="auto"/>
        </w:rPr>
        <w:t>Del.C.</w:t>
      </w:r>
      <w:r>
        <w:rPr>
          <w:rFonts w:ascii="Times New Roman" w:cs="Times New Roman" w:eastAsia="Times New Roman" w:hAnsi="Times New Roman"/>
          <w:sz w:val="14"/>
          <w:szCs w:val="14"/>
          <w:color w:val="auto"/>
        </w:rPr>
        <w:t xml:space="preserve"> §17-101, </w:t>
      </w:r>
      <w:r>
        <w:rPr>
          <w:rFonts w:ascii="Times New Roman" w:cs="Times New Roman" w:eastAsia="Times New Roman" w:hAnsi="Times New Roman"/>
          <w:sz w:val="14"/>
          <w:szCs w:val="14"/>
          <w:u w:val="single" w:color="auto"/>
          <w:color w:val="auto"/>
        </w:rPr>
        <w:t>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seq</w:t>
      </w:r>
      <w:r>
        <w:rPr>
          <w:rFonts w:ascii="Times New Roman" w:cs="Times New Roman" w:eastAsia="Times New Roman" w:hAnsi="Times New Roman"/>
          <w:sz w:val="14"/>
          <w:szCs w:val="14"/>
          <w:color w:val="auto"/>
        </w:rPr>
        <w:t>.) (as it may be amended from time to time, the “Act”) by filing the Certificate of Limited Partnership of the Partnership (the “Certificate”) with the Secretary of State of the State of Delaware on December 23, 2025; and</w:t>
      </w:r>
    </w:p>
    <w:p>
      <w:pPr>
        <w:spacing w:after="0" w:line="136"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WHEREAS, Viper Energy GP LLC, a Delaware limited liability company (the “General Partner”) and Viper Intermediate LP, a Delaware limited partnership, (the “Limited Partner” and, together with the General Partner, the “Partners”) wish to enter into this Agreement and for the management of the Partnership to be governed by the terms set forth herein.</w:t>
      </w:r>
    </w:p>
    <w:p>
      <w:pPr>
        <w:spacing w:after="0" w:line="124"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NOW, THEREFORE, in consideration of the foregoing and the mutual covenants and agreements contained herein, and other good and valuable consideration, the receipt and sufficiency of which are hereby acknowledged, this Agreement is hereby agreed to and adopted:</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            </w:t>
      </w:r>
      <w:r>
        <w:rPr>
          <w:rFonts w:ascii="Times New Roman" w:cs="Times New Roman" w:eastAsia="Times New Roman" w:hAnsi="Times New Roman"/>
          <w:sz w:val="14"/>
          <w:szCs w:val="14"/>
          <w:b w:val="1"/>
          <w:bCs w:val="1"/>
          <w:i w:val="1"/>
          <w:iCs w:val="1"/>
          <w:color w:val="auto"/>
        </w:rPr>
        <w:t>Term</w:t>
      </w:r>
      <w:r>
        <w:rPr>
          <w:rFonts w:ascii="Times New Roman" w:cs="Times New Roman" w:eastAsia="Times New Roman" w:hAnsi="Times New Roman"/>
          <w:sz w:val="14"/>
          <w:szCs w:val="14"/>
          <w:color w:val="auto"/>
        </w:rPr>
        <w:t>. The Partnership shall have a perpetual existence.</w:t>
      </w:r>
    </w:p>
    <w:p>
      <w:pPr>
        <w:spacing w:after="0" w:line="179" w:lineRule="exact"/>
        <w:rPr>
          <w:sz w:val="20"/>
          <w:szCs w:val="20"/>
          <w:color w:val="auto"/>
        </w:rPr>
      </w:pPr>
    </w:p>
    <w:p>
      <w:pPr>
        <w:jc w:val="both"/>
        <w:ind w:firstLine="511"/>
        <w:spacing w:after="0" w:line="291" w:lineRule="auto"/>
        <w:rPr>
          <w:sz w:val="20"/>
          <w:szCs w:val="20"/>
          <w:color w:val="auto"/>
        </w:rPr>
      </w:pPr>
      <w:r>
        <w:rPr>
          <w:rFonts w:ascii="Times New Roman" w:cs="Times New Roman" w:eastAsia="Times New Roman" w:hAnsi="Times New Roman"/>
          <w:sz w:val="14"/>
          <w:szCs w:val="14"/>
          <w:color w:val="auto"/>
        </w:rPr>
        <w:t>2.            </w:t>
      </w:r>
      <w:r>
        <w:rPr>
          <w:rFonts w:ascii="Times New Roman" w:cs="Times New Roman" w:eastAsia="Times New Roman" w:hAnsi="Times New Roman"/>
          <w:sz w:val="14"/>
          <w:szCs w:val="14"/>
          <w:b w:val="1"/>
          <w:bCs w:val="1"/>
          <w:i w:val="1"/>
          <w:iCs w:val="1"/>
          <w:color w:val="auto"/>
        </w:rPr>
        <w:t>Purposes</w:t>
      </w:r>
      <w:r>
        <w:rPr>
          <w:rFonts w:ascii="Times New Roman" w:cs="Times New Roman" w:eastAsia="Times New Roman" w:hAnsi="Times New Roman"/>
          <w:sz w:val="14"/>
          <w:szCs w:val="14"/>
          <w:color w:val="auto"/>
        </w:rPr>
        <w:t>. The purposes of the Partnership are to carry on any lawful business, purpose or activity for which limited partnerships may be formed under the Act and engaging in any and all activities necessary or incidental to the foregoing.</w:t>
      </w:r>
    </w:p>
    <w:p>
      <w:pPr>
        <w:spacing w:after="0" w:line="120" w:lineRule="exact"/>
        <w:rPr>
          <w:sz w:val="20"/>
          <w:szCs w:val="20"/>
          <w:color w:val="auto"/>
        </w:rPr>
      </w:pPr>
    </w:p>
    <w:p>
      <w:pPr>
        <w:jc w:val="both"/>
        <w:ind w:firstLine="511"/>
        <w:spacing w:after="0" w:line="272" w:lineRule="auto"/>
        <w:rPr>
          <w:sz w:val="20"/>
          <w:szCs w:val="20"/>
          <w:color w:val="auto"/>
        </w:rPr>
      </w:pPr>
      <w:r>
        <w:rPr>
          <w:rFonts w:ascii="Times New Roman" w:cs="Times New Roman" w:eastAsia="Times New Roman" w:hAnsi="Times New Roman"/>
          <w:sz w:val="14"/>
          <w:szCs w:val="14"/>
          <w:color w:val="auto"/>
        </w:rPr>
        <w:t>3.            </w:t>
      </w:r>
      <w:r>
        <w:rPr>
          <w:rFonts w:ascii="Times New Roman" w:cs="Times New Roman" w:eastAsia="Times New Roman" w:hAnsi="Times New Roman"/>
          <w:sz w:val="14"/>
          <w:szCs w:val="14"/>
          <w:b w:val="1"/>
          <w:bCs w:val="1"/>
          <w:i w:val="1"/>
          <w:iCs w:val="1"/>
          <w:color w:val="auto"/>
        </w:rPr>
        <w:t>Principal Office; Registered Office</w:t>
      </w:r>
      <w:r>
        <w:rPr>
          <w:rFonts w:ascii="Times New Roman" w:cs="Times New Roman" w:eastAsia="Times New Roman" w:hAnsi="Times New Roman"/>
          <w:sz w:val="14"/>
          <w:szCs w:val="14"/>
          <w:color w:val="auto"/>
        </w:rPr>
        <w:t>. The principal place of business of the Partnership shall be located at such location as the General Partner, as a matter of discretion, may determine from time to time. The registered agent for the service of process and registered office of the Partnership shall be the person and location set forth in the Certificate of Limited Partnership. The General Partner may, from time to time, change such registered agent and registered office by appropriate filings as required by law.</w:t>
      </w:r>
    </w:p>
    <w:p>
      <w:pPr>
        <w:spacing w:after="0" w:line="134" w:lineRule="exact"/>
        <w:rPr>
          <w:sz w:val="20"/>
          <w:szCs w:val="20"/>
          <w:color w:val="auto"/>
        </w:rPr>
      </w:pPr>
    </w:p>
    <w:p>
      <w:pPr>
        <w:jc w:val="both"/>
        <w:ind w:firstLine="511"/>
        <w:spacing w:after="0" w:line="291" w:lineRule="auto"/>
        <w:rPr>
          <w:sz w:val="20"/>
          <w:szCs w:val="20"/>
          <w:color w:val="auto"/>
        </w:rPr>
      </w:pPr>
      <w:r>
        <w:rPr>
          <w:rFonts w:ascii="Times New Roman" w:cs="Times New Roman" w:eastAsia="Times New Roman" w:hAnsi="Times New Roman"/>
          <w:sz w:val="14"/>
          <w:szCs w:val="14"/>
          <w:color w:val="auto"/>
        </w:rPr>
        <w:t>4.            </w:t>
      </w:r>
      <w:r>
        <w:rPr>
          <w:rFonts w:ascii="Times New Roman" w:cs="Times New Roman" w:eastAsia="Times New Roman" w:hAnsi="Times New Roman"/>
          <w:sz w:val="14"/>
          <w:szCs w:val="14"/>
          <w:b w:val="1"/>
          <w:bCs w:val="1"/>
          <w:i w:val="1"/>
          <w:iCs w:val="1"/>
          <w:color w:val="auto"/>
        </w:rPr>
        <w:t>General Partner; Partnership Interests</w:t>
      </w:r>
      <w:r>
        <w:rPr>
          <w:rFonts w:ascii="Times New Roman" w:cs="Times New Roman" w:eastAsia="Times New Roman" w:hAnsi="Times New Roman"/>
          <w:sz w:val="14"/>
          <w:szCs w:val="14"/>
          <w:color w:val="auto"/>
        </w:rPr>
        <w:t>. The General Partner shall have a non- economic general partner interest and the Limited Partner shall have 100% of the economic interest of the Partnership.</w:t>
      </w:r>
    </w:p>
    <w:p>
      <w:pPr>
        <w:spacing w:after="0" w:line="120" w:lineRule="exact"/>
        <w:rPr>
          <w:sz w:val="20"/>
          <w:szCs w:val="20"/>
          <w:color w:val="auto"/>
        </w:rPr>
      </w:pPr>
    </w:p>
    <w:p>
      <w:pPr>
        <w:jc w:val="both"/>
        <w:ind w:firstLine="511"/>
        <w:spacing w:after="0" w:line="291" w:lineRule="auto"/>
        <w:rPr>
          <w:sz w:val="20"/>
          <w:szCs w:val="20"/>
          <w:color w:val="auto"/>
        </w:rPr>
      </w:pPr>
      <w:r>
        <w:rPr>
          <w:rFonts w:ascii="Times New Roman" w:cs="Times New Roman" w:eastAsia="Times New Roman" w:hAnsi="Times New Roman"/>
          <w:sz w:val="14"/>
          <w:szCs w:val="14"/>
          <w:color w:val="auto"/>
        </w:rPr>
        <w:t>5.            </w:t>
      </w:r>
      <w:r>
        <w:rPr>
          <w:rFonts w:ascii="Times New Roman" w:cs="Times New Roman" w:eastAsia="Times New Roman" w:hAnsi="Times New Roman"/>
          <w:sz w:val="14"/>
          <w:szCs w:val="14"/>
          <w:b w:val="1"/>
          <w:bCs w:val="1"/>
          <w:i w:val="1"/>
          <w:iCs w:val="1"/>
          <w:color w:val="auto"/>
        </w:rPr>
        <w:t>Contributions</w:t>
      </w:r>
      <w:r>
        <w:rPr>
          <w:rFonts w:ascii="Times New Roman" w:cs="Times New Roman" w:eastAsia="Times New Roman" w:hAnsi="Times New Roman"/>
          <w:sz w:val="14"/>
          <w:szCs w:val="14"/>
          <w:color w:val="auto"/>
        </w:rPr>
        <w:t>. Without creating any rights in favor of any third party, the Limited Partner may, from time to time, make additional contributions of cash or property to the capital of the Partnership, but shall have no obligation to do so.</w:t>
      </w:r>
    </w:p>
    <w:p>
      <w:pPr>
        <w:spacing w:after="0" w:line="120" w:lineRule="exact"/>
        <w:rPr>
          <w:sz w:val="20"/>
          <w:szCs w:val="20"/>
          <w:color w:val="auto"/>
        </w:rPr>
      </w:pPr>
    </w:p>
    <w:p>
      <w:pPr>
        <w:jc w:val="both"/>
        <w:ind w:firstLine="511"/>
        <w:spacing w:after="0" w:line="272" w:lineRule="auto"/>
        <w:rPr>
          <w:sz w:val="20"/>
          <w:szCs w:val="20"/>
          <w:color w:val="auto"/>
        </w:rPr>
      </w:pPr>
      <w:r>
        <w:rPr>
          <w:rFonts w:ascii="Times New Roman" w:cs="Times New Roman" w:eastAsia="Times New Roman" w:hAnsi="Times New Roman"/>
          <w:sz w:val="14"/>
          <w:szCs w:val="14"/>
          <w:color w:val="auto"/>
        </w:rPr>
        <w:t>6.            </w:t>
      </w:r>
      <w:r>
        <w:rPr>
          <w:rFonts w:ascii="Times New Roman" w:cs="Times New Roman" w:eastAsia="Times New Roman" w:hAnsi="Times New Roman"/>
          <w:sz w:val="14"/>
          <w:szCs w:val="14"/>
          <w:b w:val="1"/>
          <w:bCs w:val="1"/>
          <w:i w:val="1"/>
          <w:iCs w:val="1"/>
          <w:color w:val="auto"/>
        </w:rPr>
        <w:t>Distributions</w:t>
      </w:r>
      <w:r>
        <w:rPr>
          <w:rFonts w:ascii="Times New Roman" w:cs="Times New Roman" w:eastAsia="Times New Roman" w:hAnsi="Times New Roman"/>
          <w:sz w:val="14"/>
          <w:szCs w:val="14"/>
          <w:color w:val="auto"/>
        </w:rPr>
        <w:t>. The Limited Partner shall be entitled (a) to receive all distributions (including, without limitation, liquidating distributions) made by the Partnership and (b) to enjoy all other rights, benefits and interests in the Partnership. Notwithstanding any provision to the contrary contained in this Agreement, the Partnership shall not make a distribution to a partner of the Partnership on account of its interest in the Partnership if such distribution would violate the Act or other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325120</wp:posOffset>
            </wp:positionV>
            <wp:extent cx="716153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52" w:name="page53"/>
    <w:bookmarkEnd w:id="52"/>
    <w:p>
      <w:pPr>
        <w:jc w:val="both"/>
        <w:ind w:firstLine="511"/>
        <w:spacing w:after="0" w:line="291" w:lineRule="auto"/>
        <w:rPr>
          <w:sz w:val="20"/>
          <w:szCs w:val="20"/>
          <w:color w:val="auto"/>
        </w:rPr>
      </w:pPr>
      <w:r>
        <w:rPr>
          <w:rFonts w:ascii="Times New Roman" w:cs="Times New Roman" w:eastAsia="Times New Roman" w:hAnsi="Times New Roman"/>
          <w:sz w:val="14"/>
          <w:szCs w:val="14"/>
          <w:color w:val="auto"/>
        </w:rPr>
        <w:t>7.            </w:t>
      </w:r>
      <w:r>
        <w:rPr>
          <w:rFonts w:ascii="Times New Roman" w:cs="Times New Roman" w:eastAsia="Times New Roman" w:hAnsi="Times New Roman"/>
          <w:sz w:val="14"/>
          <w:szCs w:val="14"/>
          <w:b w:val="1"/>
          <w:bCs w:val="1"/>
          <w:i w:val="1"/>
          <w:iCs w:val="1"/>
          <w:color w:val="auto"/>
        </w:rPr>
        <w:t>Management</w:t>
      </w:r>
      <w:r>
        <w:rPr>
          <w:rFonts w:ascii="Times New Roman" w:cs="Times New Roman" w:eastAsia="Times New Roman" w:hAnsi="Times New Roman"/>
          <w:sz w:val="14"/>
          <w:szCs w:val="14"/>
          <w:color w:val="auto"/>
        </w:rPr>
        <w:t>. Except as otherwise expressly provided in this Agreement, all powers to control and manage the business and affairs of the Partnership shall be vested exclusively in the General Partner. The Limited Partner shall not have any power to control or manage the Partnership.</w:t>
      </w:r>
    </w:p>
    <w:p>
      <w:pPr>
        <w:spacing w:after="0" w:line="120" w:lineRule="exact"/>
        <w:rPr>
          <w:sz w:val="20"/>
          <w:szCs w:val="20"/>
          <w:color w:val="auto"/>
        </w:rPr>
      </w:pPr>
    </w:p>
    <w:p>
      <w:pPr>
        <w:jc w:val="both"/>
        <w:ind w:firstLine="511"/>
        <w:spacing w:after="0" w:line="291" w:lineRule="auto"/>
        <w:rPr>
          <w:sz w:val="20"/>
          <w:szCs w:val="20"/>
          <w:color w:val="auto"/>
        </w:rPr>
      </w:pPr>
      <w:r>
        <w:rPr>
          <w:rFonts w:ascii="Times New Roman" w:cs="Times New Roman" w:eastAsia="Times New Roman" w:hAnsi="Times New Roman"/>
          <w:sz w:val="14"/>
          <w:szCs w:val="14"/>
          <w:color w:val="auto"/>
        </w:rPr>
        <w:t>8.            </w:t>
      </w:r>
      <w:r>
        <w:rPr>
          <w:rFonts w:ascii="Times New Roman" w:cs="Times New Roman" w:eastAsia="Times New Roman" w:hAnsi="Times New Roman"/>
          <w:sz w:val="14"/>
          <w:szCs w:val="14"/>
          <w:b w:val="1"/>
          <w:bCs w:val="1"/>
          <w:i w:val="1"/>
          <w:iCs w:val="1"/>
          <w:color w:val="auto"/>
        </w:rPr>
        <w:t>Limited Liability of Limited Partner</w:t>
      </w:r>
      <w:r>
        <w:rPr>
          <w:rFonts w:ascii="Times New Roman" w:cs="Times New Roman" w:eastAsia="Times New Roman" w:hAnsi="Times New Roman"/>
          <w:sz w:val="14"/>
          <w:szCs w:val="14"/>
          <w:color w:val="auto"/>
        </w:rPr>
        <w:t>. The liability of the Limited Partner, in its capacity as such, for the debts, liabilities and obligations of the Partnership shall be limited to its capital contribution plus its share of any undistributed amounts. The Limited Partner, in its capacity as such, shall not be liable for any further claims, assessments or contributions to the Partnership.</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9.             </w:t>
      </w:r>
      <w:r>
        <w:rPr>
          <w:rFonts w:ascii="Times New Roman" w:cs="Times New Roman" w:eastAsia="Times New Roman" w:hAnsi="Times New Roman"/>
          <w:sz w:val="14"/>
          <w:szCs w:val="14"/>
          <w:b w:val="1"/>
          <w:bCs w:val="1"/>
          <w:i w:val="1"/>
          <w:iCs w:val="1"/>
          <w:color w:val="auto"/>
        </w:rPr>
        <w:t>Indemnification</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firstLine="1021"/>
        <w:spacing w:after="0" w:line="291" w:lineRule="auto"/>
        <w:rPr>
          <w:sz w:val="20"/>
          <w:szCs w:val="20"/>
          <w:color w:val="auto"/>
        </w:rPr>
      </w:pPr>
      <w:r>
        <w:rPr>
          <w:rFonts w:ascii="Times New Roman" w:cs="Times New Roman" w:eastAsia="Times New Roman" w:hAnsi="Times New Roman"/>
          <w:sz w:val="14"/>
          <w:szCs w:val="14"/>
          <w:color w:val="auto"/>
        </w:rPr>
        <w:t>9.1            </w:t>
      </w:r>
      <w:r>
        <w:rPr>
          <w:rFonts w:ascii="Times New Roman" w:cs="Times New Roman" w:eastAsia="Times New Roman" w:hAnsi="Times New Roman"/>
          <w:sz w:val="14"/>
          <w:szCs w:val="14"/>
          <w:i w:val="1"/>
          <w:iCs w:val="1"/>
          <w:color w:val="auto"/>
        </w:rPr>
        <w:t>Exculpation</w:t>
      </w:r>
      <w:r>
        <w:rPr>
          <w:rFonts w:ascii="Times New Roman" w:cs="Times New Roman" w:eastAsia="Times New Roman" w:hAnsi="Times New Roman"/>
          <w:sz w:val="14"/>
          <w:szCs w:val="14"/>
          <w:color w:val="auto"/>
        </w:rPr>
        <w:t>. The personal liability of the General Partner, its affiliates and their respective directors, officers, equityholders and employees shall be eliminated and limited to the full extent permitted by the laws of the State of Delaware, including the Act.</w:t>
      </w:r>
    </w:p>
    <w:p>
      <w:pPr>
        <w:spacing w:after="0" w:line="120" w:lineRule="exact"/>
        <w:rPr>
          <w:sz w:val="20"/>
          <w:szCs w:val="20"/>
          <w:color w:val="auto"/>
        </w:rPr>
      </w:pPr>
    </w:p>
    <w:p>
      <w:pPr>
        <w:jc w:val="both"/>
        <w:ind w:firstLine="1021"/>
        <w:spacing w:after="0" w:line="256" w:lineRule="auto"/>
        <w:rPr>
          <w:sz w:val="20"/>
          <w:szCs w:val="20"/>
          <w:color w:val="auto"/>
        </w:rPr>
      </w:pPr>
      <w:r>
        <w:rPr>
          <w:rFonts w:ascii="Times New Roman" w:cs="Times New Roman" w:eastAsia="Times New Roman" w:hAnsi="Times New Roman"/>
          <w:sz w:val="14"/>
          <w:szCs w:val="14"/>
          <w:color w:val="auto"/>
        </w:rPr>
        <w:t>9.2            </w:t>
      </w:r>
      <w:r>
        <w:rPr>
          <w:rFonts w:ascii="Times New Roman" w:cs="Times New Roman" w:eastAsia="Times New Roman" w:hAnsi="Times New Roman"/>
          <w:sz w:val="14"/>
          <w:szCs w:val="14"/>
          <w:i w:val="1"/>
          <w:iCs w:val="1"/>
          <w:color w:val="auto"/>
        </w:rPr>
        <w:t>Right to Indemnification</w:t>
      </w:r>
      <w:r>
        <w:rPr>
          <w:rFonts w:ascii="Times New Roman" w:cs="Times New Roman" w:eastAsia="Times New Roman" w:hAnsi="Times New Roman"/>
          <w:sz w:val="14"/>
          <w:szCs w:val="14"/>
          <w:color w:val="auto"/>
        </w:rPr>
        <w:t xml:space="preserve">. Each person who was or is made a party or is threatened to be made a party to or is involved in any threatened, pending or completed action, suit or proceeding, whether civil, criminal, administrative or investigative (hereinafter a “proceeding”), by reason of the fact that he or she or a person of whom he or she is the legal representative, is or was or has agreed to become a director or officer of the General Partner or is or was serving or has agreed to serve at the request of the General Partner as a director, manager, officer, employee or agent of another corporation or of a partnership, joint venture, trust or other enterprise, including service with respect to employee benefit plans, whether the basis of such proceeding is alleged action in an official capacity as a director or officer or in any other capacity while serving or having agreed to serve as a director or officer, shall be indemnified and held harmless by the Partnership to the fullest extent authorized by the Act, as the same exists or may hereafter be amended, (but, in the case of any such amendment, only to the extent that such amendment permits the Partnership to provide broader indemnification rights than said law permitted the Partnership to provide prior to such amendment) against all expense, liability and loss (including without limitation, attorneys’ fees, judgments, fines, ERISA excise taxes or penalties and amounts paid or to be paid in settlement) reasonably incurred or suffered by such person in connection therewith and such indemnification shall continue as to a person who has ceased to serve in the capacity which initially entitled such person to indemnity hereunder and shall inure to the benefit of his or her heirs, executors and administrators;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the Partnership shall indemnify any such person seeking indemnification in connection with a proceeding (or part thereof) initiated by such person only if such proceeding (or part thereof) was authorized by the General Partner. The right to indemnification conferred in this Section 9 shall be a contract right and shall include the right to be paid by the Partnership the expenses incurred in defending any such proceeding in advance of its final disposition;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the Act requires, the payment of such expenses incurred by a current, former or proposed director or officer in his or her capacity as a director or officer or proposed director or officer (and not in any other capacity in which service was or is or has been agreed to be rendered by such person while a director or officer, including, without limitation, service to an employee benefit plan) in advance of the final disposition of a proceeding, shall be made only upon delivery to the Partnership of an undertaking, by or on behalf of such indemnified person, to repay all amounts so advanced if it shall ultimately be determined that such indemnified person is not entitled to be indemnified under this subsection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333375</wp:posOffset>
            </wp:positionV>
            <wp:extent cx="716153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53" w:name="page54"/>
    <w:bookmarkEnd w:id="53"/>
    <w:p>
      <w:pPr>
        <w:jc w:val="both"/>
        <w:ind w:firstLine="1021"/>
        <w:spacing w:after="0" w:line="291" w:lineRule="auto"/>
        <w:rPr>
          <w:sz w:val="20"/>
          <w:szCs w:val="20"/>
          <w:color w:val="auto"/>
        </w:rPr>
      </w:pPr>
      <w:r>
        <w:rPr>
          <w:rFonts w:ascii="Times New Roman" w:cs="Times New Roman" w:eastAsia="Times New Roman" w:hAnsi="Times New Roman"/>
          <w:sz w:val="14"/>
          <w:szCs w:val="14"/>
          <w:color w:val="auto"/>
        </w:rPr>
        <w:t>9.3            </w:t>
      </w:r>
      <w:r>
        <w:rPr>
          <w:rFonts w:ascii="Times New Roman" w:cs="Times New Roman" w:eastAsia="Times New Roman" w:hAnsi="Times New Roman"/>
          <w:sz w:val="14"/>
          <w:szCs w:val="14"/>
          <w:i w:val="1"/>
          <w:iCs w:val="1"/>
          <w:color w:val="auto"/>
        </w:rPr>
        <w:t>Indemnification of Employees and Agents</w:t>
      </w:r>
      <w:r>
        <w:rPr>
          <w:rFonts w:ascii="Times New Roman" w:cs="Times New Roman" w:eastAsia="Times New Roman" w:hAnsi="Times New Roman"/>
          <w:sz w:val="14"/>
          <w:szCs w:val="14"/>
          <w:color w:val="auto"/>
        </w:rPr>
        <w:t>. The Partnership may, by action of the General Partner, provide indemnification to employees and agents of the General Partner, individually or as a group, with the same scope and effect as the indemnification of directors and officers provided for in this Section 9.</w:t>
      </w:r>
    </w:p>
    <w:p>
      <w:pPr>
        <w:spacing w:after="0" w:line="120" w:lineRule="exact"/>
        <w:rPr>
          <w:sz w:val="20"/>
          <w:szCs w:val="20"/>
          <w:color w:val="auto"/>
        </w:rPr>
      </w:pPr>
    </w:p>
    <w:p>
      <w:pPr>
        <w:jc w:val="both"/>
        <w:ind w:firstLine="1021"/>
        <w:spacing w:after="0" w:line="258" w:lineRule="auto"/>
        <w:rPr>
          <w:sz w:val="20"/>
          <w:szCs w:val="20"/>
          <w:color w:val="auto"/>
        </w:rPr>
      </w:pPr>
      <w:r>
        <w:rPr>
          <w:rFonts w:ascii="Times New Roman" w:cs="Times New Roman" w:eastAsia="Times New Roman" w:hAnsi="Times New Roman"/>
          <w:sz w:val="14"/>
          <w:szCs w:val="14"/>
          <w:color w:val="auto"/>
        </w:rPr>
        <w:t>9.4            </w:t>
      </w:r>
      <w:r>
        <w:rPr>
          <w:rFonts w:ascii="Times New Roman" w:cs="Times New Roman" w:eastAsia="Times New Roman" w:hAnsi="Times New Roman"/>
          <w:sz w:val="14"/>
          <w:szCs w:val="14"/>
          <w:i w:val="1"/>
          <w:iCs w:val="1"/>
          <w:color w:val="auto"/>
        </w:rPr>
        <w:t>Right of Claimant to Bring Suit</w:t>
      </w:r>
      <w:r>
        <w:rPr>
          <w:rFonts w:ascii="Times New Roman" w:cs="Times New Roman" w:eastAsia="Times New Roman" w:hAnsi="Times New Roman"/>
          <w:sz w:val="14"/>
          <w:szCs w:val="14"/>
          <w:color w:val="auto"/>
        </w:rPr>
        <w:t>. If a written claim received by the Partnership from or on behalf of an indemnified party under this Section 9 is not paid in full by the Partnership within ninety days after such receipt, the claimant may at any time thereafter bring suit against the Partnership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Partnership) that the claimant has not met the standards of conduct which make it permissible under the Act for the Partnership to indemnify the claimant for the amount claimed, but the burden of proving such defense shall be on the Partnership. Neither the failure of the Partnership (including the General Partner or independent legal counsel) to have made a determination prior to the commencement of such action that indemnification of the claimant is proper in the circumstances because he or she has met the applicable standard of conduct set forth in the Act, nor an actual determination by the Partnership (including the General Partner or independent legal counsel) that the claimant has not met such applicable standard of conduct, shall be a defense to the action or create a presumption that the claimant has not met the applicable standard of conduct.</w:t>
      </w:r>
    </w:p>
    <w:p>
      <w:pPr>
        <w:spacing w:after="0" w:line="145" w:lineRule="exact"/>
        <w:rPr>
          <w:sz w:val="20"/>
          <w:szCs w:val="20"/>
          <w:color w:val="auto"/>
        </w:rPr>
      </w:pPr>
    </w:p>
    <w:p>
      <w:pPr>
        <w:jc w:val="both"/>
        <w:ind w:firstLine="1021"/>
        <w:spacing w:after="0" w:line="272" w:lineRule="auto"/>
        <w:rPr>
          <w:sz w:val="20"/>
          <w:szCs w:val="20"/>
          <w:color w:val="auto"/>
        </w:rPr>
      </w:pPr>
      <w:r>
        <w:rPr>
          <w:rFonts w:ascii="Times New Roman" w:cs="Times New Roman" w:eastAsia="Times New Roman" w:hAnsi="Times New Roman"/>
          <w:sz w:val="14"/>
          <w:szCs w:val="14"/>
          <w:color w:val="auto"/>
        </w:rPr>
        <w:t>9.5            </w:t>
      </w:r>
      <w:r>
        <w:rPr>
          <w:rFonts w:ascii="Times New Roman" w:cs="Times New Roman" w:eastAsia="Times New Roman" w:hAnsi="Times New Roman"/>
          <w:sz w:val="14"/>
          <w:szCs w:val="14"/>
          <w:i w:val="1"/>
          <w:iCs w:val="1"/>
          <w:color w:val="auto"/>
        </w:rPr>
        <w:t>Nonexclusivity of Rights</w:t>
      </w:r>
      <w:r>
        <w:rPr>
          <w:rFonts w:ascii="Times New Roman" w:cs="Times New Roman" w:eastAsia="Times New Roman" w:hAnsi="Times New Roman"/>
          <w:sz w:val="14"/>
          <w:szCs w:val="14"/>
          <w:color w:val="auto"/>
        </w:rPr>
        <w:t>. The right to indemnification and the advancement and payment of expenses conferred in this Section 9 shall not be exclusive of any other right which any person may have or hereafter acquire under any law (common or statutory), provision of the Certificate of Limited Partnership of the Partnership, bylaw, agreement or consent of the General Partner.</w:t>
      </w:r>
    </w:p>
    <w:p>
      <w:pPr>
        <w:spacing w:after="0" w:line="134" w:lineRule="exact"/>
        <w:rPr>
          <w:sz w:val="20"/>
          <w:szCs w:val="20"/>
          <w:color w:val="auto"/>
        </w:rPr>
      </w:pPr>
    </w:p>
    <w:p>
      <w:pPr>
        <w:jc w:val="both"/>
        <w:ind w:firstLine="1021"/>
        <w:spacing w:after="0" w:line="266" w:lineRule="auto"/>
        <w:rPr>
          <w:sz w:val="20"/>
          <w:szCs w:val="20"/>
          <w:color w:val="auto"/>
        </w:rPr>
      </w:pPr>
      <w:r>
        <w:rPr>
          <w:rFonts w:ascii="Times New Roman" w:cs="Times New Roman" w:eastAsia="Times New Roman" w:hAnsi="Times New Roman"/>
          <w:sz w:val="14"/>
          <w:szCs w:val="14"/>
          <w:color w:val="auto"/>
        </w:rPr>
        <w:t>9.6            </w:t>
      </w:r>
      <w:r>
        <w:rPr>
          <w:rFonts w:ascii="Times New Roman" w:cs="Times New Roman" w:eastAsia="Times New Roman" w:hAnsi="Times New Roman"/>
          <w:sz w:val="14"/>
          <w:szCs w:val="14"/>
          <w:i w:val="1"/>
          <w:iCs w:val="1"/>
          <w:color w:val="auto"/>
        </w:rPr>
        <w:t>Insurance</w:t>
      </w:r>
      <w:r>
        <w:rPr>
          <w:rFonts w:ascii="Times New Roman" w:cs="Times New Roman" w:eastAsia="Times New Roman" w:hAnsi="Times New Roman"/>
          <w:sz w:val="14"/>
          <w:szCs w:val="14"/>
          <w:color w:val="auto"/>
        </w:rPr>
        <w:t>. The Partnership may maintain insurance, at its expense, to protect itself and any person who is or was serving as a director, officer, employee or agent of the General Partner or is or was serving at the request of the Partnership as a director, manager, officer, employee or agent of another corporation, partnership, joint venture, trust or other enterprise against any expense, liability or loss asserted against such person and incurred by any such person in any such capacity, or arising out of such person’s status as such, whether or not the Partnership would have the power to indemnify such person against such expense, liability or loss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327660</wp:posOffset>
            </wp:positionV>
            <wp:extent cx="716153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54" w:name="page55"/>
    <w:bookmarkEnd w:id="54"/>
    <w:p>
      <w:pPr>
        <w:jc w:val="both"/>
        <w:ind w:firstLine="1021"/>
        <w:spacing w:after="0" w:line="266" w:lineRule="auto"/>
        <w:rPr>
          <w:sz w:val="20"/>
          <w:szCs w:val="20"/>
          <w:color w:val="auto"/>
        </w:rPr>
      </w:pPr>
      <w:r>
        <w:rPr>
          <w:rFonts w:ascii="Times New Roman" w:cs="Times New Roman" w:eastAsia="Times New Roman" w:hAnsi="Times New Roman"/>
          <w:sz w:val="14"/>
          <w:szCs w:val="14"/>
          <w:color w:val="auto"/>
        </w:rPr>
        <w:t>9.7            </w:t>
      </w:r>
      <w:r>
        <w:rPr>
          <w:rFonts w:ascii="Times New Roman" w:cs="Times New Roman" w:eastAsia="Times New Roman" w:hAnsi="Times New Roman"/>
          <w:sz w:val="14"/>
          <w:szCs w:val="14"/>
          <w:i w:val="1"/>
          <w:iCs w:val="1"/>
          <w:color w:val="auto"/>
        </w:rPr>
        <w:t>Savings Clause</w:t>
      </w:r>
      <w:r>
        <w:rPr>
          <w:rFonts w:ascii="Times New Roman" w:cs="Times New Roman" w:eastAsia="Times New Roman" w:hAnsi="Times New Roman"/>
          <w:sz w:val="14"/>
          <w:szCs w:val="14"/>
          <w:color w:val="auto"/>
        </w:rPr>
        <w:t>. If this Section 9 or any portion hereof shall be invalidated on any ground by any court of competent jurisdiction, then the Partnership shall nevertheless indemnify and hold harmless each director and officer of the General Partner, as to costs, charges and expenses (including attorneys’ fees), judgments, fines, and amounts paid in settlement with respect to any action, suit or proceeding, whether civil, criminal, administrative or investigative to the full extent permitted by any applicable portion of this Section 9 that shall not have been invalidated and to the fullest extent permitted by applicable law.</w:t>
      </w:r>
    </w:p>
    <w:p>
      <w:pPr>
        <w:spacing w:after="0" w:line="137" w:lineRule="exact"/>
        <w:rPr>
          <w:sz w:val="20"/>
          <w:szCs w:val="20"/>
          <w:color w:val="auto"/>
        </w:rPr>
      </w:pPr>
    </w:p>
    <w:p>
      <w:pPr>
        <w:jc w:val="both"/>
        <w:ind w:firstLine="1021"/>
        <w:spacing w:after="0" w:line="291" w:lineRule="auto"/>
        <w:rPr>
          <w:sz w:val="20"/>
          <w:szCs w:val="20"/>
          <w:color w:val="auto"/>
        </w:rPr>
      </w:pPr>
      <w:r>
        <w:rPr>
          <w:rFonts w:ascii="Times New Roman" w:cs="Times New Roman" w:eastAsia="Times New Roman" w:hAnsi="Times New Roman"/>
          <w:sz w:val="14"/>
          <w:szCs w:val="14"/>
          <w:color w:val="auto"/>
        </w:rPr>
        <w:t>9.8            </w:t>
      </w:r>
      <w:r>
        <w:rPr>
          <w:rFonts w:ascii="Times New Roman" w:cs="Times New Roman" w:eastAsia="Times New Roman" w:hAnsi="Times New Roman"/>
          <w:sz w:val="14"/>
          <w:szCs w:val="14"/>
          <w:i w:val="1"/>
          <w:iCs w:val="1"/>
          <w:color w:val="auto"/>
        </w:rPr>
        <w:t>Amendment, Modification or Repeal</w:t>
      </w:r>
      <w:r>
        <w:rPr>
          <w:rFonts w:ascii="Times New Roman" w:cs="Times New Roman" w:eastAsia="Times New Roman" w:hAnsi="Times New Roman"/>
          <w:sz w:val="14"/>
          <w:szCs w:val="14"/>
          <w:color w:val="auto"/>
        </w:rPr>
        <w:t>. Any amendment, modification or repeal of this Section 9 by the General Partner shall not adversely affect any right of or protection afforded to a director, officer, employee or agent of the General Partner existing at the time of such amendment, modification or repeal.</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10.          </w:t>
      </w:r>
      <w:r>
        <w:rPr>
          <w:rFonts w:ascii="Times New Roman" w:cs="Times New Roman" w:eastAsia="Times New Roman" w:hAnsi="Times New Roman"/>
          <w:sz w:val="14"/>
          <w:szCs w:val="14"/>
          <w:b w:val="1"/>
          <w:bCs w:val="1"/>
          <w:i w:val="1"/>
          <w:iCs w:val="1"/>
          <w:color w:val="auto"/>
        </w:rPr>
        <w:t>Tax Treatment</w:t>
      </w:r>
      <w:r>
        <w:rPr>
          <w:rFonts w:ascii="Times New Roman" w:cs="Times New Roman" w:eastAsia="Times New Roman" w:hAnsi="Times New Roman"/>
          <w:sz w:val="14"/>
          <w:szCs w:val="14"/>
          <w:color w:val="auto"/>
        </w:rPr>
        <w:t>. The Partnership has been structured to be disregarded as an entity separate from the Partners for U.S. federal income tax purposes.</w:t>
      </w:r>
    </w:p>
    <w:p>
      <w:pPr>
        <w:spacing w:after="0" w:line="179" w:lineRule="exact"/>
        <w:rPr>
          <w:sz w:val="20"/>
          <w:szCs w:val="20"/>
          <w:color w:val="auto"/>
        </w:rPr>
      </w:pPr>
    </w:p>
    <w:p>
      <w:pPr>
        <w:jc w:val="both"/>
        <w:ind w:firstLine="511"/>
        <w:spacing w:after="0" w:line="272" w:lineRule="auto"/>
        <w:rPr>
          <w:sz w:val="20"/>
          <w:szCs w:val="20"/>
          <w:color w:val="auto"/>
        </w:rPr>
      </w:pPr>
      <w:r>
        <w:rPr>
          <w:rFonts w:ascii="Times New Roman" w:cs="Times New Roman" w:eastAsia="Times New Roman" w:hAnsi="Times New Roman"/>
          <w:sz w:val="14"/>
          <w:szCs w:val="14"/>
          <w:color w:val="auto"/>
        </w:rPr>
        <w:t>11.          </w:t>
      </w:r>
      <w:r>
        <w:rPr>
          <w:rFonts w:ascii="Times New Roman" w:cs="Times New Roman" w:eastAsia="Times New Roman" w:hAnsi="Times New Roman"/>
          <w:sz w:val="14"/>
          <w:szCs w:val="14"/>
          <w:b w:val="1"/>
          <w:bCs w:val="1"/>
          <w:i w:val="1"/>
          <w:iCs w:val="1"/>
          <w:color w:val="auto"/>
        </w:rPr>
        <w:t>Certificates of Partnership Interests</w:t>
      </w:r>
      <w:r>
        <w:rPr>
          <w:rFonts w:ascii="Times New Roman" w:cs="Times New Roman" w:eastAsia="Times New Roman" w:hAnsi="Times New Roman"/>
          <w:sz w:val="14"/>
          <w:szCs w:val="14"/>
          <w:color w:val="auto"/>
        </w:rPr>
        <w:t>. Partnership interests need not be certificated provided that if the General Partner decides to certificate such partnership interests, the certificates evidencing partnership interests in the Partnership shall be in such form, not inconsistent with that required by law and the certificate of limited partnership of the Partnership, as shall be approved by the General Partner.</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12.          </w:t>
      </w:r>
      <w:r>
        <w:rPr>
          <w:rFonts w:ascii="Times New Roman" w:cs="Times New Roman" w:eastAsia="Times New Roman" w:hAnsi="Times New Roman"/>
          <w:sz w:val="14"/>
          <w:szCs w:val="14"/>
          <w:b w:val="1"/>
          <w:bCs w:val="1"/>
          <w:i w:val="1"/>
          <w:iCs w:val="1"/>
          <w:color w:val="auto"/>
        </w:rPr>
        <w:t>Dissolution</w:t>
      </w:r>
      <w:r>
        <w:rPr>
          <w:rFonts w:ascii="Times New Roman" w:cs="Times New Roman" w:eastAsia="Times New Roman" w:hAnsi="Times New Roman"/>
          <w:sz w:val="14"/>
          <w:szCs w:val="14"/>
          <w:color w:val="auto"/>
        </w:rPr>
        <w:t>. The Partnership shall dissolve and its affairs shall be wound up at such time, if any, as the General Partner may elect. No other event will cause the Partnership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dissolve.</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13.          </w:t>
      </w:r>
      <w:r>
        <w:rPr>
          <w:rFonts w:ascii="Times New Roman" w:cs="Times New Roman" w:eastAsia="Times New Roman" w:hAnsi="Times New Roman"/>
          <w:sz w:val="14"/>
          <w:szCs w:val="14"/>
          <w:b w:val="1"/>
          <w:bCs w:val="1"/>
          <w:i w:val="1"/>
          <w:iCs w:val="1"/>
          <w:color w:val="auto"/>
        </w:rPr>
        <w:t>Fiscal Year</w:t>
      </w:r>
      <w:r>
        <w:rPr>
          <w:rFonts w:ascii="Times New Roman" w:cs="Times New Roman" w:eastAsia="Times New Roman" w:hAnsi="Times New Roman"/>
          <w:sz w:val="14"/>
          <w:szCs w:val="14"/>
          <w:color w:val="auto"/>
        </w:rPr>
        <w:t>. The Partnership’s fiscal year will end on December 31 of each year.</w:t>
      </w:r>
    </w:p>
    <w:p>
      <w:pPr>
        <w:spacing w:after="0" w:line="179" w:lineRule="exact"/>
        <w:rPr>
          <w:sz w:val="20"/>
          <w:szCs w:val="20"/>
          <w:color w:val="auto"/>
        </w:rPr>
      </w:pPr>
    </w:p>
    <w:p>
      <w:pPr>
        <w:jc w:val="both"/>
        <w:ind w:firstLine="511"/>
        <w:spacing w:after="0" w:line="291" w:lineRule="auto"/>
        <w:rPr>
          <w:sz w:val="20"/>
          <w:szCs w:val="20"/>
          <w:color w:val="auto"/>
        </w:rPr>
      </w:pPr>
      <w:r>
        <w:rPr>
          <w:rFonts w:ascii="Times New Roman" w:cs="Times New Roman" w:eastAsia="Times New Roman" w:hAnsi="Times New Roman"/>
          <w:sz w:val="14"/>
          <w:szCs w:val="14"/>
          <w:color w:val="auto"/>
        </w:rPr>
        <w:t>14.          </w:t>
      </w:r>
      <w:r>
        <w:rPr>
          <w:rFonts w:ascii="Times New Roman" w:cs="Times New Roman" w:eastAsia="Times New Roman" w:hAnsi="Times New Roman"/>
          <w:sz w:val="14"/>
          <w:szCs w:val="14"/>
          <w:b w:val="1"/>
          <w:bCs w:val="1"/>
          <w:i w:val="1"/>
          <w:iCs w:val="1"/>
          <w:color w:val="auto"/>
        </w:rPr>
        <w:t>Governing Law</w:t>
      </w:r>
      <w:r>
        <w:rPr>
          <w:rFonts w:ascii="Times New Roman" w:cs="Times New Roman" w:eastAsia="Times New Roman" w:hAnsi="Times New Roman"/>
          <w:sz w:val="14"/>
          <w:szCs w:val="14"/>
          <w:color w:val="auto"/>
        </w:rPr>
        <w:t>. THIS AGREEMENT IS GOVERNED BY AND SHALL BE CONSTRUED IN ACCORDANCE WITH THE LAWS OF THE STATE OF DELAWARE (EXCLUDING ITS CONFLICT-OF-LAWS RULES).</w:t>
      </w:r>
    </w:p>
    <w:p>
      <w:pPr>
        <w:spacing w:after="0" w:line="120" w:lineRule="exact"/>
        <w:rPr>
          <w:sz w:val="20"/>
          <w:szCs w:val="20"/>
          <w:color w:val="auto"/>
        </w:rPr>
      </w:pPr>
    </w:p>
    <w:p>
      <w:pPr>
        <w:jc w:val="both"/>
        <w:ind w:firstLine="511"/>
        <w:spacing w:after="0" w:line="272" w:lineRule="auto"/>
        <w:rPr>
          <w:sz w:val="20"/>
          <w:szCs w:val="20"/>
          <w:color w:val="auto"/>
        </w:rPr>
      </w:pPr>
      <w:r>
        <w:rPr>
          <w:rFonts w:ascii="Times New Roman" w:cs="Times New Roman" w:eastAsia="Times New Roman" w:hAnsi="Times New Roman"/>
          <w:sz w:val="14"/>
          <w:szCs w:val="14"/>
          <w:color w:val="auto"/>
        </w:rPr>
        <w:t>15.          </w:t>
      </w:r>
      <w:r>
        <w:rPr>
          <w:rFonts w:ascii="Times New Roman" w:cs="Times New Roman" w:eastAsia="Times New Roman" w:hAnsi="Times New Roman"/>
          <w:sz w:val="14"/>
          <w:szCs w:val="14"/>
          <w:b w:val="1"/>
          <w:bCs w:val="1"/>
          <w:i w:val="1"/>
          <w:iCs w:val="1"/>
          <w:color w:val="auto"/>
        </w:rPr>
        <w:t>Other Business</w:t>
      </w:r>
      <w:r>
        <w:rPr>
          <w:rFonts w:ascii="Times New Roman" w:cs="Times New Roman" w:eastAsia="Times New Roman" w:hAnsi="Times New Roman"/>
          <w:sz w:val="14"/>
          <w:szCs w:val="14"/>
          <w:color w:val="auto"/>
        </w:rPr>
        <w:t>. The Partners and any person or entity affiliated with any of the Partners may engage in or possess an interest in other business ventures (unconnected with the Partnership) of every kind and description, independently or with others. Neither the Partnership nor the other Partners shall have any rights in or to such independent ventures or the income or profits therefrom by virtue of this Agreement.</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16.          </w:t>
      </w:r>
      <w:r>
        <w:rPr>
          <w:rFonts w:ascii="Times New Roman" w:cs="Times New Roman" w:eastAsia="Times New Roman" w:hAnsi="Times New Roman"/>
          <w:sz w:val="14"/>
          <w:szCs w:val="14"/>
          <w:b w:val="1"/>
          <w:bCs w:val="1"/>
          <w:i w:val="1"/>
          <w:iCs w:val="1"/>
          <w:color w:val="auto"/>
        </w:rPr>
        <w:t>Assignments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      16.1         The Limited Partner may assign all or any part of its partnership interest in the Partnership and may withdraw from the Partnership only with the consent of the General Partner.</w:t>
      </w:r>
    </w:p>
    <w:p>
      <w:pPr>
        <w:spacing w:after="0" w:line="19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      16.2         The General Partner may assign all or any part of its partnership interest in the Partnership and may withdraw from the Partnership without the consent of the Limited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716153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55" w:name="page56"/>
    <w:bookmarkEnd w:id="55"/>
    <w:p>
      <w:pPr>
        <w:ind w:left="520"/>
        <w:spacing w:after="0"/>
        <w:rPr>
          <w:sz w:val="20"/>
          <w:szCs w:val="20"/>
          <w:color w:val="auto"/>
        </w:rPr>
      </w:pPr>
      <w:r>
        <w:rPr>
          <w:rFonts w:ascii="Times New Roman" w:cs="Times New Roman" w:eastAsia="Times New Roman" w:hAnsi="Times New Roman"/>
          <w:sz w:val="14"/>
          <w:szCs w:val="14"/>
          <w:color w:val="auto"/>
        </w:rPr>
        <w:t>17.         </w:t>
      </w:r>
      <w:r>
        <w:rPr>
          <w:rFonts w:ascii="Times New Roman" w:cs="Times New Roman" w:eastAsia="Times New Roman" w:hAnsi="Times New Roman"/>
          <w:sz w:val="14"/>
          <w:szCs w:val="14"/>
          <w:b w:val="1"/>
          <w:bCs w:val="1"/>
          <w:i w:val="1"/>
          <w:iCs w:val="1"/>
          <w:color w:val="auto"/>
        </w:rPr>
        <w:t>Withdrawal</w:t>
      </w:r>
      <w:r>
        <w:rPr>
          <w:rFonts w:ascii="Times New Roman" w:cs="Times New Roman" w:eastAsia="Times New Roman" w:hAnsi="Times New Roman"/>
          <w:sz w:val="14"/>
          <w:szCs w:val="14"/>
          <w:color w:val="auto"/>
        </w:rPr>
        <w:t>. Except to the extent set forth in Section 16, no right is given to any partner of the Partnership to withdraw from the Partnership</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18.         </w:t>
      </w:r>
      <w:r>
        <w:rPr>
          <w:rFonts w:ascii="Times New Roman" w:cs="Times New Roman" w:eastAsia="Times New Roman" w:hAnsi="Times New Roman"/>
          <w:sz w:val="14"/>
          <w:szCs w:val="14"/>
          <w:b w:val="1"/>
          <w:bCs w:val="1"/>
          <w:i w:val="1"/>
          <w:iCs w:val="1"/>
          <w:color w:val="auto"/>
        </w:rPr>
        <w:t>Admission of Additional or Substitute Partners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      18.1          One (1) or more additional or substitute limited partners of the Partnership may be admitted to the Partnership with only the consent of the General Partner.</w:t>
      </w:r>
    </w:p>
    <w:p>
      <w:pPr>
        <w:spacing w:after="0" w:line="17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      18.2          One (1) or more additional or substitute general partners of the Partnership may be admitted to the Partnership with only the consent of the General Partner.</w:t>
      </w:r>
    </w:p>
    <w:p>
      <w:pPr>
        <w:spacing w:after="0" w:line="177" w:lineRule="exact"/>
        <w:rPr>
          <w:sz w:val="20"/>
          <w:szCs w:val="20"/>
          <w:color w:val="auto"/>
        </w:rPr>
      </w:pPr>
    </w:p>
    <w:p>
      <w:pPr>
        <w:jc w:val="both"/>
        <w:ind w:firstLine="511"/>
        <w:spacing w:after="0" w:line="272" w:lineRule="auto"/>
        <w:rPr>
          <w:sz w:val="20"/>
          <w:szCs w:val="20"/>
          <w:color w:val="auto"/>
        </w:rPr>
      </w:pPr>
      <w:r>
        <w:rPr>
          <w:rFonts w:ascii="Times New Roman" w:cs="Times New Roman" w:eastAsia="Times New Roman" w:hAnsi="Times New Roman"/>
          <w:sz w:val="14"/>
          <w:szCs w:val="14"/>
          <w:color w:val="auto"/>
        </w:rPr>
        <w:t>19.          </w:t>
      </w:r>
      <w:r>
        <w:rPr>
          <w:rFonts w:ascii="Times New Roman" w:cs="Times New Roman" w:eastAsia="Times New Roman" w:hAnsi="Times New Roman"/>
          <w:sz w:val="14"/>
          <w:szCs w:val="14"/>
          <w:b w:val="1"/>
          <w:bCs w:val="1"/>
          <w:i w:val="1"/>
          <w:iCs w:val="1"/>
          <w:color w:val="auto"/>
        </w:rPr>
        <w:t>Severability of Provisions</w:t>
      </w:r>
      <w:r>
        <w:rPr>
          <w:rFonts w:ascii="Times New Roman" w:cs="Times New Roman" w:eastAsia="Times New Roman" w:hAnsi="Times New Roman"/>
          <w:sz w:val="14"/>
          <w:szCs w:val="14"/>
          <w:color w:val="auto"/>
        </w:rPr>
        <w:t>. Each provision of this Agreement shall be considered severable and if for any reason any provision or provisions herein are determined to be invalid, unenforceable or illegal under any existing or future law, such invalidity, unenforceability or illegality shall not impair the operation of or affect those portions of this Agreement which are valid, enforceable and legal.</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20.          </w:t>
      </w:r>
      <w:r>
        <w:rPr>
          <w:rFonts w:ascii="Times New Roman" w:cs="Times New Roman" w:eastAsia="Times New Roman" w:hAnsi="Times New Roman"/>
          <w:sz w:val="14"/>
          <w:szCs w:val="14"/>
          <w:b w:val="1"/>
          <w:bCs w:val="1"/>
          <w:i w:val="1"/>
          <w:iCs w:val="1"/>
          <w:color w:val="auto"/>
        </w:rPr>
        <w:t>Counterparts</w:t>
      </w:r>
      <w:r>
        <w:rPr>
          <w:rFonts w:ascii="Times New Roman" w:cs="Times New Roman" w:eastAsia="Times New Roman" w:hAnsi="Times New Roman"/>
          <w:sz w:val="14"/>
          <w:szCs w:val="14"/>
          <w:color w:val="auto"/>
        </w:rPr>
        <w:t>. This Agreement may be executed in any number of counterparts, each of which shall be deemed an original of this Agreement.</w:t>
      </w:r>
    </w:p>
    <w:p>
      <w:pPr>
        <w:spacing w:after="0" w:line="179" w:lineRule="exact"/>
        <w:rPr>
          <w:sz w:val="20"/>
          <w:szCs w:val="20"/>
          <w:color w:val="auto"/>
        </w:rPr>
      </w:pPr>
    </w:p>
    <w:p>
      <w:pPr>
        <w:jc w:val="both"/>
        <w:ind w:firstLine="511"/>
        <w:spacing w:after="0" w:line="291" w:lineRule="auto"/>
        <w:rPr>
          <w:sz w:val="20"/>
          <w:szCs w:val="20"/>
          <w:color w:val="auto"/>
        </w:rPr>
      </w:pPr>
      <w:r>
        <w:rPr>
          <w:rFonts w:ascii="Times New Roman" w:cs="Times New Roman" w:eastAsia="Times New Roman" w:hAnsi="Times New Roman"/>
          <w:sz w:val="14"/>
          <w:szCs w:val="14"/>
          <w:color w:val="auto"/>
        </w:rPr>
        <w:t>21.          </w:t>
      </w:r>
      <w:r>
        <w:rPr>
          <w:rFonts w:ascii="Times New Roman" w:cs="Times New Roman" w:eastAsia="Times New Roman" w:hAnsi="Times New Roman"/>
          <w:sz w:val="14"/>
          <w:szCs w:val="14"/>
          <w:b w:val="1"/>
          <w:bCs w:val="1"/>
          <w:i w:val="1"/>
          <w:iCs w:val="1"/>
          <w:color w:val="auto"/>
        </w:rPr>
        <w:t>Entire Agreement</w:t>
      </w:r>
      <w:r>
        <w:rPr>
          <w:rFonts w:ascii="Times New Roman" w:cs="Times New Roman" w:eastAsia="Times New Roman" w:hAnsi="Times New Roman"/>
          <w:sz w:val="14"/>
          <w:szCs w:val="14"/>
          <w:color w:val="auto"/>
        </w:rPr>
        <w:t>. This Agreement constitutes the entire agreement between the parties hereto with respect to the subject matter hereof, and supersedes all prior understandings or agreements between the parties.</w:t>
      </w:r>
    </w:p>
    <w:p>
      <w:pPr>
        <w:spacing w:after="0" w:line="1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22.          </w:t>
      </w:r>
      <w:r>
        <w:rPr>
          <w:rFonts w:ascii="Times New Roman" w:cs="Times New Roman" w:eastAsia="Times New Roman" w:hAnsi="Times New Roman"/>
          <w:sz w:val="14"/>
          <w:szCs w:val="14"/>
          <w:b w:val="1"/>
          <w:bCs w:val="1"/>
          <w:i w:val="1"/>
          <w:iCs w:val="1"/>
          <w:color w:val="auto"/>
        </w:rPr>
        <w:t>Amendments</w:t>
      </w:r>
      <w:r>
        <w:rPr>
          <w:rFonts w:ascii="Times New Roman" w:cs="Times New Roman" w:eastAsia="Times New Roman" w:hAnsi="Times New Roman"/>
          <w:sz w:val="14"/>
          <w:szCs w:val="14"/>
          <w:color w:val="auto"/>
        </w:rPr>
        <w:t>. This Agreement may not be modified, altered, supplemented or amended except pursuant to a written agreement executed and delivered by all of the Partners.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follows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354330</wp:posOffset>
            </wp:positionV>
            <wp:extent cx="716153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56" w:name="page57"/>
    <w:bookmarkEnd w:id="56"/>
    <w:p>
      <w:pPr>
        <w:ind w:firstLine="511"/>
        <w:spacing w:after="0" w:line="291" w:lineRule="auto"/>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undersigned, being the General Partner and Limited Partner of the Partnership, have caused this Agreement of Limited Partnership to be duly executed as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date first written above.</w:t>
      </w:r>
    </w:p>
    <w:p>
      <w:pPr>
        <w:spacing w:after="0" w:line="1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GENERAL PARTNER:</w:t>
      </w:r>
    </w:p>
    <w:p>
      <w:pPr>
        <w:spacing w:after="0" w:line="1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Viper Energy GP LLC</w:t>
      </w:r>
    </w:p>
    <w:p>
      <w:pPr>
        <w:spacing w:after="0" w:line="179" w:lineRule="exact"/>
        <w:rPr>
          <w:sz w:val="20"/>
          <w:szCs w:val="20"/>
          <w:color w:val="auto"/>
        </w:rPr>
      </w:pPr>
    </w:p>
    <w:tbl>
      <w:tblPr>
        <w:tblLayout w:type="fixed"/>
        <w:tblInd w:w="5640" w:type="dxa"/>
        <w:tblCellMar>
          <w:top w:w="0" w:type="dxa"/>
          <w:left w:w="0" w:type="dxa"/>
          <w:bottom w:w="0" w:type="dxa"/>
          <w:right w:w="0" w:type="dxa"/>
        </w:tblCellMar>
      </w:tblPr>
      <w:tr>
        <w:trPr>
          <w:trHeight w:val="184"/>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Matt Zmigrosky</w:t>
            </w:r>
          </w:p>
        </w:tc>
      </w:tr>
      <w:tr>
        <w:trPr>
          <w:trHeight w:val="147"/>
        </w:trPr>
        <w:tc>
          <w:tcPr>
            <w:tcW w:w="5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Name:</w:t>
            </w:r>
          </w:p>
        </w:tc>
        <w:tc>
          <w:tcPr>
            <w:tcW w:w="50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Matt Zmigrosky</w:t>
            </w:r>
          </w:p>
        </w:tc>
      </w:tr>
      <w:tr>
        <w:trPr>
          <w:trHeight w:val="184"/>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 General Counsel and Secretary</w:t>
            </w:r>
          </w:p>
        </w:tc>
      </w:tr>
    </w:tbl>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LIMITED PARTNER</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Viper Intermediate LP</w:t>
      </w:r>
    </w:p>
    <w:p>
      <w:pPr>
        <w:spacing w:after="0" w:line="179" w:lineRule="exact"/>
        <w:rPr>
          <w:sz w:val="20"/>
          <w:szCs w:val="20"/>
          <w:color w:val="auto"/>
        </w:rPr>
      </w:pPr>
    </w:p>
    <w:tbl>
      <w:tblPr>
        <w:tblLayout w:type="fixed"/>
        <w:tblInd w:w="5640" w:type="dxa"/>
        <w:tblCellMar>
          <w:top w:w="0" w:type="dxa"/>
          <w:left w:w="0" w:type="dxa"/>
          <w:bottom w:w="0" w:type="dxa"/>
          <w:right w:w="0" w:type="dxa"/>
        </w:tblCellMar>
      </w:tblPr>
      <w:tr>
        <w:trPr>
          <w:trHeight w:val="184"/>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Matt Zmigrosky</w:t>
            </w:r>
          </w:p>
        </w:tc>
      </w:tr>
      <w:tr>
        <w:trPr>
          <w:trHeight w:val="147"/>
        </w:trPr>
        <w:tc>
          <w:tcPr>
            <w:tcW w:w="5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Name:</w:t>
            </w:r>
          </w:p>
        </w:tc>
        <w:tc>
          <w:tcPr>
            <w:tcW w:w="50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Matt Zmigrosky</w:t>
            </w:r>
          </w:p>
        </w:tc>
      </w:tr>
      <w:tr>
        <w:trPr>
          <w:trHeight w:val="184"/>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 General Counsel and Secretary</w:t>
            </w:r>
          </w:p>
        </w:tc>
      </w:tr>
    </w:tbl>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Limited Partnership Agreement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Viper Energy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16153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7"/>
          <w:szCs w:val="17"/>
          <w:b w:val="1"/>
          <w:bCs w:val="1"/>
          <w:color w:val="auto"/>
        </w:rPr>
        <w:t>Exhibit 4.12</w:t>
      </w:r>
    </w:p>
    <w:p>
      <w:pPr>
        <w:spacing w:after="0" w:line="1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VIPER ENERGY PARTNERS LP</w:t>
      </w:r>
    </w:p>
    <w:p>
      <w:pPr>
        <w:spacing w:after="0" w:line="1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as Issuer</w:t>
      </w:r>
    </w:p>
    <w:p>
      <w:pPr>
        <w:spacing w:after="0" w:line="1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VIPER ENERGY, INC.</w:t>
      </w:r>
    </w:p>
    <w:p>
      <w:pPr>
        <w:spacing w:after="0" w:line="1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as Parent Guarantor</w:t>
      </w:r>
    </w:p>
    <w:p>
      <w:pPr>
        <w:spacing w:after="0" w:line="1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COMPUTERSHARE TRUST COMPANY, NATIONAL ASSOCIATION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1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7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Dated as of [__________], 2026</w:t>
      </w:r>
    </w:p>
    <w:p>
      <w:pPr>
        <w:spacing w:after="0" w:line="1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DEBT SECURITIES</w:t>
      </w:r>
    </w:p>
    <w:p>
      <w:pPr>
        <w:spacing w:after="0" w:line="18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Certain Sections of this Indenture relating to Sections 310</w:t>
      </w:r>
    </w:p>
    <w:p>
      <w:pPr>
        <w:spacing w:after="0" w:line="2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through 318, inclusive, of the Trust Indenture Act of 1939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344170</wp:posOffset>
            </wp:positionV>
            <wp:extent cx="716153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140"/>
          </w:cols>
          <w:pgMar w:left="1440" w:top="306" w:right="319" w:bottom="1440" w:gutter="0" w:footer="0" w:header="0"/>
        </w:sectPr>
      </w:pPr>
    </w:p>
    <w:bookmarkStart w:id="58" w:name="page59"/>
    <w:bookmarkEnd w:id="58"/>
    <w:tbl>
      <w:tblPr>
        <w:tblLayout w:type="fixed"/>
        <w:tblInd w:w="10" w:type="dxa"/>
        <w:tblCellMar>
          <w:top w:w="0" w:type="dxa"/>
          <w:left w:w="0" w:type="dxa"/>
          <w:bottom w:w="0" w:type="dxa"/>
          <w:right w:w="0" w:type="dxa"/>
        </w:tblCellMar>
      </w:tblPr>
      <w:tr>
        <w:trPr>
          <w:trHeight w:val="181"/>
        </w:trPr>
        <w:tc>
          <w:tcPr>
            <w:tcW w:w="7920" w:type="dxa"/>
            <w:vAlign w:val="bottom"/>
            <w:tcBorders>
              <w:top w:val="single" w:sz="8" w:color="auto"/>
              <w:left w:val="single" w:sz="8" w:color="auto"/>
              <w:bottom w:val="single" w:sz="8" w:color="auto"/>
              <w:right w:val="single" w:sz="8" w:color="auto"/>
            </w:tcBorders>
          </w:tcPr>
          <w:p>
            <w:pPr>
              <w:ind w:left="3120"/>
              <w:spacing w:after="0"/>
              <w:rPr>
                <w:sz w:val="20"/>
                <w:szCs w:val="20"/>
                <w:color w:val="auto"/>
              </w:rPr>
            </w:pPr>
            <w:r>
              <w:rPr>
                <w:rFonts w:ascii="Times New Roman" w:cs="Times New Roman" w:eastAsia="Times New Roman" w:hAnsi="Times New Roman"/>
                <w:sz w:val="14"/>
                <w:szCs w:val="14"/>
                <w:b w:val="1"/>
                <w:bCs w:val="1"/>
                <w:color w:val="auto"/>
              </w:rPr>
              <w:t>Trust Indenture Act Section</w:t>
            </w:r>
          </w:p>
        </w:tc>
        <w:tc>
          <w:tcPr>
            <w:tcW w:w="3380" w:type="dxa"/>
            <w:vAlign w:val="bottom"/>
            <w:tcBorders>
              <w:top w:val="single" w:sz="8" w:color="auto"/>
              <w:bottom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4"/>
                <w:szCs w:val="14"/>
                <w:b w:val="1"/>
                <w:bCs w:val="1"/>
                <w:color w:val="auto"/>
              </w:rPr>
              <w:t>Indenture Section</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Section 310(a)(1)</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609</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(a)(2)</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609</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(a)(3)</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(a)(4)</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608</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Section 311(a)</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613</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613</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Section 312(a)</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701</w:t>
            </w:r>
          </w:p>
        </w:tc>
      </w:tr>
      <w:tr>
        <w:trPr>
          <w:trHeight w:val="161"/>
        </w:trPr>
        <w:tc>
          <w:tcPr>
            <w:tcW w:w="7920" w:type="dxa"/>
            <w:vAlign w:val="bottom"/>
            <w:tcBorders>
              <w:left w:val="single" w:sz="8" w:color="auto"/>
              <w:bottom w:val="single" w:sz="8" w:color="auto"/>
              <w:right w:val="single" w:sz="8" w:color="auto"/>
            </w:tcBorders>
          </w:tcPr>
          <w:p>
            <w:pPr>
              <w:spacing w:after="0"/>
              <w:rPr>
                <w:sz w:val="13"/>
                <w:szCs w:val="13"/>
                <w:color w:val="auto"/>
              </w:rPr>
            </w:pP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702</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702</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702</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Section 313(a)</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703</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703</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106, 703</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(d)</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703</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Section 314(a)</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704</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(a)(4)</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101</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(c)(1)</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102</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(c)(2)</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102</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(c)(3)</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(d)</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102</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Section 315(a)</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601</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602</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601</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(d)</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601</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514</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Section 316(a)</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101</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(a)(1)(A)</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502</w:t>
            </w:r>
          </w:p>
        </w:tc>
      </w:tr>
      <w:tr>
        <w:trPr>
          <w:trHeight w:val="161"/>
        </w:trPr>
        <w:tc>
          <w:tcPr>
            <w:tcW w:w="7920" w:type="dxa"/>
            <w:vAlign w:val="bottom"/>
            <w:tcBorders>
              <w:left w:val="single" w:sz="8" w:color="auto"/>
              <w:bottom w:val="single" w:sz="8" w:color="auto"/>
              <w:right w:val="single" w:sz="8" w:color="auto"/>
            </w:tcBorders>
          </w:tcPr>
          <w:p>
            <w:pPr>
              <w:spacing w:after="0"/>
              <w:rPr>
                <w:sz w:val="13"/>
                <w:szCs w:val="13"/>
                <w:color w:val="auto"/>
              </w:rPr>
            </w:pP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512</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(a)(1)(B)</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513</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(a)(2)</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508</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104</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Section 317(a)(1)</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503</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(a)(2)</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504</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1003</w:t>
            </w:r>
          </w:p>
        </w:tc>
      </w:tr>
      <w:tr>
        <w:trPr>
          <w:trHeight w:val="161"/>
        </w:trPr>
        <w:tc>
          <w:tcPr>
            <w:tcW w:w="7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Section 318(a)</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107</w:t>
            </w: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This reconciliation and tie shall not, for any purpose, be deemed to be a part of the Indenture.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7" w:right="3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6"/>
        </w:trPr>
        <w:tc>
          <w:tcPr>
            <w:tcW w:w="1380" w:type="dxa"/>
            <w:vAlign w:val="bottom"/>
          </w:tcPr>
          <w:p>
            <w:pPr>
              <w:spacing w:after="0"/>
              <w:rPr>
                <w:sz w:val="16"/>
                <w:szCs w:val="16"/>
                <w:color w:val="auto"/>
              </w:rPr>
            </w:pPr>
          </w:p>
        </w:tc>
        <w:tc>
          <w:tcPr>
            <w:tcW w:w="7280" w:type="dxa"/>
            <w:vAlign w:val="bottom"/>
          </w:tcPr>
          <w:p>
            <w:pPr>
              <w:ind w:left="37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620" w:type="dxa"/>
            <w:vAlign w:val="bottom"/>
          </w:tcPr>
          <w:p>
            <w:pPr>
              <w:spacing w:after="0"/>
              <w:rPr>
                <w:sz w:val="16"/>
                <w:szCs w:val="16"/>
                <w:color w:val="auto"/>
              </w:rPr>
            </w:pPr>
          </w:p>
        </w:tc>
      </w:tr>
      <w:tr>
        <w:trPr>
          <w:trHeight w:val="340"/>
        </w:trPr>
        <w:tc>
          <w:tcPr>
            <w:tcW w:w="8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 DEFINITIONS AND OTHER PROVISIONS OF GENERAL APPLICATION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26"/>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101</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Definitions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102</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Compliance Certificates and Opinions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103</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Form of Documents Delivered to Trustee</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104</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Acts of Holders; Record Dates</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105</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Notices, Etc., to Trustee, Company and Guarantors</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106</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Notice to Holders; Waiver</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107</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Trust Indenture Act Matters</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108</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Effect of Headings and Table of Contents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109</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Successors and Assigns</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110</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Separability Clause</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111</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Benefits of Indenture</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112</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Governing Law</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113</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Legal Holidays</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114</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 Adverse Interpretation of Other Agreements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115</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Certain Waivers and Limitations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116</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Language of Notices, Etc.</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117</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Force Majeure</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118</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Waiver of Jury Trial</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119</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Counterparts and E-signatures</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120</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U.S.A. PATRIOT Act</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340"/>
        </w:trPr>
        <w:tc>
          <w:tcPr>
            <w:tcW w:w="8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 SECURITY FORMS</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326"/>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201</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Forms Generally</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202</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Form of Face of Security</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203</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Form of Reverse of Security</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204</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Form of Legend for Global Securities</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205</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Form of Trustee’s Certificate of Authentication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340"/>
        </w:trPr>
        <w:tc>
          <w:tcPr>
            <w:tcW w:w="8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III THE SECURITIES</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326"/>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301</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Amount Unlimited; Issuable in Series</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302</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Denominations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303</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Execution, Authentication, Delivery and Dating</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304</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Temporary Securities</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305</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Registration, Registration of Transfer and Exchange</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306</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Mutilated, Destroyed, Lost and Wrongfully Taken Securities</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307</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Payment of Interest; Interest Rights Preserved</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308</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Persons Deemed Owners</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309</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Cancellation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70"/>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310</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Computation of Interest</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311</w:t>
            </w:r>
          </w:p>
        </w:tc>
        <w:tc>
          <w:tcPr>
            <w:tcW w:w="7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CUSIP Numbers</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bl>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84"/>
        </w:trPr>
        <w:tc>
          <w:tcPr>
            <w:tcW w:w="9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IV SATISFACTION AND DISCHARGE</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326"/>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401</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Satisfaction and Discharge of Indenture</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4"/>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402</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Application of Trust Money</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340"/>
        </w:trPr>
        <w:tc>
          <w:tcPr>
            <w:tcW w:w="15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ARTICLE V REMEDIES</w:t>
            </w:r>
          </w:p>
        </w:tc>
        <w:tc>
          <w:tcPr>
            <w:tcW w:w="742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326"/>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501</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Events of Default</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502</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Acceleration of Maturity; Rescission and Annulment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503</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Collection of Indebtedness and Suits for Enforcement by Trustee</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504</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Trustee May File Proofs of Claim</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505</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Trustee May Enforce Claims Without Possession of Securities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506</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Application of Money Collected</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507</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Limitation on Suits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508</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Unconditional Right of Holders to Receive Principal, Premium and Interest and to Convert</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509</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Restoration of Rights and Remedies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510</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Rights and Remedies Cumulative</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511</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Delay or Omission Not Waiver</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512</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Control by Holders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513</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Waiver of Past Defaults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514</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Undertaking for Costs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4"/>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515</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Waiver of Usury, Stay or Extension Laws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340"/>
        </w:trPr>
        <w:tc>
          <w:tcPr>
            <w:tcW w:w="9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 THE TRUSTEE</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326"/>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601</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Certain Duties and Responsibilities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602</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Notice of Defaults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603</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Certain Rights of Trustee</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604</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 Responsible for Recitals or Issuance of Securities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605</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May Hold Securities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606</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Money Held in Trust</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607</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Compensation and Reimbursement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608</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Conflicting Interests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609</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Corporate Trustee Required; Eligibility</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610</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Resignation and Removal; Appointment of Successor</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611</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Acceptance of Appointment by Successor</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612</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Merger, Conversion, Consolidation or Succession to Business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613</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Preferential Collection of Claims Against Company</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4"/>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614</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Appointment of Authenticating Agent</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340"/>
        </w:trPr>
        <w:tc>
          <w:tcPr>
            <w:tcW w:w="9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 HOLDERS’ LISTS AND REPORTS BY TRUSTEE AND COMPANY</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326"/>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701</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Company to Furnish Trustee Names and Addresses of Holders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702</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Preservation of Information; Communications to Holders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70"/>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703</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Reports by Trustee</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4"/>
        </w:trPr>
        <w:tc>
          <w:tcPr>
            <w:tcW w:w="1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Section 704</w:t>
            </w:r>
          </w:p>
        </w:tc>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Reports by Company</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bl>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4"/>
        </w:trPr>
        <w:tc>
          <w:tcPr>
            <w:tcW w:w="8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VIII CONSOLIDATION, MERGER, SALE, CONVEYANCE, TRANSFER OR LEASE</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326"/>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801</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Company May Consolidate, Etc., Only on Certain Terms</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84"/>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802</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Successor Substituted</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340"/>
        </w:trPr>
        <w:tc>
          <w:tcPr>
            <w:tcW w:w="8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IX AMENDMENT, SUPPLEMENTAL AND WAIVER</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326"/>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901</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Without Consent of Holders</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70"/>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902</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With Consent of Holders</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70"/>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903</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Limitations</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70"/>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904</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Effect of Supplemental Indentures</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70"/>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905</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Compliance with Trust Indenture Act</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70"/>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906</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Reference in Securities to Supplemental Indentures</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70"/>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907</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Revocation and Effect of Consents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70"/>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908</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Notation on or Exchange of Securities</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84"/>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909</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Trustee to Sign Amendments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340"/>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ARTICLE X COVENANTS</w:t>
            </w:r>
          </w:p>
        </w:tc>
        <w:tc>
          <w:tcPr>
            <w:tcW w:w="674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326"/>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1001</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Payment of Principal, Premium and Interest</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70"/>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1002</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Maintenance of Office or Agency</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70"/>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1003</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Money for Securities Payments to Be Held in Trust</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70"/>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1004</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[Reserved]</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70"/>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1005</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[Reserved]</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4"/>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1006</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Waiver of Certain Covenants</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340"/>
        </w:trPr>
        <w:tc>
          <w:tcPr>
            <w:tcW w:w="8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XI REDEMPTION OF SECURITIES</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326"/>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1101</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Applicability of Article</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70"/>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1102</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Election to Redeem; Notice to Trustee</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70"/>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1103</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Selection by Trustee of Securities to Be Redeemed</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70"/>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1104</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Notice of Redemption</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70"/>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1105</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Deposit of Redemption Price</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70"/>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1106</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Securities Payable on Redemption Date</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70"/>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1107</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Securities Redeemed in Part</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4"/>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1108</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 Limit on Repurchases</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340"/>
        </w:trPr>
        <w:tc>
          <w:tcPr>
            <w:tcW w:w="8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XII SINKING FUNDS</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326"/>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1201</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Applicability of Article</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70"/>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1202</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Satisfaction of Sinking Fund Payments with Securities</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84"/>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1203</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Redemption of Securities for Sinking Fund</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340"/>
        </w:trPr>
        <w:tc>
          <w:tcPr>
            <w:tcW w:w="8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XIII DEFEASANCE AND COVENANT DEFEASANCE</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326"/>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1301</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Company’s Option to Effect Defeasance or Covenant Defeasance</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84"/>
        </w:trPr>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1302</w:t>
            </w:r>
          </w:p>
        </w:tc>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Defeasance and Discharge</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bl>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0"/>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1303</w:t>
            </w:r>
          </w:p>
        </w:tc>
        <w:tc>
          <w:tcPr>
            <w:tcW w:w="7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Covenant Defeasance</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70"/>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1304</w:t>
            </w:r>
          </w:p>
        </w:tc>
        <w:tc>
          <w:tcPr>
            <w:tcW w:w="7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Conditions to Defeasance or Covenant Defeasance</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70"/>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1305</w:t>
            </w:r>
          </w:p>
        </w:tc>
        <w:tc>
          <w:tcPr>
            <w:tcW w:w="7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Deposited Money and U.S. Government Obligations to Be Held in Trust; Miscellaneous Provisions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84"/>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1306</w:t>
            </w:r>
          </w:p>
        </w:tc>
        <w:tc>
          <w:tcPr>
            <w:tcW w:w="7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Reinstatement</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340"/>
        </w:trPr>
        <w:tc>
          <w:tcPr>
            <w:tcW w:w="9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XIV GUARANTEES</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340"/>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1401</w:t>
            </w:r>
          </w:p>
        </w:tc>
        <w:tc>
          <w:tcPr>
            <w:tcW w:w="7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Guarantees</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bl>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63" w:name="page64"/>
    <w:bookmarkEnd w:id="63"/>
    <w:p>
      <w:pPr>
        <w:ind w:left="520"/>
        <w:spacing w:after="0"/>
        <w:rPr>
          <w:sz w:val="20"/>
          <w:szCs w:val="20"/>
          <w:color w:val="auto"/>
        </w:rPr>
      </w:pPr>
      <w:r>
        <w:rPr>
          <w:rFonts w:ascii="Times New Roman" w:cs="Times New Roman" w:eastAsia="Times New Roman" w:hAnsi="Times New Roman"/>
          <w:sz w:val="14"/>
          <w:szCs w:val="14"/>
          <w:color w:val="auto"/>
        </w:rPr>
        <w:t>INDENTURE, dated as of [__________], 2026, among VIPER ENERGY PARTNERS LP, a limited partnership duly organized and existing under the laws of the State of Delaware (herein</w:t>
      </w:r>
    </w:p>
    <w:p>
      <w:pPr>
        <w:spacing w:after="0" w:line="2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called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having its principal office at 500 West Texas, Suite 100, Midland, Texas 79701, VIPER ENERGY, INC., a corporation duly organized and existing under the laws of the State of Delaware (herein called the “</w:t>
      </w:r>
      <w:r>
        <w:rPr>
          <w:rFonts w:ascii="Times New Roman" w:cs="Times New Roman" w:eastAsia="Times New Roman" w:hAnsi="Times New Roman"/>
          <w:sz w:val="14"/>
          <w:szCs w:val="14"/>
          <w:b w:val="1"/>
          <w:bCs w:val="1"/>
          <w:i w:val="1"/>
          <w:iCs w:val="1"/>
          <w:color w:val="auto"/>
        </w:rPr>
        <w:t>Parent Guarantor</w:t>
      </w:r>
      <w:r>
        <w:rPr>
          <w:rFonts w:ascii="Times New Roman" w:cs="Times New Roman" w:eastAsia="Times New Roman" w:hAnsi="Times New Roman"/>
          <w:sz w:val="14"/>
          <w:szCs w:val="14"/>
          <w:color w:val="auto"/>
        </w:rPr>
        <w:t>”) and COMPUTERSHARE TRUST COMPANY, NATIONAL ASSOCIATION, as trustee (herein called the “</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RECITALS OF THE COMPANY</w:t>
      </w:r>
    </w:p>
    <w:p>
      <w:pPr>
        <w:spacing w:after="0" w:line="181" w:lineRule="exact"/>
        <w:rPr>
          <w:sz w:val="20"/>
          <w:szCs w:val="20"/>
          <w:color w:val="auto"/>
        </w:rPr>
      </w:pPr>
    </w:p>
    <w:p>
      <w:pPr>
        <w:ind w:firstLine="511"/>
        <w:spacing w:after="0" w:line="288" w:lineRule="auto"/>
        <w:rPr>
          <w:sz w:val="20"/>
          <w:szCs w:val="20"/>
          <w:color w:val="auto"/>
        </w:rPr>
      </w:pPr>
      <w:r>
        <w:rPr>
          <w:rFonts w:ascii="Times New Roman" w:cs="Times New Roman" w:eastAsia="Times New Roman" w:hAnsi="Times New Roman"/>
          <w:sz w:val="14"/>
          <w:szCs w:val="14"/>
          <w:color w:val="auto"/>
        </w:rPr>
        <w:t>The Company has duly authorized the execution and delivery of this Indenture to provide for the issuance from time to time of its unsecured debentures, notes or other evidences of indebtedness (herein called the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to be issued in one or more series as in this Indenture provided.</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things necessary to make this Indenture a valid agreement of the Company in accordance with its terms have been done.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NOW, THEREFORE, THIS INDENTURE WITNESSETH</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and in consideration of the premises and the purchase of the Securities by the Holders thereof, it is mutually agreed, for the equal and proportionate benefit of all Holders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or of series thereof, as follows: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DEFINITIONS AND OTHER PROVISIONS OF GENERAL APPLICATION</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101         </w:t>
      </w:r>
      <w:r>
        <w:rPr>
          <w:rFonts w:ascii="Times New Roman" w:cs="Times New Roman" w:eastAsia="Times New Roman" w:hAnsi="Times New Roman"/>
          <w:sz w:val="14"/>
          <w:szCs w:val="14"/>
          <w:u w:val="single" w:color="auto"/>
          <w:color w:val="auto"/>
        </w:rPr>
        <w:t>  Definitions</w:t>
      </w:r>
      <w:r>
        <w:rPr>
          <w:rFonts w:ascii="Times New Roman" w:cs="Times New Roman" w:eastAsia="Times New Roman" w:hAnsi="Times New Roman"/>
          <w:sz w:val="14"/>
          <w:szCs w:val="14"/>
          <w:color w:val="auto"/>
        </w:rPr>
        <w:t>. For all purposes of this Indenture, except as otherwise expressly provided or unless the context otherwise requires:</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the terms defined in this Article have the meanings assigned to them in this Article and include the plural as well as the singular;</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all other terms used herein that are defined in the Trust Indenture Act, either directly or by reference therein, have the meanings assigned to them therein;</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(3)           all accounting terms not otherwise defined herein have the meanings assigned to them in accordance with GAAP;</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(4)           unless the context otherwise requires, any reference to an “Article” or a “Section” refers to an Article or a Section, as the case may be, of this Indenture;</w:t>
      </w:r>
    </w:p>
    <w:p>
      <w:pPr>
        <w:spacing w:after="0" w:line="179" w:lineRule="exact"/>
        <w:rPr>
          <w:sz w:val="20"/>
          <w:szCs w:val="20"/>
          <w:color w:val="auto"/>
        </w:rPr>
      </w:pPr>
    </w:p>
    <w:p>
      <w:pPr>
        <w:jc w:val="both"/>
        <w:ind w:left="520" w:firstLine="511"/>
        <w:spacing w:after="0" w:line="288" w:lineRule="auto"/>
        <w:rPr>
          <w:sz w:val="20"/>
          <w:szCs w:val="20"/>
          <w:color w:val="auto"/>
        </w:rPr>
      </w:pPr>
      <w:r>
        <w:rPr>
          <w:rFonts w:ascii="Times New Roman" w:cs="Times New Roman" w:eastAsia="Times New Roman" w:hAnsi="Times New Roman"/>
          <w:sz w:val="14"/>
          <w:szCs w:val="14"/>
          <w:color w:val="auto"/>
        </w:rPr>
        <w:t>(5)           the words “herein,” “hereof” and “hereunder” and other words of similar import refer to this Indenture as a whole and not to any particular Article, Section or other subdivision;</w:t>
      </w:r>
    </w:p>
    <w:p>
      <w:pPr>
        <w:spacing w:after="0" w:line="124" w:lineRule="exact"/>
        <w:rPr>
          <w:sz w:val="20"/>
          <w:szCs w:val="20"/>
          <w:color w:val="auto"/>
        </w:rPr>
      </w:pPr>
    </w:p>
    <w:p>
      <w:pPr>
        <w:jc w:val="both"/>
        <w:ind w:left="520" w:firstLine="511"/>
        <w:spacing w:after="0" w:line="262" w:lineRule="auto"/>
        <w:rPr>
          <w:sz w:val="20"/>
          <w:szCs w:val="20"/>
          <w:color w:val="auto"/>
        </w:rPr>
      </w:pPr>
      <w:r>
        <w:rPr>
          <w:rFonts w:ascii="Times New Roman" w:cs="Times New Roman" w:eastAsia="Times New Roman" w:hAnsi="Times New Roman"/>
          <w:sz w:val="14"/>
          <w:szCs w:val="14"/>
          <w:color w:val="auto"/>
        </w:rPr>
        <w:t>(6)           when used with respect to any Security, the words “convert,” “converted” and “conversion” are intended to refer to the right of the Holder or the Company to convert or exchange such Security into or for securities or other property in accordance with such terms, if any, as may hereafter be specified for such Security as contemplated by Section 301, and these words are not intended to refer to any right of the Holder or the Company to exchange such Security for other Securities of the same series and like tenor pursuant to Section 304, Section 305, Section 306, Section 906 or Section 1107 or another similar provision of this Indenture, unless the context otherwise requires; and references herein to the terms of any Security that may be converted mean such terms as may be specified for such Security as contemplated in Section 301;</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64" w:name="page65"/>
    <w:bookmarkEnd w:id="64"/>
    <w:p>
      <w:pPr>
        <w:ind w:left="520" w:firstLine="511"/>
        <w:spacing w:after="0" w:line="288" w:lineRule="auto"/>
        <w:rPr>
          <w:sz w:val="20"/>
          <w:szCs w:val="20"/>
          <w:color w:val="auto"/>
        </w:rPr>
      </w:pPr>
      <w:r>
        <w:rPr>
          <w:rFonts w:ascii="Times New Roman" w:cs="Times New Roman" w:eastAsia="Times New Roman" w:hAnsi="Times New Roman"/>
          <w:sz w:val="14"/>
          <w:szCs w:val="14"/>
          <w:color w:val="auto"/>
        </w:rPr>
        <w:t>(7)           unless the context otherwise requires, any reference to “duly provided for” and other words of similar import with respect to any amount or property required to be paid or delivered, as applicable, shall include, without limitation, having made such amount or property available for payment or delivery;</w:t>
      </w:r>
    </w:p>
    <w:p>
      <w:pPr>
        <w:spacing w:after="0" w:line="124" w:lineRule="exact"/>
        <w:rPr>
          <w:sz w:val="20"/>
          <w:szCs w:val="20"/>
          <w:color w:val="auto"/>
        </w:rPr>
      </w:pPr>
    </w:p>
    <w:p>
      <w:pPr>
        <w:ind w:left="520" w:firstLine="511"/>
        <w:spacing w:after="0" w:line="288" w:lineRule="auto"/>
        <w:rPr>
          <w:sz w:val="20"/>
          <w:szCs w:val="20"/>
          <w:color w:val="auto"/>
        </w:rPr>
      </w:pPr>
      <w:r>
        <w:rPr>
          <w:rFonts w:ascii="Times New Roman" w:cs="Times New Roman" w:eastAsia="Times New Roman" w:hAnsi="Times New Roman"/>
          <w:sz w:val="14"/>
          <w:szCs w:val="14"/>
          <w:color w:val="auto"/>
        </w:rPr>
        <w:t>(8)           references to sections of or rules under the Securities Act shall be deemed to include substitute, replacement or successor sections or rules adopted by the Commission from time to time;</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(9)           when the words “includes” or “including” are used herein, they shall be deemed to be followed by the words “without limitation;” and</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(10)         “or” is not exclusive.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Act</w:t>
      </w:r>
      <w:r>
        <w:rPr>
          <w:rFonts w:ascii="Times New Roman" w:cs="Times New Roman" w:eastAsia="Times New Roman" w:hAnsi="Times New Roman"/>
          <w:sz w:val="14"/>
          <w:szCs w:val="14"/>
          <w:color w:val="auto"/>
        </w:rPr>
        <w:t>,” when used with respect to any Holder, has the meaning specified in Section 104.</w:t>
      </w:r>
    </w:p>
    <w:p>
      <w:pPr>
        <w:spacing w:after="0" w:line="179" w:lineRule="exact"/>
        <w:rPr>
          <w:sz w:val="20"/>
          <w:szCs w:val="20"/>
          <w:color w:val="auto"/>
        </w:rPr>
      </w:pPr>
    </w:p>
    <w:p>
      <w:pPr>
        <w:jc w:val="both"/>
        <w:ind w:firstLine="511"/>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Affiliate</w:t>
      </w:r>
      <w:r>
        <w:rPr>
          <w:rFonts w:ascii="Times New Roman" w:cs="Times New Roman" w:eastAsia="Times New Roman" w:hAnsi="Times New Roman"/>
          <w:sz w:val="14"/>
          <w:szCs w:val="14"/>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Applicable Procedures</w:t>
      </w:r>
      <w:r>
        <w:rPr>
          <w:rFonts w:ascii="Times New Roman" w:cs="Times New Roman" w:eastAsia="Times New Roman" w:hAnsi="Times New Roman"/>
          <w:sz w:val="14"/>
          <w:szCs w:val="14"/>
          <w:color w:val="auto"/>
        </w:rPr>
        <w:t>” of a Depositary means, with respect to any matter at any time, the policies and procedures of such Depositary, if any, that are applicable to such matter at such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time.</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Authenticating Agent</w:t>
      </w:r>
      <w:r>
        <w:rPr>
          <w:rFonts w:ascii="Times New Roman" w:cs="Times New Roman" w:eastAsia="Times New Roman" w:hAnsi="Times New Roman"/>
          <w:sz w:val="14"/>
          <w:szCs w:val="14"/>
          <w:color w:val="auto"/>
        </w:rPr>
        <w:t>” means, when used with respect to Securities of any series, any Person authorized by the Trustee to act on behalf of the Trustee to authenticate the Securities of such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series.</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Bankruptcy Law</w:t>
      </w:r>
      <w:r>
        <w:rPr>
          <w:rFonts w:ascii="Times New Roman" w:cs="Times New Roman" w:eastAsia="Times New Roman" w:hAnsi="Times New Roman"/>
          <w:sz w:val="14"/>
          <w:szCs w:val="14"/>
          <w:color w:val="auto"/>
        </w:rPr>
        <w:t>” means Title 11 of the United States Code or any similar federal, state or foreign law for the relief of debtors.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Board of Directors</w:t>
      </w:r>
      <w:r>
        <w:rPr>
          <w:rFonts w:ascii="Times New Roman" w:cs="Times New Roman" w:eastAsia="Times New Roman" w:hAnsi="Times New Roman"/>
          <w:sz w:val="14"/>
          <w:szCs w:val="14"/>
          <w:color w:val="auto"/>
        </w:rPr>
        <w:t>” means any of (a) the member, board of directors or other appropriate governing body of the Company (including, for the avoidance of doubt, any general partner),</w:t>
      </w:r>
    </w:p>
    <w:p>
      <w:pPr>
        <w:spacing w:after="0" w:line="25" w:lineRule="exact"/>
        <w:rPr>
          <w:sz w:val="20"/>
          <w:szCs w:val="20"/>
          <w:color w:val="auto"/>
        </w:rPr>
      </w:pPr>
    </w:p>
    <w:p>
      <w:pPr>
        <w:ind w:firstLine="5"/>
        <w:spacing w:after="0" w:line="267" w:lineRule="auto"/>
        <w:tabs>
          <w:tab w:leader="none" w:pos="203"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duly authorized committee of such member, board or other governing body or (c) any officer of the member, board of directors or other appropriate governing body of the Company to take a specified action.</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65" w:name="page66"/>
    <w:bookmarkEnd w:id="65"/>
    <w:p>
      <w:pPr>
        <w:jc w:val="both"/>
        <w:ind w:firstLine="511"/>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Board Resolution</w:t>
      </w:r>
      <w:r>
        <w:rPr>
          <w:rFonts w:ascii="Times New Roman" w:cs="Times New Roman" w:eastAsia="Times New Roman" w:hAnsi="Times New Roman"/>
          <w:sz w:val="14"/>
          <w:szCs w:val="14"/>
          <w:color w:val="auto"/>
        </w:rPr>
        <w:t>” means a copy of a resolution or written consent certified by the Secretary or an Assistant Secretary of the Company to have been duly adopted by the Board of Directors and to be in full force and effect on the date of such certification, and delivered to the Trustee. Where any provision of this Indenture refers to action to be taken pursuant to a Board Resolution (including the establishment of any series of the Securities and the forms and terms thereof), such action may be taken by any officer or employee of the Company authorized to take such action by the Board of Directors as evidenced by a Board Resolution.</w:t>
      </w:r>
    </w:p>
    <w:p>
      <w:pPr>
        <w:spacing w:after="0" w:line="137" w:lineRule="exact"/>
        <w:rPr>
          <w:sz w:val="20"/>
          <w:szCs w:val="20"/>
          <w:color w:val="auto"/>
        </w:rPr>
      </w:pPr>
    </w:p>
    <w:p>
      <w:pPr>
        <w:jc w:val="both"/>
        <w:ind w:firstLine="511"/>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Business Day</w:t>
      </w:r>
      <w:r>
        <w:rPr>
          <w:rFonts w:ascii="Times New Roman" w:cs="Times New Roman" w:eastAsia="Times New Roman" w:hAnsi="Times New Roman"/>
          <w:sz w:val="14"/>
          <w:szCs w:val="14"/>
          <w:color w:val="auto"/>
        </w:rPr>
        <w:t xml:space="preserve">,” when used with respect to any Place of Payment, means each Monday, Tuesday, Wednesday, Thursday and Friday that is not a day on which banking institutions in that Place of Payment are authorized or obligated by law or executive order to close;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when used with respect to any Security, “Business Day” may have such other meaning, if any, as may be specified for such Security as contemplated by Section 301.</w:t>
      </w:r>
    </w:p>
    <w:p>
      <w:pPr>
        <w:spacing w:after="0" w:line="134" w:lineRule="exact"/>
        <w:rPr>
          <w:sz w:val="20"/>
          <w:szCs w:val="20"/>
          <w:color w:val="auto"/>
        </w:rPr>
      </w:pPr>
    </w:p>
    <w:p>
      <w:pPr>
        <w:jc w:val="both"/>
        <w:ind w:firstLine="511"/>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Capital Stock</w:t>
      </w:r>
      <w:r>
        <w:rPr>
          <w:rFonts w:ascii="Times New Roman" w:cs="Times New Roman" w:eastAsia="Times New Roman" w:hAnsi="Times New Roman"/>
          <w:sz w:val="14"/>
          <w:szCs w:val="14"/>
          <w:color w:val="auto"/>
        </w:rPr>
        <w:t>” of any Person means any and all shares, interests, rights to purchase, warrants, options, participations or other equivalents of or interests in (however designated) equity of such Person, including, without limitation, any preferred stock and limited liability company or partnership interests (whether general or limited) of such Person, but excluding any debt securities convertible or exchangeable into such equity.</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Code</w:t>
      </w:r>
      <w:r>
        <w:rPr>
          <w:rFonts w:ascii="Times New Roman" w:cs="Times New Roman" w:eastAsia="Times New Roman" w:hAnsi="Times New Roman"/>
          <w:sz w:val="14"/>
          <w:szCs w:val="14"/>
          <w:color w:val="auto"/>
        </w:rPr>
        <w:t>” means the Internal Revenue Code of 1986, as amended.</w:t>
      </w:r>
    </w:p>
    <w:p>
      <w:pPr>
        <w:spacing w:after="0" w:line="179" w:lineRule="exact"/>
        <w:rPr>
          <w:sz w:val="20"/>
          <w:szCs w:val="20"/>
          <w:color w:val="auto"/>
        </w:rPr>
      </w:pPr>
    </w:p>
    <w:p>
      <w:pPr>
        <w:jc w:val="both"/>
        <w:ind w:firstLine="511"/>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20" w:lineRule="exact"/>
        <w:rPr>
          <w:sz w:val="20"/>
          <w:szCs w:val="20"/>
          <w:color w:val="auto"/>
        </w:rPr>
      </w:pPr>
    </w:p>
    <w:p>
      <w:pPr>
        <w:jc w:val="both"/>
        <w:ind w:firstLine="511"/>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Company Request</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i w:val="1"/>
          <w:iCs w:val="1"/>
          <w:color w:val="auto"/>
        </w:rPr>
        <w:t>Company Order</w:t>
      </w:r>
      <w:r>
        <w:rPr>
          <w:rFonts w:ascii="Times New Roman" w:cs="Times New Roman" w:eastAsia="Times New Roman" w:hAnsi="Times New Roman"/>
          <w:sz w:val="14"/>
          <w:szCs w:val="14"/>
          <w:color w:val="auto"/>
        </w:rPr>
        <w:t>” means a written request or order signed in the name of the Company by any Officer of the Company.</w:t>
      </w:r>
    </w:p>
    <w:p>
      <w:pPr>
        <w:spacing w:after="0" w:line="179" w:lineRule="exact"/>
        <w:rPr>
          <w:sz w:val="20"/>
          <w:szCs w:val="20"/>
          <w:color w:val="auto"/>
        </w:rPr>
      </w:pPr>
    </w:p>
    <w:p>
      <w:pPr>
        <w:jc w:val="both"/>
        <w:ind w:firstLine="511"/>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Corporate Trust Office</w:t>
      </w:r>
      <w:r>
        <w:rPr>
          <w:rFonts w:ascii="Times New Roman" w:cs="Times New Roman" w:eastAsia="Times New Roman" w:hAnsi="Times New Roman"/>
          <w:sz w:val="14"/>
          <w:szCs w:val="14"/>
          <w:color w:val="auto"/>
        </w:rPr>
        <w:t>” means the designated office of the Trustee at which at any particular time its corporate trust business shall be administered and which, at the date hereof, is located at Computershare Trust Company, National Association, 1505 Energy Park Drive, St. Paul, MN 55108, Attention: CCT Administrator for Viper Energy Partners LP Account Manager, or at such other address as the Trustee may designate from time to time by notice to the Holders and the Company (or such other address as a successor Trustee may designate from time to time by notice to the Holders and the Company).</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corporation</w:t>
      </w:r>
      <w:r>
        <w:rPr>
          <w:rFonts w:ascii="Times New Roman" w:cs="Times New Roman" w:eastAsia="Times New Roman" w:hAnsi="Times New Roman"/>
          <w:sz w:val="14"/>
          <w:szCs w:val="14"/>
          <w:color w:val="auto"/>
        </w:rPr>
        <w:t>” means a corporation, association, company (including a limited liability company), joint-stock company, business trust or other business entity (other than a partnership).</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Covenant Defeasance</w:t>
      </w:r>
      <w:r>
        <w:rPr>
          <w:rFonts w:ascii="Times New Roman" w:cs="Times New Roman" w:eastAsia="Times New Roman" w:hAnsi="Times New Roman"/>
          <w:sz w:val="14"/>
          <w:szCs w:val="14"/>
          <w:color w:val="auto"/>
        </w:rPr>
        <w:t>” has the meaning specified in Section 1303.</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66" w:name="page67"/>
    <w:bookmarkEnd w:id="66"/>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Custodian</w:t>
      </w:r>
      <w:r>
        <w:rPr>
          <w:rFonts w:ascii="Times New Roman" w:cs="Times New Roman" w:eastAsia="Times New Roman" w:hAnsi="Times New Roman"/>
          <w:sz w:val="14"/>
          <w:szCs w:val="14"/>
          <w:color w:val="auto"/>
        </w:rPr>
        <w:t>” means any receiver, trustee, assignee, liquidator, custodian or similar official under any Bankruptcy Law.</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Default</w:t>
      </w:r>
      <w:r>
        <w:rPr>
          <w:rFonts w:ascii="Times New Roman" w:cs="Times New Roman" w:eastAsia="Times New Roman" w:hAnsi="Times New Roman"/>
          <w:sz w:val="14"/>
          <w:szCs w:val="14"/>
          <w:color w:val="auto"/>
        </w:rPr>
        <w:t>” means any event which is, or after notice or passage of time or both would be, an Event of Default.</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Defaulted Interest</w:t>
      </w:r>
      <w:r>
        <w:rPr>
          <w:rFonts w:ascii="Times New Roman" w:cs="Times New Roman" w:eastAsia="Times New Roman" w:hAnsi="Times New Roman"/>
          <w:sz w:val="14"/>
          <w:szCs w:val="14"/>
          <w:color w:val="auto"/>
        </w:rPr>
        <w:t>” has the meaning specified in Section 307.</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Defeasance</w:t>
      </w:r>
      <w:r>
        <w:rPr>
          <w:rFonts w:ascii="Times New Roman" w:cs="Times New Roman" w:eastAsia="Times New Roman" w:hAnsi="Times New Roman"/>
          <w:sz w:val="14"/>
          <w:szCs w:val="14"/>
          <w:color w:val="auto"/>
        </w:rPr>
        <w:t>” has the meaning specified in Section 1302.</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Depositary</w:t>
      </w:r>
      <w:r>
        <w:rPr>
          <w:rFonts w:ascii="Times New Roman" w:cs="Times New Roman" w:eastAsia="Times New Roman" w:hAnsi="Times New Roman"/>
          <w:sz w:val="14"/>
          <w:szCs w:val="14"/>
          <w:color w:val="auto"/>
        </w:rPr>
        <w:t>” means DTC, its nominees and their respective successors and assigns, or such other depository institution hereinafter appointed by the Company.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DTC</w:t>
      </w:r>
      <w:r>
        <w:rPr>
          <w:rFonts w:ascii="Times New Roman" w:cs="Times New Roman" w:eastAsia="Times New Roman" w:hAnsi="Times New Roman"/>
          <w:sz w:val="14"/>
          <w:szCs w:val="14"/>
          <w:color w:val="auto"/>
        </w:rPr>
        <w:t>” has the meaning specified in Section 104.</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Event of Default</w:t>
      </w:r>
      <w:r>
        <w:rPr>
          <w:rFonts w:ascii="Times New Roman" w:cs="Times New Roman" w:eastAsia="Times New Roman" w:hAnsi="Times New Roman"/>
          <w:sz w:val="14"/>
          <w:szCs w:val="14"/>
          <w:color w:val="auto"/>
        </w:rPr>
        <w:t>” has the meaning specified in Section 501.</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Exchange Act</w:t>
      </w:r>
      <w:r>
        <w:rPr>
          <w:rFonts w:ascii="Times New Roman" w:cs="Times New Roman" w:eastAsia="Times New Roman" w:hAnsi="Times New Roman"/>
          <w:sz w:val="14"/>
          <w:szCs w:val="14"/>
          <w:color w:val="auto"/>
        </w:rPr>
        <w:t>” means the Securities Exchange Act of 1934, as amended, and the rules and regulations of the SEC promulgated thereunder.</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Expiration Date</w:t>
      </w:r>
      <w:r>
        <w:rPr>
          <w:rFonts w:ascii="Times New Roman" w:cs="Times New Roman" w:eastAsia="Times New Roman" w:hAnsi="Times New Roman"/>
          <w:sz w:val="14"/>
          <w:szCs w:val="14"/>
          <w:color w:val="auto"/>
        </w:rPr>
        <w:t>” has the meaning specified in Section 104.</w:t>
      </w:r>
    </w:p>
    <w:p>
      <w:pPr>
        <w:spacing w:after="0" w:line="179" w:lineRule="exact"/>
        <w:rPr>
          <w:sz w:val="20"/>
          <w:szCs w:val="20"/>
          <w:color w:val="auto"/>
        </w:rPr>
      </w:pPr>
    </w:p>
    <w:p>
      <w:pPr>
        <w:jc w:val="both"/>
        <w:ind w:firstLine="511"/>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GAAP</w:t>
      </w:r>
      <w:r>
        <w:rPr>
          <w:rFonts w:ascii="Times New Roman" w:cs="Times New Roman" w:eastAsia="Times New Roman" w:hAnsi="Times New Roman"/>
          <w:sz w:val="14"/>
          <w:szCs w:val="14"/>
          <w:color w:val="auto"/>
        </w:rPr>
        <w:t xml:space="preserve">” means generally accepted accounting principles set forth in the opinions and pronouncements of the Accounting Principles Board of the American Institute of Certified Public Accountants and statements and pronouncements of the Financial Accounting Standards Board, the Public Company Accounting Oversight Board or in such other statements by such other entity as have been approved by a significant segment of the accounting profession, which are in effect from time to time. All ratio computations based on GAAP contained in this Indenture will be computed in conformity with GAAP;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when used with respect to any Security, “GAAP” may have such other meaning, if any, as may be specified for such Security as contemplated by Section 301.</w:t>
      </w:r>
    </w:p>
    <w:p>
      <w:pPr>
        <w:spacing w:after="0" w:line="313" w:lineRule="exact"/>
        <w:rPr>
          <w:sz w:val="20"/>
          <w:szCs w:val="20"/>
          <w:color w:val="auto"/>
        </w:rPr>
      </w:pPr>
    </w:p>
    <w:p>
      <w:pPr>
        <w:jc w:val="both"/>
        <w:ind w:firstLine="511"/>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Global Security</w:t>
      </w:r>
      <w:r>
        <w:rPr>
          <w:rFonts w:ascii="Times New Roman" w:cs="Times New Roman" w:eastAsia="Times New Roman" w:hAnsi="Times New Roman"/>
          <w:sz w:val="14"/>
          <w:szCs w:val="14"/>
          <w:color w:val="auto"/>
        </w:rPr>
        <w:t>” means a Security that evidences all or part of the Securities of any series and bears the legend set forth in Section 204 (or such legend as may be specified as contemplated by Section 301 for such Securities).</w:t>
      </w:r>
    </w:p>
    <w:p>
      <w:pPr>
        <w:spacing w:after="0" w:line="120" w:lineRule="exact"/>
        <w:rPr>
          <w:sz w:val="20"/>
          <w:szCs w:val="20"/>
          <w:color w:val="auto"/>
        </w:rPr>
      </w:pPr>
    </w:p>
    <w:p>
      <w:pPr>
        <w:jc w:val="both"/>
        <w:ind w:firstLine="511"/>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Guarantee</w:t>
      </w:r>
      <w:r>
        <w:rPr>
          <w:rFonts w:ascii="Times New Roman" w:cs="Times New Roman" w:eastAsia="Times New Roman" w:hAnsi="Times New Roman"/>
          <w:sz w:val="14"/>
          <w:szCs w:val="14"/>
          <w:color w:val="auto"/>
        </w:rPr>
        <w:t xml:space="preserve">” means a guarantee of any Securities by a Guarantor as contemplated by Article XIV;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term “Guarantee,” when used with respect to any Security or with respect to the Securities of any series, means a guarantee of such Security or of the Securities of such series, respectively, by a Guarantor of such Security or of the Securities of such series, respectively, as contemplated by Article XIV.</w:t>
      </w:r>
    </w:p>
    <w:p>
      <w:pPr>
        <w:spacing w:after="0" w:line="134" w:lineRule="exact"/>
        <w:rPr>
          <w:sz w:val="20"/>
          <w:szCs w:val="20"/>
          <w:color w:val="auto"/>
        </w:rPr>
      </w:pPr>
    </w:p>
    <w:p>
      <w:pPr>
        <w:jc w:val="both"/>
        <w:ind w:firstLine="511"/>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Guarantor</w:t>
      </w:r>
      <w:r>
        <w:rPr>
          <w:rFonts w:ascii="Times New Roman" w:cs="Times New Roman" w:eastAsia="Times New Roman" w:hAnsi="Times New Roman"/>
          <w:sz w:val="14"/>
          <w:szCs w:val="14"/>
          <w:color w:val="auto"/>
        </w:rPr>
        <w:t xml:space="preserve">” means the Parent Guarantor and any Person that shall have become a Guarantor under this Indenture pursuant to Section 301 or Section 901 hereof, in each case unless and until a successor Person shall have become a successor thereto pursuant to the applicable provisions of this Indenture in place thereof, and thereafter references to such Guarantor shall mean such successor Person;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 the term “Guarantor,” when used with respect to the Securities of any series, means the Persons who shall from time to time be the Guarantors of Securities of such series as contemplated by Article XIV; and (ii) any Person constituting a Guarantor with respect to the Securities of a series shall cease to constitute a Guarantor with respect to Securities of such series when its Guarantee is released with respect to Securities of such series in accordance with the terms of this Indenture or any relevant indenture supplemental hereto.</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67" w:name="page68"/>
    <w:bookmarkEnd w:id="67"/>
    <w:p>
      <w:pPr>
        <w:jc w:val="both"/>
        <w:ind w:firstLine="511"/>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Guarantor’s Board of Directors</w:t>
      </w:r>
      <w:r>
        <w:rPr>
          <w:rFonts w:ascii="Times New Roman" w:cs="Times New Roman" w:eastAsia="Times New Roman" w:hAnsi="Times New Roman"/>
          <w:sz w:val="14"/>
          <w:szCs w:val="14"/>
          <w:color w:val="auto"/>
        </w:rPr>
        <w:t>” means, with respect to any Guarantor, any of (a) the member, board of directors or other appropriate governing body of such Guarantor, (b) any duly authorized committee of such member, board or other governing body or (c) any officer of such Guarantor duly authorized by the member, board of directors or other appropriate governing body of such Guarantor to take a specified action.</w:t>
      </w:r>
    </w:p>
    <w:p>
      <w:pPr>
        <w:spacing w:after="0" w:line="134" w:lineRule="exact"/>
        <w:rPr>
          <w:sz w:val="20"/>
          <w:szCs w:val="20"/>
          <w:color w:val="auto"/>
        </w:rPr>
      </w:pPr>
    </w:p>
    <w:p>
      <w:pPr>
        <w:jc w:val="both"/>
        <w:ind w:firstLine="511"/>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Guarantor’s Board Resolution</w:t>
      </w:r>
      <w:r>
        <w:rPr>
          <w:rFonts w:ascii="Times New Roman" w:cs="Times New Roman" w:eastAsia="Times New Roman" w:hAnsi="Times New Roman"/>
          <w:sz w:val="14"/>
          <w:szCs w:val="14"/>
          <w:color w:val="auto"/>
        </w:rPr>
        <w:t>” means, with respect to any Guarantor, a copy of a resolution or written consent certified by the Secretary or an Assistant Secretary of such Guarantor to have been duly adopted by such Guarantor’s Board of Directors and to be in full force and effect on the date of such certification, and delivered to the Trustee. Where any provision of this Indenture refers to action to be taken pursuant to a Guarantor’s Board Resolution, such action may be taken by any officer or employee of such Guarantor authorized to take such action by such Guarantor’s Board of Directors as evidenced by a Guarantor’s Board Resolution.</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Guarantor’s Officer’s Certificate</w:t>
      </w:r>
      <w:r>
        <w:rPr>
          <w:rFonts w:ascii="Times New Roman" w:cs="Times New Roman" w:eastAsia="Times New Roman" w:hAnsi="Times New Roman"/>
          <w:sz w:val="14"/>
          <w:szCs w:val="14"/>
          <w:color w:val="auto"/>
        </w:rPr>
        <w:t>” means, with respect to any Guarantor, a certificate signed by any Officer of such Guarantor.</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Guarantor Request</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i w:val="1"/>
          <w:iCs w:val="1"/>
          <w:color w:val="auto"/>
        </w:rPr>
        <w:t>Guarantor Order</w:t>
      </w:r>
      <w:r>
        <w:rPr>
          <w:rFonts w:ascii="Times New Roman" w:cs="Times New Roman" w:eastAsia="Times New Roman" w:hAnsi="Times New Roman"/>
          <w:sz w:val="14"/>
          <w:szCs w:val="14"/>
          <w:color w:val="auto"/>
        </w:rPr>
        <w:t>” means, with respect to any Guarantor, a written request or order signed in the name of such Guarantor by any Officer of such Guarantor.</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Holder</w:t>
      </w:r>
      <w:r>
        <w:rPr>
          <w:rFonts w:ascii="Times New Roman" w:cs="Times New Roman" w:eastAsia="Times New Roman" w:hAnsi="Times New Roman"/>
          <w:sz w:val="14"/>
          <w:szCs w:val="14"/>
          <w:color w:val="auto"/>
        </w:rPr>
        <w:t>” means a Person in whose name a Security is registered on the Security Registrar’s books.</w:t>
      </w:r>
    </w:p>
    <w:p>
      <w:pPr>
        <w:spacing w:after="0" w:line="179" w:lineRule="exact"/>
        <w:rPr>
          <w:sz w:val="20"/>
          <w:szCs w:val="20"/>
          <w:color w:val="auto"/>
        </w:rPr>
      </w:pPr>
    </w:p>
    <w:p>
      <w:pPr>
        <w:jc w:val="both"/>
        <w:ind w:firstLine="511"/>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Indebtedness</w:t>
      </w:r>
      <w:r>
        <w:rPr>
          <w:rFonts w:ascii="Times New Roman" w:cs="Times New Roman" w:eastAsia="Times New Roman" w:hAnsi="Times New Roman"/>
          <w:sz w:val="14"/>
          <w:szCs w:val="14"/>
          <w:color w:val="auto"/>
        </w:rPr>
        <w:t>” means, with respect to any Person on any date of determination, any obligation of such Person, whether contingent or otherwise, for the repayment of borrowed money and any guarantee thereof.</w:t>
      </w:r>
    </w:p>
    <w:p>
      <w:pPr>
        <w:spacing w:after="0" w:line="120" w:lineRule="exact"/>
        <w:rPr>
          <w:sz w:val="20"/>
          <w:szCs w:val="20"/>
          <w:color w:val="auto"/>
        </w:rPr>
      </w:pPr>
    </w:p>
    <w:p>
      <w:pPr>
        <w:jc w:val="both"/>
        <w:ind w:firstLine="511"/>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The term “Indenture” shall also include the terms of any particular series or specific Securities within a series and of any Guarantees thereof established as contemplated by Section 301.</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interest</w:t>
      </w:r>
      <w:r>
        <w:rPr>
          <w:rFonts w:ascii="Times New Roman" w:cs="Times New Roman" w:eastAsia="Times New Roman" w:hAnsi="Times New Roman"/>
          <w:sz w:val="14"/>
          <w:szCs w:val="14"/>
          <w:color w:val="auto"/>
        </w:rPr>
        <w:t>,” when used with respect to an Original Issue Discount Security that by its terms bears interest only after Maturity, means interest payable after Maturity.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Interest Payment Date</w:t>
      </w:r>
      <w:r>
        <w:rPr>
          <w:rFonts w:ascii="Times New Roman" w:cs="Times New Roman" w:eastAsia="Times New Roman" w:hAnsi="Times New Roman"/>
          <w:sz w:val="14"/>
          <w:szCs w:val="14"/>
          <w:color w:val="auto"/>
        </w:rPr>
        <w:t>,” when used with respect to any Security, means the stated date for payment of an installment of interest on such Security.</w:t>
      </w:r>
    </w:p>
    <w:p>
      <w:pPr>
        <w:spacing w:after="0" w:line="179" w:lineRule="exact"/>
        <w:rPr>
          <w:sz w:val="20"/>
          <w:szCs w:val="20"/>
          <w:color w:val="auto"/>
        </w:rPr>
      </w:pPr>
    </w:p>
    <w:p>
      <w:pPr>
        <w:jc w:val="both"/>
        <w:ind w:firstLine="511"/>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Maturity</w:t>
      </w:r>
      <w:r>
        <w:rPr>
          <w:rFonts w:ascii="Times New Roman" w:cs="Times New Roman" w:eastAsia="Times New Roman" w:hAnsi="Times New Roman"/>
          <w:sz w:val="14"/>
          <w:szCs w:val="14"/>
          <w:color w:val="auto"/>
        </w:rPr>
        <w:t>,” when used with respect to any Security of a series, means the date on which the principal of such Security or an installment of principal becomes due and payable as therein or herein provided, whether at the Stated Maturity or by acceleration, call for redemption or otherwise.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68" w:name="page69"/>
    <w:bookmarkEnd w:id="68"/>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Notice of Default</w:t>
      </w:r>
      <w:r>
        <w:rPr>
          <w:rFonts w:ascii="Times New Roman" w:cs="Times New Roman" w:eastAsia="Times New Roman" w:hAnsi="Times New Roman"/>
          <w:sz w:val="14"/>
          <w:szCs w:val="14"/>
          <w:color w:val="auto"/>
        </w:rPr>
        <w:t>” means a written notice of the kind specified in the final paragraph of Section 501.</w:t>
      </w:r>
    </w:p>
    <w:p>
      <w:pPr>
        <w:spacing w:after="0" w:line="179" w:lineRule="exact"/>
        <w:rPr>
          <w:sz w:val="20"/>
          <w:szCs w:val="20"/>
          <w:color w:val="auto"/>
        </w:rPr>
      </w:pPr>
    </w:p>
    <w:p>
      <w:pPr>
        <w:jc w:val="both"/>
        <w:ind w:firstLine="511"/>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Officer</w:t>
      </w:r>
      <w:r>
        <w:rPr>
          <w:rFonts w:ascii="Times New Roman" w:cs="Times New Roman" w:eastAsia="Times New Roman" w:hAnsi="Times New Roman"/>
          <w:sz w:val="14"/>
          <w:szCs w:val="14"/>
          <w:color w:val="auto"/>
        </w:rPr>
        <w:t>” means, with respect to any Person, the Chairman of the Board, the Chief Executive Officer, the President, the Chief Financial Officer, the Chief Accounting Officer, any Executive Vice President, any Vice President, the Treasurer, the Secretary or any Assistant Secretary of such Person (or, if such Person is a partnership, the general partner thereof) or any other officer or officers of such Person (or such general partner) designated in a writing by or pursuant to authority of the Board of Directors (if such Person is the Company) or the Guarantor’s Board of Directors with respect to such Guarantor (if such Person is a Guarantor) and delivered to the Trustee from time to time.</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Officer’s Certificate</w:t>
      </w:r>
      <w:r>
        <w:rPr>
          <w:rFonts w:ascii="Times New Roman" w:cs="Times New Roman" w:eastAsia="Times New Roman" w:hAnsi="Times New Roman"/>
          <w:sz w:val="14"/>
          <w:szCs w:val="14"/>
          <w:color w:val="auto"/>
        </w:rPr>
        <w:t>” means a certificate signed by an Officer of the Company or the Parent Guarantor, if any, that meets the requirements of Section 102.</w:t>
      </w:r>
    </w:p>
    <w:p>
      <w:pPr>
        <w:spacing w:after="0" w:line="179" w:lineRule="exact"/>
        <w:rPr>
          <w:sz w:val="20"/>
          <w:szCs w:val="20"/>
          <w:color w:val="auto"/>
        </w:rPr>
      </w:pPr>
    </w:p>
    <w:p>
      <w:pPr>
        <w:jc w:val="both"/>
        <w:ind w:firstLine="511"/>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Opinion of Counsel</w:t>
      </w:r>
      <w:r>
        <w:rPr>
          <w:rFonts w:ascii="Times New Roman" w:cs="Times New Roman" w:eastAsia="Times New Roman" w:hAnsi="Times New Roman"/>
          <w:sz w:val="14"/>
          <w:szCs w:val="14"/>
          <w:color w:val="auto"/>
        </w:rPr>
        <w:t>” means a written opinion from legal counsel (who may be an employee of or counsel for the Company, any Guarantor or any Affiliate thereof) who is reasonably acceptable to the Trustee that meets the requirements of Section 102.</w:t>
      </w:r>
    </w:p>
    <w:p>
      <w:pPr>
        <w:spacing w:after="0" w:line="120" w:lineRule="exact"/>
        <w:rPr>
          <w:sz w:val="20"/>
          <w:szCs w:val="20"/>
          <w:color w:val="auto"/>
        </w:rPr>
      </w:pPr>
    </w:p>
    <w:p>
      <w:pPr>
        <w:jc w:val="both"/>
        <w:ind w:firstLine="511"/>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Original Issue Discount Security</w:t>
      </w:r>
      <w:r>
        <w:rPr>
          <w:rFonts w:ascii="Times New Roman" w:cs="Times New Roman" w:eastAsia="Times New Roman" w:hAnsi="Times New Roman"/>
          <w:sz w:val="14"/>
          <w:szCs w:val="14"/>
          <w:color w:val="auto"/>
        </w:rPr>
        <w:t>” means any Security that provides for an amount less than the principal amount thereof to be due and payable upon an acceleration of the Maturity thereof pursuant to Section 502.</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Outstanding</w:t>
      </w:r>
      <w:r>
        <w:rPr>
          <w:rFonts w:ascii="Times New Roman" w:cs="Times New Roman" w:eastAsia="Times New Roman" w:hAnsi="Times New Roman"/>
          <w:sz w:val="14"/>
          <w:szCs w:val="14"/>
          <w:color w:val="auto"/>
        </w:rPr>
        <w:t>,” when used with respect to Securities, means, as of the date of determination, all Securities theretofore authenticated and delivered under this Indenture, except:</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Securities theretofore cancelled by the Trustee or delivered to the Trustee for cancellation;</w:t>
      </w:r>
    </w:p>
    <w:p>
      <w:pPr>
        <w:spacing w:after="0" w:line="179" w:lineRule="exact"/>
        <w:rPr>
          <w:sz w:val="20"/>
          <w:szCs w:val="20"/>
          <w:color w:val="auto"/>
        </w:rPr>
      </w:pPr>
    </w:p>
    <w:p>
      <w:pPr>
        <w:jc w:val="both"/>
        <w:ind w:left="520" w:firstLine="511"/>
        <w:spacing w:after="0" w:line="271" w:lineRule="auto"/>
        <w:rPr>
          <w:sz w:val="20"/>
          <w:szCs w:val="20"/>
          <w:color w:val="auto"/>
        </w:rPr>
      </w:pPr>
      <w:r>
        <w:rPr>
          <w:rFonts w:ascii="Times New Roman" w:cs="Times New Roman" w:eastAsia="Times New Roman" w:hAnsi="Times New Roman"/>
          <w:sz w:val="14"/>
          <w:szCs w:val="14"/>
          <w:color w:val="auto"/>
        </w:rPr>
        <w:t xml:space="preserve">(2)           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such Securities are to be redeemed, notice of such redemption has been duly given pursuant to this Indenture or provision therefor satisfactory to the Trustee has been made;</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(3)           Securities as to which Defeasance has been effected pursuant to Section 1302;</w:t>
      </w:r>
    </w:p>
    <w:p>
      <w:pPr>
        <w:spacing w:after="0" w:line="179" w:lineRule="exact"/>
        <w:rPr>
          <w:sz w:val="20"/>
          <w:szCs w:val="20"/>
          <w:color w:val="auto"/>
        </w:rPr>
      </w:pPr>
    </w:p>
    <w:p>
      <w:pPr>
        <w:jc w:val="both"/>
        <w:ind w:left="520" w:firstLine="511"/>
        <w:spacing w:after="0" w:line="271" w:lineRule="auto"/>
        <w:rPr>
          <w:sz w:val="20"/>
          <w:szCs w:val="20"/>
          <w:color w:val="auto"/>
        </w:rPr>
      </w:pPr>
      <w:r>
        <w:rPr>
          <w:rFonts w:ascii="Times New Roman" w:cs="Times New Roman" w:eastAsia="Times New Roman" w:hAnsi="Times New Roman"/>
          <w:sz w:val="14"/>
          <w:szCs w:val="14"/>
          <w:color w:val="auto"/>
        </w:rPr>
        <w:t>(4)           Securities that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protected purchaser in whose hands such Securities are valid obligations of the Company; and</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69" w:name="page70"/>
    <w:bookmarkEnd w:id="69"/>
    <w:p>
      <w:pPr>
        <w:ind w:left="520" w:firstLine="511"/>
        <w:spacing w:after="0" w:line="288" w:lineRule="auto"/>
        <w:rPr>
          <w:sz w:val="20"/>
          <w:szCs w:val="20"/>
          <w:color w:val="auto"/>
        </w:rPr>
      </w:pPr>
      <w:r>
        <w:rPr>
          <w:rFonts w:ascii="Times New Roman" w:cs="Times New Roman" w:eastAsia="Times New Roman" w:hAnsi="Times New Roman"/>
          <w:sz w:val="14"/>
          <w:szCs w:val="14"/>
          <w:color w:val="auto"/>
        </w:rPr>
        <w:t>(5)           Securities as to which any property deliverable upon conversion thereof has been delivered (or such delivery has been duly provided for), or as to which any other particular conditions have been satisfied, in each case as may be provided for such Securities as contemplated in Section 301;</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that shall be deemed to be Outstanding shall be the amount of the principal thereof that would be due and payable as of such date upon acceleration of the Maturity thereof to such date pursuant to Section 502, (B) if, as of such date, the principal amount payable at the Stated Maturity of a Security is not determinable, the principal amount of such Security that shall be deemed to be Outstanding shall be the amount as specified or determined as contemplated by Section 301, (C) the principal amount of a Security denominated in one or more foreign currencies, composite currencies or currency units that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Company, any Guarantor of the Securities or any other obligor upon the Securities or any Affiliate of the Company or any such Guarantor or of such other obligor shall be disregarded and deemed not to be Outstanding, except that, in determining whether the Trustee shall be protected in relying upon any such request, demand, authorization, direction, notice, consent, waiver or other action, only Securities that a Responsible Officer of the Trustee actually knows to be so owned shall be so disregarded. Securities so owned that have been pledged in good faith may be regarded as Outstanding if the pledgee establishes to the satisfaction of the Trustee the pledgee’s right so to act with respect to such Securities and that the pledgee is not the Company or any Guarantor of such Securities or any other obligor upon the Securities or any Affiliate of the Company or a Guarantor of the Securities or such other obligor.</w:t>
      </w:r>
    </w:p>
    <w:p>
      <w:pPr>
        <w:spacing w:after="0" w:line="150" w:lineRule="exact"/>
        <w:rPr>
          <w:sz w:val="20"/>
          <w:szCs w:val="20"/>
          <w:color w:val="auto"/>
        </w:rPr>
      </w:pPr>
    </w:p>
    <w:p>
      <w:pPr>
        <w:jc w:val="both"/>
        <w:ind w:firstLine="511"/>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Parent Guarantor</w:t>
      </w:r>
      <w:r>
        <w:rPr>
          <w:rFonts w:ascii="Times New Roman" w:cs="Times New Roman" w:eastAsia="Times New Roman" w:hAnsi="Times New Roman"/>
          <w:sz w:val="14"/>
          <w:szCs w:val="14"/>
          <w:color w:val="auto"/>
        </w:rPr>
        <w:t>” means (a) Viper Energy, Inc. (“</w:t>
      </w:r>
      <w:r>
        <w:rPr>
          <w:rFonts w:ascii="Times New Roman" w:cs="Times New Roman" w:eastAsia="Times New Roman" w:hAnsi="Times New Roman"/>
          <w:sz w:val="14"/>
          <w:szCs w:val="14"/>
          <w:b w:val="1"/>
          <w:bCs w:val="1"/>
          <w:i w:val="1"/>
          <w:iCs w:val="1"/>
          <w:color w:val="auto"/>
        </w:rPr>
        <w:t>Viper Energy</w:t>
      </w:r>
      <w:r>
        <w:rPr>
          <w:rFonts w:ascii="Times New Roman" w:cs="Times New Roman" w:eastAsia="Times New Roman" w:hAnsi="Times New Roman"/>
          <w:sz w:val="14"/>
          <w:szCs w:val="14"/>
          <w:color w:val="auto"/>
        </w:rPr>
        <w:t>”) and (b) if the Guarantee of any existing “Parent Guarantor” is released as set forth in Section 1401, at the Company’s option as set forth in an Officer’s Certificate delivered to the Trustee, either (x) a successor guarantor that meets the requirements of a Successor Guarantor set forth in Section 14.01 or (y) the Company.</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Paying Agent</w:t>
      </w:r>
      <w:r>
        <w:rPr>
          <w:rFonts w:ascii="Times New Roman" w:cs="Times New Roman" w:eastAsia="Times New Roman" w:hAnsi="Times New Roman"/>
          <w:sz w:val="14"/>
          <w:szCs w:val="14"/>
          <w:color w:val="auto"/>
        </w:rPr>
        <w:t>” means any Person authorized by the Company to pay the principal of or any premium or interest on any Securities on behalf of the Company.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payment default</w:t>
      </w:r>
      <w:r>
        <w:rPr>
          <w:rFonts w:ascii="Times New Roman" w:cs="Times New Roman" w:eastAsia="Times New Roman" w:hAnsi="Times New Roman"/>
          <w:sz w:val="14"/>
          <w:szCs w:val="14"/>
          <w:color w:val="auto"/>
        </w:rPr>
        <w:t>” has the meaning specified in Section 501.</w:t>
      </w:r>
    </w:p>
    <w:p>
      <w:pPr>
        <w:spacing w:after="0" w:line="179" w:lineRule="exact"/>
        <w:rPr>
          <w:sz w:val="20"/>
          <w:szCs w:val="20"/>
          <w:color w:val="auto"/>
        </w:rPr>
      </w:pPr>
    </w:p>
    <w:p>
      <w:pPr>
        <w:jc w:val="both"/>
        <w:ind w:firstLine="511"/>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Person</w:t>
      </w:r>
      <w:r>
        <w:rPr>
          <w:rFonts w:ascii="Times New Roman" w:cs="Times New Roman" w:eastAsia="Times New Roman" w:hAnsi="Times New Roman"/>
          <w:sz w:val="14"/>
          <w:szCs w:val="14"/>
          <w:color w:val="auto"/>
        </w:rPr>
        <w:t>” means any individual, corporation, partnership, joint venture, association, joint stock company, trust, unincorporated organization, limited liability company or government or any other entity.</w:t>
      </w:r>
    </w:p>
    <w:p>
      <w:pPr>
        <w:spacing w:after="0" w:line="120" w:lineRule="exact"/>
        <w:rPr>
          <w:sz w:val="20"/>
          <w:szCs w:val="20"/>
          <w:color w:val="auto"/>
        </w:rPr>
      </w:pPr>
    </w:p>
    <w:p>
      <w:pPr>
        <w:jc w:val="both"/>
        <w:ind w:firstLine="511"/>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Place of Payment</w:t>
      </w:r>
      <w:r>
        <w:rPr>
          <w:rFonts w:ascii="Times New Roman" w:cs="Times New Roman" w:eastAsia="Times New Roman" w:hAnsi="Times New Roman"/>
          <w:sz w:val="14"/>
          <w:szCs w:val="14"/>
          <w:color w:val="auto"/>
        </w:rPr>
        <w:t>,” when used with respect to the Securities of any series and subject to Section 1002, means the place or places where the principal of and any premium and interest on the Securities of that series are payable as contemplated by Section 301.</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70" w:name="page71"/>
    <w:bookmarkEnd w:id="70"/>
    <w:p>
      <w:pPr>
        <w:jc w:val="both"/>
        <w:ind w:firstLine="511"/>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Predecessor Security</w:t>
      </w:r>
      <w:r>
        <w:rPr>
          <w:rFonts w:ascii="Times New Roman" w:cs="Times New Roman" w:eastAsia="Times New Roman" w:hAnsi="Times New Roman"/>
          <w:sz w:val="14"/>
          <w:szCs w:val="14"/>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wrongfully taken Security shall be deemed to evidence the same debt as the mutilated, destroyed, lost or wrongfully taken Security.</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Qualified Reporting Entity</w:t>
      </w:r>
      <w:r>
        <w:rPr>
          <w:rFonts w:ascii="Times New Roman" w:cs="Times New Roman" w:eastAsia="Times New Roman" w:hAnsi="Times New Roman"/>
          <w:sz w:val="14"/>
          <w:szCs w:val="14"/>
          <w:color w:val="auto"/>
        </w:rPr>
        <w:t>” has the meaning specified in Section 704.</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Redemption Date</w:t>
      </w:r>
      <w:r>
        <w:rPr>
          <w:rFonts w:ascii="Times New Roman" w:cs="Times New Roman" w:eastAsia="Times New Roman" w:hAnsi="Times New Roman"/>
          <w:sz w:val="14"/>
          <w:szCs w:val="14"/>
          <w:color w:val="auto"/>
        </w:rPr>
        <w:t>,” when used with respect to any Security to be redeemed, means the date fixed for such redemption by or pursuant to this Indenture.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Redemption Price</w:t>
      </w:r>
      <w:r>
        <w:rPr>
          <w:rFonts w:ascii="Times New Roman" w:cs="Times New Roman" w:eastAsia="Times New Roman" w:hAnsi="Times New Roman"/>
          <w:sz w:val="14"/>
          <w:szCs w:val="14"/>
          <w:color w:val="auto"/>
        </w:rPr>
        <w:t>,” when used with respect to any Security to be redeemed, means the price at which it is to be redeemed pursuant to this Indenture.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Regular Record Date</w:t>
      </w:r>
      <w:r>
        <w:rPr>
          <w:rFonts w:ascii="Times New Roman" w:cs="Times New Roman" w:eastAsia="Times New Roman" w:hAnsi="Times New Roman"/>
          <w:sz w:val="14"/>
          <w:szCs w:val="14"/>
          <w:color w:val="auto"/>
        </w:rPr>
        <w:t>” for the interest payable on any Interest Payment Date on the Securities of any series, means the date specified for that purpose as contemplated by Section 301.</w:t>
      </w:r>
    </w:p>
    <w:p>
      <w:pPr>
        <w:spacing w:after="0" w:line="179" w:lineRule="exact"/>
        <w:rPr>
          <w:sz w:val="20"/>
          <w:szCs w:val="20"/>
          <w:color w:val="auto"/>
        </w:rPr>
      </w:pPr>
    </w:p>
    <w:p>
      <w:pPr>
        <w:jc w:val="both"/>
        <w:ind w:firstLine="511"/>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Responsible Officer</w:t>
      </w:r>
      <w:r>
        <w:rPr>
          <w:rFonts w:ascii="Times New Roman" w:cs="Times New Roman" w:eastAsia="Times New Roman" w:hAnsi="Times New Roman"/>
          <w:sz w:val="14"/>
          <w:szCs w:val="14"/>
          <w:color w:val="auto"/>
        </w:rPr>
        <w:t>,” when used with respect to the Trustee, means any officer within the corporate trust department of the Trustee (or any successor group of the Trustee), including any vice president, assistant vice president, assistant secretary, assistant treasurer, trust officer or any other officer of the Trustee customarily performing functions similar to those performed by any of the above designated officers who at the time shall be such officers and also means, with respect to a particular corporate trust matter, any other officer to whom such matter is referred because of his or her knowledge of and familiarity with the particular subject, and who, in each case, shall have direct responsibility for the administration of this Indenture.</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w:t>
      </w:r>
      <w:r>
        <w:rPr>
          <w:rFonts w:ascii="Times New Roman" w:cs="Times New Roman" w:eastAsia="Times New Roman" w:hAnsi="Times New Roman"/>
          <w:sz w:val="14"/>
          <w:szCs w:val="14"/>
          <w:color w:val="auto"/>
        </w:rPr>
        <w:t>” means the United States Securities and Exchange Commission.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has the meaning stated in the first recital of this Indenture and more particularly means any Securities authenticated and delivered under this Indenture.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means the Securities Act of 1933, as amended, and the rules and regulations of the SEC promulgated thereunder.</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Security Register</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i w:val="1"/>
          <w:iCs w:val="1"/>
          <w:color w:val="auto"/>
        </w:rPr>
        <w:t>Security Registrar</w:t>
      </w:r>
      <w:r>
        <w:rPr>
          <w:rFonts w:ascii="Times New Roman" w:cs="Times New Roman" w:eastAsia="Times New Roman" w:hAnsi="Times New Roman"/>
          <w:sz w:val="14"/>
          <w:szCs w:val="14"/>
          <w:color w:val="auto"/>
        </w:rPr>
        <w:t>” have the respective meanings specified in Section 305.</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Signature Law</w:t>
      </w:r>
      <w:r>
        <w:rPr>
          <w:rFonts w:ascii="Times New Roman" w:cs="Times New Roman" w:eastAsia="Times New Roman" w:hAnsi="Times New Roman"/>
          <w:sz w:val="14"/>
          <w:szCs w:val="14"/>
          <w:color w:val="auto"/>
        </w:rPr>
        <w:t>” has the meaning specified in Section 119.</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Special Record Date</w:t>
      </w:r>
      <w:r>
        <w:rPr>
          <w:rFonts w:ascii="Times New Roman" w:cs="Times New Roman" w:eastAsia="Times New Roman" w:hAnsi="Times New Roman"/>
          <w:sz w:val="14"/>
          <w:szCs w:val="14"/>
          <w:color w:val="auto"/>
        </w:rPr>
        <w:t>” for the payment of any Defaulted Interest, means a date fixed by the Company pursuant to Section 307.</w:t>
      </w:r>
    </w:p>
    <w:p>
      <w:pPr>
        <w:spacing w:after="0" w:line="179" w:lineRule="exact"/>
        <w:rPr>
          <w:sz w:val="20"/>
          <w:szCs w:val="20"/>
          <w:color w:val="auto"/>
        </w:rPr>
      </w:pPr>
    </w:p>
    <w:p>
      <w:pPr>
        <w:jc w:val="both"/>
        <w:ind w:firstLine="511"/>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Stated Maturity</w:t>
      </w:r>
      <w:r>
        <w:rPr>
          <w:rFonts w:ascii="Times New Roman" w:cs="Times New Roman" w:eastAsia="Times New Roman" w:hAnsi="Times New Roman"/>
          <w:sz w:val="14"/>
          <w:szCs w:val="14"/>
          <w:color w:val="auto"/>
        </w:rPr>
        <w:t>” means, with respect to any Security of a series, the date specified in such Security as the fixed date on which the payment of principal of such Security is due and payable, including, without limitation, pursuant to any mandatory redemption provision, but shall not include any contingent obligations to repay, redeem or repurchase any such principal prior to the date originally scheduled for the payment thereof.</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71" w:name="page72"/>
    <w:bookmarkEnd w:id="71"/>
    <w:p>
      <w:pPr>
        <w:jc w:val="both"/>
        <w:ind w:firstLine="511"/>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Subsidiary</w:t>
      </w:r>
      <w:r>
        <w:rPr>
          <w:rFonts w:ascii="Times New Roman" w:cs="Times New Roman" w:eastAsia="Times New Roman" w:hAnsi="Times New Roman"/>
          <w:sz w:val="14"/>
          <w:szCs w:val="14"/>
          <w:color w:val="auto"/>
        </w:rPr>
        <w:t>,” with respect to any Person, means any (i) corporation, limited liability company or other entity (other than a partnership) of which the outstanding Capital Stock having a majority of the votes entitled to be cast in the election of directors, managers or trustees of such entity under ordinary circumstances shall at the time be owned, directly or indirectly, by such Person or any other Person of which a majority of the voting interests under ordinary circumstances is at the time, directly or indirectly, owned by such Person or (ii)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Subsidiary Guarantor</w:t>
      </w:r>
      <w:r>
        <w:rPr>
          <w:rFonts w:ascii="Times New Roman" w:cs="Times New Roman" w:eastAsia="Times New Roman" w:hAnsi="Times New Roman"/>
          <w:sz w:val="14"/>
          <w:szCs w:val="14"/>
          <w:color w:val="auto"/>
        </w:rPr>
        <w:t>” means any Guarantor that is a Subsidiary of the Parent Guarantor.</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Successor Company</w:t>
      </w:r>
      <w:r>
        <w:rPr>
          <w:rFonts w:ascii="Times New Roman" w:cs="Times New Roman" w:eastAsia="Times New Roman" w:hAnsi="Times New Roman"/>
          <w:sz w:val="14"/>
          <w:szCs w:val="14"/>
          <w:color w:val="auto"/>
        </w:rPr>
        <w:t>” has the meaning specified in Section 801.</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Successor Guarantor</w:t>
      </w:r>
      <w:r>
        <w:rPr>
          <w:rFonts w:ascii="Times New Roman" w:cs="Times New Roman" w:eastAsia="Times New Roman" w:hAnsi="Times New Roman"/>
          <w:sz w:val="14"/>
          <w:szCs w:val="14"/>
          <w:color w:val="auto"/>
        </w:rPr>
        <w:t>” has the meaning specified in Section 1401.</w:t>
      </w:r>
    </w:p>
    <w:p>
      <w:pPr>
        <w:spacing w:after="0" w:line="179" w:lineRule="exact"/>
        <w:rPr>
          <w:sz w:val="20"/>
          <w:szCs w:val="20"/>
          <w:color w:val="auto"/>
        </w:rPr>
      </w:pPr>
    </w:p>
    <w:p>
      <w:pPr>
        <w:jc w:val="both"/>
        <w:ind w:firstLine="511"/>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Trust Indenture Act</w:t>
      </w:r>
      <w:r>
        <w:rPr>
          <w:rFonts w:ascii="Times New Roman" w:cs="Times New Roman" w:eastAsia="Times New Roman" w:hAnsi="Times New Roman"/>
          <w:sz w:val="14"/>
          <w:szCs w:val="14"/>
          <w:color w:val="auto"/>
        </w:rPr>
        <w:t>” means the Trust Indenture Act of 1939 as in force at the date as of which this Indenture was executed; provided, however, that in the event the Trust Indenture Act of 1939 is amended after such date, “</w:t>
      </w:r>
      <w:r>
        <w:rPr>
          <w:rFonts w:ascii="Times New Roman" w:cs="Times New Roman" w:eastAsia="Times New Roman" w:hAnsi="Times New Roman"/>
          <w:sz w:val="14"/>
          <w:szCs w:val="14"/>
          <w:b w:val="1"/>
          <w:bCs w:val="1"/>
          <w:i w:val="1"/>
          <w:iCs w:val="1"/>
          <w:color w:val="auto"/>
        </w:rPr>
        <w:t>Trust Indenture Act</w:t>
      </w:r>
      <w:r>
        <w:rPr>
          <w:rFonts w:ascii="Times New Roman" w:cs="Times New Roman" w:eastAsia="Times New Roman" w:hAnsi="Times New Roman"/>
          <w:sz w:val="14"/>
          <w:szCs w:val="14"/>
          <w:color w:val="auto"/>
        </w:rPr>
        <w:t>” means, to the extent required by any such amendment, the Trust Indenture Act of 1939 as so amended.</w:t>
      </w:r>
    </w:p>
    <w:p>
      <w:pPr>
        <w:spacing w:after="0" w:line="120" w:lineRule="exact"/>
        <w:rPr>
          <w:sz w:val="20"/>
          <w:szCs w:val="20"/>
          <w:color w:val="auto"/>
        </w:rPr>
      </w:pPr>
    </w:p>
    <w:p>
      <w:pPr>
        <w:jc w:val="both"/>
        <w:ind w:firstLine="511"/>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means the Person named as the “</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in the first paragraph of this Indenture until a successor Trustee shall have become such pursuant to the applicable provisions of this Indenture, and thereafter “</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shall mean or include each Person who is then a Trustee hereunder, and if at any time there is more than one such Person, “</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as used with respect to the Securities of any series shall mean the Trustee with respect to Securities of that series.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Uniform Commercial Code</w:t>
      </w:r>
      <w:r>
        <w:rPr>
          <w:rFonts w:ascii="Times New Roman" w:cs="Times New Roman" w:eastAsia="Times New Roman" w:hAnsi="Times New Roman"/>
          <w:sz w:val="14"/>
          <w:szCs w:val="14"/>
          <w:color w:val="auto"/>
        </w:rPr>
        <w:t>” means the Uniform Commercial Code in effect in the State of Delaware or the State of New York, as applicable, in each case as amended from time to time.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U.S. Government Obligation</w:t>
      </w:r>
      <w:r>
        <w:rPr>
          <w:rFonts w:ascii="Times New Roman" w:cs="Times New Roman" w:eastAsia="Times New Roman" w:hAnsi="Times New Roman"/>
          <w:sz w:val="14"/>
          <w:szCs w:val="14"/>
          <w:color w:val="auto"/>
        </w:rPr>
        <w:t>” has the meaning specified in Section 1304.</w:t>
      </w:r>
    </w:p>
    <w:p>
      <w:pPr>
        <w:spacing w:after="0" w:line="179" w:lineRule="exact"/>
        <w:rPr>
          <w:sz w:val="20"/>
          <w:szCs w:val="20"/>
          <w:color w:val="auto"/>
        </w:rPr>
      </w:pPr>
    </w:p>
    <w:p>
      <w:pPr>
        <w:jc w:val="both"/>
        <w:ind w:firstLine="511"/>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Vice President</w:t>
      </w:r>
      <w:r>
        <w:rPr>
          <w:rFonts w:ascii="Times New Roman" w:cs="Times New Roman" w:eastAsia="Times New Roman" w:hAnsi="Times New Roman"/>
          <w:sz w:val="14"/>
          <w:szCs w:val="14"/>
          <w:color w:val="auto"/>
        </w:rPr>
        <w:t>,” when used with respect to the Company, any Guarantor or the Trustee, means any executive vice president and any senior vice president, whether or not designated by a number or a word or words added before or after the title “executive vice president” or “senior vice president.”</w:t>
      </w:r>
    </w:p>
    <w:p>
      <w:pPr>
        <w:spacing w:after="0" w:line="122"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Section 102         </w:t>
      </w:r>
      <w:r>
        <w:rPr>
          <w:rFonts w:ascii="Times New Roman" w:cs="Times New Roman" w:eastAsia="Times New Roman" w:hAnsi="Times New Roman"/>
          <w:sz w:val="14"/>
          <w:szCs w:val="14"/>
          <w:u w:val="single" w:color="auto"/>
          <w:color w:val="auto"/>
        </w:rPr>
        <w:t>  Compliance Certificates and Opinions</w:t>
      </w:r>
      <w:r>
        <w:rPr>
          <w:rFonts w:ascii="Times New Roman" w:cs="Times New Roman" w:eastAsia="Times New Roman" w:hAnsi="Times New Roman"/>
          <w:sz w:val="14"/>
          <w:szCs w:val="14"/>
          <w:color w:val="auto"/>
        </w:rPr>
        <w:t>. Upon any application or request by the Company or a Guarantor to the Trustee to take any action under any provision of this Indenture, the Company or such Guarantor, as the case may be, shall furnish to the Trustee such certificates and opinions as may be required under the Trust Indenture Act. Each such certificate or opinion shall be given in the form of an Officer’s Certificate, if to be given by an Officer of the Company, or a Guarantor’s Officer’s Certificate, if to be given by an Officer of any Guarantor, or an Opinion of Counsel, if to be given by counsel, and shall comply with the requirements of the Trust Indenture Act and any other requirements set forth in this Indenture.</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72" w:name="page73"/>
    <w:bookmarkEnd w:id="72"/>
    <w:p>
      <w:pPr>
        <w:ind w:left="520"/>
        <w:spacing w:after="0"/>
        <w:rPr>
          <w:sz w:val="20"/>
          <w:szCs w:val="20"/>
          <w:color w:val="auto"/>
        </w:rPr>
      </w:pPr>
      <w:r>
        <w:rPr>
          <w:rFonts w:ascii="Times New Roman" w:cs="Times New Roman" w:eastAsia="Times New Roman" w:hAnsi="Times New Roman"/>
          <w:sz w:val="14"/>
          <w:szCs w:val="14"/>
          <w:color w:val="auto"/>
        </w:rPr>
        <w:t>Every certificate or opinion with respect to compliance with a condition or covenant provided for in this Indenture shall include:</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a statement that each individual signing such certificate or opinion has read such covenant or condition and the definitions herein relating thereto;</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a brief statement as to the nature and scope of the examination or investigation upon which the statements or opinions contained in such certificate or opinion are based;</w:t>
      </w:r>
    </w:p>
    <w:p>
      <w:pPr>
        <w:spacing w:after="0" w:line="179" w:lineRule="exact"/>
        <w:rPr>
          <w:sz w:val="20"/>
          <w:szCs w:val="20"/>
          <w:color w:val="auto"/>
        </w:rPr>
      </w:pPr>
    </w:p>
    <w:p>
      <w:pPr>
        <w:ind w:left="520" w:firstLine="511"/>
        <w:spacing w:after="0" w:line="288" w:lineRule="auto"/>
        <w:rPr>
          <w:sz w:val="20"/>
          <w:szCs w:val="20"/>
          <w:color w:val="auto"/>
        </w:rPr>
      </w:pPr>
      <w:r>
        <w:rPr>
          <w:rFonts w:ascii="Times New Roman" w:cs="Times New Roman" w:eastAsia="Times New Roman" w:hAnsi="Times New Roman"/>
          <w:sz w:val="14"/>
          <w:szCs w:val="14"/>
          <w:color w:val="auto"/>
        </w:rPr>
        <w:t>(3)           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(4)           a statement as to whether, in the opinion of each such individual, such condition or covenant has been complied with.</w:t>
      </w:r>
    </w:p>
    <w:p>
      <w:pPr>
        <w:spacing w:after="0" w:line="179" w:lineRule="exact"/>
        <w:rPr>
          <w:sz w:val="20"/>
          <w:szCs w:val="20"/>
          <w:color w:val="auto"/>
        </w:rPr>
      </w:pPr>
    </w:p>
    <w:p>
      <w:pPr>
        <w:jc w:val="both"/>
        <w:ind w:firstLine="511"/>
        <w:spacing w:after="0" w:line="268" w:lineRule="auto"/>
        <w:rPr>
          <w:sz w:val="20"/>
          <w:szCs w:val="20"/>
          <w:color w:val="auto"/>
        </w:rPr>
      </w:pPr>
      <w:r>
        <w:rPr>
          <w:rFonts w:ascii="Times New Roman" w:cs="Times New Roman" w:eastAsia="Times New Roman" w:hAnsi="Times New Roman"/>
          <w:sz w:val="14"/>
          <w:szCs w:val="14"/>
          <w:color w:val="auto"/>
        </w:rPr>
        <w:t>Section 103         </w:t>
      </w:r>
      <w:r>
        <w:rPr>
          <w:rFonts w:ascii="Times New Roman" w:cs="Times New Roman" w:eastAsia="Times New Roman" w:hAnsi="Times New Roman"/>
          <w:sz w:val="14"/>
          <w:szCs w:val="14"/>
          <w:u w:val="single" w:color="auto"/>
          <w:color w:val="auto"/>
        </w:rPr>
        <w:t>  Form of Documents Delivered to Trustee</w:t>
      </w:r>
      <w:r>
        <w:rPr>
          <w:rFonts w:ascii="Times New Roman" w:cs="Times New Roman" w:eastAsia="Times New Roman" w:hAnsi="Times New Roman"/>
          <w:sz w:val="14"/>
          <w:szCs w:val="14"/>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312"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Any certificate or opinion of an Officer of the Company or a Guarantor may be based, insofar as it relates to legal matters, upon a certificate or opinion of, or representations by, counsel. Any such certificate or opinion of, or representation by, counsel may be based, insofar as it relates to factual matters, upon a certificate or opinion of, or representations by, an Officer or Officers of the Company or such Guarantor, as the case may be, stating that the information with respect to such factual matters is in the possession of the Company or such Guarantor, as the case may be.</w:t>
      </w:r>
    </w:p>
    <w:p>
      <w:pPr>
        <w:spacing w:after="0" w:line="136"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24" w:lineRule="exact"/>
        <w:rPr>
          <w:sz w:val="20"/>
          <w:szCs w:val="20"/>
          <w:color w:val="auto"/>
        </w:rPr>
      </w:pPr>
    </w:p>
    <w:p>
      <w:pPr>
        <w:jc w:val="both"/>
        <w:ind w:firstLine="511"/>
        <w:spacing w:after="0" w:line="260" w:lineRule="auto"/>
        <w:rPr>
          <w:sz w:val="20"/>
          <w:szCs w:val="20"/>
          <w:color w:val="auto"/>
        </w:rPr>
      </w:pPr>
      <w:r>
        <w:rPr>
          <w:rFonts w:ascii="Times New Roman" w:cs="Times New Roman" w:eastAsia="Times New Roman" w:hAnsi="Times New Roman"/>
          <w:sz w:val="14"/>
          <w:szCs w:val="14"/>
          <w:color w:val="auto"/>
        </w:rPr>
        <w:t>Section 104         </w:t>
      </w:r>
      <w:r>
        <w:rPr>
          <w:rFonts w:ascii="Times New Roman" w:cs="Times New Roman" w:eastAsia="Times New Roman" w:hAnsi="Times New Roman"/>
          <w:sz w:val="14"/>
          <w:szCs w:val="14"/>
          <w:u w:val="single" w:color="auto"/>
          <w:color w:val="auto"/>
        </w:rPr>
        <w:t>  Acts of Holders; Record Dates</w:t>
      </w:r>
      <w:r>
        <w:rPr>
          <w:rFonts w:ascii="Times New Roman" w:cs="Times New Roman" w:eastAsia="Times New Roman" w:hAnsi="Times New Roman"/>
          <w:sz w:val="14"/>
          <w:szCs w:val="14"/>
          <w:color w:val="auto"/>
        </w:rPr>
        <w:t>. Any request, demand, authorization, direction, notice, consent, waiver or other action provided or permitted by or pursuant to this Indenture to be given, made or taken by Holders may be embodied in and evidenced by one or more instruments of substantially similar tenor signed by such Holders in person or by an agent or agents duly appointed in writing; and, except as herein otherwise expressly provided, such action shall become effective when such instrument or instruments are delivered to the Trustee and, where it is hereby expressly required, to the Company and any Guarantor. Such instrument or instruments (and the action embodied therein and evidenced thereby) are herein sometimes referred to as the “</w:t>
      </w:r>
      <w:r>
        <w:rPr>
          <w:rFonts w:ascii="Times New Roman" w:cs="Times New Roman" w:eastAsia="Times New Roman" w:hAnsi="Times New Roman"/>
          <w:sz w:val="14"/>
          <w:szCs w:val="14"/>
          <w:b w:val="1"/>
          <w:bCs w:val="1"/>
          <w:i w:val="1"/>
          <w:iCs w:val="1"/>
          <w:color w:val="auto"/>
        </w:rPr>
        <w:t>Act</w:t>
      </w:r>
      <w:r>
        <w:rPr>
          <w:rFonts w:ascii="Times New Roman" w:cs="Times New Roman" w:eastAsia="Times New Roman" w:hAnsi="Times New Roman"/>
          <w:sz w:val="14"/>
          <w:szCs w:val="14"/>
          <w:color w:val="auto"/>
        </w:rPr>
        <w:t>” of the Holders signing such instrument or instruments. Proof of execution of any such instrument or of a writing appointing any such agent shall be sufficient for any purpose of this Indenture and (subject to Section 601) conclusive in favor of the Trustee, the Company and any Guarantor, if made in the manner provided in this Section 104.</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73" w:name="page74"/>
    <w:bookmarkEnd w:id="73"/>
    <w:p>
      <w:pPr>
        <w:jc w:val="both"/>
        <w:ind w:firstLine="511"/>
        <w:spacing w:after="0" w:line="258" w:lineRule="auto"/>
        <w:rPr>
          <w:sz w:val="20"/>
          <w:szCs w:val="20"/>
          <w:color w:val="auto"/>
        </w:rPr>
      </w:pPr>
      <w:r>
        <w:rPr>
          <w:rFonts w:ascii="Times New Roman" w:cs="Times New Roman" w:eastAsia="Times New Roman" w:hAnsi="Times New Roman"/>
          <w:sz w:val="14"/>
          <w:szCs w:val="14"/>
          <w:color w:val="auto"/>
        </w:rPr>
        <w:t>Without limiting the generality of this Section 104, unless otherwise provided in or pursuant to this Indenture, (i) a Holder, including a Depositary or its nominee that is a Holder of a Global Security, may give, make or take, by an agent or agents duly appointed in writing, any request, demand, authorization, direction, notice, consent, waiver or other action provided or permitted in or pursuant to this Indenture to be given, made or taken by Holders, and a Depositary or its nominee that is a Holder of a Global Security may duly appoint in writing as its agent or agents members of, or participants in, such Depositary holding interests in such Global Security in the records of such Depositary, and (ii) with respect to any Global Security the Depositary for which is The Depository Trust Company (“</w:t>
      </w:r>
      <w:r>
        <w:rPr>
          <w:rFonts w:ascii="Times New Roman" w:cs="Times New Roman" w:eastAsia="Times New Roman" w:hAnsi="Times New Roman"/>
          <w:sz w:val="14"/>
          <w:szCs w:val="14"/>
          <w:b w:val="1"/>
          <w:bCs w:val="1"/>
          <w:i w:val="1"/>
          <w:iCs w:val="1"/>
          <w:color w:val="auto"/>
        </w:rPr>
        <w:t>DTC</w:t>
      </w:r>
      <w:r>
        <w:rPr>
          <w:rFonts w:ascii="Times New Roman" w:cs="Times New Roman" w:eastAsia="Times New Roman" w:hAnsi="Times New Roman"/>
          <w:sz w:val="14"/>
          <w:szCs w:val="14"/>
          <w:color w:val="auto"/>
        </w:rPr>
        <w:t>”), any consent or other action given, made or taken by an “agent member” of DTC by electronic means in accordance with the Automated Tender Offer Procedures system or other Applicable Procedures of, and pursuant to authorization by, DTC shall be deemed to constitute the “</w:t>
      </w:r>
      <w:r>
        <w:rPr>
          <w:rFonts w:ascii="Times New Roman" w:cs="Times New Roman" w:eastAsia="Times New Roman" w:hAnsi="Times New Roman"/>
          <w:sz w:val="14"/>
          <w:szCs w:val="14"/>
          <w:b w:val="1"/>
          <w:bCs w:val="1"/>
          <w:i w:val="1"/>
          <w:iCs w:val="1"/>
          <w:color w:val="auto"/>
        </w:rPr>
        <w:t>Act</w:t>
      </w:r>
      <w:r>
        <w:rPr>
          <w:rFonts w:ascii="Times New Roman" w:cs="Times New Roman" w:eastAsia="Times New Roman" w:hAnsi="Times New Roman"/>
          <w:sz w:val="14"/>
          <w:szCs w:val="14"/>
          <w:color w:val="auto"/>
        </w:rPr>
        <w:t>” of the Holder of such Global Security, and such Act shall be deemed to have been delivered to the Company, any Guarantor and the Trustee upon the delivery by DTC of an “agent’s message” or other notice of such consent or other action having been so given, made or taken in accordance with the Applicable Procedures of DTC.</w:t>
      </w:r>
    </w:p>
    <w:p>
      <w:pPr>
        <w:spacing w:after="0" w:line="148"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The fact and date of the execution by any Person of any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ownership of Securities shall be proved by the Security Register.</w:t>
      </w:r>
    </w:p>
    <w:p>
      <w:pPr>
        <w:spacing w:after="0" w:line="179"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or any Guarantor in reliance thereon, whether or not notation of such action is made upon such Security.</w:t>
      </w:r>
    </w:p>
    <w:p>
      <w:pPr>
        <w:spacing w:after="0" w:line="136" w:lineRule="exact"/>
        <w:rPr>
          <w:sz w:val="20"/>
          <w:szCs w:val="20"/>
          <w:color w:val="auto"/>
        </w:rPr>
      </w:pPr>
    </w:p>
    <w:p>
      <w:pPr>
        <w:jc w:val="both"/>
        <w:ind w:firstLine="511"/>
        <w:spacing w:after="0" w:line="257" w:lineRule="auto"/>
        <w:rPr>
          <w:sz w:val="20"/>
          <w:szCs w:val="20"/>
          <w:color w:val="auto"/>
        </w:rPr>
      </w:pPr>
      <w:r>
        <w:rPr>
          <w:rFonts w:ascii="Times New Roman" w:cs="Times New Roman" w:eastAsia="Times New Roman" w:hAnsi="Times New Roman"/>
          <w:sz w:val="14"/>
          <w:szCs w:val="14"/>
          <w:color w:val="auto"/>
        </w:rPr>
        <w:t xml:space="preserve">With respect to Securities of any series, the Company may set any day as a record date for the purpose of determining the Holders of Outstanding Securities of such series entitled to give, make or take any request, demand, authorization, direction, notice, consent, waiver or other action provided or permitted by this Indenture to be given, made or taken by Holders of Securities of such series,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Company may not set a record date for, and the provisions of this paragraph shall not apply with respect to, the giving, making or taking of any notice, declaration, request or direction referred to in the next paragraph. If any record date is set pursuant to this paragraph, the Holders of Outstanding Securities of the relevant series on such record date, and no other Holders, shall be entitled to give, make or take the relevant action, whether or not such Holders remain Holders after such record date; provided, however, that no such action shall be effective hereunder unless given, made or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given, made or taken by Holders of the requisite principal amount of Outstanding Securities of the relevant series on the date such action is given, made or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105 and Section 106.</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74" w:name="page75"/>
    <w:bookmarkEnd w:id="74"/>
    <w:p>
      <w:pPr>
        <w:jc w:val="both"/>
        <w:ind w:firstLine="511"/>
        <w:spacing w:after="0" w:line="257" w:lineRule="auto"/>
        <w:rPr>
          <w:sz w:val="20"/>
          <w:szCs w:val="20"/>
          <w:color w:val="auto"/>
        </w:rPr>
      </w:pPr>
      <w:r>
        <w:rPr>
          <w:rFonts w:ascii="Times New Roman" w:cs="Times New Roman" w:eastAsia="Times New Roman" w:hAnsi="Times New Roman"/>
          <w:sz w:val="14"/>
          <w:szCs w:val="14"/>
          <w:color w:val="auto"/>
        </w:rPr>
        <w:t>The Trustee may set any day as a record date for the purpose of determining the Holders of Outstanding Securities of any series entitled to join in the giving, making or taking of (i) any Notice of Default, (ii) any declaration of acceleration referred to in Section 502, (iii) any request to institute proceedings referred to in Section 507(2) or (iv) any direction referred to in Section 512, in each case with respect to Securities of such series. If any record date is set pursuant to this paragraph, the Holders of Outstanding Securities of such series on such record date, and no other Holders, shall be entitled to give, make or take such notice, declaration, request or direction, whether or not such Holders remain Holders after such record date; provided, however, that no such action shall be effective hereunder unless given, made or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given, made or taken by Holders of the requisite principal amount of Outstanding Securities of the relevant series on the date such action is given, made or taken. Promptly after any record date is set pursuant to this paragraph, the Trustee, at the Company’s expense, shall cause notice of such record date, the proposed action by Holders and the applicable Expiration Date to be given to the Company and any Guarantor in writing and to each Holder of Securities of the relevant series in the manner set forth in Section 105 and Section 106.</w:t>
      </w:r>
    </w:p>
    <w:p>
      <w:pPr>
        <w:spacing w:after="0" w:line="147" w:lineRule="exact"/>
        <w:rPr>
          <w:sz w:val="20"/>
          <w:szCs w:val="20"/>
          <w:color w:val="auto"/>
        </w:rPr>
      </w:pPr>
    </w:p>
    <w:p>
      <w:pPr>
        <w:jc w:val="both"/>
        <w:ind w:firstLine="511"/>
        <w:spacing w:after="0" w:line="261" w:lineRule="auto"/>
        <w:rPr>
          <w:sz w:val="20"/>
          <w:szCs w:val="20"/>
          <w:color w:val="auto"/>
        </w:rPr>
      </w:pPr>
      <w:r>
        <w:rPr>
          <w:rFonts w:ascii="Times New Roman" w:cs="Times New Roman" w:eastAsia="Times New Roman" w:hAnsi="Times New Roman"/>
          <w:sz w:val="14"/>
          <w:szCs w:val="14"/>
          <w:color w:val="auto"/>
        </w:rPr>
        <w:t>With respect to any record date set pursuant to this Section 104, the party hereto which sets such record date may designate any day as the “</w:t>
      </w:r>
      <w:r>
        <w:rPr>
          <w:rFonts w:ascii="Times New Roman" w:cs="Times New Roman" w:eastAsia="Times New Roman" w:hAnsi="Times New Roman"/>
          <w:sz w:val="14"/>
          <w:szCs w:val="14"/>
          <w:b w:val="1"/>
          <w:bCs w:val="1"/>
          <w:i w:val="1"/>
          <w:iCs w:val="1"/>
          <w:color w:val="auto"/>
        </w:rPr>
        <w:t>Expiration Date</w:t>
      </w:r>
      <w:r>
        <w:rPr>
          <w:rFonts w:ascii="Times New Roman" w:cs="Times New Roman" w:eastAsia="Times New Roman" w:hAnsi="Times New Roman"/>
          <w:sz w:val="14"/>
          <w:szCs w:val="14"/>
          <w:color w:val="auto"/>
        </w:rPr>
        <w:t xml:space="preserve">” and from time to time may change the Expiration Date to any earlier or later day;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 record date set pursuant to this Section 104, the party hereto which set such record date shall be deemed to have initially designated the 180th day after such record date as the Expiration Date with respect thereto, subject to its right to change the Expiration Date to an earlier day as provided in this paragraph. Notwithstanding the foregoing, no Expiration Date shall be later than the 180th day after the applicable record date.</w:t>
      </w:r>
    </w:p>
    <w:p>
      <w:pPr>
        <w:spacing w:after="0" w:line="143"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Without limiting the foregoing, a Holder entitled hereunder to give, make or take any action hereunder with regard to any particular Security may do so, in person or by an agent duly appointed in writing, with regard to all or any part of the principal amount of such Security.</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75" w:name="page76"/>
    <w:bookmarkEnd w:id="75"/>
    <w:p>
      <w:pPr>
        <w:jc w:val="both"/>
        <w:ind w:firstLine="511"/>
        <w:spacing w:after="0" w:line="258" w:lineRule="auto"/>
        <w:rPr>
          <w:sz w:val="20"/>
          <w:szCs w:val="20"/>
          <w:color w:val="auto"/>
        </w:rPr>
      </w:pPr>
      <w:r>
        <w:rPr>
          <w:rFonts w:ascii="Times New Roman" w:cs="Times New Roman" w:eastAsia="Times New Roman" w:hAnsi="Times New Roman"/>
          <w:sz w:val="14"/>
          <w:szCs w:val="14"/>
          <w:color w:val="auto"/>
        </w:rPr>
        <w:t>Section 105         </w:t>
      </w:r>
      <w:r>
        <w:rPr>
          <w:rFonts w:ascii="Times New Roman" w:cs="Times New Roman" w:eastAsia="Times New Roman" w:hAnsi="Times New Roman"/>
          <w:sz w:val="14"/>
          <w:szCs w:val="14"/>
          <w:u w:val="single" w:color="auto"/>
          <w:color w:val="auto"/>
        </w:rPr>
        <w:t>  Notices, Etc., to Trustee, Company and Guarantors</w:t>
      </w:r>
      <w:r>
        <w:rPr>
          <w:rFonts w:ascii="Times New Roman" w:cs="Times New Roman" w:eastAsia="Times New Roman" w:hAnsi="Times New Roman"/>
          <w:sz w:val="14"/>
          <w:szCs w:val="14"/>
          <w:color w:val="auto"/>
        </w:rPr>
        <w:t>. Any request, demand, authorization, direction, notice, consent, waiver or Act of Holders or other document provided or permitted by this Indenture to be made upon, given or furnished to, or filed with, (1) the Trustee by any Holder or by the Company or any Guarantor shall be sufficient for every purpose hereunder (unless otherwise herein expressly provided) if made, given, furnished or filed in writing and delivered in Person, mailed by first class mail (registered or certified, return receipt requested), transmitted by facsimile or sent by overnight courier guaranteeing next Business Day delivery to or with the Trustee addressed to it at its Corporate Trust Office or (2) the Company or a Guarantor by the Trustee or by any Holder shall be sufficient for every purpose hereunder (unless otherwise herein expressly provided) if made, given, furnished or filed in writing and delivered in Person, mailed by first class mail (registered or certified, return receipt requested), transmitted by facsimile or sent by overnight courier guaranteeing next Business Day delivery, to or with the Company or such Guarantor, as the case may be, addressed to it at the address of its principal office specified in the first paragraph of this instrument, Attention: Chief Financial Officer, with a copy to Latham &amp; Watkins LLP, 1271 Avenue of the Americas, New York, New York Telephone: (212) 906-1200 Attention: Zachary S. Podolsky and Ryan J. Lynch, or at any other address previously furnished in writing to the Trustee by the Company.</w:t>
      </w:r>
    </w:p>
    <w:p>
      <w:pPr>
        <w:spacing w:after="0" w:line="145" w:lineRule="exact"/>
        <w:rPr>
          <w:sz w:val="20"/>
          <w:szCs w:val="20"/>
          <w:color w:val="auto"/>
        </w:rPr>
      </w:pPr>
    </w:p>
    <w:p>
      <w:pPr>
        <w:jc w:val="both"/>
        <w:ind w:firstLine="511"/>
        <w:spacing w:after="0" w:line="260" w:lineRule="auto"/>
        <w:rPr>
          <w:sz w:val="20"/>
          <w:szCs w:val="20"/>
          <w:color w:val="auto"/>
        </w:rPr>
      </w:pPr>
      <w:r>
        <w:rPr>
          <w:rFonts w:ascii="Times New Roman" w:cs="Times New Roman" w:eastAsia="Times New Roman" w:hAnsi="Times New Roman"/>
          <w:sz w:val="14"/>
          <w:szCs w:val="14"/>
          <w:color w:val="auto"/>
        </w:rPr>
        <w:t>All requests, demands, authorizations, directions, notices, consents, waivers or Acts of Holders or other such documents made, given, furnished or filed with or to the Company or any Guarantor shall be deemed to have been duly made, given furnished or filed: (i) at the time delivered by hand, if personally delivered; (ii) upon confirmation of delivery, if mailed by first class mail (registered or certified, return receipt requested); (iii) when receipt is confirmed, if transmitted by facsimile; and (iv) the next Business Day after timely delivery to the courier, if sent by overnight air courier guaranteeing next Business Day delivery. Notices given by publication will be deemed given on the first date on which publication is made. All requests, demands, authorizations, directions, notices, consents, waivers or Acts of Holders or other such documents made, given, furnished or filed with or to the Trustee shall be deemed to have been duly made, given, furnished or filed upon receipt.</w:t>
      </w:r>
    </w:p>
    <w:p>
      <w:pPr>
        <w:spacing w:after="0" w:line="145" w:lineRule="exact"/>
        <w:rPr>
          <w:sz w:val="20"/>
          <w:szCs w:val="20"/>
          <w:color w:val="auto"/>
        </w:rPr>
      </w:pPr>
    </w:p>
    <w:p>
      <w:pPr>
        <w:jc w:val="both"/>
        <w:ind w:firstLine="511"/>
        <w:spacing w:after="0" w:line="261" w:lineRule="auto"/>
        <w:rPr>
          <w:sz w:val="20"/>
          <w:szCs w:val="20"/>
          <w:color w:val="auto"/>
        </w:rPr>
      </w:pPr>
      <w:r>
        <w:rPr>
          <w:rFonts w:ascii="Times New Roman" w:cs="Times New Roman" w:eastAsia="Times New Roman" w:hAnsi="Times New Roman"/>
          <w:sz w:val="14"/>
          <w:szCs w:val="14"/>
          <w:color w:val="auto"/>
        </w:rPr>
        <w:t>Section 106         </w:t>
      </w:r>
      <w:r>
        <w:rPr>
          <w:rFonts w:ascii="Times New Roman" w:cs="Times New Roman" w:eastAsia="Times New Roman" w:hAnsi="Times New Roman"/>
          <w:sz w:val="14"/>
          <w:szCs w:val="14"/>
          <w:u w:val="single" w:color="auto"/>
          <w:color w:val="auto"/>
        </w:rPr>
        <w:t>  Notice to Holders; Waiver</w:t>
      </w:r>
      <w:r>
        <w:rPr>
          <w:rFonts w:ascii="Times New Roman" w:cs="Times New Roman" w:eastAsia="Times New Roman" w:hAnsi="Times New Roman"/>
          <w:sz w:val="14"/>
          <w:szCs w:val="14"/>
          <w:color w:val="auto"/>
        </w:rPr>
        <w:t>. Where this Indenture provides for notice or other communication to Holders of any event, such notice shall be sufficiently given (unless otherwise herein expressly provided) if given in writing and mailed by first class mail (registered or certified, return receipt requested) or sent by overnight air courier guaranteeing next Business Day delivery, to each Holder affected by such event, at such Holder’s address as it appears in the Security Register, not later than the latest date (if any), and not earlier than the earliest date (if any), prescribed for the giving of such notice or other communication. Any notice or other communication shall also be so mailed or otherwise sent to any Person described in Section 313(c) of the Trust Indenture Act, to the extent required by the Trust Indenture Act. Failure to mail or otherwise send a notice or other communication to a Holder or any defect in it shall not affect its sufficiency with respect to other Holders.</w:t>
      </w:r>
    </w:p>
    <w:p>
      <w:pPr>
        <w:spacing w:after="0" w:line="316" w:lineRule="exact"/>
        <w:rPr>
          <w:sz w:val="20"/>
          <w:szCs w:val="20"/>
          <w:color w:val="auto"/>
        </w:rPr>
      </w:pPr>
    </w:p>
    <w:p>
      <w:pPr>
        <w:jc w:val="both"/>
        <w:ind w:firstLine="511"/>
        <w:spacing w:after="0" w:line="262" w:lineRule="auto"/>
        <w:rPr>
          <w:sz w:val="20"/>
          <w:szCs w:val="20"/>
          <w:color w:val="auto"/>
        </w:rPr>
      </w:pPr>
      <w:r>
        <w:rPr>
          <w:rFonts w:ascii="Times New Roman" w:cs="Times New Roman" w:eastAsia="Times New Roman" w:hAnsi="Times New Roman"/>
          <w:sz w:val="14"/>
          <w:szCs w:val="14"/>
          <w:color w:val="auto"/>
        </w:rPr>
        <w:t>If a notice or communication is mailed or otherwise sent in the manner provided above within the time prescribed, it is duly given, whether or not the addressee receives it. Where this Indenture provides for notice or other communication in any manner, such notice or other communication may be waived in writing by the Person entitled to receive such notice or other communication, either before or after the event, and such waiver shall be the equivalent of such notice or other communication. Waivers of notice or other communication by Holders shall be filed with the Trustee, but such filing shall not be a condition precedent to the validity of any action taken in reliance upon such waiver. If the Company mails or otherwise sends a notice or communication to the Holders, it shall send a copy to the Trustee at the same time.</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76" w:name="page77"/>
    <w:bookmarkEnd w:id="76"/>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In case by reason of the suspension of regular mail service or by reason of any other cause it shall be impracticable to give such notice or other communication by mail, then such notification as shall be made with the approval of the Trustee shall constitute a sufficient notification for every purpose hereunder.</w:t>
      </w:r>
    </w:p>
    <w:p>
      <w:pPr>
        <w:spacing w:after="0" w:line="124"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Where this Indenture provides for notice or other communication with respect to any event to a Holder of a Global Security, such notice or other communication shall be sufficiently given if given to the Depositary for such Security (or its designee), pursuant to its Applicable Procedures, not later than the latest date (if any), and not earlier than the earliest date (if any), prescribed for the giving of such notice or other communication.</w:t>
      </w:r>
    </w:p>
    <w:p>
      <w:pPr>
        <w:spacing w:after="0" w:line="136"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Section 107         </w:t>
      </w:r>
      <w:r>
        <w:rPr>
          <w:rFonts w:ascii="Times New Roman" w:cs="Times New Roman" w:eastAsia="Times New Roman" w:hAnsi="Times New Roman"/>
          <w:sz w:val="14"/>
          <w:szCs w:val="14"/>
          <w:u w:val="single" w:color="auto"/>
          <w:color w:val="auto"/>
        </w:rPr>
        <w:t>  Trust Indenture Act Matters</w:t>
      </w:r>
      <w:r>
        <w:rPr>
          <w:rFonts w:ascii="Times New Roman" w:cs="Times New Roman" w:eastAsia="Times New Roman" w:hAnsi="Times New Roman"/>
          <w:sz w:val="14"/>
          <w:szCs w:val="14"/>
          <w:color w:val="auto"/>
        </w:rPr>
        <w:t>. If any provision hereof limits, qualifies or conflicts with a provision of the Trust Indenture Act that is required under the Trust Indenture Act to be a part of and govern this Indenture, the latter provision shall control. If any provision of this Indenture modifies or excludes any provision of the Trust Indenture Act that may be so modified or excluded, the latter provision shall be deemed to apply to this Indenture as so modified or to be excluded, as the case may be. Whenever this Indenture refers to a provision of the Trust Indenture Act, the provision is incorporated by reference in and made a part of this Indenture.</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108         </w:t>
      </w:r>
      <w:r>
        <w:rPr>
          <w:rFonts w:ascii="Times New Roman" w:cs="Times New Roman" w:eastAsia="Times New Roman" w:hAnsi="Times New Roman"/>
          <w:sz w:val="14"/>
          <w:szCs w:val="14"/>
          <w:u w:val="single" w:color="auto"/>
          <w:color w:val="auto"/>
        </w:rPr>
        <w:t>  Effect of Headings and Table of Contents</w:t>
      </w:r>
      <w:r>
        <w:rPr>
          <w:rFonts w:ascii="Times New Roman" w:cs="Times New Roman" w:eastAsia="Times New Roman" w:hAnsi="Times New Roman"/>
          <w:sz w:val="14"/>
          <w:szCs w:val="14"/>
          <w:color w:val="auto"/>
        </w:rPr>
        <w:t>. The Article and Section headings herein and the Table of Contents are for convenience only and shall not affect the construction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hereof.</w:t>
      </w:r>
    </w:p>
    <w:p>
      <w:pPr>
        <w:spacing w:after="0" w:line="165"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Section 109         </w:t>
      </w:r>
      <w:r>
        <w:rPr>
          <w:rFonts w:ascii="Times New Roman" w:cs="Times New Roman" w:eastAsia="Times New Roman" w:hAnsi="Times New Roman"/>
          <w:sz w:val="14"/>
          <w:szCs w:val="14"/>
          <w:u w:val="single" w:color="auto"/>
          <w:color w:val="auto"/>
        </w:rPr>
        <w:t>  Successors and Assigns</w:t>
      </w:r>
      <w:r>
        <w:rPr>
          <w:rFonts w:ascii="Times New Roman" w:cs="Times New Roman" w:eastAsia="Times New Roman" w:hAnsi="Times New Roman"/>
          <w:sz w:val="14"/>
          <w:szCs w:val="14"/>
          <w:color w:val="auto"/>
        </w:rPr>
        <w:t>. All covenants and agreements in this Indenture and the Securities by the Company, the Trustee and any Guarantor, except as otherwise provided in Section 802 and Section 1401, shall bind their respective successors and assigns, whether so expressed or not.</w:t>
      </w:r>
    </w:p>
    <w:p>
      <w:pPr>
        <w:spacing w:after="0" w:line="124"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Section 110         </w:t>
      </w:r>
      <w:r>
        <w:rPr>
          <w:rFonts w:ascii="Times New Roman" w:cs="Times New Roman" w:eastAsia="Times New Roman" w:hAnsi="Times New Roman"/>
          <w:sz w:val="14"/>
          <w:szCs w:val="14"/>
          <w:u w:val="single" w:color="auto"/>
          <w:color w:val="auto"/>
        </w:rPr>
        <w:t>  Separability Clause</w:t>
      </w:r>
      <w:r>
        <w:rPr>
          <w:rFonts w:ascii="Times New Roman" w:cs="Times New Roman" w:eastAsia="Times New Roman" w:hAnsi="Times New Roman"/>
          <w:sz w:val="14"/>
          <w:szCs w:val="14"/>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24"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Section 111         </w:t>
      </w:r>
      <w:r>
        <w:rPr>
          <w:rFonts w:ascii="Times New Roman" w:cs="Times New Roman" w:eastAsia="Times New Roman" w:hAnsi="Times New Roman"/>
          <w:sz w:val="14"/>
          <w:szCs w:val="14"/>
          <w:u w:val="single" w:color="auto"/>
          <w:color w:val="auto"/>
        </w:rPr>
        <w:t>  Benefits of Indenture</w:t>
      </w:r>
      <w:r>
        <w:rPr>
          <w:rFonts w:ascii="Times New Roman" w:cs="Times New Roman" w:eastAsia="Times New Roman" w:hAnsi="Times New Roman"/>
          <w:sz w:val="14"/>
          <w:szCs w:val="14"/>
          <w:color w:val="auto"/>
        </w:rPr>
        <w:t>. Nothing in this Indenture or in the Securities, express or implied, shall give to any Person, other than the parties hereto and their successors hereunder and the Holders, any benefit or any legal or equitable right, remedy or claim under this Indenture, except as may otherwise be provided pursuant to Section 301 with respect to any Securities of a particular series or under this Indenture with respect to such Securities.</w:t>
      </w:r>
    </w:p>
    <w:p>
      <w:pPr>
        <w:spacing w:after="0" w:line="136"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Section 112         </w:t>
      </w:r>
      <w:r>
        <w:rPr>
          <w:rFonts w:ascii="Times New Roman" w:cs="Times New Roman" w:eastAsia="Times New Roman" w:hAnsi="Times New Roman"/>
          <w:sz w:val="14"/>
          <w:szCs w:val="14"/>
          <w:u w:val="single" w:color="auto"/>
          <w:color w:val="auto"/>
        </w:rPr>
        <w:t>  Governing Law</w:t>
      </w:r>
      <w:r>
        <w:rPr>
          <w:rFonts w:ascii="Times New Roman" w:cs="Times New Roman" w:eastAsia="Times New Roman" w:hAnsi="Times New Roman"/>
          <w:sz w:val="14"/>
          <w:szCs w:val="14"/>
          <w:color w:val="auto"/>
        </w:rPr>
        <w:t>. This Indenture, the Guarantees and the Securities and the rights and obligations of the parties hereto and thereto, including the interpretation, construction, validity and enforceability thereof, shall be governed by and construed and interpreted in accordance with the law of the State of New York.</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77" w:name="page78"/>
    <w:bookmarkEnd w:id="77"/>
    <w:p>
      <w:pPr>
        <w:jc w:val="both"/>
        <w:ind w:firstLine="511"/>
        <w:spacing w:after="0" w:line="260" w:lineRule="auto"/>
        <w:rPr>
          <w:sz w:val="20"/>
          <w:szCs w:val="20"/>
          <w:color w:val="auto"/>
        </w:rPr>
      </w:pPr>
      <w:r>
        <w:rPr>
          <w:rFonts w:ascii="Times New Roman" w:cs="Times New Roman" w:eastAsia="Times New Roman" w:hAnsi="Times New Roman"/>
          <w:sz w:val="14"/>
          <w:szCs w:val="14"/>
          <w:color w:val="auto"/>
        </w:rPr>
        <w:t>Section 113         </w:t>
      </w:r>
      <w:r>
        <w:rPr>
          <w:rFonts w:ascii="Times New Roman" w:cs="Times New Roman" w:eastAsia="Times New Roman" w:hAnsi="Times New Roman"/>
          <w:sz w:val="14"/>
          <w:szCs w:val="14"/>
          <w:u w:val="single" w:color="auto"/>
          <w:color w:val="auto"/>
        </w:rPr>
        <w:t>  Legal Holidays</w:t>
      </w:r>
      <w:r>
        <w:rPr>
          <w:rFonts w:ascii="Times New Roman" w:cs="Times New Roman" w:eastAsia="Times New Roman" w:hAnsi="Times New Roman"/>
          <w:sz w:val="14"/>
          <w:szCs w:val="14"/>
          <w:color w:val="auto"/>
        </w:rPr>
        <w:t>. In any case where any Interest Payment Date, Redemption Date or Maturity of any Security, or any date on which a Holder has the right to convert his Security, shall not be a Business Day at any Place of Payment, then (notwithstanding any other provision of this Indenture or of the Securities (other than a provision of any Security that specifically states that such provision shall apply in lieu of this Section 113)) payment of interest or principal (and premium, if any), or conversion of such Security need not be made at such Place of Payment on such date, but may be made on the next succeeding Business Day at such Place of Payment with the same force and effect as if made on the Interest Payment Date or Redemption Date, or at the Maturity, or on such date for conversion, as the case may be; provided, however, that no interest shall accrue with respect to such payment for the period from and after such Interest Payment Date, Redemption Date, Maturity or date for conversion, as the case may be.</w:t>
      </w:r>
    </w:p>
    <w:p>
      <w:pPr>
        <w:spacing w:after="0" w:line="145"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Section 114         </w:t>
      </w:r>
      <w:r>
        <w:rPr>
          <w:rFonts w:ascii="Times New Roman" w:cs="Times New Roman" w:eastAsia="Times New Roman" w:hAnsi="Times New Roman"/>
          <w:sz w:val="14"/>
          <w:szCs w:val="14"/>
          <w:u w:val="single" w:color="auto"/>
          <w:color w:val="auto"/>
        </w:rPr>
        <w:t>  No Adverse Interpretation of Other Agreements</w:t>
      </w:r>
      <w:r>
        <w:rPr>
          <w:rFonts w:ascii="Times New Roman" w:cs="Times New Roman" w:eastAsia="Times New Roman" w:hAnsi="Times New Roman"/>
          <w:sz w:val="14"/>
          <w:szCs w:val="14"/>
          <w:color w:val="auto"/>
        </w:rPr>
        <w:t>. This Indenture may not be used to interpret any other indenture, loan or other agreement of the Company or any Guarantor or any Subsidiaries of the Company or any Guarantor or of any other Person. Any such indenture, loan or other agreement may not be used to interpret this Indenture.</w:t>
      </w:r>
    </w:p>
    <w:p>
      <w:pPr>
        <w:spacing w:after="0" w:line="124" w:lineRule="exact"/>
        <w:rPr>
          <w:sz w:val="20"/>
          <w:szCs w:val="20"/>
          <w:color w:val="auto"/>
        </w:rPr>
      </w:pPr>
    </w:p>
    <w:p>
      <w:pPr>
        <w:jc w:val="both"/>
        <w:ind w:firstLine="511"/>
        <w:spacing w:after="0" w:line="256" w:lineRule="auto"/>
        <w:rPr>
          <w:sz w:val="20"/>
          <w:szCs w:val="20"/>
          <w:color w:val="auto"/>
        </w:rPr>
      </w:pPr>
      <w:r>
        <w:rPr>
          <w:rFonts w:ascii="Times New Roman" w:cs="Times New Roman" w:eastAsia="Times New Roman" w:hAnsi="Times New Roman"/>
          <w:sz w:val="14"/>
          <w:szCs w:val="14"/>
          <w:color w:val="auto"/>
        </w:rPr>
        <w:t>Section 115         </w:t>
      </w:r>
      <w:r>
        <w:rPr>
          <w:rFonts w:ascii="Times New Roman" w:cs="Times New Roman" w:eastAsia="Times New Roman" w:hAnsi="Times New Roman"/>
          <w:sz w:val="14"/>
          <w:szCs w:val="14"/>
          <w:u w:val="single" w:color="auto"/>
          <w:color w:val="auto"/>
        </w:rPr>
        <w:t>  Certain Waivers and Limitations</w:t>
      </w:r>
      <w:r>
        <w:rPr>
          <w:rFonts w:ascii="Times New Roman" w:cs="Times New Roman" w:eastAsia="Times New Roman" w:hAnsi="Times New Roman"/>
          <w:sz w:val="14"/>
          <w:szCs w:val="14"/>
          <w:color w:val="auto"/>
        </w:rPr>
        <w:t>. No past, present or future director, officer, employee, manager, member, partner, incorporator or stockholder of the Company or any Guarantor, or any employee or agent of any Affiliate or the Company or any Guarantor who has been seconded to the Company or any Guarantor or any of their respective Subsidiaries, as such, will have any liability for any obligations of the Company or any Guarantor, respectively, under the Securities or this Indenture or for any claim based on, in respect of, or by reason of, such obligations or their creation. Each Holder of Securities by accepting a Security waives and releases all such liability. The waiver and release are part of the consideration for issuance of the Securities. The waiver may not be effective to waive liabilities under the federal securities laws. The only payment provisions, representations and warranties, covenants, events of default, guarantee provisions and other obligations applicable to the Company and any Guarantor are those expressly set forth in this Indenture and, by acceptance of any Note, each holder waives and expressly disclaims to the maximum extent permitted by applicable law any implied covenant and other similar provision that may exist in law or in equity and that may be applicable to the Company or any Guarantor and each holder agrees that it will not participate in any cause of action with respect to, alleging the existing or breach of, or seeking to enforce any such implied covenant or similar provision. In addition, the “integrated transaction doctrine” any similar legal doctrine or theory is expressly waived by each holder by acceptance of any Note. Without limiting the foregoing, each holder agrees by acceptance of any Note that (a) any series of related transactions shall be permitted by this Indenture if each individual transaction would be permitted, and (b) any series of related transactions that are consummated substantially concurrently may be deemed to be consummated in any order determined by the Company that complies with this Indenture with permissibility of each transaction evaluated in light of such order.</w:t>
      </w:r>
    </w:p>
    <w:p>
      <w:pPr>
        <w:spacing w:after="0" w:line="152"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Section 116         </w:t>
      </w:r>
      <w:r>
        <w:rPr>
          <w:rFonts w:ascii="Times New Roman" w:cs="Times New Roman" w:eastAsia="Times New Roman" w:hAnsi="Times New Roman"/>
          <w:sz w:val="14"/>
          <w:szCs w:val="14"/>
          <w:u w:val="single" w:color="auto"/>
          <w:color w:val="auto"/>
        </w:rPr>
        <w:t>  Language of Notices, Etc</w:t>
      </w:r>
      <w:r>
        <w:rPr>
          <w:rFonts w:ascii="Times New Roman" w:cs="Times New Roman" w:eastAsia="Times New Roman" w:hAnsi="Times New Roman"/>
          <w:sz w:val="14"/>
          <w:szCs w:val="14"/>
          <w:color w:val="auto"/>
        </w:rPr>
        <w:t>. Any request, demand, authorization, direction, notice, consent, waiver, other action or Act provided or permitted under this Indenture shall be in the English language, except that any published notice may be in an official language of the country of publication.</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78" w:name="page79"/>
    <w:bookmarkEnd w:id="78"/>
    <w:p>
      <w:pPr>
        <w:jc w:val="both"/>
        <w:ind w:firstLine="511"/>
        <w:spacing w:after="0" w:line="260" w:lineRule="auto"/>
        <w:rPr>
          <w:sz w:val="20"/>
          <w:szCs w:val="20"/>
          <w:color w:val="auto"/>
        </w:rPr>
      </w:pPr>
      <w:r>
        <w:rPr>
          <w:rFonts w:ascii="Times New Roman" w:cs="Times New Roman" w:eastAsia="Times New Roman" w:hAnsi="Times New Roman"/>
          <w:sz w:val="14"/>
          <w:szCs w:val="14"/>
          <w:color w:val="auto"/>
        </w:rPr>
        <w:t>Section 117         </w:t>
      </w:r>
      <w:r>
        <w:rPr>
          <w:rFonts w:ascii="Times New Roman" w:cs="Times New Roman" w:eastAsia="Times New Roman" w:hAnsi="Times New Roman"/>
          <w:sz w:val="14"/>
          <w:szCs w:val="14"/>
          <w:u w:val="single" w:color="auto"/>
          <w:color w:val="auto"/>
        </w:rPr>
        <w:t>  Force Majeure</w:t>
      </w:r>
      <w:r>
        <w:rPr>
          <w:rFonts w:ascii="Times New Roman" w:cs="Times New Roman" w:eastAsia="Times New Roman" w:hAnsi="Times New Roman"/>
          <w:sz w:val="14"/>
          <w:szCs w:val="14"/>
          <w:color w:val="auto"/>
        </w:rPr>
        <w:t>. Subject to Section 601, in no event shall the Trustee be responsible or liable for any failure or delay in the performance of its obligations hereunder arising out of or caused by, directly or indirectly, forces beyond its control, including, without limitation (i) any act or provision of any present or future law or regulation or governmental authority, (ii) any act of God, (iii) natural disaster, (iv) war, (v) terrorism, (vi) civil unrest, (vii) accidents, (viii) labor dispute, (ix) disease, (x) epidemic or pandemic, (xi) quarantine, (xii) national emergency, (xiii) loss or malfunction of utility or computer software or hardware, (xiv) communications system failure, (xv) malware or ransomware, (xvi) unavailability of the Federal Reserve Bank wire or telex system or other wire or other funds transfer systems, or (xvii) unavailability of any securities clearing system; it being understood that the Trustee shall use reasonable efforts that are consistent with accepted practices in the banking industry to resume performance as soon as practicable under the circumstances.</w:t>
      </w:r>
    </w:p>
    <w:p>
      <w:pPr>
        <w:spacing w:after="0" w:line="145"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Section 118         </w:t>
      </w:r>
      <w:r>
        <w:rPr>
          <w:rFonts w:ascii="Times New Roman" w:cs="Times New Roman" w:eastAsia="Times New Roman" w:hAnsi="Times New Roman"/>
          <w:sz w:val="14"/>
          <w:szCs w:val="14"/>
          <w:u w:val="single" w:color="auto"/>
          <w:color w:val="auto"/>
        </w:rPr>
        <w:t>  Waiver of Jury Trial</w:t>
      </w:r>
      <w:r>
        <w:rPr>
          <w:rFonts w:ascii="Times New Roman" w:cs="Times New Roman" w:eastAsia="Times New Roman" w:hAnsi="Times New Roman"/>
          <w:sz w:val="14"/>
          <w:szCs w:val="14"/>
          <w:color w:val="auto"/>
        </w:rPr>
        <w:t>. EACH OF THE COMPANY, EACH GUARANTOR AND THE TRUSTEE HEREBY WAIVES, TO THE FULLEST EXTENT PERMITTED BY APPLICABLE LAW, ANY RIGHT IT MAY HAVE TO A TRIAL BY JURY IN RESPECT OF ANY LITIGATION DIRECTLY OR INDIRECTLY ARISING OUT OF, UNDER OR IN CONNECTION WITH THIS INDENTURE.</w:t>
      </w:r>
    </w:p>
    <w:p>
      <w:pPr>
        <w:spacing w:after="0" w:line="136" w:lineRule="exact"/>
        <w:rPr>
          <w:sz w:val="20"/>
          <w:szCs w:val="20"/>
          <w:color w:val="auto"/>
        </w:rPr>
      </w:pPr>
    </w:p>
    <w:p>
      <w:pPr>
        <w:jc w:val="both"/>
        <w:ind w:firstLine="511"/>
        <w:spacing w:after="0" w:line="258" w:lineRule="auto"/>
        <w:rPr>
          <w:sz w:val="20"/>
          <w:szCs w:val="20"/>
          <w:color w:val="auto"/>
        </w:rPr>
      </w:pPr>
      <w:r>
        <w:rPr>
          <w:rFonts w:ascii="Times New Roman" w:cs="Times New Roman" w:eastAsia="Times New Roman" w:hAnsi="Times New Roman"/>
          <w:sz w:val="14"/>
          <w:szCs w:val="14"/>
          <w:color w:val="auto"/>
        </w:rPr>
        <w:t>Section 119         </w:t>
      </w:r>
      <w:r>
        <w:rPr>
          <w:rFonts w:ascii="Times New Roman" w:cs="Times New Roman" w:eastAsia="Times New Roman" w:hAnsi="Times New Roman"/>
          <w:sz w:val="14"/>
          <w:szCs w:val="14"/>
          <w:u w:val="single" w:color="auto"/>
          <w:color w:val="auto"/>
        </w:rPr>
        <w:t>  Counterparts and E-signatures</w:t>
      </w:r>
      <w:r>
        <w:rPr>
          <w:rFonts w:ascii="Times New Roman" w:cs="Times New Roman" w:eastAsia="Times New Roman" w:hAnsi="Times New Roman"/>
          <w:sz w:val="14"/>
          <w:szCs w:val="14"/>
          <w:color w:val="auto"/>
        </w:rPr>
        <w:t>. This Indenture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w:t>
      </w:r>
      <w:r>
        <w:rPr>
          <w:rFonts w:ascii="Times New Roman" w:cs="Times New Roman" w:eastAsia="Times New Roman" w:hAnsi="Times New Roman"/>
          <w:sz w:val="14"/>
          <w:szCs w:val="14"/>
          <w:b w:val="1"/>
          <w:bCs w:val="1"/>
          <w:i w:val="1"/>
          <w:iCs w:val="1"/>
          <w:color w:val="auto"/>
        </w:rPr>
        <w:t>Signature Law</w:t>
      </w:r>
      <w:r>
        <w:rPr>
          <w:rFonts w:ascii="Times New Roman" w:cs="Times New Roman" w:eastAsia="Times New Roman" w:hAnsi="Times New Roman"/>
          <w:sz w:val="14"/>
          <w:szCs w:val="14"/>
          <w:color w:val="auto"/>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Indenture may be executed in any number of counterparts, each of which shall be deemed to be an original, but such counterparts shall, together, constitute one and the same instrument. For avoidance of doubt, original manual signatures shall be used for execution or indorsement of writings when required under the Uniform Commercial Code or other Signature Law due to the character or intended character of the writings.</w:t>
      </w:r>
    </w:p>
    <w:p>
      <w:pPr>
        <w:spacing w:after="0" w:line="318" w:lineRule="exact"/>
        <w:rPr>
          <w:sz w:val="20"/>
          <w:szCs w:val="20"/>
          <w:color w:val="auto"/>
        </w:rPr>
      </w:pPr>
    </w:p>
    <w:p>
      <w:pPr>
        <w:jc w:val="both"/>
        <w:ind w:firstLine="511"/>
        <w:spacing w:after="0" w:line="262" w:lineRule="auto"/>
        <w:rPr>
          <w:sz w:val="20"/>
          <w:szCs w:val="20"/>
          <w:color w:val="auto"/>
        </w:rPr>
      </w:pPr>
      <w:r>
        <w:rPr>
          <w:rFonts w:ascii="Times New Roman" w:cs="Times New Roman" w:eastAsia="Times New Roman" w:hAnsi="Times New Roman"/>
          <w:sz w:val="14"/>
          <w:szCs w:val="14"/>
          <w:color w:val="auto"/>
        </w:rPr>
        <w:t>Section 120         </w:t>
      </w:r>
      <w:r>
        <w:rPr>
          <w:rFonts w:ascii="Times New Roman" w:cs="Times New Roman" w:eastAsia="Times New Roman" w:hAnsi="Times New Roman"/>
          <w:sz w:val="14"/>
          <w:szCs w:val="14"/>
          <w:u w:val="single" w:color="auto"/>
          <w:color w:val="auto"/>
        </w:rPr>
        <w:t>  U.S.A. PATRIOT Act</w:t>
      </w:r>
      <w:r>
        <w:rPr>
          <w:rFonts w:ascii="Times New Roman" w:cs="Times New Roman" w:eastAsia="Times New Roman" w:hAnsi="Times New Roman"/>
          <w:sz w:val="14"/>
          <w:szCs w:val="14"/>
          <w:color w:val="auto"/>
        </w:rPr>
        <w:t>. The parties hereto acknowledge that in accordance with the Customer Identification Program requirements under the USA PATRIOT Act and its implementing regulations, the Trustee in order to help fight the funding of terrorism and money laundering, is required to obtain, verify, and record information that identifies each person or legal entity that establishes a relationship or opens an account with the Trustee. The parties hereby agree that they shall provide the Trustee with such information as it may request including, but not limited to, each party’s name, physical address, tax identification number and other information that will help the Trustee identify and verify each party’s identity such as organizational documents, certificate of good standing, license to do business, or other pertinent identifying information.</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SECURITY FORMS</w:t>
      </w:r>
    </w:p>
    <w:p>
      <w:pPr>
        <w:spacing w:after="0" w:line="165" w:lineRule="exact"/>
        <w:rPr>
          <w:sz w:val="20"/>
          <w:szCs w:val="20"/>
          <w:color w:val="auto"/>
        </w:rPr>
      </w:pPr>
    </w:p>
    <w:p>
      <w:pPr>
        <w:jc w:val="both"/>
        <w:ind w:firstLine="511"/>
        <w:spacing w:after="0" w:line="256" w:lineRule="auto"/>
        <w:rPr>
          <w:sz w:val="20"/>
          <w:szCs w:val="20"/>
          <w:color w:val="auto"/>
        </w:rPr>
      </w:pPr>
      <w:r>
        <w:rPr>
          <w:rFonts w:ascii="Times New Roman" w:cs="Times New Roman" w:eastAsia="Times New Roman" w:hAnsi="Times New Roman"/>
          <w:sz w:val="14"/>
          <w:szCs w:val="14"/>
          <w:color w:val="auto"/>
        </w:rPr>
        <w:t>Section 201         </w:t>
      </w:r>
      <w:r>
        <w:rPr>
          <w:rFonts w:ascii="Times New Roman" w:cs="Times New Roman" w:eastAsia="Times New Roman" w:hAnsi="Times New Roman"/>
          <w:sz w:val="14"/>
          <w:szCs w:val="14"/>
          <w:u w:val="single" w:color="auto"/>
          <w:color w:val="auto"/>
        </w:rPr>
        <w:t>  Forms Generally</w:t>
      </w:r>
      <w:r>
        <w:rPr>
          <w:rFonts w:ascii="Times New Roman" w:cs="Times New Roman" w:eastAsia="Times New Roman" w:hAnsi="Times New Roman"/>
          <w:sz w:val="14"/>
          <w:szCs w:val="14"/>
          <w:color w:val="auto"/>
        </w:rPr>
        <w:t>. As to each series of Securities, (i) the Securities of such series shall be in substantially the form set forth in this Article, or in such other form as shall be established by or pursuant to a Board Resolution or in one or more indentures supplemental hereto, and (ii) if the Securities of such series are to be guaranteed by the Guarantees of any Guarantor as provided in Section 301 and the terms of such Securities provide for the endorsement thereon or attachment thereto of notations of guarantee by such Guarantor, such notations of guarantee to be endorsed on or attached to such Securities shall be in substantially such form as shall be established by or pursuant to a Guarantor’s Board Resolution of such Guarantor or in one or more indentures supplemental hereto, in the case of (i) or (ii),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 executing such Securities or notations of guarantee, respectively, as evidenced by such officer’s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303 for the authentication and delivery of such Securities. If the form of any notation of guarantee by any Guarantor to be endorsed on Securities of any series is established by action taken pursuant to a Guarantor’s Board Resolution of such Guarantor, a copy of an appropriate record of such action shall be certified by the Secretary or an Assistant Secretary of such Guarantor and delivered to the Trustee at or prior to the delivery of the Guarantor Order contemplated by Section 303 for the authentication and delivery of such Securities with such notation of guarantee endorsed thereon. For purposes hereof, a notation of guarantee that is endorsed on, or otherwise attached to, a Security shall be deemed “endorsed” on such Security.</w:t>
      </w:r>
    </w:p>
    <w:p>
      <w:pPr>
        <w:spacing w:after="0" w:line="151"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The definitive Securities and any notations of guarantee endorsed thereon shall be printed, lithographed or engraved on steel engraved borders or may be produced in any other manner, all as determined by the officer of the Company executing such Securities.</w:t>
      </w:r>
    </w:p>
    <w:p>
      <w:pPr>
        <w:spacing w:after="0" w:line="124"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Anything herein to the contrary notwithstanding, there shall be no requirement that any Security have endorsed thereon or attached thereto a notation of guarantee, but such notation of guarantee may be endorsed thereon or attached thereto as contemplated by this Section 201. The Guarantee of a Guarantor shall be evidenced only by its execution and delivery of this Indenture or an indenture supplemental hereto, and not by its execution and delivery of a notation of guarantee. A notation of guarantee shall be for notice purposes only and shall not constitute an enforceable agreement or instrument.</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202         </w:t>
      </w:r>
      <w:r>
        <w:rPr>
          <w:rFonts w:ascii="Times New Roman" w:cs="Times New Roman" w:eastAsia="Times New Roman" w:hAnsi="Times New Roman"/>
          <w:sz w:val="14"/>
          <w:szCs w:val="14"/>
          <w:u w:val="single" w:color="auto"/>
          <w:color w:val="auto"/>
        </w:rPr>
        <w:t>  Form of Face of Security</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Insert any legend required by the Internal Revenue Code and the regulations thereunder.</w:t>
      </w:r>
      <w:r>
        <w:rPr>
          <w:rFonts w:ascii="Times New Roman" w:cs="Times New Roman" w:eastAsia="Times New Roman" w:hAnsi="Times New Roman"/>
          <w:sz w:val="14"/>
          <w:szCs w:val="14"/>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8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CUSIP [ ● ]</w:t>
            </w:r>
          </w:p>
        </w:tc>
      </w:tr>
      <w:tr>
        <w:trPr>
          <w:trHeight w:val="184"/>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No. [ ● ]</w:t>
            </w:r>
          </w:p>
        </w:tc>
        <w:tc>
          <w:tcPr>
            <w:tcW w:w="8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 ]</w:t>
            </w:r>
          </w:p>
        </w:tc>
      </w:tr>
      <w:tr>
        <w:trPr>
          <w:trHeight w:val="511"/>
        </w:trPr>
        <w:tc>
          <w:tcPr>
            <w:tcW w:w="302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jc w:val="right"/>
              <w:ind w:right="5489"/>
              <w:spacing w:after="0"/>
              <w:rPr>
                <w:sz w:val="20"/>
                <w:szCs w:val="20"/>
                <w:color w:val="auto"/>
              </w:rPr>
            </w:pPr>
            <w:r>
              <w:rPr>
                <w:rFonts w:ascii="Times New Roman" w:cs="Times New Roman" w:eastAsia="Times New Roman" w:hAnsi="Times New Roman"/>
                <w:sz w:val="14"/>
                <w:szCs w:val="14"/>
                <w:color w:val="auto"/>
              </w:rPr>
              <w:t>17</w:t>
            </w:r>
          </w:p>
        </w:tc>
      </w:tr>
    </w:tbl>
    <w:p>
      <w:pPr>
        <w:sectPr>
          <w:pgSz w:w="11900" w:h="16838" w:orient="portrait"/>
          <w:cols w:equalWidth="0" w:num="1">
            <w:col w:w="11280"/>
          </w:cols>
          <w:pgMar w:left="300" w:top="740" w:right="3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color w:val="auto"/>
        </w:rPr>
        <w:t>VIPER ENERGY PARTNERS LP</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VIPER ENERGY PARTNERS LP, a limited partnership duly organized and existing under the laws of the State of Delaware (herein called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which term includes any successor Person under the Indenture hereinafter referred to), for value received, hereby promises to pay to [ · ], or registered assigns, the principal sum of [ · ] Dollars on [ · ] [if the Security is to bear interest prior to</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Maturity, insert —</w:t>
      </w:r>
      <w:r>
        <w:rPr>
          <w:rFonts w:ascii="Times New Roman" w:cs="Times New Roman" w:eastAsia="Times New Roman" w:hAnsi="Times New Roman"/>
          <w:sz w:val="14"/>
          <w:szCs w:val="14"/>
          <w:i w:val="1"/>
          <w:iCs w:val="1"/>
          <w:color w:val="auto"/>
        </w:rPr>
        <w:t>, and to pay interest thereon from</w:t>
      </w:r>
      <w:r>
        <w:rPr>
          <w:rFonts w:ascii="Times New Roman" w:cs="Times New Roman" w:eastAsia="Times New Roman" w:hAnsi="Times New Roman"/>
          <w:sz w:val="14"/>
          <w:szCs w:val="14"/>
          <w:color w:val="auto"/>
        </w:rPr>
        <w:t>, 20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or from the most recent Interest Payment Date to which interest has been paid or duly provided for, semi-annually on [ · ] and [ · ] in each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year, commencing [ · ], and at the Maturity thereof, at the rate of [ · ]% per annum, until the principal hereof is paid or made available for payment, provided that any premium, and any such installment of interest, which is overdue shall bear interest at the rate of [ · ]% per annum (to the extent that the payment of such interest shall be legally enforceable), from the date such overdue amount is due until such amount is paid or duly provided for, and such interest on any overdue amount shall be payable on demand</w:t>
      </w:r>
      <w:r>
        <w:rPr>
          <w:rFonts w:ascii="Times New Roman" w:cs="Times New Roman" w:eastAsia="Times New Roman" w:hAnsi="Times New Roman"/>
          <w:sz w:val="14"/>
          <w:szCs w:val="14"/>
          <w:color w:val="auto"/>
        </w:rPr>
        <w:t>]. The interest so payable, and punctually paid or duly provided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on any Interest Payment Date will, as provided in such Indenture, be paid to the Person in whose name this Security (or one or more Predecessor Securities) is registered at the close of business on the Regular Record Date for such interest, which shall be the [ · ] or [ · ] (whether or not a Business Day), as the case may be, next preceding such Interest Payment Date. Any such interest so payable, but not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Company, notice whereof shall be given to Holders of Securities of this series not less than 10 days prior to such Special Record Date, or be paid in any other lawful manner not inconsistent with the requirements of any securities exchange on which this Security may be listed, and upon such notice as may be required by such exchange, all as more fully provided in said Indenture.</w:t>
      </w:r>
    </w:p>
    <w:p>
      <w:pPr>
        <w:spacing w:after="0" w:line="154" w:lineRule="exact"/>
        <w:rPr>
          <w:sz w:val="20"/>
          <w:szCs w:val="20"/>
          <w:color w:val="auto"/>
        </w:rPr>
      </w:pPr>
    </w:p>
    <w:p>
      <w:pPr>
        <w:jc w:val="both"/>
        <w:ind w:firstLine="511"/>
        <w:spacing w:after="0" w:line="262" w:lineRule="auto"/>
        <w:rPr>
          <w:sz w:val="20"/>
          <w:szCs w:val="20"/>
          <w:color w:val="auto"/>
        </w:rPr>
      </w:pPr>
      <w:r>
        <w:rPr>
          <w:rFonts w:ascii="Times New Roman" w:cs="Times New Roman" w:eastAsia="Times New Roman" w:hAnsi="Times New Roman"/>
          <w:sz w:val="14"/>
          <w:szCs w:val="14"/>
          <w:color w:val="auto"/>
        </w:rPr>
        <w:t xml:space="preserve">[If the Security is not to bear interest prior to Maturity, insert — </w:t>
      </w:r>
      <w:r>
        <w:rPr>
          <w:rFonts w:ascii="Times New Roman" w:cs="Times New Roman" w:eastAsia="Times New Roman" w:hAnsi="Times New Roman"/>
          <w:sz w:val="14"/>
          <w:szCs w:val="14"/>
          <w:i w:val="1"/>
          <w:iCs w:val="1"/>
          <w:color w:val="auto"/>
        </w:rPr>
        <w:t>The principal of this Security shall not bear interest except in the case of a default in payment of principal upon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acceleration, upon redemption or at Stated Maturity and in such case the overdue principal and any overdue premium shall bear interest at the rate of [ · ]% per annum (to the extent that the payment of such interest shall be legally enforceable), from the dates such amounts are due until they are paid or made available for payment. Interest on any overdue principal or premium shall be payable on demand. Any such interest on overdue principal or premium that is not paid on demand shall bear interest at the rate of [ · ]% per annum (to the extent that the payment of such interest on interest shall be legally enforceable), from the date of such demand until the amount so demanded is paid or made available for payment. Interest on any overdue interest shall be payable on demand.</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179006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1790065" cy="6985"/>
                    </a:xfrm>
                    <a:prstGeom prst="rect">
                      <a:avLst/>
                    </a:prstGeom>
                    <a:noFill/>
                  </pic:spPr>
                </pic:pic>
              </a:graphicData>
            </a:graphic>
          </wp:anchor>
        </w:drawing>
      </w:r>
    </w:p>
    <w:p>
      <w:pPr>
        <w:spacing w:after="0" w:line="32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If the Securities of the applicable series are to be sold “flat,” insert the date of original issuance of Securities of such series. If the Securities of the applicable series are to be issued “with accrued interest,” insert the Interest Payment Date for Securities of such series next preceding the date of original issuance of Securities of such series.</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716153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81" w:name="page82"/>
    <w:bookmarkEnd w:id="81"/>
    <w:p>
      <w:pPr>
        <w:jc w:val="both"/>
        <w:ind w:firstLine="511"/>
        <w:spacing w:after="0" w:line="257" w:lineRule="auto"/>
        <w:rPr>
          <w:sz w:val="20"/>
          <w:szCs w:val="20"/>
          <w:color w:val="auto"/>
        </w:rPr>
      </w:pPr>
      <w:r>
        <w:rPr>
          <w:rFonts w:ascii="Times New Roman" w:cs="Times New Roman" w:eastAsia="Times New Roman" w:hAnsi="Times New Roman"/>
          <w:sz w:val="14"/>
          <w:szCs w:val="14"/>
          <w:color w:val="auto"/>
        </w:rPr>
        <w:t xml:space="preserve">Payment of the principal of (and premium, if any) and [if applicable, insert — </w:t>
      </w:r>
      <w:r>
        <w:rPr>
          <w:rFonts w:ascii="Times New Roman" w:cs="Times New Roman" w:eastAsia="Times New Roman" w:hAnsi="Times New Roman"/>
          <w:sz w:val="14"/>
          <w:szCs w:val="14"/>
          <w:i w:val="1"/>
          <w:iCs w:val="1"/>
          <w:color w:val="auto"/>
        </w:rPr>
        <w:t>any such</w:t>
      </w:r>
      <w:r>
        <w:rPr>
          <w:rFonts w:ascii="Times New Roman" w:cs="Times New Roman" w:eastAsia="Times New Roman" w:hAnsi="Times New Roman"/>
          <w:sz w:val="14"/>
          <w:szCs w:val="14"/>
          <w:color w:val="auto"/>
        </w:rPr>
        <w:t>] interest on this Security will be made at the office or agency of the Company maintained for that purpose, which is initially the Corporate Trust Office of the Trustee in St. Paul, Minnesota, in such coin or currency of the United States of America as at the time of payment is legal tender for payment of public and private debts, against surrender of this Security in the case of any payment due at the Maturity of the principal thereof or any payment of interest becomes payable on a day other than an Interest Payment Date; provided, however, that if this Security is not a Global Security, (i) payment of interest on an Interest Payment Date will be made by check mailed to the address of the Person entitled thereto as such address shall appear in the Security Register; and all other payments will be made by check against surrender of this Security; (ii) all payments by check will be made in next-day funds (i.e., funds that become available on the day after the check is cashed); and (iii) notwithstanding clauses (i) and (ii) above, with respect to any payment of any amount due on this Security, if this Security is in a denomination of at least $1,000,000 and the Holder hereof at the time of surrender hereof or, in the case of any payment of interest on any Interest Payment Date, the Holder thereof on the related Regular Record Date delivers a written request to the Paying Agent to make such payment by wire transfer at least five Business Days before the date such payment becomes due, together with appropriate wire transfer instructions specifying an account at a bank located in the contiguous United States of America, the Company shall make such payment by wire transfer of immediately available funds to such account at such bank, any such wire instructions, once properly given by a Holder as to this Security, remaining in effect as to such Holder and this Security unless and until new instructions are given in the manner described above; provided, further, that notwithstanding anything in the foregoing to the contrary, if this Security is a Global Security, payment shall be made pursuant to the Applicable Procedures of the Depositary as permitted in the Indenture.</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Reference is hereby made to the further provisions of this Security set forth on the reverse hereof, which further provisions shall for all purposes have the same effect as if set forth at this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place.</w:t>
      </w:r>
    </w:p>
    <w:p>
      <w:pPr>
        <w:spacing w:after="0" w:line="165"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WITNESS WHEREOF, the Company has caused this instrument to be duly signed manually or by facsimile by its duly authorized officer.</w:t>
      </w:r>
    </w:p>
    <w:p>
      <w:pPr>
        <w:spacing w:after="0" w:line="17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VIPER ENERGY PARTNERS LP,</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a Delaware limited partnership</w:t>
      </w:r>
    </w:p>
    <w:p>
      <w:pPr>
        <w:spacing w:after="0" w:line="16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By: Viper Energy GP LLC, its general partner</w:t>
      </w:r>
    </w:p>
    <w:p>
      <w:pPr>
        <w:spacing w:after="0" w:line="17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-100965</wp:posOffset>
            </wp:positionV>
            <wp:extent cx="336423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3364230" cy="6985"/>
                    </a:xfrm>
                    <a:prstGeom prst="rect">
                      <a:avLst/>
                    </a:prstGeom>
                    <a:noFill/>
                  </pic:spPr>
                </pic:pic>
              </a:graphicData>
            </a:graphic>
          </wp:anchor>
        </w:drawing>
      </w:r>
    </w:p>
    <w:p>
      <w:pPr>
        <w:jc w:val="center"/>
        <w:ind w:left="9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12700</wp:posOffset>
            </wp:positionV>
            <wp:extent cx="300672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3006725" cy="698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-100965</wp:posOffset>
            </wp:positionV>
            <wp:extent cx="300672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3006725" cy="6985"/>
                    </a:xfrm>
                    <a:prstGeom prst="rect">
                      <a:avLst/>
                    </a:prstGeom>
                    <a:noFill/>
                  </pic:spPr>
                </pic:pic>
              </a:graphicData>
            </a:graphic>
          </wp:anchor>
        </w:drawing>
      </w:r>
    </w:p>
    <w:p>
      <w:pPr>
        <w:spacing w:after="0" w:line="165" w:lineRule="exact"/>
        <w:rPr>
          <w:sz w:val="20"/>
          <w:szCs w:val="20"/>
          <w:color w:val="auto"/>
        </w:rPr>
      </w:pPr>
    </w:p>
    <w:p>
      <w:pPr>
        <w:jc w:val="both"/>
        <w:ind w:firstLine="511"/>
        <w:spacing w:after="0" w:line="261" w:lineRule="auto"/>
        <w:rPr>
          <w:sz w:val="20"/>
          <w:szCs w:val="20"/>
          <w:color w:val="auto"/>
        </w:rPr>
      </w:pPr>
      <w:r>
        <w:rPr>
          <w:rFonts w:ascii="Times New Roman" w:cs="Times New Roman" w:eastAsia="Times New Roman" w:hAnsi="Times New Roman"/>
          <w:sz w:val="14"/>
          <w:szCs w:val="14"/>
          <w:color w:val="auto"/>
        </w:rPr>
        <w:t>Section 203         </w:t>
      </w:r>
      <w:r>
        <w:rPr>
          <w:rFonts w:ascii="Times New Roman" w:cs="Times New Roman" w:eastAsia="Times New Roman" w:hAnsi="Times New Roman"/>
          <w:sz w:val="14"/>
          <w:szCs w:val="14"/>
          <w:u w:val="single" w:color="auto"/>
          <w:color w:val="auto"/>
        </w:rPr>
        <w:t>  Form of Reverse of Security</w:t>
      </w:r>
      <w:r>
        <w:rPr>
          <w:rFonts w:ascii="Times New Roman" w:cs="Times New Roman" w:eastAsia="Times New Roman" w:hAnsi="Times New Roman"/>
          <w:sz w:val="14"/>
          <w:szCs w:val="14"/>
          <w:color w:val="auto"/>
        </w:rPr>
        <w:t>. This Security is one of a duly authorized issue of securities of the Company (herein called the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issued and to be issued in one or more series under an Indenture, dated as of [ · ] (herein called the “</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 which term shall have the meaning assigned to it in such instrument), among the Company, the Guarantors, if any, and Computershare Trust Company, National Association, as trustee (herein called the “</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xml:space="preserve">,” which term includes any successor trustee under the Indenture), and reference is hereby made to the Indenture for a statement of the respective rights, limitations of rights, duties and immunities thereunder of the Company, the Guarantors, if any, the Trustee and the Holders of the Securities and of the terms upon which the Securities are, and are to be, authenticated and delivered. This Security is one of the series designated on the face hereof [if applicable, insert — </w:t>
      </w:r>
      <w:r>
        <w:rPr>
          <w:rFonts w:ascii="Times New Roman" w:cs="Times New Roman" w:eastAsia="Times New Roman" w:hAnsi="Times New Roman"/>
          <w:sz w:val="14"/>
          <w:szCs w:val="14"/>
          <w:i w:val="1"/>
          <w:iCs w:val="1"/>
          <w:color w:val="auto"/>
        </w:rPr>
        <w:t>limited in aggregate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principal amount to $[ · ] </w:t>
      </w:r>
      <w:r>
        <w:rPr>
          <w:rFonts w:ascii="Times New Roman" w:cs="Times New Roman" w:eastAsia="Times New Roman" w:hAnsi="Times New Roman"/>
          <w:sz w:val="14"/>
          <w:szCs w:val="14"/>
          <w:color w:val="auto"/>
        </w:rPr>
        <w:t>].</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82" w:name="page83"/>
    <w:bookmarkEnd w:id="82"/>
    <w:p>
      <w:pPr>
        <w:jc w:val="both"/>
        <w:ind w:firstLine="511"/>
        <w:spacing w:after="0" w:line="272" w:lineRule="auto"/>
        <w:rPr>
          <w:sz w:val="20"/>
          <w:szCs w:val="20"/>
          <w:color w:val="auto"/>
        </w:rPr>
      </w:pPr>
      <w:r>
        <w:rPr>
          <w:rFonts w:ascii="Times New Roman" w:cs="Times New Roman" w:eastAsia="Times New Roman" w:hAnsi="Times New Roman"/>
          <w:sz w:val="14"/>
          <w:szCs w:val="14"/>
          <w:color w:val="auto"/>
        </w:rPr>
        <w:t xml:space="preserve">This Security is the general, unsecured obligation of the Company and is guaranteed pursuant to a guarantee (the “Guarantee”) by the Parent Guarantor and </w:t>
      </w:r>
      <w:r>
        <w:rPr>
          <w:rFonts w:ascii="Times New Roman" w:cs="Times New Roman" w:eastAsia="Times New Roman" w:hAnsi="Times New Roman"/>
          <w:sz w:val="14"/>
          <w:szCs w:val="14"/>
          <w:i w:val="1"/>
          <w:iCs w:val="1"/>
          <w:color w:val="auto"/>
        </w:rPr>
        <w:t>[insert name of each additional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Guarantor] </w:t>
      </w:r>
      <w:r>
        <w:rPr>
          <w:rFonts w:ascii="Times New Roman" w:cs="Times New Roman" w:eastAsia="Times New Roman" w:hAnsi="Times New Roman"/>
          <w:sz w:val="14"/>
          <w:szCs w:val="14"/>
          <w:color w:val="auto"/>
        </w:rPr>
        <w:t>[and any other Person who shall become such in accordance with the Indenture (the “Guarantors”)]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Guarantee by each Guarantor is the general, unsecured, senior obligation of such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Guarantor, subject to the release and discharge thereof as provided in the Indenture.</w:t>
      </w:r>
    </w:p>
    <w:p>
      <w:pPr>
        <w:spacing w:after="0" w:line="134" w:lineRule="exact"/>
        <w:rPr>
          <w:sz w:val="20"/>
          <w:szCs w:val="20"/>
          <w:color w:val="auto"/>
        </w:rPr>
      </w:pPr>
    </w:p>
    <w:p>
      <w:pPr>
        <w:jc w:val="both"/>
        <w:ind w:firstLine="511"/>
        <w:spacing w:after="0" w:line="272" w:lineRule="auto"/>
        <w:rPr>
          <w:sz w:val="20"/>
          <w:szCs w:val="20"/>
          <w:color w:val="auto"/>
        </w:rPr>
      </w:pPr>
      <w:r>
        <w:rPr>
          <w:rFonts w:ascii="Times New Roman" w:cs="Times New Roman" w:eastAsia="Times New Roman" w:hAnsi="Times New Roman"/>
          <w:sz w:val="14"/>
          <w:szCs w:val="14"/>
          <w:color w:val="auto"/>
        </w:rPr>
        <w:t xml:space="preserve">[If applicable, insert — </w:t>
      </w:r>
      <w:r>
        <w:rPr>
          <w:rFonts w:ascii="Times New Roman" w:cs="Times New Roman" w:eastAsia="Times New Roman" w:hAnsi="Times New Roman"/>
          <w:sz w:val="14"/>
          <w:szCs w:val="14"/>
          <w:i w:val="1"/>
          <w:iCs w:val="1"/>
          <w:color w:val="auto"/>
        </w:rPr>
        <w:t>The Securities of this series are subject to redemption upon not less than 10 days’ nor more than 60 days’ notice, at any time [if applicable, insert — on or after [ ·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20[ · ]], as a whole or in part, at the election of the Company, at the following Redemption Prices (expressed as percentages of the principal amount): If redeemed [if applicable, insert — on or before [ · ], [ · ]%, and if redeemed] during the 12-month period beginning [ · ] of the years indicated</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1280"/>
        <w:spacing w:after="0"/>
        <w:tabs>
          <w:tab w:leader="none" w:pos="3660" w:val="left"/>
          <w:tab w:leader="none" w:pos="6900" w:val="left"/>
          <w:tab w:leader="none" w:pos="9300" w:val="left"/>
        </w:tabs>
        <w:rPr>
          <w:sz w:val="20"/>
          <w:szCs w:val="20"/>
          <w:color w:val="auto"/>
        </w:rPr>
      </w:pPr>
      <w:r>
        <w:rPr>
          <w:rFonts w:ascii="Times New Roman" w:cs="Times New Roman" w:eastAsia="Times New Roman" w:hAnsi="Times New Roman"/>
          <w:sz w:val="14"/>
          <w:szCs w:val="14"/>
          <w:b w:val="1"/>
          <w:bCs w:val="1"/>
          <w:color w:val="auto"/>
        </w:rPr>
        <w:t>Year</w:t>
      </w:r>
      <w:r>
        <w:rPr>
          <w:sz w:val="20"/>
          <w:szCs w:val="20"/>
          <w:color w:val="auto"/>
        </w:rPr>
        <w:tab/>
      </w:r>
      <w:r>
        <w:rPr>
          <w:rFonts w:ascii="Times New Roman" w:cs="Times New Roman" w:eastAsia="Times New Roman" w:hAnsi="Times New Roman"/>
          <w:sz w:val="14"/>
          <w:szCs w:val="14"/>
          <w:b w:val="1"/>
          <w:bCs w:val="1"/>
          <w:color w:val="auto"/>
        </w:rPr>
        <w:t>Redemption Price</w:t>
      </w:r>
      <w:r>
        <w:rPr>
          <w:sz w:val="20"/>
          <w:szCs w:val="20"/>
          <w:color w:val="auto"/>
        </w:rPr>
        <w:tab/>
      </w:r>
      <w:r>
        <w:rPr>
          <w:rFonts w:ascii="Times New Roman" w:cs="Times New Roman" w:eastAsia="Times New Roman" w:hAnsi="Times New Roman"/>
          <w:sz w:val="14"/>
          <w:szCs w:val="14"/>
          <w:b w:val="1"/>
          <w:bCs w:val="1"/>
          <w:color w:val="auto"/>
        </w:rPr>
        <w:t>Year</w:t>
      </w:r>
      <w:r>
        <w:rPr>
          <w:sz w:val="20"/>
          <w:szCs w:val="20"/>
          <w:color w:val="auto"/>
        </w:rPr>
        <w:tab/>
      </w:r>
      <w:r>
        <w:rPr>
          <w:rFonts w:ascii="Times New Roman" w:cs="Times New Roman" w:eastAsia="Times New Roman" w:hAnsi="Times New Roman"/>
          <w:sz w:val="14"/>
          <w:szCs w:val="14"/>
          <w:b w:val="1"/>
          <w:bCs w:val="1"/>
          <w:color w:val="auto"/>
        </w:rPr>
        <w:t>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16510</wp:posOffset>
            </wp:positionV>
            <wp:extent cx="705358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70535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i w:val="1"/>
          <w:iCs w:val="1"/>
          <w:color w:val="auto"/>
        </w:rPr>
        <w:t>and thereafter at a Redemption Price equal to [ · ]% of the principal amount, together in the case of any such redemption with accrued interest to the Redemption Date, but interest installments whose Interest Payment Date is on or prior to such Redemption Date will be payable to the Holders of such Securities, or one or more Predecessor Securities, of record at the close of business on the relevant Record Dates referred to on the face hereof, all as provided in the Indenture</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[If applicable, insert — </w:t>
      </w:r>
      <w:r>
        <w:rPr>
          <w:rFonts w:ascii="Times New Roman" w:cs="Times New Roman" w:eastAsia="Times New Roman" w:hAnsi="Times New Roman"/>
          <w:sz w:val="14"/>
          <w:szCs w:val="14"/>
          <w:i w:val="1"/>
          <w:iCs w:val="1"/>
          <w:color w:val="auto"/>
        </w:rPr>
        <w:t>The Securities of this series are subject to redemption upon not less than 10 nor more than 60 days’ notice, (1) on [ · ] in any year commencing with the year [ · ] and ending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with the year [ · ] through operation of the sinking fund for this series at the Redemption Prices for redemption through operation of the sinking fund (expressed as percentages of the principal amount) set forth in the table below, and (2) at any time [if applicable, insert — on or after [ · ], as a whole or in part, at the election of the Company, at the Redemption Prices for redemption otherwise than through operation of the sinking fund (expressed as percentages of the principal amount) set forth in the table below: If redeemed during the 12-month period beginning [ · ] of the years indicated,</w:t>
      </w:r>
    </w:p>
    <w:p>
      <w:pPr>
        <w:spacing w:after="0" w:line="313"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 Price for</w:t>
            </w:r>
          </w:p>
        </w:tc>
        <w:tc>
          <w:tcPr>
            <w:tcW w:w="140" w:type="dxa"/>
            <w:vAlign w:val="bottom"/>
          </w:tcPr>
          <w:p>
            <w:pPr>
              <w:spacing w:after="0"/>
              <w:rPr>
                <w:sz w:val="14"/>
                <w:szCs w:val="14"/>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 Price for</w:t>
            </w:r>
          </w:p>
        </w:tc>
      </w:tr>
      <w:tr>
        <w:trPr>
          <w:trHeight w:val="170"/>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 Through</w:t>
            </w:r>
          </w:p>
        </w:tc>
        <w:tc>
          <w:tcPr>
            <w:tcW w:w="140" w:type="dxa"/>
            <w:vAlign w:val="bottom"/>
          </w:tcPr>
          <w:p>
            <w:pPr>
              <w:spacing w:after="0"/>
              <w:rPr>
                <w:sz w:val="14"/>
                <w:szCs w:val="14"/>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 Otherwise</w:t>
            </w:r>
          </w:p>
        </w:tc>
      </w:tr>
      <w:tr>
        <w:trPr>
          <w:trHeight w:val="170"/>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Operation of the Sinking</w:t>
            </w:r>
          </w:p>
        </w:tc>
        <w:tc>
          <w:tcPr>
            <w:tcW w:w="140" w:type="dxa"/>
            <w:vAlign w:val="bottom"/>
          </w:tcPr>
          <w:p>
            <w:pPr>
              <w:spacing w:after="0"/>
              <w:rPr>
                <w:sz w:val="14"/>
                <w:szCs w:val="14"/>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Than Through Operation of</w:t>
            </w:r>
          </w:p>
        </w:tc>
      </w:tr>
      <w:tr>
        <w:trPr>
          <w:trHeight w:val="187"/>
        </w:trPr>
        <w:tc>
          <w:tcPr>
            <w:tcW w:w="370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6"/>
                <w:szCs w:val="16"/>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Fund</w:t>
            </w:r>
          </w:p>
        </w:tc>
        <w:tc>
          <w:tcPr>
            <w:tcW w:w="140" w:type="dxa"/>
            <w:vAlign w:val="bottom"/>
          </w:tcPr>
          <w:p>
            <w:pPr>
              <w:spacing w:after="0"/>
              <w:rPr>
                <w:sz w:val="16"/>
                <w:szCs w:val="16"/>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Sinking Fund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83" w:name="page84"/>
    <w:bookmarkEnd w:id="83"/>
    <w:p>
      <w:pPr>
        <w:jc w:val="both"/>
        <w:spacing w:after="0" w:line="272" w:lineRule="auto"/>
        <w:rPr>
          <w:sz w:val="20"/>
          <w:szCs w:val="20"/>
          <w:color w:val="auto"/>
        </w:rPr>
      </w:pPr>
      <w:r>
        <w:rPr>
          <w:rFonts w:ascii="Times New Roman" w:cs="Times New Roman" w:eastAsia="Times New Roman" w:hAnsi="Times New Roman"/>
          <w:sz w:val="14"/>
          <w:szCs w:val="14"/>
          <w:i w:val="1"/>
          <w:iCs w:val="1"/>
          <w:color w:val="auto"/>
        </w:rPr>
        <w:t>and thereafter] at a Redemption Price equal to [ · ]% of the principal amount, together in the case of any such redemption (whether through operation of the sinking fund or otherwise) with accrued interest to the Redemption Date, but interest installments whose Interest Payment Date is on or prior to such Redemption Date will be payable to the Holders of such Securities, or one or more Predecessor Securities, of record at the close of business on the relevant Record Dates referred to on the face hereof, all as provided in the Indenture.</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firstLine="511"/>
        <w:spacing w:after="0" w:line="272" w:lineRule="auto"/>
        <w:rPr>
          <w:sz w:val="20"/>
          <w:szCs w:val="20"/>
          <w:color w:val="auto"/>
        </w:rPr>
      </w:pPr>
      <w:r>
        <w:rPr>
          <w:rFonts w:ascii="Times New Roman" w:cs="Times New Roman" w:eastAsia="Times New Roman" w:hAnsi="Times New Roman"/>
          <w:sz w:val="14"/>
          <w:szCs w:val="14"/>
          <w:color w:val="auto"/>
        </w:rPr>
        <w:t xml:space="preserve">[If applicable, insert — </w:t>
      </w:r>
      <w:r>
        <w:rPr>
          <w:rFonts w:ascii="Times New Roman" w:cs="Times New Roman" w:eastAsia="Times New Roman" w:hAnsi="Times New Roman"/>
          <w:sz w:val="14"/>
          <w:szCs w:val="14"/>
          <w:i w:val="1"/>
          <w:iCs w:val="1"/>
          <w:color w:val="auto"/>
        </w:rPr>
        <w:t>Notwithstanding the foregoing, the Company may not, prior to [ · ], redeem any Securities of this series as contemplated by [if applicable, insert — clause (2) of]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preceding paragraph as a part of, or in anticipation of, any refunding operation by the application, directly or indirectly, of moneys borrowed having an interest cost to the Company (calculated in accordance with generally accepted financial practice) of less than [ · ]% per annum</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firstLine="511"/>
        <w:spacing w:after="0" w:line="266" w:lineRule="auto"/>
        <w:rPr>
          <w:sz w:val="20"/>
          <w:szCs w:val="20"/>
          <w:color w:val="auto"/>
        </w:rPr>
      </w:pPr>
      <w:r>
        <w:rPr>
          <w:rFonts w:ascii="Times New Roman" w:cs="Times New Roman" w:eastAsia="Times New Roman" w:hAnsi="Times New Roman"/>
          <w:sz w:val="14"/>
          <w:szCs w:val="14"/>
          <w:color w:val="auto"/>
        </w:rPr>
        <w:t xml:space="preserve">[If applicable, insert — </w:t>
      </w:r>
      <w:r>
        <w:rPr>
          <w:rFonts w:ascii="Times New Roman" w:cs="Times New Roman" w:eastAsia="Times New Roman" w:hAnsi="Times New Roman"/>
          <w:sz w:val="14"/>
          <w:szCs w:val="14"/>
          <w:i w:val="1"/>
          <w:iCs w:val="1"/>
          <w:color w:val="auto"/>
        </w:rPr>
        <w:t>The sinking fund for this series provides for the redemption on [ · ] in each year beginning with the year [ · ] and ending with the year [ · ] of [if applicable, insert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not less than $[ · ] (“mandatory sinking fund”) and not more than] $[ · ] aggregate principal amount of Securities of this series. Securities of this series acquired or redeemed by the Company otherwise than through [if applicable, insert — mandatory] sinking fund payments may be credited against subsequent [if applicable, insert — mandatory] sinking fund payments otherwise required to be made [if applicable, insert —, in the inverse order in which they become due</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jc w:val="both"/>
        <w:ind w:firstLine="511"/>
        <w:spacing w:after="0" w:line="291" w:lineRule="auto"/>
        <w:rPr>
          <w:sz w:val="20"/>
          <w:szCs w:val="20"/>
          <w:color w:val="auto"/>
        </w:rPr>
      </w:pPr>
      <w:r>
        <w:rPr>
          <w:rFonts w:ascii="Times New Roman" w:cs="Times New Roman" w:eastAsia="Times New Roman" w:hAnsi="Times New Roman"/>
          <w:sz w:val="14"/>
          <w:szCs w:val="14"/>
          <w:color w:val="auto"/>
        </w:rPr>
        <w:t xml:space="preserve">[If the Security is subject to redemption of any kind, insert — </w:t>
      </w:r>
      <w:r>
        <w:rPr>
          <w:rFonts w:ascii="Times New Roman" w:cs="Times New Roman" w:eastAsia="Times New Roman" w:hAnsi="Times New Roman"/>
          <w:sz w:val="14"/>
          <w:szCs w:val="14"/>
          <w:i w:val="1"/>
          <w:iCs w:val="1"/>
          <w:color w:val="auto"/>
        </w:rPr>
        <w:t>In the event of redemption of this Security in part only, a new Security or Securities of this series and of like tenor for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unredeemed portion hereof will be issued in the name of the Holder hereof upon the cancellation hereof</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jc w:val="both"/>
        <w:ind w:firstLine="511"/>
        <w:spacing w:after="0" w:line="291" w:lineRule="auto"/>
        <w:rPr>
          <w:sz w:val="20"/>
          <w:szCs w:val="20"/>
          <w:color w:val="auto"/>
        </w:rPr>
      </w:pPr>
      <w:r>
        <w:rPr>
          <w:rFonts w:ascii="Times New Roman" w:cs="Times New Roman" w:eastAsia="Times New Roman" w:hAnsi="Times New Roman"/>
          <w:sz w:val="14"/>
          <w:szCs w:val="14"/>
          <w:color w:val="auto"/>
        </w:rPr>
        <w:t xml:space="preserve">[If applicable, insert — </w:t>
      </w:r>
      <w:r>
        <w:rPr>
          <w:rFonts w:ascii="Times New Roman" w:cs="Times New Roman" w:eastAsia="Times New Roman" w:hAnsi="Times New Roman"/>
          <w:sz w:val="14"/>
          <w:szCs w:val="14"/>
          <w:i w:val="1"/>
          <w:iCs w:val="1"/>
          <w:color w:val="auto"/>
        </w:rPr>
        <w:t>The Indenture contains provisions for defeasance at any time of the entire indebtedness of this Security or certain restrictive covenants and Events of Default with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respect to this Security, in each case upon compliance with certain conditions set forth in the Indenture</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As provided in the Indenture and subject to certain limitations therein set forth, the obligations of the Company under this Security are guaranteed by each of the Guarantors pursuant to the Indenture [as indicated in the notation of guarantee endorsed hereon]. The Indenture provides that a Guarantor shall be released from its Guarantee upon compliance with certain conditions.</w:t>
      </w:r>
    </w:p>
    <w:p>
      <w:pPr>
        <w:spacing w:after="0" w:line="122" w:lineRule="exact"/>
        <w:rPr>
          <w:sz w:val="20"/>
          <w:szCs w:val="20"/>
          <w:color w:val="auto"/>
        </w:rPr>
      </w:pPr>
    </w:p>
    <w:p>
      <w:pPr>
        <w:jc w:val="both"/>
        <w:ind w:firstLine="511"/>
        <w:spacing w:after="0" w:line="291" w:lineRule="auto"/>
        <w:rPr>
          <w:sz w:val="20"/>
          <w:szCs w:val="20"/>
          <w:color w:val="auto"/>
        </w:rPr>
      </w:pPr>
      <w:r>
        <w:rPr>
          <w:rFonts w:ascii="Times New Roman" w:cs="Times New Roman" w:eastAsia="Times New Roman" w:hAnsi="Times New Roman"/>
          <w:sz w:val="14"/>
          <w:szCs w:val="14"/>
          <w:color w:val="auto"/>
        </w:rPr>
        <w:t xml:space="preserve">[If the Security is not an Original Issue Discount Security, insert — </w:t>
      </w:r>
      <w:r>
        <w:rPr>
          <w:rFonts w:ascii="Times New Roman" w:cs="Times New Roman" w:eastAsia="Times New Roman" w:hAnsi="Times New Roman"/>
          <w:sz w:val="14"/>
          <w:szCs w:val="14"/>
          <w:i w:val="1"/>
          <w:iCs w:val="1"/>
          <w:color w:val="auto"/>
        </w:rPr>
        <w:t>If an Event of Default with respect to Securities of this series shall occur and be continuing, the principal of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Securities of this series may be declared due and payable in the manner and with the effect provided in the Indenture</w:t>
      </w:r>
      <w:r>
        <w:rPr>
          <w:rFonts w:ascii="Times New Roman" w:cs="Times New Roman" w:eastAsia="Times New Roman" w:hAnsi="Times New Roman"/>
          <w:sz w:val="14"/>
          <w:szCs w:val="14"/>
          <w:color w:val="auto"/>
        </w:rPr>
        <w:t>.]</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84" w:name="page85"/>
    <w:bookmarkEnd w:id="84"/>
    <w:p>
      <w:pPr>
        <w:jc w:val="both"/>
        <w:ind w:firstLine="511"/>
        <w:spacing w:after="0" w:line="266" w:lineRule="auto"/>
        <w:rPr>
          <w:sz w:val="20"/>
          <w:szCs w:val="20"/>
          <w:color w:val="auto"/>
        </w:rPr>
      </w:pPr>
      <w:r>
        <w:rPr>
          <w:rFonts w:ascii="Times New Roman" w:cs="Times New Roman" w:eastAsia="Times New Roman" w:hAnsi="Times New Roman"/>
          <w:sz w:val="14"/>
          <w:szCs w:val="14"/>
          <w:color w:val="auto"/>
        </w:rPr>
        <w:t xml:space="preserve">[If the Security is an Original Issue Discount Security, insert — </w:t>
      </w:r>
      <w:r>
        <w:rPr>
          <w:rFonts w:ascii="Times New Roman" w:cs="Times New Roman" w:eastAsia="Times New Roman" w:hAnsi="Times New Roman"/>
          <w:sz w:val="14"/>
          <w:szCs w:val="14"/>
          <w:i w:val="1"/>
          <w:iCs w:val="1"/>
          <w:color w:val="auto"/>
        </w:rPr>
        <w:t>If an Event of Default with respect to Securities of this series shall occur and be continuing, an amount of principal of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Securities of this series may be declared due and payable in the manner and with the effect provided in the Indenture. Such amount shall be equal to — insert formula for determining the amount.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jc w:val="both"/>
        <w:ind w:firstLine="511"/>
        <w:spacing w:after="0" w:line="256" w:lineRule="auto"/>
        <w:rPr>
          <w:sz w:val="20"/>
          <w:szCs w:val="20"/>
          <w:color w:val="auto"/>
        </w:rPr>
      </w:pPr>
      <w:r>
        <w:rPr>
          <w:rFonts w:ascii="Times New Roman" w:cs="Times New Roman" w:eastAsia="Times New Roman" w:hAnsi="Times New Roman"/>
          <w:sz w:val="14"/>
          <w:szCs w:val="14"/>
          <w:color w:val="auto"/>
        </w:rPr>
        <w:t>The Indenture permits, with certain exceptions as therein provided, the amendment thereof and the modification of the rights and obligations of the Company and [the Parent Guarantor] [the Guarantors] and the rights of the Holders of the Securities to be affected under the Indenture at any time by the Company and [the Parent Guarantor][the Guarantors] and the Trustee with the consent of the Holders of a majority in principal amount (including consents obtained in connection with a purchase of, or tender offer or exchange offer for, Securities) of all Securities at the time Outstanding to be affected (considered together as one class for this purpose and such Securities to be affected potentially being Securities of the same or different series and, with respect to any series, potentially comprising fewer than all the Securities of such series), except as may otherwise be provided pursuant to the Indenture for all or any specific Securities of any series. The Indenture also contains provisions (i) permitting the Holders of a majority in principal amount (including waivers obtained in connection with a purchase of, or tender offer or exchange offer for, Securities) of the Securities at the time Outstanding to be affected under the Indenture (considered together as one class for this purpose and such affected Securities potentially being Securities of the same or different series and, with respect to any particular series, potentially comprising fewer than all the Securities of such series), on behalf of the Holders of all Securities so affected, to waive compliance by the Company and [the Parent Guarantor][the Guarantors] with certain provisions of the Indenture and (ii) permitting the Holders of a majority in principal amount (including waivers obtained in connection with a purchase of, or tender offer or exchange offer for, Securities) of the Securities at the time Outstanding of any series to be affected under the Indenture (with each such series considered separately for this purpose), on behalf of the Holders of all Securities of such series, to waive certain past defaults under the Indenture with respect to such series and their consequences, in the case of Clause (i) or (ii), except as may otherwise be provided pursuant to the Indenture for all or any specific Securities of any series.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49" w:lineRule="exact"/>
        <w:rPr>
          <w:sz w:val="20"/>
          <w:szCs w:val="20"/>
          <w:color w:val="auto"/>
        </w:rPr>
      </w:pPr>
    </w:p>
    <w:p>
      <w:pPr>
        <w:jc w:val="both"/>
        <w:ind w:firstLine="511"/>
        <w:spacing w:after="0" w:line="259" w:lineRule="auto"/>
        <w:rPr>
          <w:sz w:val="20"/>
          <w:szCs w:val="20"/>
          <w:color w:val="auto"/>
        </w:rPr>
      </w:pPr>
      <w:r>
        <w:rPr>
          <w:rFonts w:ascii="Times New Roman" w:cs="Times New Roman" w:eastAsia="Times New Roman" w:hAnsi="Times New Roman"/>
          <w:sz w:val="14"/>
          <w:szCs w:val="14"/>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and offered the Trustee security or indemnity satisfactory to it,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security or indemnity. The foregoing shall not apply to any suit instituted by the Holder of this Security for the enforcement of any payment of principal hereof or any premium or interest hereon on or after the respective due dates expressed herein.</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85" w:name="page86"/>
    <w:bookmarkEnd w:id="85"/>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 or alter or impair the obligation of any Guarantor, which is absolute and unconditional, to pay pursuant to its Guarantee.</w:t>
      </w:r>
    </w:p>
    <w:p>
      <w:pPr>
        <w:spacing w:after="0" w:line="136"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40"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The Securities of this series are issuable only in registered form without coupons in minimum denominations of $2,000 and any integral multiple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36"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No service charge shall be made for any such registration of transfer or exchange, but the Company may require payment of a sum sufficient to cover any tax or other governmental charge payable in connection therewith.</w:t>
      </w:r>
    </w:p>
    <w:p>
      <w:pPr>
        <w:spacing w:after="0" w:line="124"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Prior to due presentment of this Security for registration of transfer, the Company, any Guarantor, the Trustee and any agent of the Company, any Guarantor or the Trustee shall treat the Person in whose name this Security is registered as the owner hereof for all purposes, whether or not this Security be overdue, and neither the Company, any Guarantor the Trustee nor any such agent shall be affected by notice to the contrary.</w:t>
      </w:r>
    </w:p>
    <w:p>
      <w:pPr>
        <w:spacing w:after="0" w:line="134" w:lineRule="exact"/>
        <w:rPr>
          <w:sz w:val="20"/>
          <w:szCs w:val="20"/>
          <w:color w:val="auto"/>
        </w:rPr>
      </w:pPr>
    </w:p>
    <w:p>
      <w:pPr>
        <w:jc w:val="both"/>
        <w:ind w:firstLine="511"/>
        <w:spacing w:after="0" w:line="291" w:lineRule="auto"/>
        <w:rPr>
          <w:sz w:val="20"/>
          <w:szCs w:val="20"/>
          <w:color w:val="auto"/>
        </w:rPr>
      </w:pPr>
      <w:r>
        <w:rPr>
          <w:rFonts w:ascii="Times New Roman" w:cs="Times New Roman" w:eastAsia="Times New Roman" w:hAnsi="Times New Roman"/>
          <w:sz w:val="14"/>
          <w:szCs w:val="14"/>
          <w:color w:val="auto"/>
        </w:rPr>
        <w:t xml:space="preserve">[If this Security is a Global Security, insert — </w:t>
      </w:r>
      <w:r>
        <w:rPr>
          <w:rFonts w:ascii="Times New Roman" w:cs="Times New Roman" w:eastAsia="Times New Roman" w:hAnsi="Times New Roman"/>
          <w:sz w:val="14"/>
          <w:szCs w:val="14"/>
          <w:i w:val="1"/>
          <w:iCs w:val="1"/>
          <w:color w:val="auto"/>
        </w:rPr>
        <w:t>This Security is a Global Security and is subject to the provisions of the Indenture relating to Global Securities, including the limitations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therein on transfers and exchanges of Global Securities</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Security and the Indenture shall be governed by and construed in accordance with the law of the State of New York.</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terms used in this Security that are defined in the Indenture shall have the meanings assigned to them in the Indenture.</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86" w:name="page87"/>
    <w:bookmarkEnd w:id="86"/>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Section 204         </w:t>
      </w:r>
      <w:r>
        <w:rPr>
          <w:rFonts w:ascii="Times New Roman" w:cs="Times New Roman" w:eastAsia="Times New Roman" w:hAnsi="Times New Roman"/>
          <w:sz w:val="14"/>
          <w:szCs w:val="14"/>
          <w:u w:val="single" w:color="auto"/>
          <w:color w:val="auto"/>
        </w:rPr>
        <w:t>  Form of Legend for Global Securities</w:t>
      </w:r>
      <w:r>
        <w:rPr>
          <w:rFonts w:ascii="Times New Roman" w:cs="Times New Roman" w:eastAsia="Times New Roman" w:hAnsi="Times New Roman"/>
          <w:sz w:val="14"/>
          <w:szCs w:val="14"/>
          <w:color w:val="auto"/>
        </w:rPr>
        <w:t>. Unless otherwise specified as contemplated by Section 301 for the Securities evidenced thereby, every Global Security authenticated and delivered hereunder shall bear a legend in substantially the following form:</w:t>
      </w:r>
    </w:p>
    <w:p>
      <w:pPr>
        <w:spacing w:after="0" w:line="1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205         </w:t>
      </w:r>
      <w:r>
        <w:rPr>
          <w:rFonts w:ascii="Times New Roman" w:cs="Times New Roman" w:eastAsia="Times New Roman" w:hAnsi="Times New Roman"/>
          <w:sz w:val="14"/>
          <w:szCs w:val="14"/>
          <w:u w:val="single" w:color="auto"/>
          <w:color w:val="auto"/>
        </w:rPr>
        <w:t>  Form of Trustee’s Certificate of Authentication</w:t>
      </w:r>
      <w:r>
        <w:rPr>
          <w:rFonts w:ascii="Times New Roman" w:cs="Times New Roman" w:eastAsia="Times New Roman" w:hAnsi="Times New Roman"/>
          <w:sz w:val="14"/>
          <w:szCs w:val="14"/>
          <w:color w:val="auto"/>
        </w:rPr>
        <w:t>. The Trustee’s certificates of authentication shall be in substantially the following form:</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is one of the Securities of the series designated herein and referred to in the within-mentioned Indenture.</w:t>
      </w:r>
    </w:p>
    <w:p>
      <w:pPr>
        <w:spacing w:after="0" w:line="179"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COMPUTERSHARE TRUST COMPANY, NATIONAL ASSOCIATION, as Trustee</w:t>
      </w:r>
    </w:p>
    <w:p>
      <w:pPr>
        <w:spacing w:after="0" w:line="1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By:</w:t>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-99060</wp:posOffset>
            </wp:positionV>
            <wp:extent cx="336423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3364230" cy="698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301         </w:t>
      </w:r>
      <w:r>
        <w:rPr>
          <w:rFonts w:ascii="Times New Roman" w:cs="Times New Roman" w:eastAsia="Times New Roman" w:hAnsi="Times New Roman"/>
          <w:sz w:val="14"/>
          <w:szCs w:val="14"/>
          <w:u w:val="single" w:color="auto"/>
          <w:color w:val="auto"/>
        </w:rPr>
        <w:t>  Amount Unlimited; Issuable in Series</w:t>
      </w:r>
      <w:r>
        <w:rPr>
          <w:rFonts w:ascii="Times New Roman" w:cs="Times New Roman" w:eastAsia="Times New Roman" w:hAnsi="Times New Roman"/>
          <w:sz w:val="14"/>
          <w:szCs w:val="14"/>
          <w:color w:val="auto"/>
        </w:rPr>
        <w:t>. The aggregate principal amount of Securities that may be authenticated and delivered under this Indenture is unlimited.</w:t>
      </w:r>
    </w:p>
    <w:p>
      <w:pPr>
        <w:spacing w:after="0" w:line="179"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The Securities may be issued in one or more series. There shall be established in or pursuant to a Board Resolution, and, subject to Section 303, set forth, or determined in the manner provided, in an Officer’s Certificate, or established in one or more indentures supplemental hereto, prior to the issuance of Securities of any series:</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the title of the Securities of the series (which shall distinguish the Securities of the series from Securities of any other series);</w:t>
      </w:r>
    </w:p>
    <w:p>
      <w:pPr>
        <w:spacing w:after="0" w:line="179" w:lineRule="exact"/>
        <w:rPr>
          <w:sz w:val="20"/>
          <w:szCs w:val="20"/>
          <w:color w:val="auto"/>
        </w:rPr>
      </w:pPr>
    </w:p>
    <w:p>
      <w:pPr>
        <w:jc w:val="both"/>
        <w:ind w:left="520" w:firstLine="511"/>
        <w:spacing w:after="0" w:line="271" w:lineRule="auto"/>
        <w:rPr>
          <w:sz w:val="20"/>
          <w:szCs w:val="20"/>
          <w:color w:val="auto"/>
        </w:rPr>
      </w:pPr>
      <w:r>
        <w:rPr>
          <w:rFonts w:ascii="Times New Roman" w:cs="Times New Roman" w:eastAsia="Times New Roman" w:hAnsi="Times New Roman"/>
          <w:sz w:val="14"/>
          <w:szCs w:val="14"/>
          <w:color w:val="auto"/>
        </w:rPr>
        <w:t>(2)           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304, Section 305, Section 306, Section 906 or Section 1107 and except for any Securities that, pursuant to Section 303, are deemed never to have been authenticated and delivered hereunder);</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87" w:name="page88"/>
    <w:bookmarkEnd w:id="87"/>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(3)           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(4)           the date or dates on which the principal of any Securities of the series is payable or the method of determination thereof and the amount of principal that will be payable;</w:t>
      </w:r>
    </w:p>
    <w:p>
      <w:pPr>
        <w:spacing w:after="0" w:line="179"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(5)           the rate or rates (which may be fixed or variable) at which the Securities of the series shall bear interest, if any, or contingent interest, if any, or the formula, method or provision pursuant to which such rate or rates are determined, and the date or dates from which such interest shall accrue or the method of determination thereof;</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(6)           the Interest Payment Dates on which any such interest shall be payable and the Regular Record Date for any such interest payable on any Interest Payment Date;</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(7)           the place or places where the principal of and any premium and interest on any Securities of the series shall be payable and the manner in which any payment may be made;</w:t>
      </w:r>
    </w:p>
    <w:p>
      <w:pPr>
        <w:spacing w:after="0" w:line="179"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(8)           the Company’s option, if any, to redeem or prepay the Securities of the series, in whole or in part, the period or periods within which, and the price or prices at which, such redemption or prepayment may occur, and the other terms and conditions of any such redemptions or prepayments;</w:t>
      </w:r>
    </w:p>
    <w:p>
      <w:pPr>
        <w:spacing w:after="0" w:line="124"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(9)           the Company’s obligation, if any, whether pursuant to a sinking fund or otherwise, to redeem, purchase, repurchase, or offer to purchase or repurchase, the Securities of the series, in whole or in part, the period or periods within which, and the price or prices at which, such redemption, purchase or repurchase must occur, and the other terms and conditions of any such redemptions, purchases and repurchases;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(10)         if other than minimum denominations of $2,000 and any integral multiple of $1,000 in excess thereof, the denominations in which any Securities of the series shall be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issuable;</w:t>
      </w:r>
    </w:p>
    <w:p>
      <w:pPr>
        <w:spacing w:after="0" w:line="165"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(11)         if the amount of principal of or any premium or interest on any Securities of the series may be determined with reference to an index or pursuant to a formula, the manner in which such amounts shall be determined;</w:t>
      </w:r>
    </w:p>
    <w:p>
      <w:pPr>
        <w:spacing w:after="0" w:line="124" w:lineRule="exact"/>
        <w:rPr>
          <w:sz w:val="20"/>
          <w:szCs w:val="20"/>
          <w:color w:val="auto"/>
        </w:rPr>
      </w:pPr>
    </w:p>
    <w:p>
      <w:pPr>
        <w:jc w:val="both"/>
        <w:ind w:firstLine="511"/>
        <w:spacing w:after="0" w:line="262" w:lineRule="auto"/>
        <w:rPr>
          <w:sz w:val="20"/>
          <w:szCs w:val="20"/>
          <w:color w:val="auto"/>
        </w:rPr>
      </w:pPr>
      <w:r>
        <w:rPr>
          <w:rFonts w:ascii="Times New Roman" w:cs="Times New Roman" w:eastAsia="Times New Roman" w:hAnsi="Times New Roman"/>
          <w:sz w:val="14"/>
          <w:szCs w:val="14"/>
          <w:color w:val="auto"/>
        </w:rPr>
        <w:t>(12)         if other than the currency of the United States of America, the currency, currencies, composite currency, composite currencies or currency units in which the principal of or any premium or interest on any Securities of the series shall be payable, or shall at the election of the Company or the Holder thereof be payable, and the manner of determining the equivalent thereof in the currency of the United States of America for any purpose, including for the purposes of making payment in the currency of the United States of America and applying the definition of “Outstanding” in Section 101, and, in the case of an election, the periods within which and the terms and conditions upon which such election is to be made and the amount so payable (or the manner in which such amount shall be determined);</w:t>
      </w:r>
    </w:p>
    <w:p>
      <w:pPr>
        <w:spacing w:after="0" w:line="31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15240</wp:posOffset>
            </wp:positionV>
            <wp:extent cx="716153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760"/>
          </w:cols>
          <w:pgMar w:left="820" w:top="742" w:right="319" w:bottom="1440" w:gutter="0" w:footer="0" w:header="0"/>
        </w:sectPr>
      </w:pPr>
    </w:p>
    <w:bookmarkStart w:id="88" w:name="page89"/>
    <w:bookmarkEnd w:id="88"/>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(13)         if other than the entire principal amount thereof, the portion of the principal amount of any Securities of the series that shall be payable upon acceleration of the Maturity thereof pursuant to Section 502;</w:t>
      </w:r>
    </w:p>
    <w:p>
      <w:pPr>
        <w:spacing w:after="0" w:line="124"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(14)         if the principal amount payable at the Stated Maturity of any Securities of the series will not be determinable as of any one or more dates prior to the Stated Maturity, the amount that shall be deemed to be the principal amount of such Securities as of any such date for any purpose thereunder or hereunder, including the principal amount thereof that shall be due and payable upon any Maturity other than the Stated Maturity or that shall be deemed to be Outstanding as of any date prior to the Stated Maturity (or, in any such case, the manner in which such amount deemed to be the principal amount shall be determined);</w:t>
      </w:r>
    </w:p>
    <w:p>
      <w:pPr>
        <w:spacing w:after="0" w:line="140"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(15)         if applicable, that the Securities of the series, in whole or any specified part, shall not be defeasible pursuant to Section 1302 or Section 1303 or both such Sections, and, if such Securities may be defeased, in whole or in part, pursuant to either or both such Sections, any provisions to permit a pledge of obligations other than U.S. Government Obligations (or the establishment of other arrangements) to satisfy the requirements of Section 1304(1) for defeasance of such Securities and, if other than by a Board Resolution, the manner in which any election by the Company to defease such Securities shall be evidenced;</w:t>
      </w:r>
    </w:p>
    <w:p>
      <w:pPr>
        <w:spacing w:after="0" w:line="140" w:lineRule="exact"/>
        <w:rPr>
          <w:sz w:val="20"/>
          <w:szCs w:val="20"/>
          <w:color w:val="auto"/>
        </w:rPr>
      </w:pPr>
    </w:p>
    <w:p>
      <w:pPr>
        <w:jc w:val="both"/>
        <w:ind w:firstLine="511"/>
        <w:spacing w:after="0" w:line="262" w:lineRule="auto"/>
        <w:rPr>
          <w:sz w:val="20"/>
          <w:szCs w:val="20"/>
          <w:color w:val="auto"/>
        </w:rPr>
      </w:pPr>
      <w:r>
        <w:rPr>
          <w:rFonts w:ascii="Times New Roman" w:cs="Times New Roman" w:eastAsia="Times New Roman" w:hAnsi="Times New Roman"/>
          <w:sz w:val="14"/>
          <w:szCs w:val="14"/>
          <w:color w:val="auto"/>
        </w:rPr>
        <w:t>(16)         if applicable, that any Securities of the series shall be issuable in whole or in part in the form of one or more Global Securities and, in such case, the respective Depositaries for such Global Securities, the form of any legend or legends that shall be borne by any such Global Security in addition to or in lieu of that set forth in Section 204, any addition to, elimination of or other change in the circumstances set forth in Clause (2) of the penultimate paragraph of Section 305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 and any other provisions governing exchanges or transfers of any such Global Security;</w:t>
      </w:r>
    </w:p>
    <w:p>
      <w:pPr>
        <w:spacing w:after="0" w:line="143"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(17)         any addition to, elimination of or other change in the Events of Default that apply to any Securities of the series, any changes in the applicable notice or cure periods (which may be no period), and any change in the right of the Trustee or the requisite Holders of such Securities to declare the principal amount thereof due and payable pursuant to Section 502, or the automatic acceleration of such principal amount;</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(18)         any addition to, elimination of or other change in the covenants set forth in Article X that applies to Securities of the series;</w:t>
      </w:r>
    </w:p>
    <w:p>
      <w:pPr>
        <w:spacing w:after="0" w:line="179"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(19)         if applicable, that Persons other than those specified in Section 111 shall have such benefits, rights, remedies and claims with respect to any Securities of the series or under this Indenture with respect to such Securities, as and to the extent provided for such Securities;</w:t>
      </w:r>
    </w:p>
    <w:p>
      <w:pPr>
        <w:spacing w:after="0" w:line="29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15240</wp:posOffset>
            </wp:positionV>
            <wp:extent cx="716153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760"/>
          </w:cols>
          <w:pgMar w:left="820" w:top="742" w:right="319" w:bottom="1440" w:gutter="0" w:footer="0" w:header="0"/>
        </w:sectPr>
      </w:pPr>
    </w:p>
    <w:bookmarkStart w:id="89" w:name="page90"/>
    <w:bookmarkEnd w:id="89"/>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(20)         any change in the actions permitted or required under this Indenture to be taken by or on behalf of the Holders of the Securities of the series, including any such change that permits or requires any or all such actions to be taken by or on behalf of the Holders of any specific Securities of the series rather than or in addition to the Holders of all Securities of the series;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(21)         any provisions for subordination of any Securities of the series to other obligations of the Company or any Guarantor (including Securities of other series);</w:t>
      </w:r>
    </w:p>
    <w:p>
      <w:pPr>
        <w:spacing w:after="0" w:line="179"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(22)         whether payment of principal of and premium, if any, and interest, if any, on the Securities of the series shall be without deduction for taxes, assessments or governmental charges paid by Holders of the series;</w:t>
      </w:r>
    </w:p>
    <w:p>
      <w:pPr>
        <w:spacing w:after="0" w:line="124"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(23)         if and as applicable, that the Securities of the series shall be issuable in whole or in part in the form of one or more Global Securities and, in such case, the Depositary or Depositaries for such Global Security or Global Securities and any circumstances other than those set forth in Section 305 in which any such Global Security may be transferred to, and registered and exchanged for Securities registered in the name of, a Person other than the Depositary for such Global Security or a nominee thereof and in which any such transfer may be registered;</w:t>
      </w:r>
    </w:p>
    <w:p>
      <w:pPr>
        <w:spacing w:after="0" w:line="140"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(24)         whether and under what circumstances the Company will pay additional amounts on the Securities of the series held by a Person who is not a “U.S. Person” or otherwise has a specified status in respect of any tax, assessment or governmental charge withheld or deducted and, if so, whether the Company will have the option to redeem the Securities of the series rather than pay such additional amounts;</w:t>
      </w:r>
    </w:p>
    <w:p>
      <w:pPr>
        <w:spacing w:after="0" w:line="136"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(25)         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spacing w:after="0" w:line="124"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(26)         whether the Securities of the series are to be convertible into or exchangeable for common stock or any other security or property, including, without limitation, securities of another Person held by the Company or its Affiliates, and, if so, the terms thereof;</w:t>
      </w:r>
    </w:p>
    <w:p>
      <w:pPr>
        <w:spacing w:after="0" w:line="124" w:lineRule="exact"/>
        <w:rPr>
          <w:sz w:val="20"/>
          <w:szCs w:val="20"/>
          <w:color w:val="auto"/>
        </w:rPr>
      </w:pPr>
    </w:p>
    <w:p>
      <w:pPr>
        <w:jc w:val="both"/>
        <w:ind w:firstLine="511"/>
        <w:spacing w:after="0" w:line="281" w:lineRule="auto"/>
        <w:rPr>
          <w:sz w:val="20"/>
          <w:szCs w:val="20"/>
          <w:color w:val="auto"/>
        </w:rPr>
      </w:pPr>
      <w:r>
        <w:rPr>
          <w:rFonts w:ascii="Times New Roman" w:cs="Times New Roman" w:eastAsia="Times New Roman" w:hAnsi="Times New Roman"/>
          <w:sz w:val="14"/>
          <w:szCs w:val="14"/>
          <w:color w:val="auto"/>
        </w:rPr>
        <w:t>(27)         any provisions necessary to permit or facilitate the issuance, payment or conversion of any Securities of the series that may be converted into securities or other property other than Securities of the same series and of like tenor, whether in addition to, or in lieu of, any payment of principal or other amount and whether at the option of the Company or otherwise;</w:t>
      </w:r>
    </w:p>
    <w:p>
      <w:pPr>
        <w:spacing w:after="0" w:line="304"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(28)         whether the Securities of the series will be guaranteed, and, if so, the terms and conditions of such Guarantees, if such terms differ from those set forth in Section 1401, and the names of, or the method of determination or identification of, the Guarantors; and any deletions from, or modifications or additions to, the provisions of Article XIV or any other provisions of this Indenture in connection with the Guarantees of the Securities of the series;</w:t>
      </w:r>
    </w:p>
    <w:p>
      <w:pPr>
        <w:spacing w:after="0" w:line="30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15240</wp:posOffset>
            </wp:positionV>
            <wp:extent cx="716153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760"/>
          </w:cols>
          <w:pgMar w:left="820" w:top="742" w:right="319" w:bottom="1440" w:gutter="0" w:footer="0" w:header="0"/>
        </w:sectPr>
      </w:pPr>
    </w:p>
    <w:bookmarkStart w:id="90" w:name="page91"/>
    <w:bookmarkEnd w:id="90"/>
    <w:p>
      <w:pPr>
        <w:ind w:left="1020"/>
        <w:spacing w:after="0"/>
        <w:rPr>
          <w:sz w:val="20"/>
          <w:szCs w:val="20"/>
          <w:color w:val="auto"/>
        </w:rPr>
      </w:pPr>
      <w:r>
        <w:rPr>
          <w:rFonts w:ascii="Times New Roman" w:cs="Times New Roman" w:eastAsia="Times New Roman" w:hAnsi="Times New Roman"/>
          <w:sz w:val="14"/>
          <w:szCs w:val="14"/>
          <w:color w:val="auto"/>
        </w:rPr>
        <w:t>(29)         if other than the Trustee, the identity of the initial Security Registrar and any initial Paying Agent; and</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(30)         any other terms of the series (which terms shall not be inconsistent with the provisions of this Indenture).</w:t>
      </w:r>
    </w:p>
    <w:p>
      <w:pPr>
        <w:spacing w:after="0" w:line="179"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If the Securities of the series are to be guaranteed by any Guarantor pursuant to Article XIV, there shall be established in or pursuant to a Guarantor’s Board Resolution of such Guarantor and, subject to Section 303, set forth, or determined in the manner provided, in a Guarantor’s Officer’s Certificate of such Guarantor, or established in one or more indentures supplemental hereto, prior to the issuance of Securities of the series, the terms of the Guarantee by such Guarantor with respect to the Securities of the series, if such terms differ from those set forth in Section 1401.</w:t>
      </w:r>
    </w:p>
    <w:p>
      <w:pPr>
        <w:spacing w:after="0" w:line="136"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All Securities of any one series shall be substantially identical except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 All Securities of any one series need not be issued at the same time and, unless otherwise provided pursuant to this Section 301 for any series, after issuance of Securities of such series, such series may be reopened for issuances of additional Securities of that series.</w:t>
      </w:r>
    </w:p>
    <w:p>
      <w:pPr>
        <w:spacing w:after="0" w:line="140"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The terms of any Security of a series may differ from the terms of other Securities of the same series, if and to the extent provided pursuant to this Section 301. The matters referenced in any or all of Clauses (1) through (30) above may be established and set forth or determined as aforesaid with respect to all or any specific Securities of a series (in each case to the extent permitted by the Trust Indenture Act).</w:t>
      </w:r>
    </w:p>
    <w:p>
      <w:pPr>
        <w:spacing w:after="0" w:line="136"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24"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If any of the terms of the Guarantee by any Guarantor of the Securities of the series are established by action taken pursuant to a Guarantor’s Board Resolution of such Guarantor, a copy of an appropriate record of such action shall be certified by the Secretary or an Assistant Secretary of such Guarantor and delivered to the Trustee at or prior to the delivery of the Guarantor’s Officer’s Certificate of such Guarantor setting forth the terms of such Guarantee.</w:t>
      </w:r>
    </w:p>
    <w:p>
      <w:pPr>
        <w:spacing w:after="0" w:line="136"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Section 302         </w:t>
      </w:r>
      <w:r>
        <w:rPr>
          <w:rFonts w:ascii="Times New Roman" w:cs="Times New Roman" w:eastAsia="Times New Roman" w:hAnsi="Times New Roman"/>
          <w:sz w:val="14"/>
          <w:szCs w:val="14"/>
          <w:u w:val="single" w:color="auto"/>
          <w:color w:val="auto"/>
        </w:rPr>
        <w:t>  Denominations</w:t>
      </w:r>
      <w:r>
        <w:rPr>
          <w:rFonts w:ascii="Times New Roman" w:cs="Times New Roman" w:eastAsia="Times New Roman" w:hAnsi="Times New Roman"/>
          <w:sz w:val="14"/>
          <w:szCs w:val="14"/>
          <w:color w:val="auto"/>
        </w:rPr>
        <w:t>. 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minimum denominations of $2,000 and any integral multiple of $1,000 in excess thereof.</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91" w:name="page92"/>
    <w:bookmarkEnd w:id="91"/>
    <w:p>
      <w:pPr>
        <w:jc w:val="both"/>
        <w:ind w:firstLine="511"/>
        <w:spacing w:after="0" w:line="258" w:lineRule="auto"/>
        <w:rPr>
          <w:sz w:val="20"/>
          <w:szCs w:val="20"/>
          <w:color w:val="auto"/>
        </w:rPr>
      </w:pPr>
      <w:r>
        <w:rPr>
          <w:rFonts w:ascii="Times New Roman" w:cs="Times New Roman" w:eastAsia="Times New Roman" w:hAnsi="Times New Roman"/>
          <w:sz w:val="14"/>
          <w:szCs w:val="14"/>
          <w:color w:val="auto"/>
        </w:rPr>
        <w:t>Section 303         </w:t>
      </w:r>
      <w:r>
        <w:rPr>
          <w:rFonts w:ascii="Times New Roman" w:cs="Times New Roman" w:eastAsia="Times New Roman" w:hAnsi="Times New Roman"/>
          <w:sz w:val="14"/>
          <w:szCs w:val="14"/>
          <w:u w:val="single" w:color="auto"/>
          <w:color w:val="auto"/>
        </w:rPr>
        <w:t>  Execution, Authentication, Delivery and Dating</w:t>
      </w:r>
      <w:r>
        <w:rPr>
          <w:rFonts w:ascii="Times New Roman" w:cs="Times New Roman" w:eastAsia="Times New Roman" w:hAnsi="Times New Roman"/>
          <w:sz w:val="14"/>
          <w:szCs w:val="14"/>
          <w:color w:val="auto"/>
        </w:rPr>
        <w:t>. The Securities shall be executed on behalf of the Company by its Chairman of the Board, Chief Executive Officer, Chief Financial Officer, Chief Accounting Officer, President, an Executive Vice President or a Vice President of the Company (or any other officer of the Company designated in writing by or pursuant to authority of the Board of Directors and delivered to the Trustee from time to time). The signature of any of these officers on the Securities may be manual or facsimile. If the terms of the Securities of any series provide that any notation of guarantee by any Guarantor is to be endorsed on or otherwise attached to, or made part of, Securities of any series, and if the terms of such Securities provide for the execution of such notation of guarantee by such Guarantor (it being understood and agreed that the terms of Securities of any series may, but need not, provide for the execution of any notation of guarantee by any Guarantor), such notation of guarantee shall be executed on behalf of such Guarantor by the Chairman of the Board, Chief Executive Officer, Chief Financial Officer, Chief Accounting Officer, President, an Executive Vice President or a Vice President of such Guarantor (or any other officer of such Guarantor designated in writing by or pursuant to authority of the Guarantor’s Board of Directors and delivered to the Trustee from time to time). The signature of any of these officers on any notation of guarantee may be manual or facsimile.</w:t>
      </w:r>
    </w:p>
    <w:p>
      <w:pPr>
        <w:spacing w:after="0" w:line="148"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Securities bearing the manual or facsimile signature of an individual who was at any time the proper officer of the Company shall bind the Company and any Guarantor of such Securities, notwithstanding that such individual has ceased to hold such office prior to the authentication and delivery of such Securities or did not hold such office at the date of such Securities.</w:t>
      </w:r>
    </w:p>
    <w:p>
      <w:pPr>
        <w:spacing w:after="0" w:line="124" w:lineRule="exact"/>
        <w:rPr>
          <w:sz w:val="20"/>
          <w:szCs w:val="20"/>
          <w:color w:val="auto"/>
        </w:rPr>
      </w:pPr>
    </w:p>
    <w:p>
      <w:pPr>
        <w:jc w:val="both"/>
        <w:ind w:firstLine="511"/>
        <w:spacing w:after="0" w:line="258" w:lineRule="auto"/>
        <w:rPr>
          <w:sz w:val="20"/>
          <w:szCs w:val="20"/>
          <w:color w:val="auto"/>
        </w:rPr>
      </w:pPr>
      <w:r>
        <w:rPr>
          <w:rFonts w:ascii="Times New Roman" w:cs="Times New Roman" w:eastAsia="Times New Roman" w:hAnsi="Times New Roman"/>
          <w:sz w:val="14"/>
          <w:szCs w:val="14"/>
          <w:color w:val="auto"/>
        </w:rPr>
        <w:t>At any time and from time to time after the execution and delivery of this Indenture, the Company may deliver Securities of any series executed by the Company, together with, if the terms of such Securities provide for the endorsement thereon of any notations of guarantee by any Guarantor, such notations of guarantee endorsed hereon and, if such terms so provide, executed by such Guarantor, to the Trustee for authentication, together with a Company Order and, if any notation of guarantee by a Guarantor is to be endorsed on such Securities, a Guarantor Order of such Guarantor, for the authentication and delivery of such Securities with any such notations of guarantee endorsed thereon, and the Trustee in accordance with the Company Order shall authenticate and deliver such Securities with any such notations of guarantee endorsed thereon. If the form or terms of the Securities of the series have been established by or pursuant to one or more Board Resolutions or the form or terms of any notations of guarantee have been established by or pursuant to one or more Guarantor’s Board Resolutions of such Guarantor as permitted by Section 201 and Section 301, in authenticating such Securities with any such notations of guarantee endorsed thereon, and accepting the additional responsibilities under this Indenture in relation to such Securities, the Trustee shall be entitled to receive, and (subject to Section 601) shall be fully protected in relying upon, an Opinion of Counsel stating,</w:t>
      </w:r>
    </w:p>
    <w:p>
      <w:pPr>
        <w:spacing w:after="0" w:line="148" w:lineRule="exact"/>
        <w:rPr>
          <w:sz w:val="20"/>
          <w:szCs w:val="20"/>
          <w:color w:val="auto"/>
        </w:rPr>
      </w:pPr>
    </w:p>
    <w:p>
      <w:pPr>
        <w:ind w:left="520" w:firstLine="511"/>
        <w:spacing w:after="0" w:line="288" w:lineRule="auto"/>
        <w:rPr>
          <w:sz w:val="20"/>
          <w:szCs w:val="20"/>
          <w:color w:val="auto"/>
        </w:rPr>
      </w:pPr>
      <w:r>
        <w:rPr>
          <w:rFonts w:ascii="Times New Roman" w:cs="Times New Roman" w:eastAsia="Times New Roman" w:hAnsi="Times New Roman"/>
          <w:sz w:val="14"/>
          <w:szCs w:val="14"/>
          <w:color w:val="auto"/>
        </w:rPr>
        <w:t>(1)           if the form of such Securities or any notation of guarantee by any Guarantor endorsed thereon has been established by or pursuant to Board Resolution or Guarantor’s Board Resolution of such Guarantor, as permitted by Section 201, that such form has been established in conformity with the provisions of this Indenture;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92" w:name="page93"/>
    <w:bookmarkEnd w:id="92"/>
    <w:p>
      <w:pPr>
        <w:jc w:val="both"/>
        <w:ind w:left="520" w:firstLine="511"/>
        <w:spacing w:after="0" w:line="288" w:lineRule="auto"/>
        <w:rPr>
          <w:sz w:val="20"/>
          <w:szCs w:val="20"/>
          <w:color w:val="auto"/>
        </w:rPr>
      </w:pPr>
      <w:r>
        <w:rPr>
          <w:rFonts w:ascii="Times New Roman" w:cs="Times New Roman" w:eastAsia="Times New Roman" w:hAnsi="Times New Roman"/>
          <w:sz w:val="14"/>
          <w:szCs w:val="14"/>
          <w:color w:val="auto"/>
        </w:rPr>
        <w:t>(2)           if the terms of such Securities or any notation of guarantee thereof by a Guarantor have been established by or pursuant to Board Resolution or Guarantor’s Board Resolution of such Guarantor as permitted by Section 301, that such terms have been established in conformity with the provisions of this Indenture; and</w:t>
      </w:r>
    </w:p>
    <w:p>
      <w:pPr>
        <w:spacing w:after="0" w:line="124" w:lineRule="exact"/>
        <w:rPr>
          <w:sz w:val="20"/>
          <w:szCs w:val="20"/>
          <w:color w:val="auto"/>
        </w:rPr>
      </w:pPr>
    </w:p>
    <w:p>
      <w:pPr>
        <w:jc w:val="both"/>
        <w:ind w:left="520" w:firstLine="511"/>
        <w:spacing w:after="0" w:line="262" w:lineRule="auto"/>
        <w:rPr>
          <w:sz w:val="20"/>
          <w:szCs w:val="20"/>
          <w:color w:val="auto"/>
        </w:rPr>
      </w:pPr>
      <w:r>
        <w:rPr>
          <w:rFonts w:ascii="Times New Roman" w:cs="Times New Roman" w:eastAsia="Times New Roman" w:hAnsi="Times New Roman"/>
          <w:sz w:val="14"/>
          <w:szCs w:val="14"/>
          <w:color w:val="auto"/>
        </w:rPr>
        <w:t>(3)           that when such Securities have been authenticated and delivered by the Trustee and issued by the Company in the manner and subject to any conditions specified in such Opinion of Counsel, such Securities and the Guarantee set forth in the Indenture will constitute valid and legally binding obligations of the Company or such Guarantor, respectively, enforceable in accordance with their terms, subject to bankruptcy, insolvency, fraudulent transfer, reorganization, moratorium and similar laws of general applicability relating to or affecting creditors’ rights and to general equity principles and subject to any limitation with respect to payments in currency other than U.S. dollars and other customary assumptions, exceptions, qualifications and limitations.</w:t>
      </w:r>
    </w:p>
    <w:p>
      <w:pPr>
        <w:spacing w:after="0" w:line="143"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24"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Notwithstanding the provisions of Section 301 and of the preceding paragraph, if all Securities of a series are not to be originally issued at one time, it shall not be necessary to deliver the Officer’s Certificate or Guarantor’s Officer’s Certificate otherwise required pursuant to Section 301 or the Company Order, any Guarantor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Each Security shall be dated the date of its authentication.</w:t>
      </w:r>
    </w:p>
    <w:p>
      <w:pPr>
        <w:spacing w:after="0" w:line="179" w:lineRule="exact"/>
        <w:rPr>
          <w:sz w:val="20"/>
          <w:szCs w:val="20"/>
          <w:color w:val="auto"/>
        </w:rPr>
      </w:pPr>
    </w:p>
    <w:p>
      <w:pPr>
        <w:jc w:val="both"/>
        <w:ind w:firstLine="511"/>
        <w:spacing w:after="0" w:line="262" w:lineRule="auto"/>
        <w:rPr>
          <w:sz w:val="20"/>
          <w:szCs w:val="20"/>
          <w:color w:val="auto"/>
        </w:rPr>
      </w:pPr>
      <w:r>
        <w:rPr>
          <w:rFonts w:ascii="Times New Roman" w:cs="Times New Roman" w:eastAsia="Times New Roman" w:hAnsi="Times New Roman"/>
          <w:sz w:val="14"/>
          <w:szCs w:val="14"/>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w:t>
      </w:r>
    </w:p>
    <w:p>
      <w:pPr>
        <w:spacing w:after="0" w:line="143" w:lineRule="exact"/>
        <w:rPr>
          <w:sz w:val="20"/>
          <w:szCs w:val="20"/>
          <w:color w:val="auto"/>
        </w:rPr>
      </w:pPr>
    </w:p>
    <w:p>
      <w:pPr>
        <w:jc w:val="both"/>
        <w:ind w:firstLine="511"/>
        <w:spacing w:after="0" w:line="262" w:lineRule="auto"/>
        <w:rPr>
          <w:sz w:val="20"/>
          <w:szCs w:val="20"/>
          <w:color w:val="auto"/>
        </w:rPr>
      </w:pPr>
      <w:r>
        <w:rPr>
          <w:rFonts w:ascii="Times New Roman" w:cs="Times New Roman" w:eastAsia="Times New Roman" w:hAnsi="Times New Roman"/>
          <w:sz w:val="14"/>
          <w:szCs w:val="14"/>
          <w:color w:val="auto"/>
        </w:rPr>
        <w:t>Section 304         </w:t>
      </w:r>
      <w:r>
        <w:rPr>
          <w:rFonts w:ascii="Times New Roman" w:cs="Times New Roman" w:eastAsia="Times New Roman" w:hAnsi="Times New Roman"/>
          <w:sz w:val="14"/>
          <w:szCs w:val="14"/>
          <w:u w:val="single" w:color="auto"/>
          <w:color w:val="auto"/>
        </w:rPr>
        <w:t>  Temporary Securities</w:t>
      </w:r>
      <w:r>
        <w:rPr>
          <w:rFonts w:ascii="Times New Roman" w:cs="Times New Roman" w:eastAsia="Times New Roman" w:hAnsi="Times New Roman"/>
          <w:sz w:val="14"/>
          <w:szCs w:val="14"/>
          <w:color w:val="auto"/>
        </w:rPr>
        <w:t>. Pending the preparation of definitive Securities of any series, the Company may execute, and upon Company Order and, if any notations of guarantee by a Guarantor are to be endorsed on such Securities, a Guarantor Order of such Guarantor,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 executing such Securities or notations of guarantee, respectively, may determine, as evidenced by such officer’s execution of such Securities or notations of guarantee, respectively.</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93" w:name="page94"/>
    <w:bookmarkEnd w:id="93"/>
    <w:p>
      <w:pPr>
        <w:jc w:val="both"/>
        <w:ind w:firstLine="511"/>
        <w:spacing w:after="0" w:line="260" w:lineRule="auto"/>
        <w:rPr>
          <w:sz w:val="20"/>
          <w:szCs w:val="20"/>
          <w:color w:val="auto"/>
        </w:rPr>
      </w:pPr>
      <w:r>
        <w:rPr>
          <w:rFonts w:ascii="Times New Roman" w:cs="Times New Roman" w:eastAsia="Times New Roman" w:hAnsi="Times New Roman"/>
          <w:sz w:val="14"/>
          <w:szCs w:val="14"/>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and if applicable, the Guarantors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45"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Section 305         </w:t>
      </w:r>
      <w:r>
        <w:rPr>
          <w:rFonts w:ascii="Times New Roman" w:cs="Times New Roman" w:eastAsia="Times New Roman" w:hAnsi="Times New Roman"/>
          <w:sz w:val="14"/>
          <w:szCs w:val="14"/>
          <w:u w:val="single" w:color="auto"/>
          <w:color w:val="auto"/>
        </w:rPr>
        <w:t>  Registration, Registration of Transfer and Exchange</w:t>
      </w:r>
      <w:r>
        <w:rPr>
          <w:rFonts w:ascii="Times New Roman" w:cs="Times New Roman" w:eastAsia="Times New Roman" w:hAnsi="Times New Roman"/>
          <w:sz w:val="14"/>
          <w:szCs w:val="14"/>
          <w:color w:val="auto"/>
        </w:rPr>
        <w:t>. The Company shall cause to be kept at each office or agency of the Company designated as a Place of Payment pursuant to the first paragraph of Section 1002 a register (the register, maintained in each such office or agency of the Company designated as a Place of Payment, being herein sometimes collectively referred to as the “</w:t>
      </w:r>
      <w:r>
        <w:rPr>
          <w:rFonts w:ascii="Times New Roman" w:cs="Times New Roman" w:eastAsia="Times New Roman" w:hAnsi="Times New Roman"/>
          <w:sz w:val="14"/>
          <w:szCs w:val="14"/>
          <w:b w:val="1"/>
          <w:bCs w:val="1"/>
          <w:i w:val="1"/>
          <w:iCs w:val="1"/>
          <w:color w:val="auto"/>
        </w:rPr>
        <w:t>Security Register</w:t>
      </w:r>
      <w:r>
        <w:rPr>
          <w:rFonts w:ascii="Times New Roman" w:cs="Times New Roman" w:eastAsia="Times New Roman" w:hAnsi="Times New Roman"/>
          <w:sz w:val="14"/>
          <w:szCs w:val="14"/>
          <w:color w:val="auto"/>
        </w:rPr>
        <w:t>”) in which, subject to such reasonable regulations as it may prescribe, the Company shall provide for the registration of Securities and of transfers of Securities. The Trustee is hereby appointed “</w:t>
      </w:r>
      <w:r>
        <w:rPr>
          <w:rFonts w:ascii="Times New Roman" w:cs="Times New Roman" w:eastAsia="Times New Roman" w:hAnsi="Times New Roman"/>
          <w:sz w:val="14"/>
          <w:szCs w:val="14"/>
          <w:b w:val="1"/>
          <w:bCs w:val="1"/>
          <w:i w:val="1"/>
          <w:iCs w:val="1"/>
          <w:color w:val="auto"/>
        </w:rPr>
        <w:t>Security Registrar</w:t>
      </w:r>
      <w:r>
        <w:rPr>
          <w:rFonts w:ascii="Times New Roman" w:cs="Times New Roman" w:eastAsia="Times New Roman" w:hAnsi="Times New Roman"/>
          <w:sz w:val="14"/>
          <w:szCs w:val="14"/>
          <w:color w:val="auto"/>
        </w:rPr>
        <w:t>” for the purpose of registering Securities and transfers of Securities as herein provided.</w:t>
      </w:r>
    </w:p>
    <w:p>
      <w:pPr>
        <w:spacing w:after="0" w:line="140"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Upon surrender for registration of transfer of any Security of a series at the office or agency of the Company in a Place of Payment for that series, the Company and, if applicable, the Guarantors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36"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and, if applicable, the Guarantors shall execute, and the Trustee shall authenticate and deliver, the Securities, which the Holder making the exchange is entitled to receive.</w:t>
      </w:r>
    </w:p>
    <w:p>
      <w:pPr>
        <w:spacing w:after="0" w:line="136"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24"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Every Security presented or surrendered for registration of transfer or for exchange shall (if so required by the Company, any Guarantor or the Trustee) be duly endorsed, or be accompanied by a written instrument of transfer in form satisfactory to the Company and the Security Registrar duly executed, by the Holder thereof or his attorney duly authorized in writing.</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94" w:name="page95"/>
    <w:bookmarkEnd w:id="94"/>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Section 906 or Section 1107 not involving any transfer.</w:t>
      </w:r>
    </w:p>
    <w:p>
      <w:pPr>
        <w:spacing w:after="0" w:line="136"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If the Securities of any series (or of any series and specified tenor) are to be redeemed in whole or in part, the Company shall not be required (A) to issue, register the transfer of or exchange any Securities of that series (or of that series and specified tenor, as the case may be) during a period beginning at the opening of business 15 days before the day of selection of any such Securities for redemption under Section 1103 and ending at the close of business on the day of such selection (or during such period as otherwise specified pursuant to Section 301 for such Securities), or (B) to register the transfer of or exchange any Security so selected for redemption in whole or in part, except the unredeemed portion of any Security being redeemed in part.</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provisions of Clauses (1), (2), (3) and (4) below shall apply only to Global Securities:</w:t>
      </w:r>
    </w:p>
    <w:p>
      <w:pPr>
        <w:spacing w:after="0" w:line="179" w:lineRule="exact"/>
        <w:rPr>
          <w:sz w:val="20"/>
          <w:szCs w:val="20"/>
          <w:color w:val="auto"/>
        </w:rPr>
      </w:pPr>
    </w:p>
    <w:p>
      <w:pPr>
        <w:jc w:val="both"/>
        <w:ind w:left="520" w:firstLine="511"/>
        <w:spacing w:after="0" w:line="288" w:lineRule="auto"/>
        <w:rPr>
          <w:sz w:val="20"/>
          <w:szCs w:val="20"/>
          <w:color w:val="auto"/>
        </w:rPr>
      </w:pPr>
      <w:r>
        <w:rPr>
          <w:rFonts w:ascii="Times New Roman" w:cs="Times New Roman" w:eastAsia="Times New Roman" w:hAnsi="Times New Roman"/>
          <w:sz w:val="14"/>
          <w:szCs w:val="14"/>
          <w:color w:val="auto"/>
        </w:rPr>
        <w:t>(1)           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24" w:lineRule="exact"/>
        <w:rPr>
          <w:sz w:val="20"/>
          <w:szCs w:val="20"/>
          <w:color w:val="auto"/>
        </w:rPr>
      </w:pPr>
    </w:p>
    <w:p>
      <w:pPr>
        <w:jc w:val="both"/>
        <w:ind w:left="520" w:firstLine="511"/>
        <w:spacing w:after="0" w:line="258" w:lineRule="auto"/>
        <w:rPr>
          <w:sz w:val="20"/>
          <w:szCs w:val="20"/>
          <w:color w:val="auto"/>
        </w:rPr>
      </w:pPr>
      <w:r>
        <w:rPr>
          <w:rFonts w:ascii="Times New Roman" w:cs="Times New Roman" w:eastAsia="Times New Roman" w:hAnsi="Times New Roman"/>
          <w:sz w:val="14"/>
          <w:szCs w:val="14"/>
          <w:color w:val="auto"/>
        </w:rPr>
        <w:t>(2)           Notwithstanding any other provision in this Indenture, and subject to such applicable provisions, if any, as may be specified as contemplated by Section 301,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has notified the Company that it (i) is unwilling or unable to continue as Depositary for such Global Security or (ii) has ceased to be a clearing agency registered under the Exchange Act, or (B) the Company has executed and delivered to the Trustee a Company Order stating that such Global Security shall be exchanged in whole for Securities that are not Global Securities (in which case such exchange shall promptly be effected by the Trustee). If the Company receives a notice of the kind specified in Clause (A) above or has delivered a Company Order of the kind specified in Clause (B) above, it may, in its sole discretion, designate a successor Depositary for such Global Security within 90 days after receiving such notice or delivery of such order, as the case may be. If the Company designates a successor Depositary as aforesaid, such Global Security shall promptly be exchanged in whole for one or more other Global Securities registered in the name of the successor Depositary, whereupon such designated successor shall be the Depositary for such successor Global Security or Global Securities and the provisions of Clauses (1), (2), (3) and (4) of this provision shall continue to apply thereto.</w:t>
      </w:r>
    </w:p>
    <w:p>
      <w:pPr>
        <w:spacing w:after="0" w:line="145" w:lineRule="exact"/>
        <w:rPr>
          <w:sz w:val="20"/>
          <w:szCs w:val="20"/>
          <w:color w:val="auto"/>
        </w:rPr>
      </w:pPr>
    </w:p>
    <w:p>
      <w:pPr>
        <w:jc w:val="both"/>
        <w:ind w:left="520" w:firstLine="511"/>
        <w:spacing w:after="0" w:line="271" w:lineRule="auto"/>
        <w:rPr>
          <w:sz w:val="20"/>
          <w:szCs w:val="20"/>
          <w:color w:val="auto"/>
        </w:rPr>
      </w:pPr>
      <w:r>
        <w:rPr>
          <w:rFonts w:ascii="Times New Roman" w:cs="Times New Roman" w:eastAsia="Times New Roman" w:hAnsi="Times New Roman"/>
          <w:sz w:val="14"/>
          <w:szCs w:val="14"/>
          <w:color w:val="auto"/>
        </w:rPr>
        <w:t>(3)           Subject to Clause (2) above and to such applicable provisions, if any, as may be specified as contemplated by Section 301,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95" w:name="page96"/>
    <w:bookmarkEnd w:id="95"/>
    <w:p>
      <w:pPr>
        <w:jc w:val="both"/>
        <w:ind w:left="520" w:firstLine="511"/>
        <w:spacing w:after="0" w:line="271" w:lineRule="auto"/>
        <w:rPr>
          <w:sz w:val="20"/>
          <w:szCs w:val="20"/>
          <w:color w:val="auto"/>
        </w:rPr>
      </w:pPr>
      <w:r>
        <w:rPr>
          <w:rFonts w:ascii="Times New Roman" w:cs="Times New Roman" w:eastAsia="Times New Roman" w:hAnsi="Times New Roman"/>
          <w:sz w:val="14"/>
          <w:szCs w:val="14"/>
          <w:color w:val="auto"/>
        </w:rPr>
        <w:t>(4)           Every Security authenticated and delivered upon registration of transfer of, or in exchange for or in lieu of, a Global Security or any portion thereof, whether pursuant to this Section 305, Section 304, Section 306, Section 906 or Section 1107 or otherwise, shall be authenticated and delivered in the form of, and shall be, a Global Security, unless such Security is registered in the name of a Person other than the Depositary for such Global Security or a nominee thereof.</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Every Person who takes or holds any beneficial interest in a Global Security agrees that:</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the Company and the Trustee may deal with the Depositary as sole owner of the Global Security and as the authorized representative of such Person;</w:t>
      </w:r>
    </w:p>
    <w:p>
      <w:pPr>
        <w:spacing w:after="0" w:line="179" w:lineRule="exact"/>
        <w:rPr>
          <w:sz w:val="20"/>
          <w:szCs w:val="20"/>
          <w:color w:val="auto"/>
        </w:rPr>
      </w:pPr>
    </w:p>
    <w:p>
      <w:pPr>
        <w:jc w:val="both"/>
        <w:ind w:left="520" w:firstLine="511"/>
        <w:spacing w:after="0" w:line="288" w:lineRule="auto"/>
        <w:rPr>
          <w:sz w:val="20"/>
          <w:szCs w:val="20"/>
          <w:color w:val="auto"/>
        </w:rPr>
      </w:pPr>
      <w:r>
        <w:rPr>
          <w:rFonts w:ascii="Times New Roman" w:cs="Times New Roman" w:eastAsia="Times New Roman" w:hAnsi="Times New Roman"/>
          <w:sz w:val="14"/>
          <w:szCs w:val="14"/>
          <w:color w:val="auto"/>
        </w:rPr>
        <w:t>(2)           such Person’s rights in the Global Security shall be exercised only through the Depositary and shall be limited to those established by law and agreement between such Person and the Depositary and/or direct and indirect participants of the Depositary;</w:t>
      </w:r>
    </w:p>
    <w:p>
      <w:pPr>
        <w:spacing w:after="0" w:line="124" w:lineRule="exact"/>
        <w:rPr>
          <w:sz w:val="20"/>
          <w:szCs w:val="20"/>
          <w:color w:val="auto"/>
        </w:rPr>
      </w:pPr>
    </w:p>
    <w:p>
      <w:pPr>
        <w:jc w:val="both"/>
        <w:ind w:left="520" w:firstLine="511"/>
        <w:spacing w:after="0" w:line="288" w:lineRule="auto"/>
        <w:rPr>
          <w:sz w:val="20"/>
          <w:szCs w:val="20"/>
          <w:color w:val="auto"/>
        </w:rPr>
      </w:pPr>
      <w:r>
        <w:rPr>
          <w:rFonts w:ascii="Times New Roman" w:cs="Times New Roman" w:eastAsia="Times New Roman" w:hAnsi="Times New Roman"/>
          <w:sz w:val="14"/>
          <w:szCs w:val="14"/>
          <w:color w:val="auto"/>
        </w:rPr>
        <w:t>(3)           the Depositary and its participants make book-entry transfers of beneficial ownership among, and receive and transmit distributions of principal and interest on the Global Securities to, such Persons in accordance with the Applicable Procedures of the Depositary; and</w:t>
      </w:r>
    </w:p>
    <w:p>
      <w:pPr>
        <w:spacing w:after="0" w:line="124" w:lineRule="exact"/>
        <w:rPr>
          <w:sz w:val="20"/>
          <w:szCs w:val="20"/>
          <w:color w:val="auto"/>
        </w:rPr>
      </w:pPr>
    </w:p>
    <w:p>
      <w:pPr>
        <w:jc w:val="both"/>
        <w:ind w:left="520" w:firstLine="511"/>
        <w:spacing w:after="0" w:line="288" w:lineRule="auto"/>
        <w:rPr>
          <w:sz w:val="20"/>
          <w:szCs w:val="20"/>
          <w:color w:val="auto"/>
        </w:rPr>
      </w:pPr>
      <w:r>
        <w:rPr>
          <w:rFonts w:ascii="Times New Roman" w:cs="Times New Roman" w:eastAsia="Times New Roman" w:hAnsi="Times New Roman"/>
          <w:sz w:val="14"/>
          <w:szCs w:val="14"/>
          <w:color w:val="auto"/>
        </w:rPr>
        <w:t>(4)           none of the Company, any Guarantor, the Trustee nor any agent of the Company or the Trustee will have any responsibility or liability for any aspect of the records relating to or payments made on account of beneficial ownership interests of a Global Security or for maintaining, supervising or reviewing any records relating to such beneficial interests.</w:t>
      </w:r>
    </w:p>
    <w:p>
      <w:pPr>
        <w:spacing w:after="0" w:line="124" w:lineRule="exact"/>
        <w:rPr>
          <w:sz w:val="20"/>
          <w:szCs w:val="20"/>
          <w:color w:val="auto"/>
        </w:rPr>
      </w:pPr>
    </w:p>
    <w:p>
      <w:pPr>
        <w:ind w:firstLine="511"/>
        <w:spacing w:after="0" w:line="264" w:lineRule="auto"/>
        <w:rPr>
          <w:sz w:val="20"/>
          <w:szCs w:val="20"/>
          <w:color w:val="auto"/>
        </w:rPr>
      </w:pPr>
      <w:r>
        <w:rPr>
          <w:rFonts w:ascii="Times New Roman" w:cs="Times New Roman" w:eastAsia="Times New Roman" w:hAnsi="Times New Roman"/>
          <w:sz w:val="14"/>
          <w:szCs w:val="14"/>
          <w:color w:val="auto"/>
        </w:rPr>
        <w:t>Section 306         </w:t>
      </w:r>
      <w:r>
        <w:rPr>
          <w:rFonts w:ascii="Times New Roman" w:cs="Times New Roman" w:eastAsia="Times New Roman" w:hAnsi="Times New Roman"/>
          <w:sz w:val="14"/>
          <w:szCs w:val="14"/>
          <w:u w:val="single" w:color="auto"/>
          <w:color w:val="auto"/>
        </w:rPr>
        <w:t>  Mutilated, Destroyed, Lost and Wrongfully Taken Securities</w:t>
      </w:r>
      <w:r>
        <w:rPr>
          <w:rFonts w:ascii="Times New Roman" w:cs="Times New Roman" w:eastAsia="Times New Roman" w:hAnsi="Times New Roman"/>
          <w:sz w:val="14"/>
          <w:szCs w:val="14"/>
          <w:color w:val="auto"/>
        </w:rPr>
        <w:t>. If (a) any mutilated Security is surrendered to the Trustee or (b) both (i) there shall be delivered to the Company and the Trustee (A) a claim by a Holder as to the destruction, loss or wrongful taking of any Security of such Holder and a request thereby for a new replacement Security of the same series, and</w:t>
      </w:r>
    </w:p>
    <w:p>
      <w:pPr>
        <w:jc w:val="both"/>
        <w:ind w:firstLine="5"/>
        <w:spacing w:after="0" w:line="257" w:lineRule="auto"/>
        <w:tabs>
          <w:tab w:leader="none" w:pos="22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indemnity bond as may be required by them to save each of them and any agent of either of them harmless and (ii) such other reasonable requirements as may be imposed by the Company as permitted by Section 8-405 of the Uniform Commercial Code have been satisfied, then, in the absence of notice to the Company or the Trustee that such Security has been acquired by a “protected purchaser” within the meaning of Section 8-405 of the Uniform Commercial Code, the Company, and, if applicable, the Guarantors, shall execute and upon its request the Trustee shall authenticate and deliver, in lieu of any such mutilated, destroyed, lost or wrongfully taken Security, a new Security of the same series and of like tenor and principal amount and bearing a number not contemporaneously Outstanding.</w:t>
      </w:r>
    </w:p>
    <w:p>
      <w:pPr>
        <w:spacing w:after="0" w:line="145" w:lineRule="exact"/>
        <w:rPr>
          <w:sz w:val="20"/>
          <w:szCs w:val="20"/>
          <w:color w:val="auto"/>
        </w:rPr>
      </w:pPr>
    </w:p>
    <w:p>
      <w:pPr>
        <w:ind w:firstLine="511"/>
        <w:spacing w:after="0" w:line="288" w:lineRule="auto"/>
        <w:rPr>
          <w:sz w:val="20"/>
          <w:szCs w:val="20"/>
          <w:color w:val="auto"/>
        </w:rPr>
      </w:pPr>
      <w:r>
        <w:rPr>
          <w:rFonts w:ascii="Times New Roman" w:cs="Times New Roman" w:eastAsia="Times New Roman" w:hAnsi="Times New Roman"/>
          <w:sz w:val="14"/>
          <w:szCs w:val="14"/>
          <w:color w:val="auto"/>
        </w:rPr>
        <w:t>In case any such mutilated, destroyed, lost or wrongfully taken Security has become or is about to become due and payable, the Company in its discretion may, instead of issuing a new Security, pay such Security.</w:t>
      </w:r>
    </w:p>
    <w:p>
      <w:pPr>
        <w:spacing w:after="0" w:line="124" w:lineRule="exact"/>
        <w:rPr>
          <w:sz w:val="20"/>
          <w:szCs w:val="20"/>
          <w:color w:val="auto"/>
        </w:rPr>
      </w:pPr>
    </w:p>
    <w:p>
      <w:pPr>
        <w:ind w:firstLine="511"/>
        <w:spacing w:after="0" w:line="288" w:lineRule="auto"/>
        <w:rPr>
          <w:sz w:val="20"/>
          <w:szCs w:val="20"/>
          <w:color w:val="auto"/>
        </w:rPr>
      </w:pPr>
      <w:r>
        <w:rPr>
          <w:rFonts w:ascii="Times New Roman" w:cs="Times New Roman" w:eastAsia="Times New Roman" w:hAnsi="Times New Roman"/>
          <w:sz w:val="14"/>
          <w:szCs w:val="14"/>
          <w:color w:val="auto"/>
        </w:rPr>
        <w:t>Upon the issuance of any new Security under this Section 306, the Company may require the payment of a sum sufficient to cover any tax or other governmental charge that may be imposed in relation thereto and any other expenses (including the fees and expenses of the Trustee) connected therewith.</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96" w:name="page97"/>
    <w:bookmarkEnd w:id="96"/>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Every new Security of any series issued pursuant to this Section 306 in lieu of any destroyed, lost or wrongfully taken Security shall constitute an original additional contractual obligation of the Company, whether or not the destroyed, lost or wrongfully taken Security shall be at any time enforceable by anyone, and shall be entitled to all the benefits of this Indenture equally and proportionately with any and all other Securities of that series duly issued hereunder.</w:t>
      </w:r>
    </w:p>
    <w:p>
      <w:pPr>
        <w:spacing w:after="0" w:line="136"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The provisions of this Section 306 are exclusive and shall preclude (to the extent lawful) all other rights and remedies with respect to the replacement or payment of mutilated, destroyed, lost or wrongfully taken Securities.</w:t>
      </w:r>
    </w:p>
    <w:p>
      <w:pPr>
        <w:spacing w:after="0" w:line="124"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Section 307         </w:t>
      </w:r>
      <w:r>
        <w:rPr>
          <w:rFonts w:ascii="Times New Roman" w:cs="Times New Roman" w:eastAsia="Times New Roman" w:hAnsi="Times New Roman"/>
          <w:sz w:val="14"/>
          <w:szCs w:val="14"/>
          <w:u w:val="single" w:color="auto"/>
          <w:color w:val="auto"/>
        </w:rPr>
        <w:t>  Payment of Interest; Interest Rights Preserved</w:t>
      </w:r>
      <w:r>
        <w:rPr>
          <w:rFonts w:ascii="Times New Roman" w:cs="Times New Roman" w:eastAsia="Times New Roman" w:hAnsi="Times New Roman"/>
          <w:sz w:val="14"/>
          <w:szCs w:val="14"/>
          <w:color w:val="auto"/>
        </w:rPr>
        <w:t>. Except as otherwise provided as contemplated by Section 301 with respect to any Securities of a series, interest on any Security that is payable, and is punctually paid or duly provided for, on any Interest Payment Date shall be paid to the Person in whose name that Security (or one or more Predecessor Securities) is registered at the close of business on the Regular Record Date for such interest (or, if no business is conducted by the Trustee at its Corporate Trust Office on such date, at 5:00 P.M. New York City time on such date).</w:t>
      </w:r>
    </w:p>
    <w:p>
      <w:pPr>
        <w:spacing w:after="0" w:line="138" w:lineRule="exact"/>
        <w:rPr>
          <w:sz w:val="20"/>
          <w:szCs w:val="20"/>
          <w:color w:val="auto"/>
        </w:rPr>
      </w:pPr>
    </w:p>
    <w:p>
      <w:pPr>
        <w:jc w:val="both"/>
        <w:ind w:firstLine="511"/>
        <w:spacing w:after="0" w:line="272" w:lineRule="auto"/>
        <w:rPr>
          <w:sz w:val="20"/>
          <w:szCs w:val="20"/>
          <w:color w:val="auto"/>
        </w:rPr>
      </w:pPr>
      <w:r>
        <w:rPr>
          <w:rFonts w:ascii="Times New Roman" w:cs="Times New Roman" w:eastAsia="Times New Roman" w:hAnsi="Times New Roman"/>
          <w:sz w:val="14"/>
          <w:szCs w:val="14"/>
          <w:color w:val="auto"/>
        </w:rPr>
        <w:t>Any interest on any Security of any series that is payable, but is not punctually paid or duly provided for, on any Interest Payment Date (herein called “</w:t>
      </w:r>
      <w:r>
        <w:rPr>
          <w:rFonts w:ascii="Times New Roman" w:cs="Times New Roman" w:eastAsia="Times New Roman" w:hAnsi="Times New Roman"/>
          <w:sz w:val="14"/>
          <w:szCs w:val="14"/>
          <w:b w:val="1"/>
          <w:bCs w:val="1"/>
          <w:i w:val="1"/>
          <w:iCs w:val="1"/>
          <w:color w:val="auto"/>
        </w:rPr>
        <w:t>Defaulted Interest</w:t>
      </w:r>
      <w:r>
        <w:rPr>
          <w:rFonts w:ascii="Times New Roman" w:cs="Times New Roman" w:eastAsia="Times New Roman" w:hAnsi="Times New Roman"/>
          <w:sz w:val="14"/>
          <w:szCs w:val="14"/>
          <w:color w:val="auto"/>
        </w:rPr>
        <w: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36" w:lineRule="exact"/>
        <w:rPr>
          <w:sz w:val="20"/>
          <w:szCs w:val="20"/>
          <w:color w:val="auto"/>
        </w:rPr>
      </w:pPr>
    </w:p>
    <w:p>
      <w:pPr>
        <w:jc w:val="both"/>
        <w:ind w:left="520" w:firstLine="511"/>
        <w:spacing w:after="0" w:line="257" w:lineRule="auto"/>
        <w:rPr>
          <w:sz w:val="20"/>
          <w:szCs w:val="20"/>
          <w:color w:val="auto"/>
        </w:rPr>
      </w:pPr>
      <w:r>
        <w:rPr>
          <w:rFonts w:ascii="Times New Roman" w:cs="Times New Roman" w:eastAsia="Times New Roman" w:hAnsi="Times New Roman"/>
          <w:sz w:val="14"/>
          <w:szCs w:val="14"/>
          <w:color w:val="auto"/>
        </w:rPr>
        <w:t>(1)           The Company may elect to make payment of any Defaulted Interest payable on any Securities of a series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of such Securities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Company shall promptly notify the Trustee in writing of such Special Record Date and the Trustee, in the name and at the expense of the Company, shall cause notice of the proposed payment of such Defaulted Interest and the Special Record Date therefor to be given to each Holder of such Securities in the manner set forth in Section 106, not less than 10 days prior to such Special Record Date. Notice of the proposed payment of such Defaulted Interest and the Special Record Date therefor having been so given, such Defaulted Interest shall be paid to the Persons in whose names such Securities (or their respective Predecessor Securities) are registered at the close of business on such Special Record Date and shall no longer be payable pursuant to the following Clause (2).</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97" w:name="page98"/>
    <w:bookmarkEnd w:id="97"/>
    <w:p>
      <w:pPr>
        <w:jc w:val="both"/>
        <w:ind w:left="520" w:firstLine="511"/>
        <w:spacing w:after="0" w:line="271" w:lineRule="auto"/>
        <w:rPr>
          <w:sz w:val="20"/>
          <w:szCs w:val="20"/>
          <w:color w:val="auto"/>
        </w:rPr>
      </w:pPr>
      <w:r>
        <w:rPr>
          <w:rFonts w:ascii="Times New Roman" w:cs="Times New Roman" w:eastAsia="Times New Roman" w:hAnsi="Times New Roman"/>
          <w:sz w:val="14"/>
          <w:szCs w:val="14"/>
          <w:color w:val="auto"/>
        </w:rPr>
        <w:t>(2)           The Company may make payment of any Defaulted Interest on any Securities of a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36"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The Trustee will have no duty whatsoever to determine whether any Defaulted Interest is payable or the amount thereof. Except as may otherwise be provided in this Section 307 or as contemplated in Section 301 with respect to any Securities of a series, the Person to whom interest shall be payable on any Security that first becomes payable on a day that is not an Interest Payment Date shall be the Holder of such Security on the day such interest is paid.</w:t>
      </w:r>
    </w:p>
    <w:p>
      <w:pPr>
        <w:spacing w:after="0" w:line="136"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Subject to the foregoing provisions of this Section 307,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24" w:lineRule="exact"/>
        <w:rPr>
          <w:sz w:val="20"/>
          <w:szCs w:val="20"/>
          <w:color w:val="auto"/>
        </w:rPr>
      </w:pPr>
    </w:p>
    <w:p>
      <w:pPr>
        <w:jc w:val="both"/>
        <w:ind w:firstLine="511"/>
        <w:spacing w:after="0" w:line="262" w:lineRule="auto"/>
        <w:rPr>
          <w:sz w:val="20"/>
          <w:szCs w:val="20"/>
          <w:color w:val="auto"/>
        </w:rPr>
      </w:pPr>
      <w:r>
        <w:rPr>
          <w:rFonts w:ascii="Times New Roman" w:cs="Times New Roman" w:eastAsia="Times New Roman" w:hAnsi="Times New Roman"/>
          <w:sz w:val="14"/>
          <w:szCs w:val="14"/>
          <w:color w:val="auto"/>
        </w:rPr>
        <w:t>In the case of any Security that is converted after any Regular Record Date and on or prior to the next succeeding Interest Payment Date (other than any Security whose Maturity is prior to such Interest Payment Date), interest payable on such Interest Payment Date shall be payable on such Interest Payment Date notwithstanding such conversion, and such interest (whether or not punctually paid or duly provided for) shall be paid to the Person in whose name that Security (or one or more Predecessor Securities) is registered at the close of business on such Regular Record Date. Except as otherwise expressly provided in the immediately preceding sentence, in the case of any Security that is converted, interest whose Interest Payment Date is after the date of conversion of such Security shall not be payable.</w:t>
      </w:r>
    </w:p>
    <w:p>
      <w:pPr>
        <w:spacing w:after="0" w:line="143"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Notwithstanding the foregoing, the terms of any Security that may be converted may provide that the provisions of the immediately preceding paragraph do not apply, or apply with such additions, changes or omissions as may be provided thereby, to such Security.</w:t>
      </w:r>
    </w:p>
    <w:p>
      <w:pPr>
        <w:spacing w:after="0" w:line="124"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Section 308         </w:t>
      </w:r>
      <w:r>
        <w:rPr>
          <w:rFonts w:ascii="Times New Roman" w:cs="Times New Roman" w:eastAsia="Times New Roman" w:hAnsi="Times New Roman"/>
          <w:sz w:val="14"/>
          <w:szCs w:val="14"/>
          <w:u w:val="single" w:color="auto"/>
          <w:color w:val="auto"/>
        </w:rPr>
        <w:t>  Persons Deemed Owners</w:t>
      </w:r>
      <w:r>
        <w:rPr>
          <w:rFonts w:ascii="Times New Roman" w:cs="Times New Roman" w:eastAsia="Times New Roman" w:hAnsi="Times New Roman"/>
          <w:sz w:val="14"/>
          <w:szCs w:val="14"/>
          <w:color w:val="auto"/>
        </w:rPr>
        <w:t>. Prior to due presentment of a Security for registration of transfer, the Company, any Guarantor and the Trustee and any agent of the Company, any Guarantor or the Trustee shall treat the Person in whose name such Security is registered as the owner of such Security for the purpose of receiving payment of principal of and any premium and (subject to Section 307) any interest on such Security and for all other purposes whatsoever, whether or not such Security be overdue, and neither the Company, any Guarantor, the Trustee nor any agent of the Company, any Guarantor or the Trustee shall be affected by notice to the contrary.</w:t>
      </w:r>
    </w:p>
    <w:p>
      <w:pPr>
        <w:spacing w:after="0" w:line="140" w:lineRule="exact"/>
        <w:rPr>
          <w:sz w:val="20"/>
          <w:szCs w:val="20"/>
          <w:color w:val="auto"/>
        </w:rPr>
      </w:pPr>
    </w:p>
    <w:p>
      <w:pPr>
        <w:jc w:val="both"/>
        <w:ind w:firstLine="511"/>
        <w:spacing w:after="0" w:line="259" w:lineRule="auto"/>
        <w:rPr>
          <w:sz w:val="20"/>
          <w:szCs w:val="20"/>
          <w:color w:val="auto"/>
        </w:rPr>
      </w:pPr>
      <w:r>
        <w:rPr>
          <w:rFonts w:ascii="Times New Roman" w:cs="Times New Roman" w:eastAsia="Times New Roman" w:hAnsi="Times New Roman"/>
          <w:sz w:val="14"/>
          <w:szCs w:val="14"/>
          <w:color w:val="auto"/>
        </w:rPr>
        <w:t>Section 309         </w:t>
      </w:r>
      <w:r>
        <w:rPr>
          <w:rFonts w:ascii="Times New Roman" w:cs="Times New Roman" w:eastAsia="Times New Roman" w:hAnsi="Times New Roman"/>
          <w:sz w:val="14"/>
          <w:szCs w:val="14"/>
          <w:u w:val="single" w:color="auto"/>
          <w:color w:val="auto"/>
        </w:rPr>
        <w:t>  Cancellation</w:t>
      </w:r>
      <w:r>
        <w:rPr>
          <w:rFonts w:ascii="Times New Roman" w:cs="Times New Roman" w:eastAsia="Times New Roman" w:hAnsi="Times New Roman"/>
          <w:sz w:val="14"/>
          <w:szCs w:val="14"/>
          <w:color w:val="auto"/>
        </w:rPr>
        <w:t>. All Securities surrendered for payment, redemption, registration of transfer or exchange or conversion or for credit against any sinking fund payment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309, except as expressly permitted by this Indenture. The Trustee shall dispose of all canceled Securities in accordance with its standard procedures (subject to the record retention requirement of the Exchange Act) and deliver a certificate of such disposition to the Company upon its written request therefor.</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98" w:name="page99"/>
    <w:bookmarkEnd w:id="98"/>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Section 310         </w:t>
      </w:r>
      <w:r>
        <w:rPr>
          <w:rFonts w:ascii="Times New Roman" w:cs="Times New Roman" w:eastAsia="Times New Roman" w:hAnsi="Times New Roman"/>
          <w:sz w:val="14"/>
          <w:szCs w:val="14"/>
          <w:u w:val="single" w:color="auto"/>
          <w:color w:val="auto"/>
        </w:rPr>
        <w:t>  Computation of Interest</w:t>
      </w:r>
      <w:r>
        <w:rPr>
          <w:rFonts w:ascii="Times New Roman" w:cs="Times New Roman" w:eastAsia="Times New Roman" w:hAnsi="Times New Roman"/>
          <w:sz w:val="14"/>
          <w:szCs w:val="14"/>
          <w:color w:val="auto"/>
        </w:rPr>
        <w:t>. Except as otherwise specified as contemplated by Section 301 for Securities of any series, interest on the Securities of each series shall be computed on the basis of a 360-day year of twelve 30-day months.</w:t>
      </w:r>
    </w:p>
    <w:p>
      <w:pPr>
        <w:spacing w:after="0" w:line="124"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Section 311         </w:t>
      </w:r>
      <w:r>
        <w:rPr>
          <w:rFonts w:ascii="Times New Roman" w:cs="Times New Roman" w:eastAsia="Times New Roman" w:hAnsi="Times New Roman"/>
          <w:sz w:val="14"/>
          <w:szCs w:val="14"/>
          <w:u w:val="single" w:color="auto"/>
          <w:color w:val="auto"/>
        </w:rPr>
        <w:t>  CUSIP Numbers</w:t>
      </w:r>
      <w:r>
        <w:rPr>
          <w:rFonts w:ascii="Times New Roman" w:cs="Times New Roman" w:eastAsia="Times New Roman" w:hAnsi="Times New Roman"/>
          <w:sz w:val="14"/>
          <w:szCs w:val="14"/>
          <w:color w:val="auto"/>
        </w:rPr>
        <w:t xml:space="preserve">. The Company, in issuing the Securities may use “CUSIP” and “ISIN” numbers (if then generally in use), and, if so, the Trustee shall use “CUSIP” and “ISIN” numbers in notices of redemption as a convenience to Holders;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shall promptly notify the Trustee in writing of any change in “CUSIP” or “ISIN” numbers.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165"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Section 401         </w:t>
      </w:r>
      <w:r>
        <w:rPr>
          <w:rFonts w:ascii="Times New Roman" w:cs="Times New Roman" w:eastAsia="Times New Roman" w:hAnsi="Times New Roman"/>
          <w:sz w:val="14"/>
          <w:szCs w:val="14"/>
          <w:u w:val="single" w:color="auto"/>
          <w:color w:val="auto"/>
        </w:rPr>
        <w:t>  Satisfaction and Discharge of Indenture</w:t>
      </w:r>
      <w:r>
        <w:rPr>
          <w:rFonts w:ascii="Times New Roman" w:cs="Times New Roman" w:eastAsia="Times New Roman" w:hAnsi="Times New Roman"/>
          <w:sz w:val="14"/>
          <w:szCs w:val="14"/>
          <w:color w:val="auto"/>
        </w:rPr>
        <w:t>. This Indenture shall upon Company Request cease to be of further effect with respect to the Securities of any series and any Guarantees of such Securities (except as to any surviving rights of conversion, registration of transfer or exchange of any such Security expressly provided for herein or in the terms of such Security), and the Trustee, at the expense of the Company, shall execute proper instruments acknowledging satisfaction and discharge of this Indenture with respect to such Securities, when:</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either</w:t>
      </w:r>
    </w:p>
    <w:p>
      <w:pPr>
        <w:spacing w:after="0" w:line="179" w:lineRule="exact"/>
        <w:rPr>
          <w:sz w:val="20"/>
          <w:szCs w:val="20"/>
          <w:color w:val="auto"/>
        </w:rPr>
      </w:pPr>
    </w:p>
    <w:p>
      <w:pPr>
        <w:jc w:val="both"/>
        <w:ind w:left="1020" w:firstLine="511"/>
        <w:spacing w:after="0" w:line="271" w:lineRule="auto"/>
        <w:rPr>
          <w:sz w:val="20"/>
          <w:szCs w:val="20"/>
          <w:color w:val="auto"/>
        </w:rPr>
      </w:pPr>
      <w:r>
        <w:rPr>
          <w:rFonts w:ascii="Times New Roman" w:cs="Times New Roman" w:eastAsia="Times New Roman" w:hAnsi="Times New Roman"/>
          <w:sz w:val="14"/>
          <w:szCs w:val="14"/>
          <w:color w:val="auto"/>
        </w:rPr>
        <w:t>(A)          all such Securities theretofore authenticated and delivered (other than (i) Securities that have been destroyed, lost or wrongfully taken and that have been replaced or paid as provided in Section 306 and (ii) Securities for the payment of which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99" w:name="page100"/>
    <w:bookmarkEnd w:id="99"/>
    <w:p>
      <w:pPr>
        <w:ind w:left="1540"/>
        <w:spacing w:after="0"/>
        <w:rPr>
          <w:sz w:val="20"/>
          <w:szCs w:val="20"/>
          <w:color w:val="auto"/>
        </w:rPr>
      </w:pPr>
      <w:r>
        <w:rPr>
          <w:rFonts w:ascii="Times New Roman" w:cs="Times New Roman" w:eastAsia="Times New Roman" w:hAnsi="Times New Roman"/>
          <w:sz w:val="14"/>
          <w:szCs w:val="14"/>
          <w:color w:val="auto"/>
        </w:rPr>
        <w:t>(B)           all such Securities not theretofore delivered to the Trustee for cancellation:</w:t>
      </w:r>
    </w:p>
    <w:p>
      <w:pPr>
        <w:spacing w:after="0" w:line="17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(i)           have become due and payable, or</w:t>
      </w:r>
    </w:p>
    <w:p>
      <w:pPr>
        <w:spacing w:after="0" w:line="17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(ii)          will become due and payable at their Stated Maturity within one year, or</w:t>
      </w:r>
    </w:p>
    <w:p>
      <w:pPr>
        <w:spacing w:after="0" w:line="179" w:lineRule="exact"/>
        <w:rPr>
          <w:sz w:val="20"/>
          <w:szCs w:val="20"/>
          <w:color w:val="auto"/>
        </w:rPr>
      </w:pPr>
    </w:p>
    <w:p>
      <w:pPr>
        <w:ind w:left="1540" w:firstLine="511"/>
        <w:spacing w:after="0" w:line="288" w:lineRule="auto"/>
        <w:rPr>
          <w:sz w:val="20"/>
          <w:szCs w:val="20"/>
          <w:color w:val="auto"/>
        </w:rPr>
      </w:pPr>
      <w:r>
        <w:rPr>
          <w:rFonts w:ascii="Times New Roman" w:cs="Times New Roman" w:eastAsia="Times New Roman" w:hAnsi="Times New Roman"/>
          <w:sz w:val="14"/>
          <w:szCs w:val="14"/>
          <w:color w:val="auto"/>
        </w:rPr>
        <w:t>(iii)         are to be called for redemption within one year under arrangements satisfactory to the Trustee for the giving of notice of redemption by the Trustee in the name, and at the expense, of the Company,</w:t>
      </w:r>
    </w:p>
    <w:p>
      <w:pPr>
        <w:spacing w:after="0" w:line="124" w:lineRule="exact"/>
        <w:rPr>
          <w:sz w:val="20"/>
          <w:szCs w:val="20"/>
          <w:color w:val="auto"/>
        </w:rPr>
      </w:pPr>
    </w:p>
    <w:p>
      <w:pPr>
        <w:jc w:val="both"/>
        <w:ind w:left="1020"/>
        <w:spacing w:after="0" w:line="262" w:lineRule="auto"/>
        <w:rPr>
          <w:sz w:val="20"/>
          <w:szCs w:val="20"/>
          <w:color w:val="auto"/>
        </w:rPr>
      </w:pPr>
      <w:r>
        <w:rPr>
          <w:rFonts w:ascii="Times New Roman" w:cs="Times New Roman" w:eastAsia="Times New Roman" w:hAnsi="Times New Roman"/>
          <w:sz w:val="14"/>
          <w:szCs w:val="14"/>
          <w:color w:val="auto"/>
        </w:rPr>
        <w:t>and the Company or a Guarantor, in the case of (i), (ii) or (iii) above, has irrevocably deposited or caused to be deposited with the Trustee as trust funds in trust solely for the benefit of the holders of the debt securities, cash in U.S. dollars, U.S. Government Obligations, or a combination thereof, in such amounts as will be sufficient (without consideration of any reinvestment of interest and, solely in the case of U.S. Government Obligations, as certified in an Officer’s Certificate from the chief financial officer of the Company), to pay and discharge the entire indebtedness on such Securities not theretofore delivered to the Trustee for cancellation, for principal and any premium and interest to the date of such deposit (in the case of Securities that have become due and payable) or to the Stated Maturity or Redemption Date, as the case may be;</w:t>
      </w:r>
    </w:p>
    <w:p>
      <w:pPr>
        <w:spacing w:after="0" w:line="143" w:lineRule="exact"/>
        <w:rPr>
          <w:sz w:val="20"/>
          <w:szCs w:val="20"/>
          <w:color w:val="auto"/>
        </w:rPr>
      </w:pPr>
    </w:p>
    <w:p>
      <w:pPr>
        <w:ind w:left="520" w:firstLine="511"/>
        <w:spacing w:after="0" w:line="288" w:lineRule="auto"/>
        <w:rPr>
          <w:sz w:val="20"/>
          <w:szCs w:val="20"/>
          <w:color w:val="auto"/>
        </w:rPr>
      </w:pPr>
      <w:r>
        <w:rPr>
          <w:rFonts w:ascii="Times New Roman" w:cs="Times New Roman" w:eastAsia="Times New Roman" w:hAnsi="Times New Roman"/>
          <w:sz w:val="14"/>
          <w:szCs w:val="14"/>
          <w:color w:val="auto"/>
        </w:rPr>
        <w:t>(2)           the Company and the Guarantors (if any) have paid or caused to be paid all other sums payable hereunder by the Company and the Guarantors (if any) with respect to such Securities; and</w:t>
      </w:r>
    </w:p>
    <w:p>
      <w:pPr>
        <w:spacing w:after="0" w:line="124" w:lineRule="exact"/>
        <w:rPr>
          <w:sz w:val="20"/>
          <w:szCs w:val="20"/>
          <w:color w:val="auto"/>
        </w:rPr>
      </w:pPr>
    </w:p>
    <w:p>
      <w:pPr>
        <w:ind w:left="520" w:firstLine="511"/>
        <w:spacing w:after="0" w:line="288" w:lineRule="auto"/>
        <w:rPr>
          <w:sz w:val="20"/>
          <w:szCs w:val="20"/>
          <w:color w:val="auto"/>
        </w:rPr>
      </w:pPr>
      <w:r>
        <w:rPr>
          <w:rFonts w:ascii="Times New Roman" w:cs="Times New Roman" w:eastAsia="Times New Roman" w:hAnsi="Times New Roman"/>
          <w:sz w:val="14"/>
          <w:szCs w:val="14"/>
          <w:color w:val="auto"/>
        </w:rPr>
        <w:t>(3)           the Company has delivered to the Trustee an Officer’s Certificate and an Opinion of Counsel (which Opinion of Counsel may be subject to customary assumptions and exclusions), each stating that all conditions precedent herein relating to the satisfaction and discharge of this Indenture with respect to such Securities have been complied with.</w:t>
      </w:r>
    </w:p>
    <w:p>
      <w:pPr>
        <w:spacing w:after="0" w:line="124"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Notwithstanding the satisfaction and discharge of this Indenture with respect to Securities of any series, the obligations of the Company to the Trustee under Section 607, the obligations of the Trustee to any Authenticating Agent under Section 614, and, if money shall have been deposited with the Trustee pursuant to subclause (B) of Clause (1) of this Section 401 with respect to such Securities, the obligations of the Company of such series under Section 1002 and the obligations of the Trustee under Section 402, Section 606 and the last paragraph of Section 1003 with respect to such Securities shall survive such satisfaction and discharge.</w:t>
      </w:r>
    </w:p>
    <w:p>
      <w:pPr>
        <w:spacing w:after="0" w:line="140" w:lineRule="exact"/>
        <w:rPr>
          <w:sz w:val="20"/>
          <w:szCs w:val="20"/>
          <w:color w:val="auto"/>
        </w:rPr>
      </w:pPr>
    </w:p>
    <w:p>
      <w:pPr>
        <w:jc w:val="both"/>
        <w:ind w:firstLine="511"/>
        <w:spacing w:after="0" w:line="258" w:lineRule="auto"/>
        <w:rPr>
          <w:sz w:val="20"/>
          <w:szCs w:val="20"/>
          <w:color w:val="auto"/>
        </w:rPr>
      </w:pPr>
      <w:r>
        <w:rPr>
          <w:rFonts w:ascii="Times New Roman" w:cs="Times New Roman" w:eastAsia="Times New Roman" w:hAnsi="Times New Roman"/>
          <w:sz w:val="14"/>
          <w:szCs w:val="14"/>
          <w:color w:val="auto"/>
        </w:rPr>
        <w:t>Section 402         </w:t>
      </w:r>
      <w:r>
        <w:rPr>
          <w:rFonts w:ascii="Times New Roman" w:cs="Times New Roman" w:eastAsia="Times New Roman" w:hAnsi="Times New Roman"/>
          <w:sz w:val="14"/>
          <w:szCs w:val="14"/>
          <w:u w:val="single" w:color="auto"/>
          <w:color w:val="auto"/>
        </w:rPr>
        <w:t>  Application of Trust Money</w:t>
      </w:r>
      <w:r>
        <w:rPr>
          <w:rFonts w:ascii="Times New Roman" w:cs="Times New Roman" w:eastAsia="Times New Roman" w:hAnsi="Times New Roman"/>
          <w:sz w:val="14"/>
          <w:szCs w:val="14"/>
          <w:color w:val="auto"/>
        </w:rPr>
        <w:t>. Subject to the provisions of the last paragraph of Section 1003, all money deposited with the Trustee pursuant to Section 401 with respect to Securities of any series shall be held in trust and applied by it, in accordance with the provisions of such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 All moneys deposited with the Trustee pursuant to Section 401 (and held by it or any Paying Agent) for the payment of Securities subsequently converted shall be returned to the Company upon Company Request, to the extent originally deposited by the Company. The Company may direct by a Company Order the investment of any money deposited with the Trustee pursuant to Section 401, without distinction between principal and income, in (1) U.S. Government Obligations with a maturity of one year or less or (2) a money market fund that invests solely in short-term U.S. Government Obligations and from time to time the Company may direct the reinvestment of all or a portion of such money in other securities or funds meeting the criteria specified in Clause (1) or (2) of this sentence.</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00" w:name="page101"/>
    <w:bookmarkEnd w:id="100"/>
    <w:p>
      <w:pPr>
        <w:ind w:left="5260"/>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REMEDIES</w:t>
      </w:r>
    </w:p>
    <w:p>
      <w:pPr>
        <w:spacing w:after="0" w:line="163" w:lineRule="exact"/>
        <w:rPr>
          <w:sz w:val="20"/>
          <w:szCs w:val="20"/>
          <w:color w:val="auto"/>
        </w:rPr>
      </w:pPr>
    </w:p>
    <w:p>
      <w:pPr>
        <w:jc w:val="both"/>
        <w:ind w:firstLine="511"/>
        <w:spacing w:after="0" w:line="272" w:lineRule="auto"/>
        <w:rPr>
          <w:sz w:val="20"/>
          <w:szCs w:val="20"/>
          <w:color w:val="auto"/>
        </w:rPr>
      </w:pPr>
      <w:r>
        <w:rPr>
          <w:rFonts w:ascii="Times New Roman" w:cs="Times New Roman" w:eastAsia="Times New Roman" w:hAnsi="Times New Roman"/>
          <w:sz w:val="14"/>
          <w:szCs w:val="14"/>
          <w:color w:val="auto"/>
        </w:rPr>
        <w:t>Section 501         </w:t>
      </w:r>
      <w:r>
        <w:rPr>
          <w:rFonts w:ascii="Times New Roman" w:cs="Times New Roman" w:eastAsia="Times New Roman" w:hAnsi="Times New Roman"/>
          <w:sz w:val="14"/>
          <w:szCs w:val="14"/>
          <w:u w:val="single" w:color="auto"/>
          <w:color w:val="auto"/>
        </w:rPr>
        <w:t>  Events of Default</w:t>
      </w:r>
      <w:r>
        <w:rPr>
          <w:rFonts w:ascii="Times New Roman" w:cs="Times New Roman" w:eastAsia="Times New Roman" w:hAnsi="Times New Roman"/>
          <w:sz w:val="14"/>
          <w:szCs w:val="14"/>
          <w:color w:val="auto"/>
        </w:rPr>
        <w:t>. Except as may otherwise be provided pursuant to Section 301 for all or any specific Securities of any series, “</w:t>
      </w:r>
      <w:r>
        <w:rPr>
          <w:rFonts w:ascii="Times New Roman" w:cs="Times New Roman" w:eastAsia="Times New Roman" w:hAnsi="Times New Roman"/>
          <w:sz w:val="14"/>
          <w:szCs w:val="14"/>
          <w:b w:val="1"/>
          <w:bCs w:val="1"/>
          <w:i w:val="1"/>
          <w:iCs w:val="1"/>
          <w:color w:val="auto"/>
        </w:rPr>
        <w:t>Event of Default</w:t>
      </w:r>
      <w:r>
        <w:rPr>
          <w:rFonts w:ascii="Times New Roman" w:cs="Times New Roman" w:eastAsia="Times New Roman" w:hAnsi="Times New Roman"/>
          <w:sz w:val="14"/>
          <w:szCs w:val="14"/>
          <w:color w:val="auto"/>
        </w:rPr>
        <w:t>,” wherever used herein with respect to the Securities of that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default in any payment of interest on any Security of that series when due and payable, continued for 30 days;</w:t>
      </w:r>
    </w:p>
    <w:p>
      <w:pPr>
        <w:spacing w:after="0" w:line="179" w:lineRule="exact"/>
        <w:rPr>
          <w:sz w:val="20"/>
          <w:szCs w:val="20"/>
          <w:color w:val="auto"/>
        </w:rPr>
      </w:pPr>
    </w:p>
    <w:p>
      <w:pPr>
        <w:ind w:left="520" w:firstLine="511"/>
        <w:spacing w:after="0" w:line="288" w:lineRule="auto"/>
        <w:rPr>
          <w:sz w:val="20"/>
          <w:szCs w:val="20"/>
          <w:color w:val="auto"/>
        </w:rPr>
      </w:pPr>
      <w:r>
        <w:rPr>
          <w:rFonts w:ascii="Times New Roman" w:cs="Times New Roman" w:eastAsia="Times New Roman" w:hAnsi="Times New Roman"/>
          <w:sz w:val="14"/>
          <w:szCs w:val="14"/>
          <w:color w:val="auto"/>
        </w:rPr>
        <w:t>(2)           default in the payment of the principal of or premium, if any, on any Security of that series when due and payable at its Stated Maturity, upon optional redemption, upon acceleration or otherwise;</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(3)           failure by the Company to comply with Section 704 for 180 days after notice as provided below;</w:t>
      </w:r>
    </w:p>
    <w:p>
      <w:pPr>
        <w:spacing w:after="0" w:line="179" w:lineRule="exact"/>
        <w:rPr>
          <w:sz w:val="20"/>
          <w:szCs w:val="20"/>
          <w:color w:val="auto"/>
        </w:rPr>
      </w:pPr>
    </w:p>
    <w:p>
      <w:pPr>
        <w:ind w:left="520" w:firstLine="511"/>
        <w:spacing w:after="0" w:line="288" w:lineRule="auto"/>
        <w:rPr>
          <w:sz w:val="20"/>
          <w:szCs w:val="20"/>
          <w:color w:val="auto"/>
        </w:rPr>
      </w:pPr>
      <w:r>
        <w:rPr>
          <w:rFonts w:ascii="Times New Roman" w:cs="Times New Roman" w:eastAsia="Times New Roman" w:hAnsi="Times New Roman"/>
          <w:sz w:val="14"/>
          <w:szCs w:val="14"/>
          <w:color w:val="auto"/>
        </w:rPr>
        <w:t>(4)           failure by the Company to comply for 90 days after notice as provided below with its agreements (other than the agreements that are the subjects of clauses (1)-(3) above) contained in this Indenture;</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(5)           the Company, pursuant to or within the meaning of any Bankruptcy Law:</w:t>
      </w:r>
    </w:p>
    <w:p>
      <w:pPr>
        <w:spacing w:after="0" w:line="17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(A)          commences a voluntary case or voluntary proceeding;</w:t>
      </w:r>
    </w:p>
    <w:p>
      <w:pPr>
        <w:spacing w:after="0" w:line="17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(B)           consents to the entry of a judgment, decree or order for relief against it in an involuntary case or involuntary proceeding;</w:t>
      </w:r>
    </w:p>
    <w:p>
      <w:pPr>
        <w:spacing w:after="0" w:line="17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(C)           consents to the appointment of a Custodian of it or for any substantial part of its property;</w:t>
      </w:r>
    </w:p>
    <w:p>
      <w:pPr>
        <w:spacing w:after="0" w:line="17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          makes a general assignment of substantially all of its property for the benefit of its creditors; or</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101" w:name="page102"/>
    <w:bookmarkEnd w:id="101"/>
    <w:p>
      <w:pPr>
        <w:ind w:left="1020" w:firstLine="511"/>
        <w:spacing w:after="0" w:line="288" w:lineRule="auto"/>
        <w:rPr>
          <w:sz w:val="20"/>
          <w:szCs w:val="20"/>
          <w:color w:val="auto"/>
        </w:rPr>
      </w:pPr>
      <w:r>
        <w:rPr>
          <w:rFonts w:ascii="Times New Roman" w:cs="Times New Roman" w:eastAsia="Times New Roman" w:hAnsi="Times New Roman"/>
          <w:sz w:val="14"/>
          <w:szCs w:val="14"/>
          <w:color w:val="auto"/>
        </w:rPr>
        <w:t>(E)           transmits its written consent to or acquiescence in the institution of a bankruptcy proceeding or other collective proceeding for relief by or against its creditors generally;</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(6)           a court of competent jurisdiction enters an order or decree under any Bankruptcy Law that:</w:t>
      </w:r>
    </w:p>
    <w:p>
      <w:pPr>
        <w:spacing w:after="0" w:line="17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(A)          is for relief in an involuntary case against the Company, pursuant to or within the meaning of the Bankruptcy Law;</w:t>
      </w:r>
    </w:p>
    <w:p>
      <w:pPr>
        <w:spacing w:after="0" w:line="17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(B)           appoints a Custodian for all or substantially all of the property of the Company, pursuant to or within the meaning of the Bankruptcy Law; or</w:t>
      </w:r>
    </w:p>
    <w:p>
      <w:pPr>
        <w:spacing w:after="0" w:line="17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(C)          orders the winding up or liquidation of the Company, pursuant to or within the meaning of the Bankruptcy Law; and</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case of (A), (B) or (C), the order or decree remains unstayed or not dismissed and in effect for 60 days following the entry, issuance or effective date thereof; or</w:t>
      </w:r>
    </w:p>
    <w:p>
      <w:pPr>
        <w:spacing w:after="0" w:line="179" w:lineRule="exact"/>
        <w:rPr>
          <w:sz w:val="20"/>
          <w:szCs w:val="20"/>
          <w:color w:val="auto"/>
        </w:rPr>
      </w:pPr>
    </w:p>
    <w:p>
      <w:pPr>
        <w:jc w:val="both"/>
        <w:ind w:left="520" w:firstLine="511"/>
        <w:spacing w:after="0" w:line="265" w:lineRule="auto"/>
        <w:rPr>
          <w:sz w:val="20"/>
          <w:szCs w:val="20"/>
          <w:color w:val="auto"/>
        </w:rPr>
      </w:pPr>
      <w:r>
        <w:rPr>
          <w:rFonts w:ascii="Times New Roman" w:cs="Times New Roman" w:eastAsia="Times New Roman" w:hAnsi="Times New Roman"/>
          <w:sz w:val="14"/>
          <w:szCs w:val="14"/>
          <w:color w:val="auto"/>
        </w:rPr>
        <w:t>(7)           any Guarantee by Viper Energy or by any guarantor required to guarantee the debt securities pursuant to the terms of the applicable supplemental indenture of Securities of that series ceases to be in full force and effect (except as contemplated by the terms of the Indenture) or is declared null and void in a judicial proceeding or such Guarantor denies or disaffirms, in writing, its obligations under the Indenture or its Guarantee of Securities of that series, in each case unless such Guarantee of Securities of that series has been released pursuant to the terms of the Indenture.</w:t>
      </w:r>
    </w:p>
    <w:p>
      <w:pPr>
        <w:spacing w:after="0" w:line="140" w:lineRule="exact"/>
        <w:rPr>
          <w:sz w:val="20"/>
          <w:szCs w:val="20"/>
          <w:color w:val="auto"/>
        </w:rPr>
      </w:pPr>
    </w:p>
    <w:p>
      <w:pPr>
        <w:jc w:val="both"/>
        <w:ind w:firstLine="511"/>
        <w:spacing w:after="0" w:line="262" w:lineRule="auto"/>
        <w:rPr>
          <w:sz w:val="20"/>
          <w:szCs w:val="20"/>
          <w:color w:val="auto"/>
        </w:rPr>
      </w:pPr>
      <w:r>
        <w:rPr>
          <w:rFonts w:ascii="Times New Roman" w:cs="Times New Roman" w:eastAsia="Times New Roman" w:hAnsi="Times New Roman"/>
          <w:sz w:val="14"/>
          <w:szCs w:val="14"/>
          <w:color w:val="auto"/>
        </w:rPr>
        <w:t xml:space="preserve">Notwithstanding the foregoing, default under Section 501(3) or Section 501(4) will not constitute an Event of Default with respect to a given series of Securities until the Trustee or the Holders of at least 33% in principal amount of the then Outstanding Securities of that series notify the Company in writing of the Default and the Company does not cure such Default within the applicable time specified in Section 501(3) or Section 501(4) after receipt of such notice. Such notice must specify the Default, demand that it be remedied, and state that such notice is a “Notice of Default”;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Notice of Default may be given with respect to any action taken, and reported publicly, more than two years prior to such Notice of Default. The Trustee shall not be deemed to have notice of a default under Section 501(3) or Section 501(4) except as provided in Section 603(10) herein.</w:t>
      </w:r>
    </w:p>
    <w:p>
      <w:pPr>
        <w:spacing w:after="0" w:line="143" w:lineRule="exact"/>
        <w:rPr>
          <w:sz w:val="20"/>
          <w:szCs w:val="20"/>
          <w:color w:val="auto"/>
        </w:rPr>
      </w:pPr>
    </w:p>
    <w:p>
      <w:pPr>
        <w:jc w:val="both"/>
        <w:ind w:firstLine="511"/>
        <w:spacing w:after="0" w:line="260" w:lineRule="auto"/>
        <w:rPr>
          <w:sz w:val="20"/>
          <w:szCs w:val="20"/>
          <w:color w:val="auto"/>
        </w:rPr>
      </w:pPr>
      <w:r>
        <w:rPr>
          <w:rFonts w:ascii="Times New Roman" w:cs="Times New Roman" w:eastAsia="Times New Roman" w:hAnsi="Times New Roman"/>
          <w:sz w:val="14"/>
          <w:szCs w:val="14"/>
          <w:color w:val="auto"/>
        </w:rPr>
        <w:t>Section 502         </w:t>
      </w:r>
      <w:r>
        <w:rPr>
          <w:rFonts w:ascii="Times New Roman" w:cs="Times New Roman" w:eastAsia="Times New Roman" w:hAnsi="Times New Roman"/>
          <w:sz w:val="14"/>
          <w:szCs w:val="14"/>
          <w:u w:val="single" w:color="auto"/>
          <w:color w:val="auto"/>
        </w:rPr>
        <w:t>  Acceleration of Maturity; Rescission and Annulment</w:t>
      </w:r>
      <w:r>
        <w:rPr>
          <w:rFonts w:ascii="Times New Roman" w:cs="Times New Roman" w:eastAsia="Times New Roman" w:hAnsi="Times New Roman"/>
          <w:sz w:val="14"/>
          <w:szCs w:val="14"/>
          <w:color w:val="auto"/>
        </w:rPr>
        <w:t>. Except as may otherwise be provided pursuant to Section 301 for all or any specific Securities of any series, if an Event of Default (other than an Event of Default described in Section 501(5) or (6)) with respect to the then Outstanding Securities of a series occurs and is continuing, the Trustee by written notice to the Company, or Holders of at least 33% in principal amount of the then Outstanding Securities of such series by written notice to the Company and the Trustee, may, and the Trustee at the request of Holders of at least 33% in principal amount of the then Outstanding Securities of that series shall, declare the principal, premium, if any, and accrued and unpaid interest, if any, on all the Securities of that series to be due and payable. Such notice must specify the Event of Default and state that such notice is a “Notice of Acceleration.” Upon such a declaration, such principal, premium, if any, and accrued and unpaid interest in respect of the Securities of that series will be due and payable immediately.</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02" w:name="page103"/>
    <w:bookmarkEnd w:id="102"/>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If an Event of Default pursuant to Section 501(5) or (6) occurs, the principal, premium, if any, and accrued and unpaid interest on the Securities will become and be immediately due and payable without any declaration or other act on the part of the Trustee or any Holder.</w:t>
      </w:r>
    </w:p>
    <w:p>
      <w:pPr>
        <w:spacing w:after="0" w:line="124" w:lineRule="exact"/>
        <w:rPr>
          <w:sz w:val="20"/>
          <w:szCs w:val="20"/>
          <w:color w:val="auto"/>
        </w:rPr>
      </w:pPr>
    </w:p>
    <w:p>
      <w:pPr>
        <w:jc w:val="both"/>
        <w:ind w:firstLine="511"/>
        <w:spacing w:after="0" w:line="260" w:lineRule="auto"/>
        <w:rPr>
          <w:sz w:val="20"/>
          <w:szCs w:val="20"/>
          <w:color w:val="auto"/>
        </w:rPr>
      </w:pPr>
      <w:r>
        <w:rPr>
          <w:rFonts w:ascii="Times New Roman" w:cs="Times New Roman" w:eastAsia="Times New Roman" w:hAnsi="Times New Roman"/>
          <w:sz w:val="14"/>
          <w:szCs w:val="14"/>
          <w:color w:val="auto"/>
        </w:rPr>
        <w:t>Except as may otherwise be provided pursuant to Section 301 for all or any specific Securities of any series, at any time after a declaration of acceleration as to such Securities of a series, but before a judgment or decree for the payment of the money due has been obtained by the Trustee, Holders of a majority in principal amount of the Outstanding Securities of that series may by notice to the Company, any Guarantor of the Securities of that series and Trustee (including, without limitation, waivers and consents obtained in connection with a purchase of, or tender offer or exchange offer for, Securities) waive all past defaults (except with respect to nonpayment of principal, premium, if any, or interest (other than any nonpayment resulting from any acceleration subject to rescission described below)) and rescind any such acceleration with respect to the Securities of that series and its consequences if rescission would not conflict with any judgment or decree of a court of competent jurisdiction.</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503         </w:t>
      </w:r>
      <w:r>
        <w:rPr>
          <w:rFonts w:ascii="Times New Roman" w:cs="Times New Roman" w:eastAsia="Times New Roman" w:hAnsi="Times New Roman"/>
          <w:sz w:val="14"/>
          <w:szCs w:val="14"/>
          <w:u w:val="single" w:color="auto"/>
          <w:color w:val="auto"/>
        </w:rPr>
        <w:t>  Collection of Indebtedness and Suits for Enforcement by Trustee</w:t>
      </w:r>
      <w:r>
        <w:rPr>
          <w:rFonts w:ascii="Times New Roman" w:cs="Times New Roman" w:eastAsia="Times New Roman" w:hAnsi="Times New Roman"/>
          <w:sz w:val="14"/>
          <w:szCs w:val="14"/>
          <w:color w:val="auto"/>
        </w:rPr>
        <w:t>. The Company covenants that if:</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default is made in the payment of any interest on any Security when such interest becomes due and payable and such default continues for a period of 60 days, or</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default is made in the payment of the principal of (or premium, if any, on) any Security at the Maturity thereof,</w:t>
      </w:r>
    </w:p>
    <w:p>
      <w:pPr>
        <w:spacing w:after="0" w:line="179"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40"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36" w:lineRule="exact"/>
        <w:rPr>
          <w:sz w:val="20"/>
          <w:szCs w:val="20"/>
          <w:color w:val="auto"/>
        </w:rPr>
      </w:pPr>
    </w:p>
    <w:p>
      <w:pPr>
        <w:jc w:val="both"/>
        <w:ind w:firstLine="511"/>
        <w:spacing w:after="0" w:line="260" w:lineRule="auto"/>
        <w:rPr>
          <w:sz w:val="20"/>
          <w:szCs w:val="20"/>
          <w:color w:val="auto"/>
        </w:rPr>
      </w:pPr>
      <w:r>
        <w:rPr>
          <w:rFonts w:ascii="Times New Roman" w:cs="Times New Roman" w:eastAsia="Times New Roman" w:hAnsi="Times New Roman"/>
          <w:sz w:val="14"/>
          <w:szCs w:val="14"/>
          <w:color w:val="auto"/>
        </w:rPr>
        <w:t>Section 504         </w:t>
      </w:r>
      <w:r>
        <w:rPr>
          <w:rFonts w:ascii="Times New Roman" w:cs="Times New Roman" w:eastAsia="Times New Roman" w:hAnsi="Times New Roman"/>
          <w:sz w:val="14"/>
          <w:szCs w:val="14"/>
          <w:u w:val="single" w:color="auto"/>
          <w:color w:val="auto"/>
        </w:rPr>
        <w:t>  Trustee May File Proofs of Claim</w:t>
      </w:r>
      <w:r>
        <w:rPr>
          <w:rFonts w:ascii="Times New Roman" w:cs="Times New Roman" w:eastAsia="Times New Roman" w:hAnsi="Times New Roman"/>
          <w:sz w:val="14"/>
          <w:szCs w:val="14"/>
          <w:color w:val="auto"/>
        </w:rPr>
        <w:t>. In case of any judicial proceeding relative to the Company, any Guarantor or any other obligor upon the Securities, their property or their creditors, the Trustee shall be entitled and empowered, by intervention in such proceeding or otherwise, to take any and all actions authorized under the Trust Indenture Act in order to have claims of the Holders and the Trustee allowed in any such proceeding.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03" w:name="page104"/>
    <w:bookmarkEnd w:id="103"/>
    <w:p>
      <w:pPr>
        <w:jc w:val="both"/>
        <w:ind w:firstLine="511"/>
        <w:spacing w:after="0" w:line="268" w:lineRule="auto"/>
        <w:rPr>
          <w:sz w:val="20"/>
          <w:szCs w:val="20"/>
          <w:color w:val="auto"/>
        </w:rPr>
      </w:pPr>
      <w:r>
        <w:rPr>
          <w:rFonts w:ascii="Times New Roman" w:cs="Times New Roman" w:eastAsia="Times New Roman" w:hAnsi="Times New Roman"/>
          <w:sz w:val="14"/>
          <w:szCs w:val="14"/>
          <w:color w:val="auto"/>
        </w:rPr>
        <w:t>No provision of this Indenture shall be deemed to authorize the Trustee to authorize or consent to or accept or adopt on behalf of any Holder any plan of reorganization, arrangement, adjustment or composition affecting the Securities or any Guarantee or the rights of any Holder thereof or to authorize the Trustee to vote in respect of the claim of any Holder in any such proceeding; provided, however, that the Trustee may, on behalf of the Holders, vote for the election of a trustee in bankruptcy or similar official and be a member of a creditors’ or other similar committee.</w:t>
      </w:r>
    </w:p>
    <w:p>
      <w:pPr>
        <w:spacing w:after="0" w:line="312"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Section 505         </w:t>
      </w:r>
      <w:r>
        <w:rPr>
          <w:rFonts w:ascii="Times New Roman" w:cs="Times New Roman" w:eastAsia="Times New Roman" w:hAnsi="Times New Roman"/>
          <w:sz w:val="14"/>
          <w:szCs w:val="14"/>
          <w:u w:val="single" w:color="auto"/>
          <w:color w:val="auto"/>
        </w:rPr>
        <w:t>  Trustee May Enforce Claims Without Possession of Securities</w:t>
      </w:r>
      <w:r>
        <w:rPr>
          <w:rFonts w:ascii="Times New Roman" w:cs="Times New Roman" w:eastAsia="Times New Roman" w:hAnsi="Times New Roman"/>
          <w:sz w:val="14"/>
          <w:szCs w:val="14"/>
          <w:color w:val="auto"/>
        </w:rPr>
        <w:t>. All rights of action and claims under this Indenture or the Securities or any Guarantee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40"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Section 506         </w:t>
      </w:r>
      <w:r>
        <w:rPr>
          <w:rFonts w:ascii="Times New Roman" w:cs="Times New Roman" w:eastAsia="Times New Roman" w:hAnsi="Times New Roman"/>
          <w:sz w:val="14"/>
          <w:szCs w:val="14"/>
          <w:u w:val="single" w:color="auto"/>
          <w:color w:val="auto"/>
        </w:rPr>
        <w:t>  Application of Money Collected</w:t>
      </w:r>
      <w:r>
        <w:rPr>
          <w:rFonts w:ascii="Times New Roman" w:cs="Times New Roman" w:eastAsia="Times New Roman" w:hAnsi="Times New Roman"/>
          <w:sz w:val="14"/>
          <w:szCs w:val="14"/>
          <w:color w:val="auto"/>
        </w:rPr>
        <w:t>. 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FIRST: To the payment of all amounts due the Trustee under Section 607;</w:t>
      </w:r>
    </w:p>
    <w:p>
      <w:pPr>
        <w:spacing w:after="0" w:line="179"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THIRD: To the payment of the remainder, if any, to the Company, any Guarantor or to whomsoever may be lawfully entitled to receive the same as a court of competent jurisdiction may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04" w:name="page105"/>
    <w:bookmarkEnd w:id="104"/>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Section 507         </w:t>
      </w:r>
      <w:r>
        <w:rPr>
          <w:rFonts w:ascii="Times New Roman" w:cs="Times New Roman" w:eastAsia="Times New Roman" w:hAnsi="Times New Roman"/>
          <w:sz w:val="14"/>
          <w:szCs w:val="14"/>
          <w:u w:val="single" w:color="auto"/>
          <w:color w:val="auto"/>
        </w:rPr>
        <w:t>  Limitation on Suits</w:t>
      </w:r>
      <w:r>
        <w:rPr>
          <w:rFonts w:ascii="Times New Roman" w:cs="Times New Roman" w:eastAsia="Times New Roman" w:hAnsi="Times New Roman"/>
          <w:sz w:val="14"/>
          <w:szCs w:val="14"/>
          <w:color w:val="auto"/>
        </w:rPr>
        <w:t>. Except pursuant to Section 508, no Holder of any Security of any series shall have any right to institute any proceeding, judicial or otherwise, with respect to this Indenture, or for the appointment of a receiver or trustee, or for any other remedy hereunder, unless</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such Holder has previously given written notice to the Trustee of a continuing Event of Default with respect to the Securities of that series;</w:t>
      </w:r>
    </w:p>
    <w:p>
      <w:pPr>
        <w:spacing w:after="0" w:line="179" w:lineRule="exact"/>
        <w:rPr>
          <w:sz w:val="20"/>
          <w:szCs w:val="20"/>
          <w:color w:val="auto"/>
        </w:rPr>
      </w:pPr>
    </w:p>
    <w:p>
      <w:pPr>
        <w:ind w:left="520" w:firstLine="511"/>
        <w:spacing w:after="0" w:line="288" w:lineRule="auto"/>
        <w:rPr>
          <w:sz w:val="20"/>
          <w:szCs w:val="20"/>
          <w:color w:val="auto"/>
        </w:rPr>
      </w:pPr>
      <w:r>
        <w:rPr>
          <w:rFonts w:ascii="Times New Roman" w:cs="Times New Roman" w:eastAsia="Times New Roman" w:hAnsi="Times New Roman"/>
          <w:sz w:val="14"/>
          <w:szCs w:val="14"/>
          <w:color w:val="auto"/>
        </w:rPr>
        <w:t>(2)           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(3)           such Holder or Holders have offered to the Trustee security or indemnity satisfactory to it against any costs, expenses and liabilities to be incurred in compliance with such</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request;</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(4)           the Trustee for 60 days after its receipt of such notice, request and offer of security or indemnity has failed to institute any such proceeding; and</w:t>
      </w:r>
    </w:p>
    <w:p>
      <w:pPr>
        <w:spacing w:after="0" w:line="179" w:lineRule="exact"/>
        <w:rPr>
          <w:sz w:val="20"/>
          <w:szCs w:val="20"/>
          <w:color w:val="auto"/>
        </w:rPr>
      </w:pPr>
    </w:p>
    <w:p>
      <w:pPr>
        <w:ind w:left="520" w:firstLine="511"/>
        <w:spacing w:after="0" w:line="288" w:lineRule="auto"/>
        <w:rPr>
          <w:sz w:val="20"/>
          <w:szCs w:val="20"/>
          <w:color w:val="auto"/>
        </w:rPr>
      </w:pPr>
      <w:r>
        <w:rPr>
          <w:rFonts w:ascii="Times New Roman" w:cs="Times New Roman" w:eastAsia="Times New Roman" w:hAnsi="Times New Roman"/>
          <w:sz w:val="14"/>
          <w:szCs w:val="14"/>
          <w:color w:val="auto"/>
        </w:rPr>
        <w:t>(5)           no direction inconsistent with such written request has been given to the Trustee during such 60-day period by the Holders of a majority in principal amount of the Outstanding Securities of that series;</w:t>
      </w:r>
    </w:p>
    <w:p>
      <w:pPr>
        <w:spacing w:after="0" w:line="1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(it being understood that the Trustee does not have an affirmative duty to ascertain whether or not such uses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40" w:lineRule="exact"/>
        <w:rPr>
          <w:sz w:val="20"/>
          <w:szCs w:val="20"/>
          <w:color w:val="auto"/>
        </w:rPr>
      </w:pPr>
    </w:p>
    <w:p>
      <w:pPr>
        <w:jc w:val="both"/>
        <w:ind w:firstLine="511"/>
        <w:spacing w:after="0" w:line="262" w:lineRule="auto"/>
        <w:rPr>
          <w:sz w:val="20"/>
          <w:szCs w:val="20"/>
          <w:color w:val="auto"/>
        </w:rPr>
      </w:pPr>
      <w:r>
        <w:rPr>
          <w:rFonts w:ascii="Times New Roman" w:cs="Times New Roman" w:eastAsia="Times New Roman" w:hAnsi="Times New Roman"/>
          <w:sz w:val="14"/>
          <w:szCs w:val="14"/>
          <w:color w:val="auto"/>
        </w:rPr>
        <w:t>Section 508         </w:t>
      </w:r>
      <w:r>
        <w:rPr>
          <w:rFonts w:ascii="Times New Roman" w:cs="Times New Roman" w:eastAsia="Times New Roman" w:hAnsi="Times New Roman"/>
          <w:sz w:val="14"/>
          <w:szCs w:val="14"/>
          <w:u w:val="single" w:color="auto"/>
          <w:color w:val="auto"/>
        </w:rPr>
        <w:t>  Unconditional Right of Holders to Receive Principal, Premium and Interest and to Convert</w:t>
      </w:r>
      <w:r>
        <w:rPr>
          <w:rFonts w:ascii="Times New Roman" w:cs="Times New Roman" w:eastAsia="Times New Roman" w:hAnsi="Times New Roman"/>
          <w:sz w:val="14"/>
          <w:szCs w:val="14"/>
          <w:color w:val="auto"/>
        </w:rPr>
        <w:t>. Notwithstanding any other provision in this Indenture, the Holder of any Security shall have the right, which is absolute and unconditional, to receive payment of the principal of and any premium and (subject to Section 307) interest on such Security on the respective Interest Payment Date or Stated Maturity, as applicable, expressed in such Security (or, in the case of redemption, on the Redemption Date), and, if the terms of such Security so provide, to convert such Security in accordance with its terms, and to institute suit for the enforcement of any such payment and, if applicable, any such right to convert, and such rights shall not be impaired without the consent of such Holder.</w:t>
      </w:r>
    </w:p>
    <w:p>
      <w:pPr>
        <w:spacing w:after="0" w:line="143"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Section 509         </w:t>
      </w:r>
      <w:r>
        <w:rPr>
          <w:rFonts w:ascii="Times New Roman" w:cs="Times New Roman" w:eastAsia="Times New Roman" w:hAnsi="Times New Roman"/>
          <w:sz w:val="14"/>
          <w:szCs w:val="14"/>
          <w:u w:val="single" w:color="auto"/>
          <w:color w:val="auto"/>
        </w:rPr>
        <w:t>  Restoration of Rights and Remedies</w:t>
      </w:r>
      <w:r>
        <w:rPr>
          <w:rFonts w:ascii="Times New Roman" w:cs="Times New Roman" w:eastAsia="Times New Roman" w:hAnsi="Times New Roman"/>
          <w:sz w:val="14"/>
          <w:szCs w:val="14"/>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any Guarantors,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05" w:name="page106"/>
    <w:bookmarkEnd w:id="105"/>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Section 510         </w:t>
      </w:r>
      <w:r>
        <w:rPr>
          <w:rFonts w:ascii="Times New Roman" w:cs="Times New Roman" w:eastAsia="Times New Roman" w:hAnsi="Times New Roman"/>
          <w:sz w:val="14"/>
          <w:szCs w:val="14"/>
          <w:u w:val="single" w:color="auto"/>
          <w:color w:val="auto"/>
        </w:rPr>
        <w:t>  Rights and Remedies Cumulative</w:t>
      </w:r>
      <w:r>
        <w:rPr>
          <w:rFonts w:ascii="Times New Roman" w:cs="Times New Roman" w:eastAsia="Times New Roman" w:hAnsi="Times New Roman"/>
          <w:sz w:val="14"/>
          <w:szCs w:val="14"/>
          <w:color w:val="auto"/>
        </w:rPr>
        <w:t>. Except as otherwise provided with respect to the replacement or payment of mutilated, destroyed, lost or wrongfully taken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40"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Section 511         </w:t>
      </w:r>
      <w:r>
        <w:rPr>
          <w:rFonts w:ascii="Times New Roman" w:cs="Times New Roman" w:eastAsia="Times New Roman" w:hAnsi="Times New Roman"/>
          <w:sz w:val="14"/>
          <w:szCs w:val="14"/>
          <w:u w:val="single" w:color="auto"/>
          <w:color w:val="auto"/>
        </w:rPr>
        <w:t>  Delay or Omission Not Waiver</w:t>
      </w:r>
      <w:r>
        <w:rPr>
          <w:rFonts w:ascii="Times New Roman" w:cs="Times New Roman" w:eastAsia="Times New Roman" w:hAnsi="Times New Roman"/>
          <w:sz w:val="14"/>
          <w:szCs w:val="14"/>
          <w:color w:val="auto"/>
        </w:rPr>
        <w:t>.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36"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Section 512         </w:t>
      </w:r>
      <w:r>
        <w:rPr>
          <w:rFonts w:ascii="Times New Roman" w:cs="Times New Roman" w:eastAsia="Times New Roman" w:hAnsi="Times New Roman"/>
          <w:sz w:val="14"/>
          <w:szCs w:val="14"/>
          <w:u w:val="single" w:color="auto"/>
          <w:color w:val="auto"/>
        </w:rPr>
        <w:t>  Control by Holders</w:t>
      </w:r>
      <w:r>
        <w:rPr>
          <w:rFonts w:ascii="Times New Roman" w:cs="Times New Roman" w:eastAsia="Times New Roman" w:hAnsi="Times New Roman"/>
          <w:sz w:val="14"/>
          <w:szCs w:val="14"/>
          <w:color w:val="auto"/>
        </w:rPr>
        <w:t xml:space="preserve">. The Holders of a majority in principal amount of the Outstanding Securities of any series shall have the right to direct the time, method and place of conducting any proceeding for any remedy available to the Trustee, or of exercising any trust or power conferred on the Trustee, with respect to the Securities of such series,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such direction shall not be in conflict with any rule of law or with this Indenture;</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the Trustee may take any other action deemed proper by the Trustee which is not inconsistent with such direction; and</w:t>
      </w:r>
    </w:p>
    <w:p>
      <w:pPr>
        <w:spacing w:after="0" w:line="179" w:lineRule="exact"/>
        <w:rPr>
          <w:sz w:val="20"/>
          <w:szCs w:val="20"/>
          <w:color w:val="auto"/>
        </w:rPr>
      </w:pPr>
    </w:p>
    <w:p>
      <w:pPr>
        <w:ind w:left="520" w:firstLine="511"/>
        <w:spacing w:after="0" w:line="288" w:lineRule="auto"/>
        <w:rPr>
          <w:sz w:val="20"/>
          <w:szCs w:val="20"/>
          <w:color w:val="auto"/>
        </w:rPr>
      </w:pPr>
      <w:r>
        <w:rPr>
          <w:rFonts w:ascii="Times New Roman" w:cs="Times New Roman" w:eastAsia="Times New Roman" w:hAnsi="Times New Roman"/>
          <w:sz w:val="14"/>
          <w:szCs w:val="14"/>
          <w:color w:val="auto"/>
        </w:rPr>
        <w:t>(3)           subject to the provisions of Section 601, the Trustee shall have the right to decline to follow any such direction if the Trustee in good faith shall determine that the proceeding so directed would involve the Trustee in personal liability.</w:t>
      </w:r>
    </w:p>
    <w:p>
      <w:pPr>
        <w:spacing w:after="0" w:line="124"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Section 513         </w:t>
      </w:r>
      <w:r>
        <w:rPr>
          <w:rFonts w:ascii="Times New Roman" w:cs="Times New Roman" w:eastAsia="Times New Roman" w:hAnsi="Times New Roman"/>
          <w:sz w:val="14"/>
          <w:szCs w:val="14"/>
          <w:u w:val="single" w:color="auto"/>
          <w:color w:val="auto"/>
        </w:rPr>
        <w:t>  Waiver of Past Defaults</w:t>
      </w:r>
      <w:r>
        <w:rPr>
          <w:rFonts w:ascii="Times New Roman" w:cs="Times New Roman" w:eastAsia="Times New Roman" w:hAnsi="Times New Roman"/>
          <w:sz w:val="14"/>
          <w:szCs w:val="14"/>
          <w:color w:val="auto"/>
        </w:rPr>
        <w:t>. Except as may otherwise be provided pursuant to Section 301 for all or any specific Securities of any series, the Holders of not less than a majority in principal amount (including waivers obtained in connection with a purchase of, or tender offer or exchange offer for, Securities) of the Outstanding Securities of any series to be affected under this Indenture may on behalf of the Holders of all the Securities of such series waive any past default hereunder with respect to such series and its consequences, except a default</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in the payment of the principal of or any premium or interest on any Security of such series, or</w:t>
      </w:r>
    </w:p>
    <w:p>
      <w:pPr>
        <w:spacing w:after="0" w:line="179" w:lineRule="exact"/>
        <w:rPr>
          <w:sz w:val="20"/>
          <w:szCs w:val="20"/>
          <w:color w:val="auto"/>
        </w:rPr>
      </w:pPr>
    </w:p>
    <w:p>
      <w:pPr>
        <w:ind w:left="520" w:firstLine="511"/>
        <w:spacing w:after="0" w:line="288" w:lineRule="auto"/>
        <w:rPr>
          <w:sz w:val="20"/>
          <w:szCs w:val="20"/>
          <w:color w:val="auto"/>
        </w:rPr>
      </w:pPr>
      <w:r>
        <w:rPr>
          <w:rFonts w:ascii="Times New Roman" w:cs="Times New Roman" w:eastAsia="Times New Roman" w:hAnsi="Times New Roman"/>
          <w:sz w:val="14"/>
          <w:szCs w:val="14"/>
          <w:color w:val="auto"/>
        </w:rPr>
        <w:t>(2)           in respect of a covenant or provision hereof which under Article IX cannot be modified or amended without the consent of the Holder of each Outstanding Security of such series affected.</w:t>
      </w:r>
    </w:p>
    <w:p>
      <w:pPr>
        <w:spacing w:after="0" w:line="124" w:lineRule="exact"/>
        <w:rPr>
          <w:sz w:val="20"/>
          <w:szCs w:val="20"/>
          <w:color w:val="auto"/>
        </w:rPr>
      </w:pPr>
    </w:p>
    <w:p>
      <w:pPr>
        <w:jc w:val="both"/>
        <w:ind w:firstLine="511"/>
        <w:spacing w:after="0" w:line="268" w:lineRule="auto"/>
        <w:rPr>
          <w:sz w:val="20"/>
          <w:szCs w:val="20"/>
          <w:color w:val="auto"/>
        </w:rPr>
      </w:pPr>
      <w:r>
        <w:rPr>
          <w:rFonts w:ascii="Times New Roman" w:cs="Times New Roman" w:eastAsia="Times New Roman" w:hAnsi="Times New Roman"/>
          <w:sz w:val="14"/>
          <w:szCs w:val="14"/>
          <w:color w:val="auto"/>
        </w:rPr>
        <w:t>Upon any such waiver with respect to any series, such default shall cease to exist, and any Event of Default arising therefrom shall be deemed to have been cured, with respect to such series for every purpose of this Indenture; but no such waiver shall extend to any subsequent or other default or impair any right consequent thereon. A waiver of any past default and its consequences given by or on behalf of any Holder of Securities in connection with a purchase of, or tender or exchange offer for, such Holder’s Securities will not be rendered invalid by such purchase, tender or exchange.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06" w:name="page107"/>
    <w:bookmarkEnd w:id="106"/>
    <w:p>
      <w:pPr>
        <w:jc w:val="both"/>
        <w:ind w:firstLine="511"/>
        <w:spacing w:after="0" w:line="262" w:lineRule="auto"/>
        <w:rPr>
          <w:sz w:val="20"/>
          <w:szCs w:val="20"/>
          <w:color w:val="auto"/>
        </w:rPr>
      </w:pPr>
      <w:r>
        <w:rPr>
          <w:rFonts w:ascii="Times New Roman" w:cs="Times New Roman" w:eastAsia="Times New Roman" w:hAnsi="Times New Roman"/>
          <w:sz w:val="14"/>
          <w:szCs w:val="14"/>
          <w:color w:val="auto"/>
        </w:rPr>
        <w:t>Section 514         </w:t>
      </w:r>
      <w:r>
        <w:rPr>
          <w:rFonts w:ascii="Times New Roman" w:cs="Times New Roman" w:eastAsia="Times New Roman" w:hAnsi="Times New Roman"/>
          <w:sz w:val="14"/>
          <w:szCs w:val="14"/>
          <w:u w:val="single" w:color="auto"/>
          <w:color w:val="auto"/>
        </w:rPr>
        <w:t>  Undertaking for Costs</w:t>
      </w:r>
      <w:r>
        <w:rPr>
          <w:rFonts w:ascii="Times New Roman" w:cs="Times New Roman" w:eastAsia="Times New Roman" w:hAnsi="Times New Roman"/>
          <w:sz w:val="14"/>
          <w:szCs w:val="14"/>
          <w:color w:val="auto"/>
        </w:rPr>
        <w:t xml:space="preserve">. 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including reasonable attorneys’ fees and expenses, against any such party litigant, in the manner and to the extent provided in the Trust Indenture Act;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neither this Section 514 nor the Trust Indenture Act shall be deemed to authorize any court to require such an undertaking or to make such an assessment in any suit instituted by the Company, any Guarantor or the Trustee or, if applicable, in any suit for the enforcement of the right to convert any Security in accordance with its terms.</w:t>
      </w:r>
    </w:p>
    <w:p>
      <w:pPr>
        <w:spacing w:after="0" w:line="143" w:lineRule="exact"/>
        <w:rPr>
          <w:sz w:val="20"/>
          <w:szCs w:val="20"/>
          <w:color w:val="auto"/>
        </w:rPr>
      </w:pPr>
    </w:p>
    <w:p>
      <w:pPr>
        <w:jc w:val="both"/>
        <w:ind w:firstLine="511"/>
        <w:spacing w:after="0" w:line="263" w:lineRule="auto"/>
        <w:rPr>
          <w:sz w:val="20"/>
          <w:szCs w:val="20"/>
          <w:color w:val="auto"/>
        </w:rPr>
      </w:pPr>
      <w:r>
        <w:rPr>
          <w:rFonts w:ascii="Times New Roman" w:cs="Times New Roman" w:eastAsia="Times New Roman" w:hAnsi="Times New Roman"/>
          <w:sz w:val="14"/>
          <w:szCs w:val="14"/>
          <w:color w:val="auto"/>
        </w:rPr>
        <w:t>Section 515         </w:t>
      </w:r>
      <w:r>
        <w:rPr>
          <w:rFonts w:ascii="Times New Roman" w:cs="Times New Roman" w:eastAsia="Times New Roman" w:hAnsi="Times New Roman"/>
          <w:sz w:val="14"/>
          <w:szCs w:val="14"/>
          <w:u w:val="single" w:color="auto"/>
          <w:color w:val="auto"/>
        </w:rPr>
        <w:t>  Waiver of Usury, Stay or Extension Laws</w:t>
      </w:r>
      <w:r>
        <w:rPr>
          <w:rFonts w:ascii="Times New Roman" w:cs="Times New Roman" w:eastAsia="Times New Roman" w:hAnsi="Times New Roman"/>
          <w:sz w:val="14"/>
          <w:szCs w:val="14"/>
          <w:color w:val="auto"/>
        </w:rPr>
        <w:t>. The Company and each Guarantor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and each Guarantor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TRUSTEE</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601         </w:t>
      </w:r>
      <w:r>
        <w:rPr>
          <w:rFonts w:ascii="Times New Roman" w:cs="Times New Roman" w:eastAsia="Times New Roman" w:hAnsi="Times New Roman"/>
          <w:sz w:val="14"/>
          <w:szCs w:val="14"/>
          <w:u w:val="single" w:color="auto"/>
          <w:color w:val="auto"/>
        </w:rPr>
        <w:t>  Certain Duties and Responsibilities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Except during the continuance of an Event of Default,</w:t>
      </w:r>
    </w:p>
    <w:p>
      <w:pPr>
        <w:spacing w:after="0" w:line="179" w:lineRule="exact"/>
        <w:rPr>
          <w:sz w:val="20"/>
          <w:szCs w:val="20"/>
          <w:color w:val="auto"/>
        </w:rPr>
      </w:pPr>
    </w:p>
    <w:p>
      <w:pPr>
        <w:jc w:val="both"/>
        <w:ind w:left="1020" w:firstLine="511"/>
        <w:spacing w:after="0" w:line="288" w:lineRule="auto"/>
        <w:rPr>
          <w:sz w:val="20"/>
          <w:szCs w:val="20"/>
          <w:color w:val="auto"/>
        </w:rPr>
      </w:pPr>
      <w:r>
        <w:rPr>
          <w:rFonts w:ascii="Times New Roman" w:cs="Times New Roman" w:eastAsia="Times New Roman" w:hAnsi="Times New Roman"/>
          <w:sz w:val="14"/>
          <w:szCs w:val="14"/>
          <w:color w:val="auto"/>
        </w:rPr>
        <w:t>(A)          the Trustee undertakes to perform such duties and only such duties as are specifically set forth in this Indenture and as are provided by the Trust Indenture Act, and no implied covenants or obligations shall be read into this Indenture against the Trustee; and</w:t>
      </w:r>
    </w:p>
    <w:p>
      <w:pPr>
        <w:spacing w:after="0" w:line="124" w:lineRule="exact"/>
        <w:rPr>
          <w:sz w:val="20"/>
          <w:szCs w:val="20"/>
          <w:color w:val="auto"/>
        </w:rPr>
      </w:pPr>
    </w:p>
    <w:p>
      <w:pPr>
        <w:jc w:val="both"/>
        <w:ind w:left="1020" w:firstLine="511"/>
        <w:spacing w:after="0" w:line="265" w:lineRule="auto"/>
        <w:rPr>
          <w:sz w:val="20"/>
          <w:szCs w:val="20"/>
          <w:color w:val="auto"/>
        </w:rPr>
      </w:pPr>
      <w:r>
        <w:rPr>
          <w:rFonts w:ascii="Times New Roman" w:cs="Times New Roman" w:eastAsia="Times New Roman" w:hAnsi="Times New Roman"/>
          <w:sz w:val="14"/>
          <w:szCs w:val="14"/>
          <w:color w:val="auto"/>
        </w:rPr>
        <w:t>(B)           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07" w:name="page108"/>
    <w:bookmarkEnd w:id="107"/>
    <w:p>
      <w:pPr>
        <w:ind w:left="520" w:firstLine="511"/>
        <w:spacing w:after="0" w:line="288" w:lineRule="auto"/>
        <w:rPr>
          <w:sz w:val="20"/>
          <w:szCs w:val="20"/>
          <w:color w:val="auto"/>
        </w:rPr>
      </w:pPr>
      <w:r>
        <w:rPr>
          <w:rFonts w:ascii="Times New Roman" w:cs="Times New Roman" w:eastAsia="Times New Roman" w:hAnsi="Times New Roman"/>
          <w:sz w:val="14"/>
          <w:szCs w:val="14"/>
          <w:color w:val="auto"/>
        </w:rPr>
        <w:t>(2)           If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124" w:lineRule="exact"/>
        <w:rPr>
          <w:sz w:val="20"/>
          <w:szCs w:val="20"/>
          <w:color w:val="auto"/>
        </w:rPr>
      </w:pPr>
    </w:p>
    <w:p>
      <w:pPr>
        <w:ind w:left="520" w:firstLine="511"/>
        <w:spacing w:after="0" w:line="288" w:lineRule="auto"/>
        <w:rPr>
          <w:sz w:val="20"/>
          <w:szCs w:val="20"/>
          <w:color w:val="auto"/>
        </w:rPr>
      </w:pPr>
      <w:r>
        <w:rPr>
          <w:rFonts w:ascii="Times New Roman" w:cs="Times New Roman" w:eastAsia="Times New Roman" w:hAnsi="Times New Roman"/>
          <w:sz w:val="14"/>
          <w:szCs w:val="14"/>
          <w:color w:val="auto"/>
        </w:rPr>
        <w:t>(3)           No provision of this Indenture shall be construed to relieve the Trustee from liability for its own negligent action, its own negligent failure to act, or its own willful misconduct, except that</w:t>
      </w:r>
    </w:p>
    <w:p>
      <w:pPr>
        <w:spacing w:after="0" w:line="1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(A)          this Subsection shall not be construed to limit the effect of the first paragraph of this Section 601;</w:t>
      </w:r>
    </w:p>
    <w:p>
      <w:pPr>
        <w:spacing w:after="0" w:line="179" w:lineRule="exact"/>
        <w:rPr>
          <w:sz w:val="20"/>
          <w:szCs w:val="20"/>
          <w:color w:val="auto"/>
        </w:rPr>
      </w:pPr>
    </w:p>
    <w:p>
      <w:pPr>
        <w:jc w:val="both"/>
        <w:ind w:left="1020" w:firstLine="511"/>
        <w:spacing w:after="0" w:line="288" w:lineRule="auto"/>
        <w:rPr>
          <w:sz w:val="20"/>
          <w:szCs w:val="20"/>
          <w:color w:val="auto"/>
        </w:rPr>
      </w:pPr>
      <w:r>
        <w:rPr>
          <w:rFonts w:ascii="Times New Roman" w:cs="Times New Roman" w:eastAsia="Times New Roman" w:hAnsi="Times New Roman"/>
          <w:sz w:val="14"/>
          <w:szCs w:val="14"/>
          <w:color w:val="auto"/>
        </w:rPr>
        <w:t>(B)          the Trustee shall not be liable for any error of judgment made in good faith by a Responsible Officer, unless it shall be proved that the Trustee was negligent in ascertaining the pertinent facts;</w:t>
      </w:r>
    </w:p>
    <w:p>
      <w:pPr>
        <w:spacing w:after="0" w:line="124" w:lineRule="exact"/>
        <w:rPr>
          <w:sz w:val="20"/>
          <w:szCs w:val="20"/>
          <w:color w:val="auto"/>
        </w:rPr>
      </w:pPr>
    </w:p>
    <w:p>
      <w:pPr>
        <w:jc w:val="both"/>
        <w:ind w:left="1020" w:firstLine="511"/>
        <w:spacing w:after="0" w:line="271" w:lineRule="auto"/>
        <w:rPr>
          <w:sz w:val="20"/>
          <w:szCs w:val="20"/>
          <w:color w:val="auto"/>
        </w:rPr>
      </w:pPr>
      <w:r>
        <w:rPr>
          <w:rFonts w:ascii="Times New Roman" w:cs="Times New Roman" w:eastAsia="Times New Roman" w:hAnsi="Times New Roman"/>
          <w:sz w:val="14"/>
          <w:szCs w:val="14"/>
          <w:color w:val="auto"/>
        </w:rPr>
        <w:t>(C)          the Trustee shall not be liable with respect to any action taken or omitted to be taken by it in good faith in accordance with the direction of the Holders of a majority in principal amount of the Outstanding Securities of any series, determined as provided in Section 512, relating to the time, method and place of conducting any proceeding for any remedy available to the Trustee, or exercising any trust or power conferred upon the Trustee, under this Indenture with respect to the Securities of such series; and</w:t>
      </w:r>
    </w:p>
    <w:p>
      <w:pPr>
        <w:spacing w:after="0" w:line="136" w:lineRule="exact"/>
        <w:rPr>
          <w:sz w:val="20"/>
          <w:szCs w:val="20"/>
          <w:color w:val="auto"/>
        </w:rPr>
      </w:pPr>
    </w:p>
    <w:p>
      <w:pPr>
        <w:jc w:val="both"/>
        <w:ind w:left="1020" w:firstLine="511"/>
        <w:spacing w:after="0" w:line="271" w:lineRule="auto"/>
        <w:rPr>
          <w:sz w:val="20"/>
          <w:szCs w:val="20"/>
          <w:color w:val="auto"/>
        </w:rPr>
      </w:pPr>
      <w:r>
        <w:rPr>
          <w:rFonts w:ascii="Times New Roman" w:cs="Times New Roman" w:eastAsia="Times New Roman" w:hAnsi="Times New Roman"/>
          <w:sz w:val="14"/>
          <w:szCs w:val="14"/>
          <w:color w:val="auto"/>
        </w:rPr>
        <w:t>(D)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36" w:lineRule="exact"/>
        <w:rPr>
          <w:sz w:val="20"/>
          <w:szCs w:val="20"/>
          <w:color w:val="auto"/>
        </w:rPr>
      </w:pPr>
    </w:p>
    <w:p>
      <w:pPr>
        <w:jc w:val="both"/>
        <w:ind w:left="520" w:firstLine="511"/>
        <w:spacing w:after="0" w:line="288" w:lineRule="auto"/>
        <w:rPr>
          <w:sz w:val="20"/>
          <w:szCs w:val="20"/>
          <w:color w:val="auto"/>
        </w:rPr>
      </w:pPr>
      <w:r>
        <w:rPr>
          <w:rFonts w:ascii="Times New Roman" w:cs="Times New Roman" w:eastAsia="Times New Roman" w:hAnsi="Times New Roman"/>
          <w:sz w:val="14"/>
          <w:szCs w:val="14"/>
          <w:color w:val="auto"/>
        </w:rPr>
        <w:t>(4)           Whether or not therein expressly so provided, every provision of this Indenture relating to the conduct or affecting the liability of or affording protection to the Trustee shall be subject to the provisions of this Section 601.</w:t>
      </w:r>
    </w:p>
    <w:p>
      <w:pPr>
        <w:spacing w:after="0" w:line="124" w:lineRule="exact"/>
        <w:rPr>
          <w:sz w:val="20"/>
          <w:szCs w:val="20"/>
          <w:color w:val="auto"/>
        </w:rPr>
      </w:pPr>
    </w:p>
    <w:p>
      <w:pPr>
        <w:jc w:val="both"/>
        <w:ind w:left="520" w:firstLine="511"/>
        <w:spacing w:after="0" w:line="271" w:lineRule="auto"/>
        <w:rPr>
          <w:sz w:val="20"/>
          <w:szCs w:val="20"/>
          <w:color w:val="auto"/>
        </w:rPr>
      </w:pPr>
      <w:r>
        <w:rPr>
          <w:rFonts w:ascii="Times New Roman" w:cs="Times New Roman" w:eastAsia="Times New Roman" w:hAnsi="Times New Roman"/>
          <w:sz w:val="14"/>
          <w:szCs w:val="14"/>
          <w:color w:val="auto"/>
        </w:rPr>
        <w:t>(5)           No provision of this Indenture shall require the Trustee to expend or risk its own funds or incur any liability. The Trustee shall be under no obligation to exercise any of the rights or powers vested in it by this Indenture at the request or direction of any of the Holders unless such Holders shall have offered to the Trustee security or indemnity satisfactory to it against the costs, expenses and liabilities that might be incurred by it in compliance with such request or direction.</w:t>
      </w:r>
    </w:p>
    <w:p>
      <w:pPr>
        <w:spacing w:after="0" w:line="136" w:lineRule="exact"/>
        <w:rPr>
          <w:sz w:val="20"/>
          <w:szCs w:val="20"/>
          <w:color w:val="auto"/>
        </w:rPr>
      </w:pPr>
    </w:p>
    <w:p>
      <w:pPr>
        <w:jc w:val="both"/>
        <w:ind w:firstLine="511"/>
        <w:spacing w:after="0" w:line="260" w:lineRule="auto"/>
        <w:rPr>
          <w:sz w:val="20"/>
          <w:szCs w:val="20"/>
          <w:color w:val="auto"/>
        </w:rPr>
      </w:pPr>
      <w:r>
        <w:rPr>
          <w:rFonts w:ascii="Times New Roman" w:cs="Times New Roman" w:eastAsia="Times New Roman" w:hAnsi="Times New Roman"/>
          <w:sz w:val="14"/>
          <w:szCs w:val="14"/>
          <w:color w:val="auto"/>
        </w:rPr>
        <w:t>Section 602         </w:t>
      </w:r>
      <w:r>
        <w:rPr>
          <w:rFonts w:ascii="Times New Roman" w:cs="Times New Roman" w:eastAsia="Times New Roman" w:hAnsi="Times New Roman"/>
          <w:sz w:val="14"/>
          <w:szCs w:val="14"/>
          <w:u w:val="single" w:color="auto"/>
          <w:color w:val="auto"/>
        </w:rPr>
        <w:t>  Notice of Defaults</w:t>
      </w:r>
      <w:r>
        <w:rPr>
          <w:rFonts w:ascii="Times New Roman" w:cs="Times New Roman" w:eastAsia="Times New Roman" w:hAnsi="Times New Roman"/>
          <w:sz w:val="14"/>
          <w:szCs w:val="14"/>
          <w:color w:val="auto"/>
        </w:rPr>
        <w:t>. If a default or Event of Default occurs and is continuing hereunder with respect to Securities of any series, and if it is known to the Trustee as provided in Section 603(10), the Trustee shall mail or otherwise send to the Holders of Securities of such series notice of such default or Event of Default within 90 days after a Responsible Officer of the Trustee gains actual knowledge of the default or Event of Default unless such default or Event of Default shall have been cured or waived before the giving of such notice. Except in the case of a default or Event of Default in payment of principal of, premium or interest on Securities of any series, the Trustee may withhold the notice if and so long as a committee of its Responsible Officers in good faith determines that withholding the notice is in the interests of the Holders of the Securities of such series. For the purpose of this Section 602 and Section 603, the term “</w:t>
      </w:r>
      <w:r>
        <w:rPr>
          <w:rFonts w:ascii="Times New Roman" w:cs="Times New Roman" w:eastAsia="Times New Roman" w:hAnsi="Times New Roman"/>
          <w:sz w:val="14"/>
          <w:szCs w:val="14"/>
          <w:b w:val="1"/>
          <w:bCs w:val="1"/>
          <w:i w:val="1"/>
          <w:iCs w:val="1"/>
          <w:color w:val="auto"/>
        </w:rPr>
        <w:t>default</w:t>
      </w:r>
      <w:r>
        <w:rPr>
          <w:rFonts w:ascii="Times New Roman" w:cs="Times New Roman" w:eastAsia="Times New Roman" w:hAnsi="Times New Roman"/>
          <w:sz w:val="14"/>
          <w:szCs w:val="14"/>
          <w:color w:val="auto"/>
        </w:rPr>
        <w:t>” means, with respect to Securities of any series, any event which is, or after notice or lapse of time or both would become, an Event of Default with respect to Securities of such series.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color w:val="auto"/>
        </w:rPr>
        <w:t>Section 603         </w:t>
      </w:r>
      <w:r>
        <w:rPr>
          <w:rFonts w:ascii="Times New Roman" w:cs="Times New Roman" w:eastAsia="Times New Roman" w:hAnsi="Times New Roman"/>
          <w:sz w:val="14"/>
          <w:szCs w:val="14"/>
          <w:u w:val="single" w:color="auto"/>
          <w:color w:val="auto"/>
        </w:rPr>
        <w:t>  Certain Rights of Trustee</w:t>
      </w:r>
      <w:r>
        <w:rPr>
          <w:rFonts w:ascii="Times New Roman" w:cs="Times New Roman" w:eastAsia="Times New Roman" w:hAnsi="Times New Roman"/>
          <w:sz w:val="14"/>
          <w:szCs w:val="14"/>
          <w:color w:val="auto"/>
        </w:rPr>
        <w:t>. Subject to the provisions of Section 601:</w:t>
      </w:r>
    </w:p>
    <w:p>
      <w:pPr>
        <w:spacing w:after="0" w:line="179"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(1)           the Trustee may conclusively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36"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(2)           any request or direction of the Company mentioned herein shall be sufficiently evidenced by a Company Request or Company Order and any request or direction of a Guarantor mentioned herein shall be sufficiently evidenced by a Guarantor Request or Guarantor Order of such Guarantor, and any resolution of the Board of Directors shall be sufficiently evidenced by a Board Resolution and any resolution of a Guarantor’s Board of Directors may be sufficiently evidenced by a Guarantor’s Board Resolution;</w:t>
      </w:r>
    </w:p>
    <w:p>
      <w:pPr>
        <w:spacing w:after="0" w:line="136"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(3)           whenever in the administration of this Indenture the Trustee shall deem it desirable that a matter be proved or established prior to taking, suffering or omitting any action hereunder, the Trustee (unless other evidence be herein specifically prescribed) shall be entitled to receive and may, in the absence of bad faith on its part, conclusively rely upon, and shall not be liable for any action it takes or omits to take in good faith in reliance upon, an Officer’s Certificate or, if such matter relates to a Guarantor, a Guarantor’s Officer’s Certificate of such Guarantor or an Opinion of Counsel;</w:t>
      </w:r>
    </w:p>
    <w:p>
      <w:pPr>
        <w:spacing w:after="0" w:line="140"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(4)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24"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(5)           the Trustee shall be under no obligation to exercise any of the rights or powers vested in it by this Indenture at the request or direction of any of the Holders pursuant to this Indenture, unless such Holders shall have offered to the Trustee security or indemnity satisfactory to it against the costs, expenses and liabilities that might be incurred by it in compliance with such request or direction;</w:t>
      </w:r>
    </w:p>
    <w:p>
      <w:pPr>
        <w:spacing w:after="0" w:line="136" w:lineRule="exact"/>
        <w:rPr>
          <w:sz w:val="20"/>
          <w:szCs w:val="20"/>
          <w:color w:val="auto"/>
        </w:rPr>
      </w:pPr>
    </w:p>
    <w:p>
      <w:pPr>
        <w:jc w:val="both"/>
        <w:ind w:firstLine="511"/>
        <w:spacing w:after="0" w:line="262" w:lineRule="auto"/>
        <w:rPr>
          <w:sz w:val="20"/>
          <w:szCs w:val="20"/>
          <w:color w:val="auto"/>
        </w:rPr>
      </w:pPr>
      <w:r>
        <w:rPr>
          <w:rFonts w:ascii="Times New Roman" w:cs="Times New Roman" w:eastAsia="Times New Roman" w:hAnsi="Times New Roman"/>
          <w:sz w:val="14"/>
          <w:szCs w:val="14"/>
          <w:color w:val="auto"/>
        </w:rPr>
        <w:t>(6)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and, if applicable, the Guarantors, personally or by agent or attorney at the sole cost of the Company and shall incur no liability or additional liability of any kind by reason of such inquiry or investigation;</w:t>
      </w:r>
    </w:p>
    <w:p>
      <w:pPr>
        <w:spacing w:after="0" w:line="31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15240</wp:posOffset>
            </wp:positionV>
            <wp:extent cx="716153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760"/>
          </w:cols>
          <w:pgMar w:left="820" w:top="742" w:right="319" w:bottom="1440" w:gutter="0" w:footer="0" w:header="0"/>
        </w:sectPr>
      </w:pPr>
    </w:p>
    <w:bookmarkStart w:id="109" w:name="page110"/>
    <w:bookmarkEnd w:id="109"/>
    <w:p>
      <w:pPr>
        <w:jc w:val="both"/>
        <w:ind w:left="520" w:firstLine="511"/>
        <w:spacing w:after="0" w:line="271" w:lineRule="auto"/>
        <w:rPr>
          <w:sz w:val="20"/>
          <w:szCs w:val="20"/>
          <w:color w:val="auto"/>
        </w:rPr>
      </w:pPr>
      <w:r>
        <w:rPr>
          <w:rFonts w:ascii="Times New Roman" w:cs="Times New Roman" w:eastAsia="Times New Roman" w:hAnsi="Times New Roman"/>
          <w:sz w:val="14"/>
          <w:szCs w:val="14"/>
          <w:color w:val="auto"/>
        </w:rPr>
        <w:t>(7)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and shall not be responsible for the supervision of officers and employees of such agents or attorneys;</w:t>
      </w:r>
    </w:p>
    <w:p>
      <w:pPr>
        <w:spacing w:after="0" w:line="136" w:lineRule="exact"/>
        <w:rPr>
          <w:sz w:val="20"/>
          <w:szCs w:val="20"/>
          <w:color w:val="auto"/>
        </w:rPr>
      </w:pPr>
    </w:p>
    <w:p>
      <w:pPr>
        <w:jc w:val="both"/>
        <w:ind w:left="520" w:firstLine="511"/>
        <w:spacing w:after="0" w:line="271" w:lineRule="auto"/>
        <w:rPr>
          <w:sz w:val="20"/>
          <w:szCs w:val="20"/>
          <w:color w:val="auto"/>
        </w:rPr>
      </w:pPr>
      <w:r>
        <w:rPr>
          <w:rFonts w:ascii="Times New Roman" w:cs="Times New Roman" w:eastAsia="Times New Roman" w:hAnsi="Times New Roman"/>
          <w:sz w:val="14"/>
          <w:szCs w:val="14"/>
          <w:color w:val="auto"/>
        </w:rPr>
        <w:t>(8)           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36" w:lineRule="exact"/>
        <w:rPr>
          <w:sz w:val="20"/>
          <w:szCs w:val="20"/>
          <w:color w:val="auto"/>
        </w:rPr>
      </w:pPr>
    </w:p>
    <w:p>
      <w:pPr>
        <w:jc w:val="both"/>
        <w:ind w:left="520" w:firstLine="511"/>
        <w:spacing w:after="0" w:line="288" w:lineRule="auto"/>
        <w:rPr>
          <w:sz w:val="20"/>
          <w:szCs w:val="20"/>
          <w:color w:val="auto"/>
        </w:rPr>
      </w:pPr>
      <w:r>
        <w:rPr>
          <w:rFonts w:ascii="Times New Roman" w:cs="Times New Roman" w:eastAsia="Times New Roman" w:hAnsi="Times New Roman"/>
          <w:sz w:val="14"/>
          <w:szCs w:val="14"/>
          <w:color w:val="auto"/>
        </w:rPr>
        <w:t>(9)           the Trustee shall not be liable for any action taken, suffered or omitted to be taken by it in good faith and believed by it to be authorized or within the discretion or rights or powers conferred upon it by this Indenture;</w:t>
      </w:r>
    </w:p>
    <w:p>
      <w:pPr>
        <w:spacing w:after="0" w:line="124" w:lineRule="exact"/>
        <w:rPr>
          <w:sz w:val="20"/>
          <w:szCs w:val="20"/>
          <w:color w:val="auto"/>
        </w:rPr>
      </w:pPr>
    </w:p>
    <w:p>
      <w:pPr>
        <w:jc w:val="both"/>
        <w:ind w:left="520" w:firstLine="511"/>
        <w:spacing w:after="0" w:line="288" w:lineRule="auto"/>
        <w:rPr>
          <w:sz w:val="20"/>
          <w:szCs w:val="20"/>
          <w:color w:val="auto"/>
        </w:rPr>
      </w:pPr>
      <w:r>
        <w:rPr>
          <w:rFonts w:ascii="Times New Roman" w:cs="Times New Roman" w:eastAsia="Times New Roman" w:hAnsi="Times New Roman"/>
          <w:sz w:val="14"/>
          <w:szCs w:val="14"/>
          <w:color w:val="auto"/>
        </w:rPr>
        <w:t>(10)         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124" w:lineRule="exact"/>
        <w:rPr>
          <w:sz w:val="20"/>
          <w:szCs w:val="20"/>
          <w:color w:val="auto"/>
        </w:rPr>
      </w:pPr>
    </w:p>
    <w:p>
      <w:pPr>
        <w:jc w:val="both"/>
        <w:ind w:left="520" w:firstLine="511"/>
        <w:spacing w:after="0" w:line="288" w:lineRule="auto"/>
        <w:rPr>
          <w:sz w:val="20"/>
          <w:szCs w:val="20"/>
          <w:color w:val="auto"/>
        </w:rPr>
      </w:pPr>
      <w:r>
        <w:rPr>
          <w:rFonts w:ascii="Times New Roman" w:cs="Times New Roman" w:eastAsia="Times New Roman" w:hAnsi="Times New Roman"/>
          <w:sz w:val="14"/>
          <w:szCs w:val="14"/>
          <w:color w:val="auto"/>
        </w:rPr>
        <w:t>(11)         the rights, privileges, protections, immunities and benefits given to the Trustee, including its rights to be indemnified, are extended to, and shall be enforceable by, the Trustee in each of its capacities hereunder, and to each agent, Custodian and other Person employed to act hereunder;</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(12)         the Trustee shall not be required to provide bond or other security with respect to the performance of its duties and powers;</w:t>
      </w:r>
    </w:p>
    <w:p>
      <w:pPr>
        <w:spacing w:after="0" w:line="179" w:lineRule="exact"/>
        <w:rPr>
          <w:sz w:val="20"/>
          <w:szCs w:val="20"/>
          <w:color w:val="auto"/>
        </w:rPr>
      </w:pPr>
    </w:p>
    <w:p>
      <w:pPr>
        <w:jc w:val="both"/>
        <w:ind w:left="520" w:firstLine="511"/>
        <w:spacing w:after="0" w:line="288" w:lineRule="auto"/>
        <w:rPr>
          <w:sz w:val="20"/>
          <w:szCs w:val="20"/>
          <w:color w:val="auto"/>
        </w:rPr>
      </w:pPr>
      <w:r>
        <w:rPr>
          <w:rFonts w:ascii="Times New Roman" w:cs="Times New Roman" w:eastAsia="Times New Roman" w:hAnsi="Times New Roman"/>
          <w:sz w:val="14"/>
          <w:szCs w:val="14"/>
          <w:color w:val="auto"/>
        </w:rPr>
        <w:t>(13)         in no event shall the Trustee be responsible or liable for special, indirect, punitive, incidental or consequential loss or damage of any kind whatsoever (including, but not limited to, loss of profit) irrespective of whether the Trustee has been advised of the likelihood or such loss or damage and regardless of the form of action; and</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(14)         under no circumstance shall the Trustee be liable in its individual capacity for the obligations evidenced by the Securities.</w:t>
      </w:r>
    </w:p>
    <w:p>
      <w:pPr>
        <w:spacing w:after="0" w:line="179"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Section 604         </w:t>
      </w:r>
      <w:r>
        <w:rPr>
          <w:rFonts w:ascii="Times New Roman" w:cs="Times New Roman" w:eastAsia="Times New Roman" w:hAnsi="Times New Roman"/>
          <w:sz w:val="14"/>
          <w:szCs w:val="14"/>
          <w:u w:val="single" w:color="auto"/>
          <w:color w:val="auto"/>
        </w:rPr>
        <w:t>  Not Responsible for Recitals or Issuance of Securities</w:t>
      </w:r>
      <w:r>
        <w:rPr>
          <w:rFonts w:ascii="Times New Roman" w:cs="Times New Roman" w:eastAsia="Times New Roman" w:hAnsi="Times New Roman"/>
          <w:sz w:val="14"/>
          <w:szCs w:val="14"/>
          <w:color w:val="auto"/>
        </w:rPr>
        <w:t>. The recitals contained herein and in the Securities, except the Trustee’s certificates of authentication, shall be taken as the statements of the Company, and the Trustee does not assume any responsibility for their correctness or the correctness of any other document used in connection with the sale of the Securities. The Trustee makes no representations as to the validity or sufficiency of this Indenture or of the Securities. The Trustee shall not be accountable for the use or application by the Company of Securities or the proceeds thereof.</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10" w:name="page111"/>
    <w:bookmarkEnd w:id="110"/>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Section 605         </w:t>
      </w:r>
      <w:r>
        <w:rPr>
          <w:rFonts w:ascii="Times New Roman" w:cs="Times New Roman" w:eastAsia="Times New Roman" w:hAnsi="Times New Roman"/>
          <w:sz w:val="14"/>
          <w:szCs w:val="14"/>
          <w:u w:val="single" w:color="auto"/>
          <w:color w:val="auto"/>
        </w:rPr>
        <w:t>  May Hold Securities</w:t>
      </w:r>
      <w:r>
        <w:rPr>
          <w:rFonts w:ascii="Times New Roman" w:cs="Times New Roman" w:eastAsia="Times New Roman" w:hAnsi="Times New Roman"/>
          <w:sz w:val="14"/>
          <w:szCs w:val="14"/>
          <w:color w:val="auto"/>
        </w:rPr>
        <w:t>. The Trustee, any Authenticating Agent, any Paying Agent, any Security Registrar or any other agent of the Company or any Guarantor, in its individual or any other capacity, may become the owner or pledgee of Securities and, subject to Section 608 and Section 613, may otherwise deal with the Company or any Guarantor with the same rights it would have if it were not Trustee, Authenticating Agent, Paying Agent, Security Registrar or such other agent.</w:t>
      </w:r>
    </w:p>
    <w:p>
      <w:pPr>
        <w:spacing w:after="0" w:line="136"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Section 606         </w:t>
      </w:r>
      <w:r>
        <w:rPr>
          <w:rFonts w:ascii="Times New Roman" w:cs="Times New Roman" w:eastAsia="Times New Roman" w:hAnsi="Times New Roman"/>
          <w:sz w:val="14"/>
          <w:szCs w:val="14"/>
          <w:u w:val="single" w:color="auto"/>
          <w:color w:val="auto"/>
        </w:rPr>
        <w:t>  Money Held in Trust</w:t>
      </w:r>
      <w:r>
        <w:rPr>
          <w:rFonts w:ascii="Times New Roman" w:cs="Times New Roman" w:eastAsia="Times New Roman" w:hAnsi="Times New Roman"/>
          <w:sz w:val="14"/>
          <w:szCs w:val="14"/>
          <w:color w:val="auto"/>
        </w:rPr>
        <w:t>. Money held by the Trustee in trust hereunder need not be segregated from other funds except to the extent required by law or by any other provision of this Indenture. The Trustee (acting in any capacity hereunder) shall be under no liability for interest on any money received by it hereunder except as otherwise agreed in writing with the Company or any Guarantor.</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607         </w:t>
      </w:r>
      <w:r>
        <w:rPr>
          <w:rFonts w:ascii="Times New Roman" w:cs="Times New Roman" w:eastAsia="Times New Roman" w:hAnsi="Times New Roman"/>
          <w:sz w:val="14"/>
          <w:szCs w:val="14"/>
          <w:u w:val="single" w:color="auto"/>
          <w:color w:val="auto"/>
        </w:rPr>
        <w:t>  Compensation and Reimbursement</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left="520" w:firstLine="511"/>
        <w:spacing w:after="0" w:line="261" w:lineRule="auto"/>
        <w:rPr>
          <w:sz w:val="20"/>
          <w:szCs w:val="20"/>
          <w:color w:val="auto"/>
        </w:rPr>
      </w:pPr>
      <w:r>
        <w:rPr>
          <w:rFonts w:ascii="Times New Roman" w:cs="Times New Roman" w:eastAsia="Times New Roman" w:hAnsi="Times New Roman"/>
          <w:sz w:val="14"/>
          <w:szCs w:val="14"/>
          <w:color w:val="auto"/>
        </w:rPr>
        <w:t>(1)           The Company shall pay to the Trustee (in its capacity as Trustee, and, to the extent it has been appointed as such, as Paying Agent and Security Registrar) from time to time reasonable compensation for its acceptance of this Indenture and services hereunder in accordance with a written schedule provided by the Trustee to the Company. The Trustee’s compensation shall not be limited by any law on compensation of a trustee of an express trust. The Company shall reimburse the Trustee promptly upon request for all reasonable and customary disbursements, advances and reasonable out-of-pocket expenses incurred or made by it in addition to the compensation for its services, except those resulting from its own negligent action, negligent failure to act or willful misconduct. Such expenses shall include the reasonable and customary compensation, disbursements and expenses of the Trustee’s agents and counsel.</w:t>
      </w:r>
    </w:p>
    <w:p>
      <w:pPr>
        <w:spacing w:after="0" w:line="316" w:lineRule="exact"/>
        <w:rPr>
          <w:sz w:val="20"/>
          <w:szCs w:val="20"/>
          <w:color w:val="auto"/>
        </w:rPr>
      </w:pPr>
    </w:p>
    <w:p>
      <w:pPr>
        <w:jc w:val="both"/>
        <w:ind w:left="520" w:firstLine="511"/>
        <w:spacing w:after="0" w:line="256" w:lineRule="auto"/>
        <w:rPr>
          <w:sz w:val="20"/>
          <w:szCs w:val="20"/>
          <w:color w:val="auto"/>
        </w:rPr>
      </w:pPr>
      <w:r>
        <w:rPr>
          <w:rFonts w:ascii="Times New Roman" w:cs="Times New Roman" w:eastAsia="Times New Roman" w:hAnsi="Times New Roman"/>
          <w:sz w:val="14"/>
          <w:szCs w:val="14"/>
          <w:color w:val="auto"/>
        </w:rPr>
        <w:t>(2)           The Company and the Guarantors, jointly and severally, shall indemnify the Trustee and its directors, officers, employees and agent and hold the Trustee harmless against any and all losses, liabilities and expenses (including taxes (other than taxes based upon the income of the Trustee and reasonable and documented attorneys’ and agents’ fees and expenses and court costs) incurred by it arising out of or in connection with the acceptance or administration of its duties under this Indenture, including the costs and expenses of enforcing this Indenture against the Company (including this Section 607) and defending itself against any claim (whether asserted by either of the Company or any Holder or any other Person) or liability in connection with the exercise or performance of any of its powers or duties hereunder, except to the extent any such loss, liability, expense or cost is the result of the Trustee’s own negligence or willful misconduct as found by a court of competent jurisdiction. The Trustee shall notify the Company promptly of any claim for which it may seek indemnity. Failure by the Trustee to so notify the Company shall not relieve the Company of its obligations hereunder. The Company shall defend the claim and the Trustee shall cooperate in the defense. The Trustee may elect to have separate counsel defend the claim, and the Company will pay the reasonable and documented fees and expenses of such counsel only if the Company fails to assume the Trustee’s defense or there is a conflict of interest between the Company, on the one hand, and the Trustee, on the other hand, with respect to the claim, as reasonably determined by the Trustee. The Company need not pay for any settlement made without its consent, which consent shall not be unreasonably withheld. None of the Company nor the Guarantors need reimburse the Trustee for any expense or indemnity against liability or loss of the Trustee to the extent such expense, liability or loss is the result of its own negligence or willful misconduct as determined by a final non-appealable order of a court of competent jurisdiction.</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11" w:name="page112"/>
    <w:bookmarkEnd w:id="111"/>
    <w:p>
      <w:pPr>
        <w:jc w:val="both"/>
        <w:ind w:left="520" w:firstLine="511"/>
        <w:spacing w:after="0" w:line="271" w:lineRule="auto"/>
        <w:rPr>
          <w:sz w:val="20"/>
          <w:szCs w:val="20"/>
          <w:color w:val="auto"/>
        </w:rPr>
      </w:pPr>
      <w:r>
        <w:rPr>
          <w:rFonts w:ascii="Times New Roman" w:cs="Times New Roman" w:eastAsia="Times New Roman" w:hAnsi="Times New Roman"/>
          <w:sz w:val="14"/>
          <w:szCs w:val="14"/>
          <w:color w:val="auto"/>
        </w:rPr>
        <w:t>(3)           As security for the performance of the obligations of the Company under this Section 607 the Trustee shall have a lien prior to the Securities of any series upon all property and funds held or collected by the Trustee as such, except funds held in trust for the payment of principal of (and premium, if any) or interest on Securities of such series. Such lien shall survive satisfaction and discharge of this Indenture.</w:t>
      </w:r>
    </w:p>
    <w:p>
      <w:pPr>
        <w:spacing w:after="0" w:line="136" w:lineRule="exact"/>
        <w:rPr>
          <w:sz w:val="20"/>
          <w:szCs w:val="20"/>
          <w:color w:val="auto"/>
        </w:rPr>
      </w:pPr>
    </w:p>
    <w:p>
      <w:pPr>
        <w:jc w:val="both"/>
        <w:ind w:left="520" w:firstLine="511"/>
        <w:spacing w:after="0" w:line="260" w:lineRule="auto"/>
        <w:rPr>
          <w:sz w:val="20"/>
          <w:szCs w:val="20"/>
          <w:color w:val="auto"/>
        </w:rPr>
      </w:pPr>
      <w:r>
        <w:rPr>
          <w:rFonts w:ascii="Times New Roman" w:cs="Times New Roman" w:eastAsia="Times New Roman" w:hAnsi="Times New Roman"/>
          <w:sz w:val="14"/>
          <w:szCs w:val="14"/>
          <w:color w:val="auto"/>
        </w:rPr>
        <w:t>(4)           Without limiting any rights available to the Trustee under applicable law, when the Trustee incurs expenses or renders services in connection with an Event of Default specified in Section 501(5) and Section 501(6), the expenses (including the reasonable charges and expenses of its counsel) and the compensation for the services are intended to constitute expenses of administration under any applicable Federal or State bankruptcy, insolvency or other similar law. To the extent that the payment of any such compensation, expenses, disbursements and advances of the Trustee, its agents and counsel, and any other amounts due the Trustee under this Section 607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w:t>
      </w:r>
    </w:p>
    <w:p>
      <w:pPr>
        <w:spacing w:after="0" w:line="1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(5)           The provisions of this Section 607 shall survive the termination of this Indenture and the resignation or removal of the Trustee.</w:t>
      </w:r>
    </w:p>
    <w:p>
      <w:pPr>
        <w:spacing w:after="0" w:line="179"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Section 608         </w:t>
      </w:r>
      <w:r>
        <w:rPr>
          <w:rFonts w:ascii="Times New Roman" w:cs="Times New Roman" w:eastAsia="Times New Roman" w:hAnsi="Times New Roman"/>
          <w:sz w:val="14"/>
          <w:szCs w:val="14"/>
          <w:u w:val="single" w:color="auto"/>
          <w:color w:val="auto"/>
        </w:rPr>
        <w:t>  Conflicting Interests</w:t>
      </w:r>
      <w:r>
        <w:rPr>
          <w:rFonts w:ascii="Times New Roman" w:cs="Times New Roman" w:eastAsia="Times New Roman" w:hAnsi="Times New Roman"/>
          <w:sz w:val="14"/>
          <w:szCs w:val="14"/>
          <w:color w:val="auto"/>
        </w:rPr>
        <w:t>. 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w:t>
      </w:r>
    </w:p>
    <w:p>
      <w:pPr>
        <w:spacing w:after="0" w:line="136" w:lineRule="exact"/>
        <w:rPr>
          <w:sz w:val="20"/>
          <w:szCs w:val="20"/>
          <w:color w:val="auto"/>
        </w:rPr>
      </w:pPr>
    </w:p>
    <w:p>
      <w:pPr>
        <w:jc w:val="both"/>
        <w:ind w:firstLine="511"/>
        <w:spacing w:after="0" w:line="260" w:lineRule="auto"/>
        <w:rPr>
          <w:sz w:val="20"/>
          <w:szCs w:val="20"/>
          <w:color w:val="auto"/>
        </w:rPr>
      </w:pPr>
      <w:r>
        <w:rPr>
          <w:rFonts w:ascii="Times New Roman" w:cs="Times New Roman" w:eastAsia="Times New Roman" w:hAnsi="Times New Roman"/>
          <w:sz w:val="14"/>
          <w:szCs w:val="14"/>
          <w:color w:val="auto"/>
        </w:rPr>
        <w:t>Section 609         </w:t>
      </w:r>
      <w:r>
        <w:rPr>
          <w:rFonts w:ascii="Times New Roman" w:cs="Times New Roman" w:eastAsia="Times New Roman" w:hAnsi="Times New Roman"/>
          <w:sz w:val="14"/>
          <w:szCs w:val="14"/>
          <w:u w:val="single" w:color="auto"/>
          <w:color w:val="auto"/>
        </w:rPr>
        <w:t>  Corporate Trustee Required; Eligibility</w:t>
      </w:r>
      <w:r>
        <w:rPr>
          <w:rFonts w:ascii="Times New Roman" w:cs="Times New Roman" w:eastAsia="Times New Roman" w:hAnsi="Times New Roman"/>
          <w:sz w:val="14"/>
          <w:szCs w:val="14"/>
          <w:color w:val="auto"/>
        </w:rPr>
        <w:t>. 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has a combined capital and surplus of at least $100,000,000 and has its Corporate Trust Office in the continental United States of America. If any such Person publishes reports of condition at least annually, pursuant to law or to the requirements of its supervising or examining authority, then for the purposes of this Section 609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609, it shall resign immediately in the manner and with the effect hereinafter specified in this Article.</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12" w:name="page113"/>
    <w:bookmarkEnd w:id="112"/>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Section 610         </w:t>
      </w:r>
      <w:r>
        <w:rPr>
          <w:rFonts w:ascii="Times New Roman" w:cs="Times New Roman" w:eastAsia="Times New Roman" w:hAnsi="Times New Roman"/>
          <w:sz w:val="14"/>
          <w:szCs w:val="14"/>
          <w:u w:val="single" w:color="auto"/>
          <w:color w:val="auto"/>
        </w:rPr>
        <w:t>  Resignation and Removal; Appointment of Successor</w:t>
      </w:r>
      <w:r>
        <w:rPr>
          <w:rFonts w:ascii="Times New Roman" w:cs="Times New Roman" w:eastAsia="Times New Roman" w:hAnsi="Times New Roman"/>
          <w:sz w:val="14"/>
          <w:szCs w:val="14"/>
          <w:color w:val="auto"/>
        </w:rPr>
        <w:t>. 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24"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The Trustee may resign at any time with respect to the Securities of one or more series upon thirty (30) days advance written notice delivered to the Company . If the instrument of acceptance by a successor Trustee required by Section 611 shall not have been delivered to the Trustee within 60 days after the giving of such notice of resignation, the resigning Trustee may petition, at the expense of the Company, any court of competent jurisdiction for the appointment of a successor Trustee with respect to the Securities of such series.</w:t>
      </w:r>
    </w:p>
    <w:p>
      <w:pPr>
        <w:spacing w:after="0" w:line="136"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The Trustee may be removed at any time with respect to the Securities of any series by Act of the Holders of a majority in principal amount of the Outstanding Securities of such series, delivered to the Trustee and to the Company. If the instrument of acceptance by a successor Trustee required by Section 611 shall not have been delivered to the Trustee within 30 days after the giving of a notice of removal pursuant to this paragraph, the Trustee being removed may petition, at the expense of the Company, any court of competent jurisdiction for the appointment of a successor Trustee with respect to the Securities of such series.</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If at any time:</w:t>
      </w:r>
    </w:p>
    <w:p>
      <w:pPr>
        <w:spacing w:after="0" w:line="179" w:lineRule="exact"/>
        <w:rPr>
          <w:sz w:val="20"/>
          <w:szCs w:val="20"/>
          <w:color w:val="auto"/>
        </w:rPr>
      </w:pPr>
    </w:p>
    <w:p>
      <w:pPr>
        <w:ind w:left="520" w:firstLine="511"/>
        <w:spacing w:after="0" w:line="288" w:lineRule="auto"/>
        <w:rPr>
          <w:sz w:val="20"/>
          <w:szCs w:val="20"/>
          <w:color w:val="auto"/>
        </w:rPr>
      </w:pPr>
      <w:r>
        <w:rPr>
          <w:rFonts w:ascii="Times New Roman" w:cs="Times New Roman" w:eastAsia="Times New Roman" w:hAnsi="Times New Roman"/>
          <w:sz w:val="14"/>
          <w:szCs w:val="14"/>
          <w:color w:val="auto"/>
        </w:rPr>
        <w:t>(1)           the Trustee shall fail to comply with Section 608 after written request therefor by the Company or by any Holder who has been a bona fide Holder of a Security for at least six months, or</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the Trustee shall cease to be eligible under Section 609 and shall fail to resign after written request therefor by the Company or by any such Holder, or</w:t>
      </w:r>
    </w:p>
    <w:p>
      <w:pPr>
        <w:spacing w:after="0" w:line="179" w:lineRule="exact"/>
        <w:rPr>
          <w:sz w:val="20"/>
          <w:szCs w:val="20"/>
          <w:color w:val="auto"/>
        </w:rPr>
      </w:pPr>
    </w:p>
    <w:p>
      <w:pPr>
        <w:ind w:left="520" w:firstLine="511"/>
        <w:spacing w:after="0" w:line="288" w:lineRule="auto"/>
        <w:rPr>
          <w:sz w:val="20"/>
          <w:szCs w:val="20"/>
          <w:color w:val="auto"/>
        </w:rPr>
      </w:pPr>
      <w:r>
        <w:rPr>
          <w:rFonts w:ascii="Times New Roman" w:cs="Times New Roman" w:eastAsia="Times New Roman" w:hAnsi="Times New Roman"/>
          <w:sz w:val="14"/>
          <w:szCs w:val="14"/>
          <w:color w:val="auto"/>
        </w:rPr>
        <w:t>(3)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36" w:lineRule="exact"/>
        <w:rPr>
          <w:sz w:val="20"/>
          <w:szCs w:val="20"/>
          <w:color w:val="auto"/>
        </w:rPr>
      </w:pPr>
    </w:p>
    <w:p>
      <w:pPr>
        <w:jc w:val="both"/>
        <w:ind w:firstLine="511"/>
        <w:spacing w:after="0" w:line="257" w:lineRule="auto"/>
        <w:rPr>
          <w:sz w:val="20"/>
          <w:szCs w:val="20"/>
          <w:color w:val="auto"/>
        </w:rPr>
      </w:pPr>
      <w:r>
        <w:rPr>
          <w:rFonts w:ascii="Times New Roman" w:cs="Times New Roman" w:eastAsia="Times New Roman" w:hAnsi="Times New Roman"/>
          <w:sz w:val="14"/>
          <w:szCs w:val="14"/>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an instrument of acceptance by a successor Trustee shall not have been delivered to the Trustee within 30 days after the giving of such notice of removal, the Trustee being removed may petition, at the expense of the Company, any court of competent jurisdiction for the appointment of a successor Trustee with respect to the Securities of such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13" w:name="page114"/>
    <w:bookmarkEnd w:id="113"/>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106. Each notice shall include the name of the successor Trustee with respect to the Securities of such series and the address of its Corporate Trust Office.</w:t>
      </w:r>
    </w:p>
    <w:p>
      <w:pPr>
        <w:spacing w:after="0" w:line="136" w:lineRule="exact"/>
        <w:rPr>
          <w:sz w:val="20"/>
          <w:szCs w:val="20"/>
          <w:color w:val="auto"/>
        </w:rPr>
      </w:pPr>
    </w:p>
    <w:p>
      <w:pPr>
        <w:jc w:val="both"/>
        <w:ind w:firstLine="511"/>
        <w:spacing w:after="0" w:line="262" w:lineRule="auto"/>
        <w:rPr>
          <w:sz w:val="20"/>
          <w:szCs w:val="20"/>
          <w:color w:val="auto"/>
        </w:rPr>
      </w:pPr>
      <w:r>
        <w:rPr>
          <w:rFonts w:ascii="Times New Roman" w:cs="Times New Roman" w:eastAsia="Times New Roman" w:hAnsi="Times New Roman"/>
          <w:sz w:val="14"/>
          <w:szCs w:val="14"/>
          <w:color w:val="auto"/>
        </w:rPr>
        <w:t>Section 611         </w:t>
      </w:r>
      <w:r>
        <w:rPr>
          <w:rFonts w:ascii="Times New Roman" w:cs="Times New Roman" w:eastAsia="Times New Roman" w:hAnsi="Times New Roman"/>
          <w:sz w:val="14"/>
          <w:szCs w:val="14"/>
          <w:u w:val="single" w:color="auto"/>
          <w:color w:val="auto"/>
        </w:rPr>
        <w:t>  Acceptance of Appointment by Successor</w:t>
      </w:r>
      <w:r>
        <w:rPr>
          <w:rFonts w:ascii="Times New Roman" w:cs="Times New Roman" w:eastAsia="Times New Roman" w:hAnsi="Times New Roman"/>
          <w:sz w:val="14"/>
          <w:szCs w:val="14"/>
          <w:color w:val="auto"/>
        </w:rPr>
        <w:t>. In case of the appointment hereunder of a successor Trustee with respect to all Securities, such successor Trustee so appointed shall execute, acknowledge and deliver to the Company, any Guarantor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43" w:lineRule="exact"/>
        <w:rPr>
          <w:sz w:val="20"/>
          <w:szCs w:val="20"/>
          <w:color w:val="auto"/>
        </w:rPr>
      </w:pPr>
    </w:p>
    <w:p>
      <w:pPr>
        <w:jc w:val="both"/>
        <w:ind w:firstLine="511"/>
        <w:spacing w:after="0" w:line="256" w:lineRule="auto"/>
        <w:rPr>
          <w:sz w:val="20"/>
          <w:szCs w:val="20"/>
          <w:color w:val="auto"/>
        </w:rPr>
      </w:pPr>
      <w:r>
        <w:rPr>
          <w:rFonts w:ascii="Times New Roman" w:cs="Times New Roman" w:eastAsia="Times New Roman" w:hAnsi="Times New Roman"/>
          <w:sz w:val="14"/>
          <w:szCs w:val="14"/>
          <w:color w:val="auto"/>
        </w:rPr>
        <w:t>In case of the appointment hereunder of a successor Trustee with respect to the Securities of one or more (but not all) series, the Company, any Guarantor,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14" w:name="page115"/>
    <w:bookmarkEnd w:id="114"/>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Upon request of any such successor Trustee, the Company and any Guarantor shall execute any and all instruments for more fully and certainly vesting in and confirming to such successor Trustee all such rights, powers and trusts referred to in the first or second preceding paragraph, as the case may be.</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 successor Trustee shall accept its appointment unless at the time of such acceptance such successor Trustee shall be qualified and eligible under this Article.</w:t>
      </w:r>
    </w:p>
    <w:p>
      <w:pPr>
        <w:spacing w:after="0" w:line="179" w:lineRule="exact"/>
        <w:rPr>
          <w:sz w:val="20"/>
          <w:szCs w:val="20"/>
          <w:color w:val="auto"/>
        </w:rPr>
      </w:pPr>
    </w:p>
    <w:p>
      <w:pPr>
        <w:jc w:val="both"/>
        <w:ind w:firstLine="511"/>
        <w:spacing w:after="0" w:line="260" w:lineRule="auto"/>
        <w:rPr>
          <w:sz w:val="20"/>
          <w:szCs w:val="20"/>
          <w:color w:val="auto"/>
        </w:rPr>
      </w:pPr>
      <w:r>
        <w:rPr>
          <w:rFonts w:ascii="Times New Roman" w:cs="Times New Roman" w:eastAsia="Times New Roman" w:hAnsi="Times New Roman"/>
          <w:sz w:val="14"/>
          <w:szCs w:val="14"/>
          <w:color w:val="auto"/>
        </w:rPr>
        <w:t>Section 612         </w:t>
      </w:r>
      <w:r>
        <w:rPr>
          <w:rFonts w:ascii="Times New Roman" w:cs="Times New Roman" w:eastAsia="Times New Roman" w:hAnsi="Times New Roman"/>
          <w:sz w:val="14"/>
          <w:szCs w:val="14"/>
          <w:u w:val="single" w:color="auto"/>
          <w:color w:val="auto"/>
        </w:rPr>
        <w:t>  Merger, Conversion, Consolidation or Succession to Business</w:t>
      </w:r>
      <w:r>
        <w:rPr>
          <w:rFonts w:ascii="Times New Roman" w:cs="Times New Roman" w:eastAsia="Times New Roman" w:hAnsi="Times New Roman"/>
          <w:sz w:val="14"/>
          <w:szCs w:val="14"/>
          <w:color w:val="auto"/>
        </w:rPr>
        <w:t>. Any corporation into which the Trustee may be merged, sold or converted or with which it may be consolidated, or any corporation resulting from any merger, sale,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45"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Section 613         </w:t>
      </w:r>
      <w:r>
        <w:rPr>
          <w:rFonts w:ascii="Times New Roman" w:cs="Times New Roman" w:eastAsia="Times New Roman" w:hAnsi="Times New Roman"/>
          <w:sz w:val="14"/>
          <w:szCs w:val="14"/>
          <w:u w:val="single" w:color="auto"/>
          <w:color w:val="auto"/>
        </w:rPr>
        <w:t>  Preferential Collection of Claims Against Company</w:t>
      </w:r>
      <w:r>
        <w:rPr>
          <w:rFonts w:ascii="Times New Roman" w:cs="Times New Roman" w:eastAsia="Times New Roman" w:hAnsi="Times New Roman"/>
          <w:sz w:val="14"/>
          <w:szCs w:val="14"/>
          <w:color w:val="auto"/>
        </w:rPr>
        <w:t>. 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24" w:lineRule="exact"/>
        <w:rPr>
          <w:sz w:val="20"/>
          <w:szCs w:val="20"/>
          <w:color w:val="auto"/>
        </w:rPr>
      </w:pPr>
    </w:p>
    <w:p>
      <w:pPr>
        <w:jc w:val="both"/>
        <w:ind w:firstLine="511"/>
        <w:spacing w:after="0" w:line="257" w:lineRule="auto"/>
        <w:rPr>
          <w:sz w:val="20"/>
          <w:szCs w:val="20"/>
          <w:color w:val="auto"/>
        </w:rPr>
      </w:pPr>
      <w:r>
        <w:rPr>
          <w:rFonts w:ascii="Times New Roman" w:cs="Times New Roman" w:eastAsia="Times New Roman" w:hAnsi="Times New Roman"/>
          <w:sz w:val="14"/>
          <w:szCs w:val="14"/>
          <w:color w:val="auto"/>
        </w:rPr>
        <w:t>Section 614         </w:t>
      </w:r>
      <w:r>
        <w:rPr>
          <w:rFonts w:ascii="Times New Roman" w:cs="Times New Roman" w:eastAsia="Times New Roman" w:hAnsi="Times New Roman"/>
          <w:sz w:val="14"/>
          <w:szCs w:val="14"/>
          <w:u w:val="single" w:color="auto"/>
          <w:color w:val="auto"/>
        </w:rPr>
        <w:t>  Appointment of Authenticating Agent</w:t>
      </w:r>
      <w:r>
        <w:rPr>
          <w:rFonts w:ascii="Times New Roman" w:cs="Times New Roman" w:eastAsia="Times New Roman" w:hAnsi="Times New Roman"/>
          <w:sz w:val="14"/>
          <w:szCs w:val="14"/>
          <w:color w:val="auto"/>
        </w:rPr>
        <w:t>. The Trustee may appoint an Authenticating Agent or Agents with respect to any series of Securities which shall be authorized to act on behalf of the Trustee to authenticate the Securities of such series issued upon original issue and upon exchange, registration of transfer, partial conversion or partial redemption or pursuant to Section 306, and Securities of such series so authenticated shall be entitled to the benefits of this Indenture and shall be valid and obligatory for all purposes as if authenticated by the Trustee hereunder. Wherever reference is made in this Indenture to the authentication and delivery of Securities of such series by the Trustee or the Trustee’s certificate of authentication, such reference shall be deemed to include authentication and delivery on behalf of the Trustee by an Authenticating Agent so appointed with respect to such series and a certificate of authentication executed on behalf of the Trustee by an Authenticating Agent so appointed with respect to such series.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614,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614, such Authenticating Agent shall resign immediately in the manner and with the effect specified in this Section 614.</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15" w:name="page116"/>
    <w:bookmarkEnd w:id="115"/>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614, without the execution or filing of any paper or any further act on the part of the Trustee, the Company, the Authenticating Agent or such successor corporation.</w:t>
      </w:r>
    </w:p>
    <w:p>
      <w:pPr>
        <w:spacing w:after="0" w:line="140" w:lineRule="exact"/>
        <w:rPr>
          <w:sz w:val="20"/>
          <w:szCs w:val="20"/>
          <w:color w:val="auto"/>
        </w:rPr>
      </w:pPr>
    </w:p>
    <w:p>
      <w:pPr>
        <w:jc w:val="both"/>
        <w:ind w:firstLine="511"/>
        <w:spacing w:after="0" w:line="260" w:lineRule="auto"/>
        <w:rPr>
          <w:sz w:val="20"/>
          <w:szCs w:val="20"/>
          <w:color w:val="auto"/>
        </w:rPr>
      </w:pPr>
      <w:r>
        <w:rPr>
          <w:rFonts w:ascii="Times New Roman" w:cs="Times New Roman" w:eastAsia="Times New Roman" w:hAnsi="Times New Roman"/>
          <w:sz w:val="14"/>
          <w:szCs w:val="14"/>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614, the Trustee may appoint a successor Authenticating Agent with respect to any series of Securities which shall be acceptable to the Company and shall give notice of such appointment to all Holders of Securities of such series in the manner provided in Section 106. Any successor Authenticating Agent upon acceptance of its appointment hereunder shall become vested with all rights, powers and duties of its predecessor hereunder, with like effect as if originally named as an Authenticating Agent. No successor Authenticating Agent shall be appointed unless eligible under the provisions of this Section 614.</w:t>
      </w:r>
    </w:p>
    <w:p>
      <w:pPr>
        <w:spacing w:after="0" w:line="145"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The Trustee agrees to pay to each Authenticating Agent from time to time reasonable compensation for its services under this Section 614, and the Trustee shall be entitled to be reimbursed by the Company for such payments, subject to the provisions of Section 607.</w:t>
      </w:r>
    </w:p>
    <w:p>
      <w:pPr>
        <w:spacing w:after="0" w:line="124"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If an appointment is made pursuant to this Section 614 with respect to Securities of any series, the Securities of such series may have endorsed thereon, in addition to the Trustee’s certificate of authentication, an alternate certificate of authentication in the following form:</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is one of the Securities of the series designated herein and referred to in the within-mentioned Indenture.</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16" w:name="page117"/>
    <w:bookmarkEnd w:id="116"/>
    <w:p>
      <w:pPr>
        <w:ind w:left="5660"/>
        <w:spacing w:after="0"/>
        <w:rPr>
          <w:sz w:val="20"/>
          <w:szCs w:val="20"/>
          <w:color w:val="auto"/>
        </w:rPr>
      </w:pPr>
      <w:r>
        <w:rPr>
          <w:rFonts w:ascii="Times New Roman" w:cs="Times New Roman" w:eastAsia="Times New Roman" w:hAnsi="Times New Roman"/>
          <w:sz w:val="14"/>
          <w:szCs w:val="14"/>
          <w:b w:val="1"/>
          <w:bCs w:val="1"/>
          <w:color w:val="auto"/>
        </w:rPr>
        <w:t>[_______________],</w:t>
      </w:r>
    </w:p>
    <w:p>
      <w:pPr>
        <w:spacing w:after="0" w:line="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as Trustee</w:t>
      </w:r>
    </w:p>
    <w:p>
      <w:pPr>
        <w:spacing w:after="0" w:line="165"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4"/>
          <w:szCs w:val="14"/>
          <w:color w:val="auto"/>
        </w:rPr>
        <w:t>By:</w:t>
        <w:tab/>
        <w:t>[NAME OF AUTHENTICATING AGENT],</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 as Authenticating Agent</w:t>
      </w:r>
    </w:p>
    <w:p>
      <w:pPr>
        <w:spacing w:after="0" w:line="16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-100965</wp:posOffset>
            </wp:positionV>
            <wp:extent cx="336423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3364230" cy="698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HOLDERS’ LISTS AND REPORTS BY TRUSTEE AND COMPANY</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701         </w:t>
      </w:r>
      <w:r>
        <w:rPr>
          <w:rFonts w:ascii="Times New Roman" w:cs="Times New Roman" w:eastAsia="Times New Roman" w:hAnsi="Times New Roman"/>
          <w:sz w:val="14"/>
          <w:szCs w:val="14"/>
          <w:u w:val="single" w:color="auto"/>
          <w:color w:val="auto"/>
        </w:rPr>
        <w:t>  Company to Furnish Trustee Names and Addresses of Holders</w:t>
      </w:r>
      <w:r>
        <w:rPr>
          <w:rFonts w:ascii="Times New Roman" w:cs="Times New Roman" w:eastAsia="Times New Roman" w:hAnsi="Times New Roman"/>
          <w:sz w:val="14"/>
          <w:szCs w:val="14"/>
          <w:color w:val="auto"/>
        </w:rPr>
        <w:t>. The Company will furnish or cause to be furnished to the Trustee</w:t>
      </w:r>
    </w:p>
    <w:p>
      <w:pPr>
        <w:spacing w:after="0" w:line="179" w:lineRule="exact"/>
        <w:rPr>
          <w:sz w:val="20"/>
          <w:szCs w:val="20"/>
          <w:color w:val="auto"/>
        </w:rPr>
      </w:pPr>
    </w:p>
    <w:p>
      <w:pPr>
        <w:ind w:left="520" w:firstLine="511"/>
        <w:spacing w:after="0" w:line="288" w:lineRule="auto"/>
        <w:rPr>
          <w:sz w:val="20"/>
          <w:szCs w:val="20"/>
          <w:color w:val="auto"/>
        </w:rPr>
      </w:pPr>
      <w:r>
        <w:rPr>
          <w:rFonts w:ascii="Times New Roman" w:cs="Times New Roman" w:eastAsia="Times New Roman" w:hAnsi="Times New Roman"/>
          <w:sz w:val="14"/>
          <w:szCs w:val="14"/>
          <w:color w:val="auto"/>
        </w:rPr>
        <w:t>(1)           semi-annually, not later than [___] and [___] in each year, a list, in such form as the Trustee may reasonably require, of the names and addresses of the Holders of Securities of each series as of the immediately preceding [___] or [___] as the case may be, and</w:t>
      </w:r>
    </w:p>
    <w:p>
      <w:pPr>
        <w:spacing w:after="0" w:line="124" w:lineRule="exact"/>
        <w:rPr>
          <w:sz w:val="20"/>
          <w:szCs w:val="20"/>
          <w:color w:val="auto"/>
        </w:rPr>
      </w:pPr>
    </w:p>
    <w:p>
      <w:pPr>
        <w:ind w:left="520" w:firstLine="511"/>
        <w:spacing w:after="0" w:line="288" w:lineRule="auto"/>
        <w:rPr>
          <w:sz w:val="20"/>
          <w:szCs w:val="20"/>
          <w:color w:val="auto"/>
        </w:rPr>
      </w:pPr>
      <w:r>
        <w:rPr>
          <w:rFonts w:ascii="Times New Roman" w:cs="Times New Roman" w:eastAsia="Times New Roman" w:hAnsi="Times New Roman"/>
          <w:sz w:val="14"/>
          <w:szCs w:val="14"/>
          <w:color w:val="auto"/>
        </w:rPr>
        <w:t>(2)           at such other times as the Trustee may request in writing, within 30 days after the receipt by the Company of any such request, a list of similar form and content as of a date not more than 15 days prior to the time such list is furnished;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provided, however, that if and so long as the Trustee shall be the Security Registrar for Securities of a series, no such list need be furnished with respect to such series of Securities.</w:t>
      </w:r>
    </w:p>
    <w:p>
      <w:pPr>
        <w:spacing w:after="0" w:line="179"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Section 702         </w:t>
      </w:r>
      <w:r>
        <w:rPr>
          <w:rFonts w:ascii="Times New Roman" w:cs="Times New Roman" w:eastAsia="Times New Roman" w:hAnsi="Times New Roman"/>
          <w:sz w:val="14"/>
          <w:szCs w:val="14"/>
          <w:u w:val="single" w:color="auto"/>
          <w:color w:val="auto"/>
        </w:rPr>
        <w:t>  Preservation of Information; Communications to Holders</w:t>
      </w:r>
      <w:r>
        <w:rPr>
          <w:rFonts w:ascii="Times New Roman" w:cs="Times New Roman" w:eastAsia="Times New Roman" w:hAnsi="Times New Roman"/>
          <w:sz w:val="14"/>
          <w:szCs w:val="14"/>
          <w:color w:val="auto"/>
        </w:rPr>
        <w:t>. 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36"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124"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Every Holder of Securities, by receiving and holding the same, agrees with the Company, any Guarantor and the Trustee that neither of the Company nor the Guarantors (if applicable) nor the Trustee nor any agent of any of them shall be held accountable by reason of any disclosure of information as to names and addresses of Holders made pursuant to the Trust Indenture Act.</w:t>
      </w:r>
    </w:p>
    <w:p>
      <w:pPr>
        <w:spacing w:after="0" w:line="124"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Section 703         </w:t>
      </w:r>
      <w:r>
        <w:rPr>
          <w:rFonts w:ascii="Times New Roman" w:cs="Times New Roman" w:eastAsia="Times New Roman" w:hAnsi="Times New Roman"/>
          <w:sz w:val="14"/>
          <w:szCs w:val="14"/>
          <w:u w:val="single" w:color="auto"/>
          <w:color w:val="auto"/>
        </w:rPr>
        <w:t>  Reports by Trustee</w:t>
      </w:r>
      <w:r>
        <w:rPr>
          <w:rFonts w:ascii="Times New Roman" w:cs="Times New Roman" w:eastAsia="Times New Roman" w:hAnsi="Times New Roman"/>
          <w:sz w:val="14"/>
          <w:szCs w:val="14"/>
          <w:color w:val="auto"/>
        </w:rPr>
        <w:t>. The Trustee shall transmit to Holders such reports concerning the Trustee and its actions under this Indenture as may be required pursuant to the Trust Indenture Act at the times and in the manner provided pursuant thereto.</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117" w:name="page118"/>
    <w:bookmarkEnd w:id="117"/>
    <w:p>
      <w:pPr>
        <w:ind w:firstLine="511"/>
        <w:spacing w:after="0" w:line="288" w:lineRule="auto"/>
        <w:rPr>
          <w:sz w:val="20"/>
          <w:szCs w:val="20"/>
          <w:color w:val="auto"/>
        </w:rPr>
      </w:pPr>
      <w:r>
        <w:rPr>
          <w:rFonts w:ascii="Times New Roman" w:cs="Times New Roman" w:eastAsia="Times New Roman" w:hAnsi="Times New Roman"/>
          <w:sz w:val="14"/>
          <w:szCs w:val="14"/>
          <w:color w:val="auto"/>
        </w:rPr>
        <w:t>Reports so required to be transmitted at stated intervals of not more than 12 months shall be transmitted no later than April 15 and shall be dated as of April 1 in each calendar year, commencing after the issuance of Securities.</w:t>
      </w:r>
    </w:p>
    <w:p>
      <w:pPr>
        <w:spacing w:after="0" w:line="124" w:lineRule="exact"/>
        <w:rPr>
          <w:sz w:val="20"/>
          <w:szCs w:val="20"/>
          <w:color w:val="auto"/>
        </w:rPr>
      </w:pPr>
    </w:p>
    <w:p>
      <w:pPr>
        <w:ind w:firstLine="511"/>
        <w:spacing w:after="0" w:line="288" w:lineRule="auto"/>
        <w:rPr>
          <w:sz w:val="20"/>
          <w:szCs w:val="20"/>
          <w:color w:val="auto"/>
        </w:rPr>
      </w:pPr>
      <w:r>
        <w:rPr>
          <w:rFonts w:ascii="Times New Roman" w:cs="Times New Roman" w:eastAsia="Times New Roman" w:hAnsi="Times New Roman"/>
          <w:sz w:val="14"/>
          <w:szCs w:val="14"/>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 and of any delisting thereof.</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704         </w:t>
      </w:r>
      <w:r>
        <w:rPr>
          <w:rFonts w:ascii="Times New Roman" w:cs="Times New Roman" w:eastAsia="Times New Roman" w:hAnsi="Times New Roman"/>
          <w:sz w:val="14"/>
          <w:szCs w:val="14"/>
          <w:u w:val="single" w:color="auto"/>
          <w:color w:val="auto"/>
        </w:rPr>
        <w:t>  Reports.</w:t>
      </w:r>
    </w:p>
    <w:p>
      <w:pPr>
        <w:spacing w:after="0" w:line="179" w:lineRule="exact"/>
        <w:rPr>
          <w:sz w:val="20"/>
          <w:szCs w:val="20"/>
          <w:color w:val="auto"/>
        </w:rPr>
      </w:pPr>
    </w:p>
    <w:p>
      <w:pPr>
        <w:jc w:val="both"/>
        <w:ind w:left="520" w:firstLine="511"/>
        <w:spacing w:after="0" w:line="258" w:lineRule="auto"/>
        <w:rPr>
          <w:sz w:val="20"/>
          <w:szCs w:val="20"/>
          <w:color w:val="auto"/>
        </w:rPr>
      </w:pPr>
      <w:r>
        <w:rPr>
          <w:rFonts w:ascii="Times New Roman" w:cs="Times New Roman" w:eastAsia="Times New Roman" w:hAnsi="Times New Roman"/>
          <w:sz w:val="14"/>
          <w:szCs w:val="14"/>
          <w:color w:val="auto"/>
        </w:rPr>
        <w:t>(1)           The Parent Guarantor (or (i) the Company if no Parent Guarantor then exists or (ii) any such other entity the reports of which the Company is entitled to rely upon for purposes of the reporting exemption set forth in Rule 3-10 of Regulation S-X and Exchange Act Rule 12h-5 (any such entity, together with the Parent Guarantor or the Company (if no Parent Guarantor then exists), a “</w:t>
      </w:r>
      <w:r>
        <w:rPr>
          <w:rFonts w:ascii="Times New Roman" w:cs="Times New Roman" w:eastAsia="Times New Roman" w:hAnsi="Times New Roman"/>
          <w:sz w:val="14"/>
          <w:szCs w:val="14"/>
          <w:b w:val="1"/>
          <w:bCs w:val="1"/>
          <w:i w:val="1"/>
          <w:iCs w:val="1"/>
          <w:color w:val="auto"/>
        </w:rPr>
        <w:t>Qualified Reporting Entity</w:t>
      </w:r>
      <w:r>
        <w:rPr>
          <w:rFonts w:ascii="Times New Roman" w:cs="Times New Roman" w:eastAsia="Times New Roman" w:hAnsi="Times New Roman"/>
          <w:sz w:val="14"/>
          <w:szCs w:val="14"/>
          <w:color w:val="auto"/>
        </w:rPr>
        <w:t>”) will furnish or file with the Trustee, (i) within 15 days after the Qualified Reporting Entity files the same with the SEC, copies of the annual reports and the information, documents and other reports (or copies of such portions of any of the foregoing as the SEC may by rules and regulations prescribe) that the Qualified Reporting Entity is required to file with the SEC, pursuant to Section 13 or 15(d) of the Exchange Act and (ii) other information, documents, or reports as may be required pursuant to the Trust Indenture Act at the times and in the manner provided in the Trust Indenture Act. For purposes of this Section 704, the Qualified Reporting Entity will be deemed to have furnished such reports and information to, or filed such reports and information with, the Trustee (and, if applicable, any other Persons) as required by this Section 704 if it has filed such reports or information with the SEC via the EDGAR filing system or otherwise made such reports or information publicly available on a freely accessible page on the Qualified Reporting Entity’s website. The Trustee shall have no obligation whatsoever to determine whether or not such reports and information have been filed or have been posted on such website.</w:t>
      </w:r>
    </w:p>
    <w:p>
      <w:pPr>
        <w:spacing w:after="0" w:line="145" w:lineRule="exact"/>
        <w:rPr>
          <w:sz w:val="20"/>
          <w:szCs w:val="20"/>
          <w:color w:val="auto"/>
        </w:rPr>
      </w:pPr>
    </w:p>
    <w:p>
      <w:pPr>
        <w:jc w:val="both"/>
        <w:ind w:left="520" w:firstLine="511"/>
        <w:spacing w:after="0" w:line="288" w:lineRule="auto"/>
        <w:rPr>
          <w:sz w:val="20"/>
          <w:szCs w:val="20"/>
          <w:color w:val="auto"/>
        </w:rPr>
      </w:pPr>
      <w:r>
        <w:rPr>
          <w:rFonts w:ascii="Times New Roman" w:cs="Times New Roman" w:eastAsia="Times New Roman" w:hAnsi="Times New Roman"/>
          <w:sz w:val="14"/>
          <w:szCs w:val="14"/>
          <w:color w:val="auto"/>
        </w:rPr>
        <w:t>(2)           The Company shall furnish to the Trustee, within 120 days after the end of each fiscal year, a brief certificate from the principal executive officer, principal financial officer or principal accounting officer of each such entity as to his or her knowledge of the Company’s compliance with all conditions and covenants under the Indenture.</w:t>
      </w:r>
    </w:p>
    <w:p>
      <w:pPr>
        <w:spacing w:after="0" w:line="124" w:lineRule="exact"/>
        <w:rPr>
          <w:sz w:val="20"/>
          <w:szCs w:val="20"/>
          <w:color w:val="auto"/>
        </w:rPr>
      </w:pPr>
    </w:p>
    <w:p>
      <w:pPr>
        <w:jc w:val="both"/>
        <w:ind w:left="520" w:firstLine="511"/>
        <w:spacing w:after="0" w:line="260" w:lineRule="auto"/>
        <w:rPr>
          <w:sz w:val="20"/>
          <w:szCs w:val="20"/>
          <w:color w:val="auto"/>
        </w:rPr>
      </w:pPr>
      <w:r>
        <w:rPr>
          <w:rFonts w:ascii="Times New Roman" w:cs="Times New Roman" w:eastAsia="Times New Roman" w:hAnsi="Times New Roman"/>
          <w:sz w:val="14"/>
          <w:szCs w:val="14"/>
          <w:color w:val="auto"/>
        </w:rPr>
        <w:t>(3)           Delivery of any reports, information and documents to the Trustee pursuant to paragraph (1) and (2) above is for informational purposes only and the Trustee’s receipt of such shall not constitute actual or constructive knowledge or notice of any information contained therein or determinable from information contained therein, including the compliance by the Company with any of the Company’s covenants (as to which the Trustee is entitled to rely exclusively on certificates, described in paragraph (2) above). The Trustee shall have no duty to monitor or confirm, on a continuing basis or otherwise, the Company’s or any other Person’s compliance with any of the covenants under this Indenture, to determine whether such reports, information or documents are filed with the SEC or made publicly available on a website, to examine such reports, information, documents and other reports to ensure compliance with the provisions of this Indenture, to ascertain the correctness or otherwise of the information or the statements contained therein or to participate in any conference calls.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CONSOLIDATION, MERGER, SALE, CONVEYANCE, TRANSFER OR LEASE</w:t>
      </w:r>
    </w:p>
    <w:p>
      <w:pPr>
        <w:spacing w:after="0" w:line="165" w:lineRule="exact"/>
        <w:rPr>
          <w:sz w:val="20"/>
          <w:szCs w:val="20"/>
          <w:color w:val="auto"/>
        </w:rPr>
      </w:pPr>
    </w:p>
    <w:p>
      <w:pPr>
        <w:ind w:firstLine="511"/>
        <w:spacing w:after="0" w:line="288" w:lineRule="auto"/>
        <w:rPr>
          <w:sz w:val="20"/>
          <w:szCs w:val="20"/>
          <w:color w:val="auto"/>
        </w:rPr>
      </w:pPr>
      <w:r>
        <w:rPr>
          <w:rFonts w:ascii="Times New Roman" w:cs="Times New Roman" w:eastAsia="Times New Roman" w:hAnsi="Times New Roman"/>
          <w:sz w:val="14"/>
          <w:szCs w:val="14"/>
          <w:color w:val="auto"/>
        </w:rPr>
        <w:t>Section 801         </w:t>
      </w:r>
      <w:r>
        <w:rPr>
          <w:rFonts w:ascii="Times New Roman" w:cs="Times New Roman" w:eastAsia="Times New Roman" w:hAnsi="Times New Roman"/>
          <w:sz w:val="14"/>
          <w:szCs w:val="14"/>
          <w:u w:val="single" w:color="auto"/>
          <w:color w:val="auto"/>
        </w:rPr>
        <w:t>  Company May Consolidate, Etc., Only on Certain Terms</w:t>
      </w:r>
      <w:r>
        <w:rPr>
          <w:rFonts w:ascii="Times New Roman" w:cs="Times New Roman" w:eastAsia="Times New Roman" w:hAnsi="Times New Roman"/>
          <w:sz w:val="14"/>
          <w:szCs w:val="14"/>
          <w:color w:val="auto"/>
        </w:rPr>
        <w:t>. Neither the Company nor the Parent Guarantor shall , in a single transaction or a series of related transactions, consolidate with or merge with or into, or sell, convey, transfer or lease all or substantially all of its properties and assets on a consolidated basis to, any Person, unless:</w:t>
      </w:r>
    </w:p>
    <w:p>
      <w:pPr>
        <w:spacing w:after="0" w:line="122" w:lineRule="exact"/>
        <w:rPr>
          <w:sz w:val="20"/>
          <w:szCs w:val="20"/>
          <w:color w:val="auto"/>
        </w:rPr>
      </w:pPr>
    </w:p>
    <w:p>
      <w:pPr>
        <w:jc w:val="both"/>
        <w:ind w:left="520" w:firstLine="511"/>
        <w:spacing w:after="0" w:line="291" w:lineRule="auto"/>
        <w:rPr>
          <w:sz w:val="20"/>
          <w:szCs w:val="20"/>
          <w:color w:val="auto"/>
        </w:rPr>
      </w:pPr>
      <w:r>
        <w:rPr>
          <w:rFonts w:ascii="Times New Roman" w:cs="Times New Roman" w:eastAsia="Times New Roman" w:hAnsi="Times New Roman"/>
          <w:sz w:val="14"/>
          <w:szCs w:val="14"/>
          <w:color w:val="auto"/>
        </w:rPr>
        <w:t>(1)           the resulting, surviving or transferee Person (the “</w:t>
      </w:r>
      <w:r>
        <w:rPr>
          <w:rFonts w:ascii="Times New Roman" w:cs="Times New Roman" w:eastAsia="Times New Roman" w:hAnsi="Times New Roman"/>
          <w:sz w:val="14"/>
          <w:szCs w:val="14"/>
          <w:b w:val="1"/>
          <w:bCs w:val="1"/>
          <w:i w:val="1"/>
          <w:iCs w:val="1"/>
          <w:color w:val="auto"/>
        </w:rPr>
        <w:t>Successor Company</w:t>
      </w:r>
      <w:r>
        <w:rPr>
          <w:rFonts w:ascii="Times New Roman" w:cs="Times New Roman" w:eastAsia="Times New Roman" w:hAnsi="Times New Roman"/>
          <w:sz w:val="14"/>
          <w:szCs w:val="14"/>
          <w:color w:val="auto"/>
        </w:rPr>
        <w:t>”) shall be a corporation, limited liability company, partnership, trust or other entity organized and validly existing under the laws of the United States, any State thereof or the District of Columbia;</w:t>
      </w:r>
    </w:p>
    <w:p>
      <w:pPr>
        <w:spacing w:after="0" w:line="122" w:lineRule="exact"/>
        <w:rPr>
          <w:sz w:val="20"/>
          <w:szCs w:val="20"/>
          <w:color w:val="auto"/>
        </w:rPr>
      </w:pPr>
    </w:p>
    <w:p>
      <w:pPr>
        <w:jc w:val="both"/>
        <w:ind w:left="520" w:firstLine="511"/>
        <w:spacing w:after="0" w:line="265" w:lineRule="auto"/>
        <w:rPr>
          <w:sz w:val="20"/>
          <w:szCs w:val="20"/>
          <w:color w:val="auto"/>
        </w:rPr>
      </w:pPr>
      <w:r>
        <w:rPr>
          <w:rFonts w:ascii="Times New Roman" w:cs="Times New Roman" w:eastAsia="Times New Roman" w:hAnsi="Times New Roman"/>
          <w:sz w:val="14"/>
          <w:szCs w:val="14"/>
          <w:color w:val="auto"/>
        </w:rPr>
        <w:t>(2)           the Successor Company (if not the Company or the Parent Guarantor) shall expressly assume, by supplemental indenture, executed and delivered to the Trustee, in form reasonably satisfactory to the Trustee, the due and punctual payment of the principal of and any premium and interest on all the Securities and the performance or observance of every covenant of this Indenture on the part of the Company or the Parent Guarantor, as applicable, to be performed or observed and, for each Security that by its terms provides for conversion, shall have provided for the right to convert such Security in accordance with its terms;</w:t>
      </w:r>
    </w:p>
    <w:p>
      <w:pPr>
        <w:spacing w:after="0" w:line="140" w:lineRule="exact"/>
        <w:rPr>
          <w:sz w:val="20"/>
          <w:szCs w:val="20"/>
          <w:color w:val="auto"/>
        </w:rPr>
      </w:pPr>
    </w:p>
    <w:p>
      <w:pPr>
        <w:jc w:val="both"/>
        <w:ind w:left="520" w:firstLine="511"/>
        <w:spacing w:after="0" w:line="271" w:lineRule="auto"/>
        <w:rPr>
          <w:sz w:val="20"/>
          <w:szCs w:val="20"/>
          <w:color w:val="auto"/>
        </w:rPr>
      </w:pPr>
      <w:r>
        <w:rPr>
          <w:rFonts w:ascii="Times New Roman" w:cs="Times New Roman" w:eastAsia="Times New Roman" w:hAnsi="Times New Roman"/>
          <w:sz w:val="14"/>
          <w:szCs w:val="14"/>
          <w:color w:val="auto"/>
        </w:rPr>
        <w:t>(3)           immediately after giving effect to such transaction and treating any indebtedness that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occurred and be continuing; and</w:t>
      </w:r>
    </w:p>
    <w:p>
      <w:pPr>
        <w:spacing w:after="0" w:line="136" w:lineRule="exact"/>
        <w:rPr>
          <w:sz w:val="20"/>
          <w:szCs w:val="20"/>
          <w:color w:val="auto"/>
        </w:rPr>
      </w:pPr>
    </w:p>
    <w:p>
      <w:pPr>
        <w:jc w:val="both"/>
        <w:ind w:left="520" w:firstLine="511"/>
        <w:spacing w:after="0" w:line="271" w:lineRule="auto"/>
        <w:rPr>
          <w:sz w:val="20"/>
          <w:szCs w:val="20"/>
          <w:color w:val="auto"/>
        </w:rPr>
      </w:pPr>
      <w:r>
        <w:rPr>
          <w:rFonts w:ascii="Times New Roman" w:cs="Times New Roman" w:eastAsia="Times New Roman" w:hAnsi="Times New Roman"/>
          <w:sz w:val="14"/>
          <w:szCs w:val="14"/>
          <w:color w:val="auto"/>
        </w:rPr>
        <w:t>(4)           the Company has delivered to the Trustee an Officer’s Certificate and an Opinion of Counsel, each stating that such consolidation, merger, sale, conveyance, transfer or lease and, if a supplemental indenture is required in connection with such transaction, such supplemental indenture comply with this Article and that all conditions precedent provided for in this Indenture relating to such transaction have been complied with.</w:t>
      </w:r>
    </w:p>
    <w:p>
      <w:pPr>
        <w:spacing w:after="0" w:line="136"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The foregoing paragraph shall not apply to the merger into, or sale, conveyance, transfer or lease of all or substantially all of the properties of any Person to any party that is the Company or a Guarantor.</w:t>
      </w:r>
    </w:p>
    <w:p>
      <w:pPr>
        <w:spacing w:after="0" w:line="124" w:lineRule="exact"/>
        <w:rPr>
          <w:sz w:val="20"/>
          <w:szCs w:val="20"/>
          <w:color w:val="auto"/>
        </w:rPr>
      </w:pPr>
    </w:p>
    <w:p>
      <w:pPr>
        <w:jc w:val="both"/>
        <w:ind w:firstLine="511"/>
        <w:spacing w:after="0" w:line="260" w:lineRule="auto"/>
        <w:rPr>
          <w:sz w:val="20"/>
          <w:szCs w:val="20"/>
          <w:color w:val="auto"/>
        </w:rPr>
      </w:pPr>
      <w:r>
        <w:rPr>
          <w:rFonts w:ascii="Times New Roman" w:cs="Times New Roman" w:eastAsia="Times New Roman" w:hAnsi="Times New Roman"/>
          <w:sz w:val="14"/>
          <w:szCs w:val="14"/>
          <w:color w:val="auto"/>
        </w:rPr>
        <w:t>Section 802         </w:t>
      </w:r>
      <w:r>
        <w:rPr>
          <w:rFonts w:ascii="Times New Roman" w:cs="Times New Roman" w:eastAsia="Times New Roman" w:hAnsi="Times New Roman"/>
          <w:sz w:val="14"/>
          <w:szCs w:val="14"/>
          <w:u w:val="single" w:color="auto"/>
          <w:color w:val="auto"/>
        </w:rPr>
        <w:t>  Successor Substituted</w:t>
      </w:r>
      <w:r>
        <w:rPr>
          <w:rFonts w:ascii="Times New Roman" w:cs="Times New Roman" w:eastAsia="Times New Roman" w:hAnsi="Times New Roman"/>
          <w:sz w:val="14"/>
          <w:szCs w:val="14"/>
          <w:color w:val="auto"/>
        </w:rPr>
        <w:t>. Upon any consolidation of the Company or the Parent Guarantor with, or merger of the Company or the Parent Guarantor with or into, or any sale, conveyance, transfer or lease of all or substantially all the properties and assets of the Company or the Parent Guarantor on a consolidated basis to, any Person, in each case in accordance with Section 801, the Successor Company shall succeed to, and be substituted for, and may exercise every right and power of, the Company or the Parent Guarantor under this Indenture with the same effect as if the Successor Company had been named as the Company or the Parent Guarantor, as applicable, herein, and thereafter the predecessor entity shall be relieved of all obligations and covenants under this Indenture and the Securities, except in the case of a lease of all or substantially all of the properties and assets of the Company or the Parent Guarantor on a consolidated basis, in which case the predecessor entity shall not be released from the obligation to pay the principal of, any premium on, and interest on the Securities.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4"/>
          <w:szCs w:val="14"/>
          <w:b w:val="1"/>
          <w:bCs w:val="1"/>
          <w:color w:val="auto"/>
        </w:rPr>
        <w:t>ARTICLE IX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AMENDMENT, SUPPLEMENTAL AND WAIVER</w:t>
      </w:r>
    </w:p>
    <w:p>
      <w:pPr>
        <w:spacing w:after="0" w:line="165"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Section 901         </w:t>
      </w:r>
      <w:r>
        <w:rPr>
          <w:rFonts w:ascii="Times New Roman" w:cs="Times New Roman" w:eastAsia="Times New Roman" w:hAnsi="Times New Roman"/>
          <w:sz w:val="14"/>
          <w:szCs w:val="14"/>
          <w:u w:val="single" w:color="auto"/>
          <w:color w:val="auto"/>
        </w:rPr>
        <w:t>  Without Consent of Holders</w:t>
      </w:r>
      <w:r>
        <w:rPr>
          <w:rFonts w:ascii="Times New Roman" w:cs="Times New Roman" w:eastAsia="Times New Roman" w:hAnsi="Times New Roman"/>
          <w:sz w:val="14"/>
          <w:szCs w:val="14"/>
          <w:color w:val="auto"/>
        </w:rPr>
        <w:t>. Except as may otherwise be provided pursuant to Section 301 for all or any specific Securities of any series, notwithstanding Section 902 and Section 903, without the consent of any Holder of Securities, the Company and the Trustee may amend or supplement this Indenture as it relates to any series of Securities (including any Guarantee) and the Securities of any series to:</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cure any ambiguity, omission, defect or inconsistency;</w:t>
      </w:r>
    </w:p>
    <w:p>
      <w:pPr>
        <w:spacing w:after="0" w:line="179" w:lineRule="exact"/>
        <w:rPr>
          <w:sz w:val="20"/>
          <w:szCs w:val="20"/>
          <w:color w:val="auto"/>
        </w:rPr>
      </w:pPr>
    </w:p>
    <w:p>
      <w:pPr>
        <w:jc w:val="both"/>
        <w:ind w:left="520" w:firstLine="511"/>
        <w:spacing w:after="0" w:line="288" w:lineRule="auto"/>
        <w:rPr>
          <w:sz w:val="20"/>
          <w:szCs w:val="20"/>
          <w:color w:val="auto"/>
        </w:rPr>
      </w:pPr>
      <w:r>
        <w:rPr>
          <w:rFonts w:ascii="Times New Roman" w:cs="Times New Roman" w:eastAsia="Times New Roman" w:hAnsi="Times New Roman"/>
          <w:sz w:val="14"/>
          <w:szCs w:val="14"/>
          <w:color w:val="auto"/>
        </w:rPr>
        <w:t>(2)           provide for the assumption by a successor entity of the obligations of the Company under this Indenture (as it relates to the Securities) or the Securities in accordance with Section 801 and Section 802 hereof;</w:t>
      </w:r>
    </w:p>
    <w:p>
      <w:pPr>
        <w:spacing w:after="0" w:line="122" w:lineRule="exact"/>
        <w:rPr>
          <w:sz w:val="20"/>
          <w:szCs w:val="20"/>
          <w:color w:val="auto"/>
        </w:rPr>
      </w:pPr>
    </w:p>
    <w:p>
      <w:pPr>
        <w:jc w:val="both"/>
        <w:ind w:left="520" w:firstLine="511"/>
        <w:spacing w:after="0" w:line="291" w:lineRule="auto"/>
        <w:rPr>
          <w:sz w:val="20"/>
          <w:szCs w:val="20"/>
          <w:color w:val="auto"/>
        </w:rPr>
      </w:pPr>
      <w:r>
        <w:rPr>
          <w:rFonts w:ascii="Times New Roman" w:cs="Times New Roman" w:eastAsia="Times New Roman" w:hAnsi="Times New Roman"/>
          <w:sz w:val="14"/>
          <w:szCs w:val="14"/>
          <w:color w:val="auto"/>
        </w:rPr>
        <w:t>(3)           provide for or facilitate the issuance of uncertificated Securities in addition to or in place of certificated Securities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uncertificated Securities are issued in registered form for purposes of Section 163(f) of the Code);</w:t>
      </w:r>
    </w:p>
    <w:p>
      <w:pPr>
        <w:spacing w:after="0" w:line="122" w:lineRule="exact"/>
        <w:rPr>
          <w:sz w:val="20"/>
          <w:szCs w:val="20"/>
          <w:color w:val="auto"/>
        </w:rPr>
      </w:pPr>
    </w:p>
    <w:p>
      <w:pPr>
        <w:jc w:val="both"/>
        <w:ind w:left="520" w:firstLine="511"/>
        <w:spacing w:after="0" w:line="288" w:lineRule="auto"/>
        <w:rPr>
          <w:sz w:val="20"/>
          <w:szCs w:val="20"/>
          <w:color w:val="auto"/>
        </w:rPr>
      </w:pPr>
      <w:r>
        <w:rPr>
          <w:rFonts w:ascii="Times New Roman" w:cs="Times New Roman" w:eastAsia="Times New Roman" w:hAnsi="Times New Roman"/>
          <w:sz w:val="14"/>
          <w:szCs w:val="14"/>
          <w:color w:val="auto"/>
        </w:rPr>
        <w:t>(4)           add Guarantees with respect to the Securities of any series, evidence the release of a Guarantor from its Guarantee or provide for the assumption by a successor entity of the obligations of a Guarantor in accordance with the applicable provisions of the Indenture;</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(5)           secure the Securities of any series or any Guarantee thereof;</w:t>
      </w:r>
    </w:p>
    <w:p>
      <w:pPr>
        <w:spacing w:after="0" w:line="179" w:lineRule="exact"/>
        <w:rPr>
          <w:sz w:val="20"/>
          <w:szCs w:val="20"/>
          <w:color w:val="auto"/>
        </w:rPr>
      </w:pPr>
    </w:p>
    <w:p>
      <w:pPr>
        <w:jc w:val="both"/>
        <w:ind w:left="520" w:firstLine="511"/>
        <w:spacing w:after="0" w:line="271" w:lineRule="auto"/>
        <w:rPr>
          <w:sz w:val="20"/>
          <w:szCs w:val="20"/>
          <w:color w:val="auto"/>
        </w:rPr>
      </w:pPr>
      <w:r>
        <w:rPr>
          <w:rFonts w:ascii="Times New Roman" w:cs="Times New Roman" w:eastAsia="Times New Roman" w:hAnsi="Times New Roman"/>
          <w:sz w:val="14"/>
          <w:szCs w:val="14"/>
          <w:color w:val="auto"/>
        </w:rPr>
        <w:t>(6)           add covenants of the Company or other obligor for the benefit of the Holders of all or any series of Securities under the Indenture (as it relates to such Securities) or such Securities, as the case may be, or Events of Default for the benefit of the Holders of all or any series of Securities or to make other changes that would provide additional rights to the Holders of all or any series of Securities or to surrender any right or power conferred upon the Company or other such obligor;</w:t>
      </w:r>
    </w:p>
    <w:p>
      <w:pPr>
        <w:spacing w:after="0" w:line="136" w:lineRule="exact"/>
        <w:rPr>
          <w:sz w:val="20"/>
          <w:szCs w:val="20"/>
          <w:color w:val="auto"/>
        </w:rPr>
      </w:pPr>
    </w:p>
    <w:p>
      <w:pPr>
        <w:jc w:val="both"/>
        <w:ind w:left="520" w:firstLine="511"/>
        <w:spacing w:after="0" w:line="288" w:lineRule="auto"/>
        <w:rPr>
          <w:sz w:val="20"/>
          <w:szCs w:val="20"/>
          <w:color w:val="auto"/>
        </w:rPr>
      </w:pPr>
      <w:r>
        <w:rPr>
          <w:rFonts w:ascii="Times New Roman" w:cs="Times New Roman" w:eastAsia="Times New Roman" w:hAnsi="Times New Roman"/>
          <w:sz w:val="14"/>
          <w:szCs w:val="14"/>
          <w:color w:val="auto"/>
        </w:rPr>
        <w:t>(7)           make any change that does not adversely affect the legal or contractual rights of any Holder of Securities of a series under the Indenture (as it relates to such Securities) or such Securities;</w:t>
      </w:r>
    </w:p>
    <w:p>
      <w:pPr>
        <w:spacing w:after="0" w:line="122" w:lineRule="exact"/>
        <w:rPr>
          <w:sz w:val="20"/>
          <w:szCs w:val="20"/>
          <w:color w:val="auto"/>
        </w:rPr>
      </w:pPr>
    </w:p>
    <w:p>
      <w:pPr>
        <w:jc w:val="both"/>
        <w:ind w:left="520" w:firstLine="511"/>
        <w:spacing w:after="0" w:line="291" w:lineRule="auto"/>
        <w:rPr>
          <w:sz w:val="20"/>
          <w:szCs w:val="20"/>
          <w:color w:val="auto"/>
        </w:rPr>
      </w:pPr>
      <w:r>
        <w:rPr>
          <w:rFonts w:ascii="Times New Roman" w:cs="Times New Roman" w:eastAsia="Times New Roman" w:hAnsi="Times New Roman"/>
          <w:sz w:val="14"/>
          <w:szCs w:val="14"/>
          <w:color w:val="auto"/>
        </w:rPr>
        <w:t xml:space="preserve">(8)           evidence and provide for the acceptance of an appointment under the Indenture (as it relates to the Securities) of a successor trustee;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successor trustee is otherwise qualified and eligible to act as such under the terms of the Indenture (as it relates to the Securities);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120" w:name="page121"/>
    <w:bookmarkEnd w:id="120"/>
    <w:p>
      <w:pPr>
        <w:ind w:left="1020"/>
        <w:spacing w:after="0"/>
        <w:rPr>
          <w:sz w:val="20"/>
          <w:szCs w:val="20"/>
          <w:color w:val="auto"/>
        </w:rPr>
      </w:pPr>
      <w:r>
        <w:rPr>
          <w:rFonts w:ascii="Times New Roman" w:cs="Times New Roman" w:eastAsia="Times New Roman" w:hAnsi="Times New Roman"/>
          <w:sz w:val="14"/>
          <w:szCs w:val="14"/>
          <w:color w:val="auto"/>
        </w:rPr>
        <w:t>(9)           provide for the issuance of additional Securities permitted to be issued under the Indenture (as it relates to the Securities);</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(10)         comply with the rules of any applicable securities depositary;</w:t>
      </w:r>
    </w:p>
    <w:p>
      <w:pPr>
        <w:spacing w:after="0" w:line="179" w:lineRule="exact"/>
        <w:rPr>
          <w:sz w:val="20"/>
          <w:szCs w:val="20"/>
          <w:color w:val="auto"/>
        </w:rPr>
      </w:pPr>
    </w:p>
    <w:p>
      <w:pPr>
        <w:jc w:val="both"/>
        <w:ind w:left="520" w:firstLine="511"/>
        <w:spacing w:after="0" w:line="260" w:lineRule="auto"/>
        <w:rPr>
          <w:sz w:val="20"/>
          <w:szCs w:val="20"/>
          <w:color w:val="auto"/>
        </w:rPr>
      </w:pPr>
      <w:r>
        <w:rPr>
          <w:rFonts w:ascii="Times New Roman" w:cs="Times New Roman" w:eastAsia="Times New Roman" w:hAnsi="Times New Roman"/>
          <w:sz w:val="14"/>
          <w:szCs w:val="14"/>
          <w:color w:val="auto"/>
        </w:rPr>
        <w:t>(11)         conform the text of this Indenture (as it relates to the Securities and any Guarantee), the Securities or any Guarantee to any provision of the section of the accompanying base prospectus entitled “Description of Debt Securities” or the section (or comparable section) in any offering memorandum, prospectus or prospectus supplement of the Company prepared from time to time with respect to the offer and sale of Securities of any series entitled “Description of Notes” to the extent that such provision in the “Description of Notes” or the “Description of Debt Securities” was intended to be a complete description or summary of a provision of the Indenture (as it relates to the Securities or any Guarantee), the Securities or any Guarantee, which intent shall be established by an Officer’s Certificate (other than to the extent superseded by the “Description of Debt Securities” (or comparable section) in any offering memorandum, prospectus or prospectus supplement of the Company prepared from time to time with respect to the offer and sale of Securities); or</w:t>
      </w:r>
    </w:p>
    <w:p>
      <w:pPr>
        <w:spacing w:after="0" w:line="143" w:lineRule="exact"/>
        <w:rPr>
          <w:sz w:val="20"/>
          <w:szCs w:val="20"/>
          <w:color w:val="auto"/>
        </w:rPr>
      </w:pPr>
    </w:p>
    <w:p>
      <w:pPr>
        <w:jc w:val="both"/>
        <w:ind w:left="520" w:firstLine="511"/>
        <w:spacing w:after="0" w:line="291" w:lineRule="auto"/>
        <w:rPr>
          <w:sz w:val="20"/>
          <w:szCs w:val="20"/>
          <w:color w:val="auto"/>
        </w:rPr>
      </w:pPr>
      <w:r>
        <w:rPr>
          <w:rFonts w:ascii="Times New Roman" w:cs="Times New Roman" w:eastAsia="Times New Roman" w:hAnsi="Times New Roman"/>
          <w:sz w:val="14"/>
          <w:szCs w:val="14"/>
          <w:color w:val="auto"/>
        </w:rPr>
        <w:t xml:space="preserve">(12)         make any other provisions with respect to matters or questions arising under this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action pursuant to this Clause (12) shall not adversely affect the interests of the Holders of Securities of any series in any material respect.</w:t>
      </w:r>
    </w:p>
    <w:p>
      <w:pPr>
        <w:spacing w:after="0" w:line="122"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After an amendment, supplement or waiver under the Indenture becomes effective, the Company is required to send to the Holders of Securities of an affected series a notice briefly describing such amendment, supplement or waiver. However, the failure to give such notice to all such Holders, or any defect in the notice, will not impair or affect the validity of any amendment, supplement or waiver.</w:t>
      </w:r>
    </w:p>
    <w:p>
      <w:pPr>
        <w:spacing w:after="0" w:line="136" w:lineRule="exact"/>
        <w:rPr>
          <w:sz w:val="20"/>
          <w:szCs w:val="20"/>
          <w:color w:val="auto"/>
        </w:rPr>
      </w:pPr>
    </w:p>
    <w:p>
      <w:pPr>
        <w:jc w:val="both"/>
        <w:ind w:firstLine="511"/>
        <w:spacing w:after="0" w:line="260" w:lineRule="auto"/>
        <w:rPr>
          <w:sz w:val="20"/>
          <w:szCs w:val="20"/>
          <w:color w:val="auto"/>
        </w:rPr>
      </w:pPr>
      <w:r>
        <w:rPr>
          <w:rFonts w:ascii="Times New Roman" w:cs="Times New Roman" w:eastAsia="Times New Roman" w:hAnsi="Times New Roman"/>
          <w:sz w:val="14"/>
          <w:szCs w:val="14"/>
          <w:color w:val="auto"/>
        </w:rPr>
        <w:t>Section 902         </w:t>
      </w:r>
      <w:r>
        <w:rPr>
          <w:rFonts w:ascii="Times New Roman" w:cs="Times New Roman" w:eastAsia="Times New Roman" w:hAnsi="Times New Roman"/>
          <w:sz w:val="14"/>
          <w:szCs w:val="14"/>
          <w:u w:val="single" w:color="auto"/>
          <w:color w:val="auto"/>
        </w:rPr>
        <w:t>  With Consent of Holders</w:t>
      </w:r>
      <w:r>
        <w:rPr>
          <w:rFonts w:ascii="Times New Roman" w:cs="Times New Roman" w:eastAsia="Times New Roman" w:hAnsi="Times New Roman"/>
          <w:sz w:val="14"/>
          <w:szCs w:val="14"/>
          <w:color w:val="auto"/>
        </w:rPr>
        <w:t>. Except as may otherwise be provided pursuant to Section 301 for all or any specific Securities of any series and except as set forth in Section 901 and Section 903, the Company and the Trustee may amend or supplement this Indenture (as it relates to the Securities of any series and any Guarantee) and the Securities with the consent of the Holders of a majority in principal amount of the Securities affected by such amendment or supplement then Outstanding voting as a single class (including, without limitation, consents obtained in connection with a purchase of, or tender offer or exchange offer for, such Securities) and any past default or compliance with any provisions of this Indenture (as it relates to the Securities of any series and any Guarantee) and the Securities may be waived with the consent of the Holders of a majority in principal amount of the Securities affected by such waiver then Outstanding voting as a single class (including, without limitation, consents obtained in connection with a purchase of, or tender offer or exchange offer for, such Securities).</w:t>
      </w:r>
    </w:p>
    <w:p>
      <w:pPr>
        <w:spacing w:after="0" w:line="145"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The consent of the Holders is not necessary under the Indenture to approve the particular form of any proposed amendment, supplement or waiver. It is sufficient if such consent approves the substance of the proposed amendment, supplement or waiver. A consent to any amendment, supplement or waiver under the Indenture by any Holder of Securities given in connection with a tender of such Holder’s Securities will not be rendered invalid by such tender.</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21" w:name="page122"/>
    <w:bookmarkEnd w:id="121"/>
    <w:p>
      <w:pPr>
        <w:ind w:firstLine="511"/>
        <w:spacing w:after="0" w:line="288" w:lineRule="auto"/>
        <w:rPr>
          <w:sz w:val="20"/>
          <w:szCs w:val="20"/>
          <w:color w:val="auto"/>
        </w:rPr>
      </w:pPr>
      <w:r>
        <w:rPr>
          <w:rFonts w:ascii="Times New Roman" w:cs="Times New Roman" w:eastAsia="Times New Roman" w:hAnsi="Times New Roman"/>
          <w:sz w:val="14"/>
          <w:szCs w:val="14"/>
          <w:color w:val="auto"/>
        </w:rPr>
        <w:t>Section 903         </w:t>
      </w:r>
      <w:r>
        <w:rPr>
          <w:rFonts w:ascii="Times New Roman" w:cs="Times New Roman" w:eastAsia="Times New Roman" w:hAnsi="Times New Roman"/>
          <w:sz w:val="14"/>
          <w:szCs w:val="14"/>
          <w:u w:val="single" w:color="auto"/>
          <w:color w:val="auto"/>
        </w:rPr>
        <w:t>  Limitations</w:t>
      </w:r>
      <w:r>
        <w:rPr>
          <w:rFonts w:ascii="Times New Roman" w:cs="Times New Roman" w:eastAsia="Times New Roman" w:hAnsi="Times New Roman"/>
          <w:sz w:val="14"/>
          <w:szCs w:val="14"/>
          <w:color w:val="auto"/>
        </w:rPr>
        <w:t>. Notwithstanding Section 902, without the consent of each Holder of an Outstanding Security affected thereby, no amendment, supplement or waiver may (with respect to any Securities held by a non-consenting Holder):</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reduce the principal amount of Securities of any series whose Holders must consent to an amendment, supplement or waiver;</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reduce the stated rate of interest or extend the stated time for payment of interest on any Security;</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(3)           reduce the principal of or extend the Stated Maturity of any Security;</w:t>
      </w:r>
    </w:p>
    <w:p>
      <w:pPr>
        <w:spacing w:after="0" w:line="179" w:lineRule="exact"/>
        <w:rPr>
          <w:sz w:val="20"/>
          <w:szCs w:val="20"/>
          <w:color w:val="auto"/>
        </w:rPr>
      </w:pPr>
    </w:p>
    <w:p>
      <w:pPr>
        <w:jc w:val="both"/>
        <w:ind w:left="520" w:firstLine="511"/>
        <w:spacing w:after="0" w:line="271" w:lineRule="auto"/>
        <w:rPr>
          <w:sz w:val="20"/>
          <w:szCs w:val="20"/>
          <w:color w:val="auto"/>
        </w:rPr>
      </w:pPr>
      <w:r>
        <w:rPr>
          <w:rFonts w:ascii="Times New Roman" w:cs="Times New Roman" w:eastAsia="Times New Roman" w:hAnsi="Times New Roman"/>
          <w:sz w:val="14"/>
          <w:szCs w:val="14"/>
          <w:color w:val="auto"/>
        </w:rPr>
        <w:t>(4)           waive a Default or Event of Default in the payment of principal of, premium, if any, or interest on the Securities (except a rescission of acceleration of the Securities by Holders of a majority in aggregate principal amount of the then outstanding Securities with respect to a nonpayment default and a waiver of the payment default that resulted from such acceleration);</w:t>
      </w:r>
    </w:p>
    <w:p>
      <w:pPr>
        <w:spacing w:after="0" w:line="136" w:lineRule="exact"/>
        <w:rPr>
          <w:sz w:val="20"/>
          <w:szCs w:val="20"/>
          <w:color w:val="auto"/>
        </w:rPr>
      </w:pPr>
    </w:p>
    <w:p>
      <w:pPr>
        <w:jc w:val="both"/>
        <w:ind w:left="520" w:firstLine="511"/>
        <w:spacing w:after="0" w:line="288" w:lineRule="auto"/>
        <w:rPr>
          <w:sz w:val="20"/>
          <w:szCs w:val="20"/>
          <w:color w:val="auto"/>
        </w:rPr>
      </w:pPr>
      <w:r>
        <w:rPr>
          <w:rFonts w:ascii="Times New Roman" w:cs="Times New Roman" w:eastAsia="Times New Roman" w:hAnsi="Times New Roman"/>
          <w:sz w:val="14"/>
          <w:szCs w:val="14"/>
          <w:color w:val="auto"/>
        </w:rPr>
        <w:t>(5)           reduce the premium payable upon the redemption of any Security or change the time at which any Security may be redeemed as described under Article III, whether through an amendment or waiver of Article III, related definitions or otherwise;</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(6)           make any Security payable in money other than that stated in the Security;</w:t>
      </w:r>
    </w:p>
    <w:p>
      <w:pPr>
        <w:spacing w:after="0" w:line="179" w:lineRule="exact"/>
        <w:rPr>
          <w:sz w:val="20"/>
          <w:szCs w:val="20"/>
          <w:color w:val="auto"/>
        </w:rPr>
      </w:pPr>
    </w:p>
    <w:p>
      <w:pPr>
        <w:jc w:val="both"/>
        <w:ind w:left="520" w:firstLine="511"/>
        <w:spacing w:after="0" w:line="288" w:lineRule="auto"/>
        <w:rPr>
          <w:sz w:val="20"/>
          <w:szCs w:val="20"/>
          <w:color w:val="auto"/>
        </w:rPr>
      </w:pPr>
      <w:r>
        <w:rPr>
          <w:rFonts w:ascii="Times New Roman" w:cs="Times New Roman" w:eastAsia="Times New Roman" w:hAnsi="Times New Roman"/>
          <w:sz w:val="14"/>
          <w:szCs w:val="14"/>
          <w:color w:val="auto"/>
        </w:rPr>
        <w:t>(7)           impair the right of any Holder to receive payment of principal, premium, if any, and interest on such Holder’s Securities on or after the due dates therefor or to institute suit for the enforcement of any payment on or with respect to such Holder’s Securities;</w:t>
      </w:r>
    </w:p>
    <w:p>
      <w:pPr>
        <w:spacing w:after="0" w:line="124" w:lineRule="exact"/>
        <w:rPr>
          <w:sz w:val="20"/>
          <w:szCs w:val="20"/>
          <w:color w:val="auto"/>
        </w:rPr>
      </w:pPr>
    </w:p>
    <w:p>
      <w:pPr>
        <w:jc w:val="both"/>
        <w:ind w:left="520" w:firstLine="511"/>
        <w:spacing w:after="0" w:line="288" w:lineRule="auto"/>
        <w:rPr>
          <w:sz w:val="20"/>
          <w:szCs w:val="20"/>
          <w:color w:val="auto"/>
        </w:rPr>
      </w:pPr>
      <w:r>
        <w:rPr>
          <w:rFonts w:ascii="Times New Roman" w:cs="Times New Roman" w:eastAsia="Times New Roman" w:hAnsi="Times New Roman"/>
          <w:sz w:val="14"/>
          <w:szCs w:val="14"/>
          <w:color w:val="auto"/>
        </w:rPr>
        <w:t>(8)           modify any Guarantee by (i) Viper Energy or (ii) otherwise required to be provided pursuant to the supplemental indenture in respect of such series of the Securities, in any manner adverse to the Holders of the Securities; or</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(9)           make any change in the amendment or waiver provisions that require each Holder’s consent.</w:t>
      </w:r>
    </w:p>
    <w:p>
      <w:pPr>
        <w:spacing w:after="0" w:line="179"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Section 904         </w:t>
      </w:r>
      <w:r>
        <w:rPr>
          <w:rFonts w:ascii="Times New Roman" w:cs="Times New Roman" w:eastAsia="Times New Roman" w:hAnsi="Times New Roman"/>
          <w:sz w:val="14"/>
          <w:szCs w:val="14"/>
          <w:u w:val="single" w:color="auto"/>
          <w:color w:val="auto"/>
        </w:rPr>
        <w:t>  Effect of Supplemental Indentures</w:t>
      </w:r>
      <w:r>
        <w:rPr>
          <w:rFonts w:ascii="Times New Roman" w:cs="Times New Roman" w:eastAsia="Times New Roman" w:hAnsi="Times New Roman"/>
          <w:sz w:val="14"/>
          <w:szCs w:val="14"/>
          <w:color w:val="auto"/>
        </w:rPr>
        <w:t>. Upon the execution of any supplemental indenture under this Article IX, this Indenture shall be modified in accordance therewith, and such supplemental indenture shall form a part of the Indenture for all purposes; and, subject to Section 903, every Holder of Securities theretofore or thereafter authenticated and delivered hereunder shall be bound thereby.</w:t>
      </w:r>
    </w:p>
    <w:p>
      <w:pPr>
        <w:spacing w:after="0" w:line="136"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Section 905         </w:t>
      </w:r>
      <w:r>
        <w:rPr>
          <w:rFonts w:ascii="Times New Roman" w:cs="Times New Roman" w:eastAsia="Times New Roman" w:hAnsi="Times New Roman"/>
          <w:sz w:val="14"/>
          <w:szCs w:val="14"/>
          <w:u w:val="single" w:color="auto"/>
          <w:color w:val="auto"/>
        </w:rPr>
        <w:t>  Compliance with Trust Indenture Act</w:t>
      </w:r>
      <w:r>
        <w:rPr>
          <w:rFonts w:ascii="Times New Roman" w:cs="Times New Roman" w:eastAsia="Times New Roman" w:hAnsi="Times New Roman"/>
          <w:sz w:val="14"/>
          <w:szCs w:val="14"/>
          <w:color w:val="auto"/>
        </w:rPr>
        <w:t>. Every amendment to this Indenture (as it relates to the Securities) or the Securities shall be set forth in a supplemental indenture hereto that complies with the Trust Indenture Act as then in effect. The Trustee shall have no responsibility or liability for whether this Indenture, the Securities, or any amendment to any of them complies with the Trust Indenture Act or the Company’s compliance with the Trust Indenture Act.</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22" w:name="page123"/>
    <w:bookmarkEnd w:id="122"/>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Section 906         </w:t>
      </w:r>
      <w:r>
        <w:rPr>
          <w:rFonts w:ascii="Times New Roman" w:cs="Times New Roman" w:eastAsia="Times New Roman" w:hAnsi="Times New Roman"/>
          <w:sz w:val="14"/>
          <w:szCs w:val="14"/>
          <w:u w:val="single" w:color="auto"/>
          <w:color w:val="auto"/>
        </w:rPr>
        <w:t>  Reference in Securities to Supplemental Indentures</w:t>
      </w:r>
      <w:r>
        <w:rPr>
          <w:rFonts w:ascii="Times New Roman" w:cs="Times New Roman" w:eastAsia="Times New Roman" w:hAnsi="Times New Roman"/>
          <w:sz w:val="14"/>
          <w:szCs w:val="14"/>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if applicable, the Guarantors and authenticated and delivered by the Trustee in exchange for Outstanding Securities of such series.</w:t>
      </w:r>
    </w:p>
    <w:p>
      <w:pPr>
        <w:spacing w:after="0" w:line="140"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Section 907         </w:t>
      </w:r>
      <w:r>
        <w:rPr>
          <w:rFonts w:ascii="Times New Roman" w:cs="Times New Roman" w:eastAsia="Times New Roman" w:hAnsi="Times New Roman"/>
          <w:sz w:val="14"/>
          <w:szCs w:val="14"/>
          <w:u w:val="single" w:color="auto"/>
          <w:color w:val="auto"/>
        </w:rPr>
        <w:t>  Revocation and Effect of Consents</w:t>
      </w:r>
      <w:r>
        <w:rPr>
          <w:rFonts w:ascii="Times New Roman" w:cs="Times New Roman" w:eastAsia="Times New Roman" w:hAnsi="Times New Roman"/>
          <w:sz w:val="14"/>
          <w:szCs w:val="14"/>
          <w:color w:val="auto"/>
        </w:rPr>
        <w:t>. Until an amendment, supplement or waiver becomes effective, a consent to it by a Holder of Securities is a continuing consent by the Holder and every subsequent Holder of the Securities or portion of such Securities that evidences the same debt as the consenting Holder’s Security or Securities, even if notation of the consent is not made on any such Security. However, any such Holder or subsequent Holder may revoke the consent as to its Securities or portion of such Securities if the Trustee receives the notice of revocation before the date the amendment, supplement or waiver becomes effective.</w:t>
      </w:r>
    </w:p>
    <w:p>
      <w:pPr>
        <w:spacing w:after="0" w:line="140"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Any amendment or waiver in respect of the Securities once effective shall bind every Holder of Securities affected by such amendment or waiver unless it is of the type described in any of the clauses of Section 903. In that case, the amendment or waiver shall bind each Holder of a Security who has consented to it and every subsequent Holder of a Security or portion of a Security that evidences the same debt as the consenting Holder’s Security.</w:t>
      </w:r>
    </w:p>
    <w:p>
      <w:pPr>
        <w:spacing w:after="0" w:line="136"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The Company may, but shall not be obligated to, fix a record date for the purpose of determining the Holders entitled to give their consent or take any other action described above or required or permitted to be taken pursuant to this Indenture (as it relates to the Securities). If a record date is fixed, then notwithstanding the immediately preceding paragraph, those Persons who were Holders of Securities at such record date (or their duly designated proxies), and only those Persons, shall be entitled to give such consent or to revoke any consent previously given or to take any such action, whether or not such Persons continue to be Holders of Securities after such record date.</w:t>
      </w:r>
    </w:p>
    <w:p>
      <w:pPr>
        <w:spacing w:after="0" w:line="140"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Section 908         </w:t>
      </w:r>
      <w:r>
        <w:rPr>
          <w:rFonts w:ascii="Times New Roman" w:cs="Times New Roman" w:eastAsia="Times New Roman" w:hAnsi="Times New Roman"/>
          <w:sz w:val="14"/>
          <w:szCs w:val="14"/>
          <w:u w:val="single" w:color="auto"/>
          <w:color w:val="auto"/>
        </w:rPr>
        <w:t>  Notation on or Exchange of Securities.</w:t>
      </w:r>
      <w:r>
        <w:rPr>
          <w:rFonts w:ascii="Times New Roman" w:cs="Times New Roman" w:eastAsia="Times New Roman" w:hAnsi="Times New Roman"/>
          <w:sz w:val="14"/>
          <w:szCs w:val="14"/>
          <w:color w:val="auto"/>
        </w:rPr>
        <w:t xml:space="preserve"> The Trustee may place an appropriate notation about an amendment or waiver on the Securities. The Company in exchange for the Securities may issue and the Trustee shall authenticate upon written request new Securities that reflect the amendment or waiver.</w:t>
      </w:r>
    </w:p>
    <w:p>
      <w:pPr>
        <w:spacing w:after="0" w:line="124"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Section 909         </w:t>
      </w:r>
      <w:r>
        <w:rPr>
          <w:rFonts w:ascii="Times New Roman" w:cs="Times New Roman" w:eastAsia="Times New Roman" w:hAnsi="Times New Roman"/>
          <w:sz w:val="14"/>
          <w:szCs w:val="14"/>
          <w:u w:val="single" w:color="auto"/>
          <w:color w:val="auto"/>
        </w:rPr>
        <w:t>  Trustee to Sign Amendments</w:t>
      </w:r>
      <w:r>
        <w:rPr>
          <w:rFonts w:ascii="Times New Roman" w:cs="Times New Roman" w:eastAsia="Times New Roman" w:hAnsi="Times New Roman"/>
          <w:sz w:val="14"/>
          <w:szCs w:val="14"/>
          <w:color w:val="auto"/>
        </w:rPr>
        <w:t>. The Trustee will sign any amended or supplemental indenture authorized pursuant to this Article IX if the amendment or supplement does not adversely affect the rights, duties, liabilities or immunities of the Trustee. In executing any amended or supplemental indenture, the Trustee will be entitled to receive and (subject to Section 601 hereof) will be fully protected in relying upon, in addition to the documents required by Section 102 hereof, an Officers’ Certificate and an Opinion of Counsel stating that the execution of such amended or supplemental indenture is authorized or permitted by this Indenture.</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4"/>
          <w:szCs w:val="14"/>
          <w:b w:val="1"/>
          <w:bCs w:val="1"/>
          <w:color w:val="auto"/>
        </w:rPr>
        <w:t>ARTICLE 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65"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Section 1001        </w:t>
      </w:r>
      <w:r>
        <w:rPr>
          <w:rFonts w:ascii="Times New Roman" w:cs="Times New Roman" w:eastAsia="Times New Roman" w:hAnsi="Times New Roman"/>
          <w:sz w:val="14"/>
          <w:szCs w:val="14"/>
          <w:u w:val="single" w:color="auto"/>
          <w:color w:val="auto"/>
        </w:rPr>
        <w:t>  Payment of Principal, Premium and Interest</w:t>
      </w:r>
      <w:r>
        <w:rPr>
          <w:rFonts w:ascii="Times New Roman" w:cs="Times New Roman" w:eastAsia="Times New Roman" w:hAnsi="Times New Roman"/>
          <w:sz w:val="14"/>
          <w:szCs w:val="14"/>
          <w:color w:val="auto"/>
        </w:rPr>
        <w:t>. 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124" w:lineRule="exact"/>
        <w:rPr>
          <w:sz w:val="20"/>
          <w:szCs w:val="20"/>
          <w:color w:val="auto"/>
        </w:rPr>
      </w:pPr>
    </w:p>
    <w:p>
      <w:pPr>
        <w:jc w:val="both"/>
        <w:ind w:firstLine="511"/>
        <w:spacing w:after="0" w:line="259" w:lineRule="auto"/>
        <w:rPr>
          <w:sz w:val="20"/>
          <w:szCs w:val="20"/>
          <w:color w:val="auto"/>
        </w:rPr>
      </w:pPr>
      <w:r>
        <w:rPr>
          <w:rFonts w:ascii="Times New Roman" w:cs="Times New Roman" w:eastAsia="Times New Roman" w:hAnsi="Times New Roman"/>
          <w:sz w:val="14"/>
          <w:szCs w:val="14"/>
          <w:color w:val="auto"/>
        </w:rPr>
        <w:t>Section 1002        </w:t>
      </w:r>
      <w:r>
        <w:rPr>
          <w:rFonts w:ascii="Times New Roman" w:cs="Times New Roman" w:eastAsia="Times New Roman" w:hAnsi="Times New Roman"/>
          <w:sz w:val="14"/>
          <w:szCs w:val="14"/>
          <w:u w:val="single" w:color="auto"/>
          <w:color w:val="auto"/>
        </w:rPr>
        <w:t>  Maintenance of Office or Agency</w:t>
      </w:r>
      <w:r>
        <w:rPr>
          <w:rFonts w:ascii="Times New Roman" w:cs="Times New Roman" w:eastAsia="Times New Roman" w:hAnsi="Times New Roman"/>
          <w:sz w:val="14"/>
          <w:szCs w:val="14"/>
          <w:color w:val="auto"/>
        </w:rPr>
        <w:t>. 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may be surrendered for conversion and where notices and demands to or upon the Company or any Guarantor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and each Guarantor hereby appoints the Trustee as its agent to receive all such presentations, surrenders, notices and demands; provided the Corporate Trust Office of the Trustee shall not be an office or agency of the Company or any Guarantor for the purpose of effecting service of legal process on the Company or any Guarantor.</w:t>
      </w:r>
    </w:p>
    <w:p>
      <w:pPr>
        <w:spacing w:after="0" w:line="146"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(including the Company or any affiliate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40"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With respect to any Global Security, and except as otherwise may be specified for such Global Security as contemplated by Section 301, the Corporate Trust Office of the Trustee shall be the Place of Payment where such Global Security may be presented or surrendered for payment or for registration of transfer or exchange, or where successor Securities may be delivered in exchange therefor; provided, however, that any such payment, presentation, surrender or delivery effected pursuant to the Applicable Procedures of the Depositary for such Global Security shall be deemed to have been effected at the Place of Payment for such Global Security in accordance with the provisions of this Indenture.</w:t>
      </w:r>
    </w:p>
    <w:p>
      <w:pPr>
        <w:spacing w:after="0" w:line="140"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Section 1003        </w:t>
      </w:r>
      <w:r>
        <w:rPr>
          <w:rFonts w:ascii="Times New Roman" w:cs="Times New Roman" w:eastAsia="Times New Roman" w:hAnsi="Times New Roman"/>
          <w:sz w:val="14"/>
          <w:szCs w:val="14"/>
          <w:u w:val="single" w:color="auto"/>
          <w:color w:val="auto"/>
        </w:rPr>
        <w:t>  Money for Securities Payments to Be Held in Trust</w:t>
      </w:r>
      <w:r>
        <w:rPr>
          <w:rFonts w:ascii="Times New Roman" w:cs="Times New Roman" w:eastAsia="Times New Roman" w:hAnsi="Times New Roman"/>
          <w:sz w:val="14"/>
          <w:szCs w:val="14"/>
          <w:color w:val="auto"/>
        </w:rPr>
        <w:t>. 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in writing of its action or failure so to act.</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124" w:name="page125"/>
    <w:bookmarkEnd w:id="124"/>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Whenever the Company shall have one or more Paying Agents for any series of Securities, it will, on or prior to 12:30 P.M., New York City time (subject to the Applicable Procedures of the Depositary), on each due date of the principal of or any premium or interest on any Securities of that series, deposit (or, if the Company has deposited any trust funds with a trustee pursuant to Section 1304(1), cause such trustee to deposit) with a Paying Agent a sum sufficient to pay such amount, such sum to be held as provided by the Trust Indenture Act, and (unless such Paying Agent is the Trustee) the Company will promptly notify the Trustee in writing of its action or failure so to act.</w:t>
      </w:r>
    </w:p>
    <w:p>
      <w:pPr>
        <w:spacing w:after="0" w:line="140"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The Company will cause each Paying Agent for any series of Securities other than the Trustee to execute and deliver to the Trustee an instrument in which such Paying Agent shall agree with the Trustee, subject to the provisions of this Section 1003,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40"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36"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subject to applicable escheatment laws,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1004       </w:t>
      </w:r>
      <w:r>
        <w:rPr>
          <w:rFonts w:ascii="Times New Roman" w:cs="Times New Roman" w:eastAsia="Times New Roman" w:hAnsi="Times New Roman"/>
          <w:sz w:val="14"/>
          <w:szCs w:val="14"/>
          <w:u w:val="single" w:color="auto"/>
          <w:color w:val="auto"/>
        </w:rPr>
        <w:t>  [Reserved]</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1005       </w:t>
      </w:r>
      <w:r>
        <w:rPr>
          <w:rFonts w:ascii="Times New Roman" w:cs="Times New Roman" w:eastAsia="Times New Roman" w:hAnsi="Times New Roman"/>
          <w:sz w:val="14"/>
          <w:szCs w:val="14"/>
          <w:u w:val="single" w:color="auto"/>
          <w:color w:val="auto"/>
        </w:rPr>
        <w:t>  [Reserved]</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firstLine="511"/>
        <w:spacing w:after="0" w:line="257" w:lineRule="auto"/>
        <w:rPr>
          <w:sz w:val="20"/>
          <w:szCs w:val="20"/>
          <w:color w:val="auto"/>
        </w:rPr>
      </w:pPr>
      <w:r>
        <w:rPr>
          <w:rFonts w:ascii="Times New Roman" w:cs="Times New Roman" w:eastAsia="Times New Roman" w:hAnsi="Times New Roman"/>
          <w:sz w:val="14"/>
          <w:szCs w:val="14"/>
          <w:color w:val="auto"/>
        </w:rPr>
        <w:t>Section 1006        </w:t>
      </w:r>
      <w:r>
        <w:rPr>
          <w:rFonts w:ascii="Times New Roman" w:cs="Times New Roman" w:eastAsia="Times New Roman" w:hAnsi="Times New Roman"/>
          <w:sz w:val="14"/>
          <w:szCs w:val="14"/>
          <w:u w:val="single" w:color="auto"/>
          <w:color w:val="auto"/>
        </w:rPr>
        <w:t>  Waiver of Certain Covenants</w:t>
      </w:r>
      <w:r>
        <w:rPr>
          <w:rFonts w:ascii="Times New Roman" w:cs="Times New Roman" w:eastAsia="Times New Roman" w:hAnsi="Times New Roman"/>
          <w:sz w:val="14"/>
          <w:szCs w:val="14"/>
          <w:color w:val="auto"/>
        </w:rPr>
        <w:t>. Except as otherwise provided pursuant to Section 301 for all or any Securities of any series, the Company may, with respect to all or any Securities of any series, omit in any particular instance to comply with any covenant, term, provision or condition set forth in this Indenture for the benefit of the Holders of such series if, before the time for such compliance, the Holders of a majority in principal amount (including waivers obtained in connection with a purchase of, or tender offer or exchange offer for, Securities) of all Outstanding Securities affected by such waiver (considered together as one class for this purpose and such affected Securities potentially being Securities of the same or different series and, with respect to any particular series, potentially comprising fewer than all the Securities of such series) shall, by Act of such Holders, either waive such compliance in such instance or generally waive compliance with such covenant, term, provision or condition, but no such waiver shall extend to or affect such covenant, term, provision or condition except to the extent so expressly waived, and, until such waiver shall become effective, the obligations of the Company and the duties of the Trustee in respect of any such covenant, term, provision or condition shall remain in full force and effect, and no such waiver may be granted if a waiver of a past default under such covenant, term, provision or condition could not be granted pursuant to Section 513 or if such waiver would be prohibited by Section 508. A waiver of compliance given by or on behalf of any Holder of Securities in connection with a purchase of, or tender or exchange offer for, such Holder’s Securities will not be rendered invalid by such purchase, tender or exchange.</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4"/>
          <w:szCs w:val="14"/>
          <w:b w:val="1"/>
          <w:bCs w:val="1"/>
          <w:color w:val="auto"/>
        </w:rPr>
        <w:t>ARTICLE XI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REDEMPTION OF SECURITIES</w:t>
      </w:r>
    </w:p>
    <w:p>
      <w:pPr>
        <w:spacing w:after="0" w:line="165"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Section 1101        </w:t>
      </w:r>
      <w:r>
        <w:rPr>
          <w:rFonts w:ascii="Times New Roman" w:cs="Times New Roman" w:eastAsia="Times New Roman" w:hAnsi="Times New Roman"/>
          <w:sz w:val="14"/>
          <w:szCs w:val="14"/>
          <w:u w:val="single" w:color="auto"/>
          <w:color w:val="auto"/>
        </w:rPr>
        <w:t>  Applicability of Article</w:t>
      </w:r>
      <w:r>
        <w:rPr>
          <w:rFonts w:ascii="Times New Roman" w:cs="Times New Roman" w:eastAsia="Times New Roman" w:hAnsi="Times New Roman"/>
          <w:sz w:val="14"/>
          <w:szCs w:val="14"/>
          <w:color w:val="auto"/>
        </w:rPr>
        <w:t>. Securities of any series that are redeemable before their Stated Maturity shall be redeemable in accordance with their terms and (except as otherwise specified as contemplated by Section 301 for such Securities) in accordance with this Article.</w:t>
      </w:r>
    </w:p>
    <w:p>
      <w:pPr>
        <w:spacing w:after="0" w:line="124" w:lineRule="exact"/>
        <w:rPr>
          <w:sz w:val="20"/>
          <w:szCs w:val="20"/>
          <w:color w:val="auto"/>
        </w:rPr>
      </w:pPr>
    </w:p>
    <w:p>
      <w:pPr>
        <w:jc w:val="both"/>
        <w:ind w:firstLine="511"/>
        <w:spacing w:after="0" w:line="259" w:lineRule="auto"/>
        <w:rPr>
          <w:sz w:val="20"/>
          <w:szCs w:val="20"/>
          <w:color w:val="auto"/>
        </w:rPr>
      </w:pPr>
      <w:r>
        <w:rPr>
          <w:rFonts w:ascii="Times New Roman" w:cs="Times New Roman" w:eastAsia="Times New Roman" w:hAnsi="Times New Roman"/>
          <w:sz w:val="14"/>
          <w:szCs w:val="14"/>
          <w:color w:val="auto"/>
        </w:rPr>
        <w:t>Section 1102        </w:t>
      </w:r>
      <w:r>
        <w:rPr>
          <w:rFonts w:ascii="Times New Roman" w:cs="Times New Roman" w:eastAsia="Times New Roman" w:hAnsi="Times New Roman"/>
          <w:sz w:val="14"/>
          <w:szCs w:val="14"/>
          <w:u w:val="single" w:color="auto"/>
          <w:color w:val="auto"/>
        </w:rPr>
        <w:t>  Election to Redeem; Notice to Trustee</w:t>
      </w:r>
      <w:r>
        <w:rPr>
          <w:rFonts w:ascii="Times New Roman" w:cs="Times New Roman" w:eastAsia="Times New Roman" w:hAnsi="Times New Roman"/>
          <w:sz w:val="14"/>
          <w:szCs w:val="14"/>
          <w:color w:val="auto"/>
        </w:rPr>
        <w:t>. The election of the Company to redeem any Securities shall be established in or pursuant to a Board Resolution or in another manner specified as contemplated by Section 301 for such Securities. If the Company elects to redeem any Securities, the Company shall, at least 5 Business Days prior to the giving of notice of redemption (unless a shorter notice shall be satisfactory to the Trustee), give written notice to the Trustee setting forth (i) the clause of this Indenture pursuant to which the redemption shall occur, (ii) the Redemption Date, (iii) the principal amount of Securities to be redeemed, (iv) the Redemption Price and (v) whether the Company requests the Trustee to give notice of such redemption. In the case of any redemption of Securities (1) prior to the expiration of any restriction on such redemption provided in the terms of such Securities or elsewhere in this Indenture, or (2) pursuant to an election of the Company that is subject to a condition specified in the terms of the Securities of the series to be redeemed, the Company shall furnish the Trustee with an Officer’s Certificate evidencing compliance with such restriction or condition. Redemptions may be conditioned upon the occurrence of conditions precedent with respect to the redemption.</w:t>
      </w:r>
    </w:p>
    <w:p>
      <w:pPr>
        <w:spacing w:after="0" w:line="146" w:lineRule="exact"/>
        <w:rPr>
          <w:sz w:val="20"/>
          <w:szCs w:val="20"/>
          <w:color w:val="auto"/>
        </w:rPr>
      </w:pPr>
    </w:p>
    <w:p>
      <w:pPr>
        <w:jc w:val="both"/>
        <w:ind w:firstLine="511"/>
        <w:spacing w:after="0" w:line="259" w:lineRule="auto"/>
        <w:rPr>
          <w:sz w:val="20"/>
          <w:szCs w:val="20"/>
          <w:color w:val="auto"/>
        </w:rPr>
      </w:pPr>
      <w:r>
        <w:rPr>
          <w:rFonts w:ascii="Times New Roman" w:cs="Times New Roman" w:eastAsia="Times New Roman" w:hAnsi="Times New Roman"/>
          <w:sz w:val="14"/>
          <w:szCs w:val="14"/>
          <w:color w:val="auto"/>
        </w:rPr>
        <w:t>Section 1103        </w:t>
      </w:r>
      <w:r>
        <w:rPr>
          <w:rFonts w:ascii="Times New Roman" w:cs="Times New Roman" w:eastAsia="Times New Roman" w:hAnsi="Times New Roman"/>
          <w:sz w:val="14"/>
          <w:szCs w:val="14"/>
          <w:u w:val="single" w:color="auto"/>
          <w:color w:val="auto"/>
        </w:rPr>
        <w:t>  Selection by Trustee of Securities to Be Redeemed</w:t>
      </w:r>
      <w:r>
        <w:rPr>
          <w:rFonts w:ascii="Times New Roman" w:cs="Times New Roman" w:eastAsia="Times New Roman" w:hAnsi="Times New Roman"/>
          <w:sz w:val="14"/>
          <w:szCs w:val="14"/>
          <w:color w:val="auto"/>
        </w:rPr>
        <w:t xml:space="preserve">. 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40 days prior to the Redemption Date by the Trustee, from the Outstanding Securities of such series not previously called for redemption, on a pro rata basis or by lot (or when the Securities are Global Securities, selected pursuant to the Applicable Procedures of the Depositary) and which may provide for the selection for redemption of a portion of the principal amount of any Security of such series,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40 days prior to the Redemption Date by the Trustee, from the Outstanding Securities of such series and specified tenor not previously called for redemption in accordance with the preceding sentence.</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126" w:name="page127"/>
    <w:bookmarkEnd w:id="126"/>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If any Security selected for partial redemption is converted in part before termination of the conversion right with respect to the portion of the Security so selected, the converted portion of such Security shall be deemed (so far as it may be) to be the portion selected for redemption. Securities that have been converted during a selection of Securities to be redeemed shall be treated by the Trustee as Outstanding for the purpose of such selection.</w:t>
      </w:r>
    </w:p>
    <w:p>
      <w:pPr>
        <w:spacing w:after="0" w:line="136"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The Trustee shall promptly notify the Company and each Security Registrar in writing of the Securities selected for redemption as aforesaid and, in case of any Securities selected for partial redemption as aforesaid, the principal amount thereof to be redeemed.</w:t>
      </w:r>
    </w:p>
    <w:p>
      <w:pPr>
        <w:spacing w:after="0" w:line="124"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36"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that has been or is to be redeemed.</w:t>
      </w:r>
    </w:p>
    <w:p>
      <w:pPr>
        <w:spacing w:after="0" w:line="124" w:lineRule="exact"/>
        <w:rPr>
          <w:sz w:val="20"/>
          <w:szCs w:val="20"/>
          <w:color w:val="auto"/>
        </w:rPr>
      </w:pPr>
    </w:p>
    <w:p>
      <w:pPr>
        <w:jc w:val="both"/>
        <w:ind w:firstLine="511"/>
        <w:spacing w:after="0" w:line="262" w:lineRule="auto"/>
        <w:rPr>
          <w:sz w:val="20"/>
          <w:szCs w:val="20"/>
          <w:color w:val="auto"/>
        </w:rPr>
      </w:pPr>
      <w:r>
        <w:rPr>
          <w:rFonts w:ascii="Times New Roman" w:cs="Times New Roman" w:eastAsia="Times New Roman" w:hAnsi="Times New Roman"/>
          <w:sz w:val="14"/>
          <w:szCs w:val="14"/>
          <w:color w:val="auto"/>
        </w:rPr>
        <w:t>Section 1104        </w:t>
      </w:r>
      <w:r>
        <w:rPr>
          <w:rFonts w:ascii="Times New Roman" w:cs="Times New Roman" w:eastAsia="Times New Roman" w:hAnsi="Times New Roman"/>
          <w:sz w:val="14"/>
          <w:szCs w:val="14"/>
          <w:u w:val="single" w:color="auto"/>
          <w:color w:val="auto"/>
        </w:rPr>
        <w:t>  Notice of Redemption</w:t>
      </w:r>
      <w:r>
        <w:rPr>
          <w:rFonts w:ascii="Times New Roman" w:cs="Times New Roman" w:eastAsia="Times New Roman" w:hAnsi="Times New Roman"/>
          <w:sz w:val="14"/>
          <w:szCs w:val="14"/>
          <w:color w:val="auto"/>
        </w:rPr>
        <w:t>. Notice of any redemption will be mailed or electronically delivered (or otherwise transmitted in accordance with the Depositary’s Applicable Procedures) in the manner provided in Section 106 hereof at least 10 days but not more than 60 days before the Redemption Date (or within such period as otherwise specified as contemplated by Section 301 for the relevant Securities) to each Holder of Securities to be redeemed. Notwithstanding anything herein to the contrary, notices may be sent more than 60 days prior to a Redemption Date if the notice is issued in connection with a Covenant Defeasance or Defeasance with respect to the relevant Securities or a satisfaction and discharge of the Indenture with respect to the relevant Securities or in accordance with the third paragraph of this Section 1104.</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notices of redemption shall identify the Securities to be redeemed (including CUSIP numbers, if any) and shall state:</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the Redemption Date,</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the Redemption Price,</w:t>
      </w:r>
    </w:p>
    <w:p>
      <w:pPr>
        <w:spacing w:after="0" w:line="179" w:lineRule="exact"/>
        <w:rPr>
          <w:sz w:val="20"/>
          <w:szCs w:val="20"/>
          <w:color w:val="auto"/>
        </w:rPr>
      </w:pPr>
    </w:p>
    <w:p>
      <w:pPr>
        <w:jc w:val="both"/>
        <w:ind w:left="520" w:firstLine="511"/>
        <w:spacing w:after="0" w:line="271" w:lineRule="auto"/>
        <w:rPr>
          <w:sz w:val="20"/>
          <w:szCs w:val="20"/>
          <w:color w:val="auto"/>
        </w:rPr>
      </w:pPr>
      <w:r>
        <w:rPr>
          <w:rFonts w:ascii="Times New Roman" w:cs="Times New Roman" w:eastAsia="Times New Roman" w:hAnsi="Times New Roman"/>
          <w:sz w:val="14"/>
          <w:szCs w:val="14"/>
          <w:color w:val="auto"/>
        </w:rPr>
        <w:t>(3)           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27" w:name="page128"/>
    <w:bookmarkEnd w:id="127"/>
    <w:p>
      <w:pPr>
        <w:ind w:left="520" w:firstLine="511"/>
        <w:spacing w:after="0" w:line="288" w:lineRule="auto"/>
        <w:rPr>
          <w:sz w:val="20"/>
          <w:szCs w:val="20"/>
          <w:color w:val="auto"/>
        </w:rPr>
      </w:pPr>
      <w:r>
        <w:rPr>
          <w:rFonts w:ascii="Times New Roman" w:cs="Times New Roman" w:eastAsia="Times New Roman" w:hAnsi="Times New Roman"/>
          <w:sz w:val="14"/>
          <w:szCs w:val="14"/>
          <w:color w:val="auto"/>
        </w:rPr>
        <w:t>(4)           that on the Redemption Date the Redemption Price will become due and payable upon each such Security to be redeemed and, if applicable, that interest thereon will cease to accrue on and after said date,</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(5)           the place or places where each such Security is to be surrendered for payment of the Redemption Price,</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(6)           the conditions precedent for the redemption, if any,</w:t>
      </w:r>
    </w:p>
    <w:p>
      <w:pPr>
        <w:spacing w:after="0" w:line="179" w:lineRule="exact"/>
        <w:rPr>
          <w:sz w:val="20"/>
          <w:szCs w:val="20"/>
          <w:color w:val="auto"/>
        </w:rPr>
      </w:pPr>
    </w:p>
    <w:p>
      <w:pPr>
        <w:ind w:left="520" w:firstLine="511"/>
        <w:spacing w:after="0" w:line="288" w:lineRule="auto"/>
        <w:rPr>
          <w:sz w:val="20"/>
          <w:szCs w:val="20"/>
          <w:color w:val="auto"/>
        </w:rPr>
      </w:pPr>
      <w:r>
        <w:rPr>
          <w:rFonts w:ascii="Times New Roman" w:cs="Times New Roman" w:eastAsia="Times New Roman" w:hAnsi="Times New Roman"/>
          <w:sz w:val="14"/>
          <w:szCs w:val="14"/>
          <w:color w:val="auto"/>
        </w:rPr>
        <w:t>(7)           for any Securities that by their terms may be converted, the terms of conversion, the date on which the right to convert the Security to be redeemed will terminate and the place or places where such Securities may be surrendered for conversion, and</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(8)           that the redemption is for a sinking fund, if such is the case.</w:t>
      </w:r>
    </w:p>
    <w:p>
      <w:pPr>
        <w:spacing w:after="0" w:line="179" w:lineRule="exact"/>
        <w:rPr>
          <w:sz w:val="20"/>
          <w:szCs w:val="20"/>
          <w:color w:val="auto"/>
        </w:rPr>
      </w:pPr>
    </w:p>
    <w:p>
      <w:pPr>
        <w:jc w:val="both"/>
        <w:ind w:firstLine="511"/>
        <w:spacing w:after="0" w:line="258" w:lineRule="auto"/>
        <w:rPr>
          <w:sz w:val="20"/>
          <w:szCs w:val="20"/>
          <w:color w:val="auto"/>
        </w:rPr>
      </w:pPr>
      <w:r>
        <w:rPr>
          <w:rFonts w:ascii="Times New Roman" w:cs="Times New Roman" w:eastAsia="Times New Roman" w:hAnsi="Times New Roman"/>
          <w:sz w:val="14"/>
          <w:szCs w:val="14"/>
          <w:color w:val="auto"/>
        </w:rPr>
        <w:t>Notice of any redemption may, at the Company’s discretion, be subject to one or more conditions precedent. If such redemption is subject to the satisfaction of one or more conditions precedent, the related notice shall describe each such condition, and if applicable, shall state that, in the Company’s discretion, the date of redemption may be delayed until such time as any or all such conditions shall be satisfied or waived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no event shall such date of redemption be delayed to a date later than 60 days after the date on which such notice was mailed or delivered, including by electronic transmission), or such redemption may not occur and such notice may be rescinded in the event that any or all such conditions shall not have been satisfied or waived by the date of redemption, or by the date of redemption as so delayed. If any such condition precedent has not been satisfied or waived, the Company shall provide written notice to the Trustee prior to the close of business one Business Day prior to the Redemption Date (or such shorter period as may be acceptable to the Trustee). Upon receipt of such notice, notwithstanding anything herein to the contrary, the notice of redemption shall be automatically rescinded or delayed, and the redemption of such Securities shall be automatically rescinded or delayed as provided in such notice. Upon receipt, the Trustee shall provide such notice to each Holder in the same manner in which the notice of redemption was given.</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notice of redemption need not set forth the exact Redemption Price but only the manner of calculation thereof.</w:t>
      </w:r>
    </w:p>
    <w:p>
      <w:pPr>
        <w:spacing w:after="0" w:line="179"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Notice of redemption of Securities to be redeemed at the election of the Company shall be given by the Company or, at the Company’s request, by the Trustee in the name and at the expense of the Company.</w:t>
      </w:r>
    </w:p>
    <w:p>
      <w:pPr>
        <w:spacing w:after="0" w:line="124"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Section 1105        </w:t>
      </w:r>
      <w:r>
        <w:rPr>
          <w:rFonts w:ascii="Times New Roman" w:cs="Times New Roman" w:eastAsia="Times New Roman" w:hAnsi="Times New Roman"/>
          <w:sz w:val="14"/>
          <w:szCs w:val="14"/>
          <w:u w:val="single" w:color="auto"/>
          <w:color w:val="auto"/>
        </w:rPr>
        <w:t>  Deposit of Redemption Price</w:t>
      </w:r>
      <w:r>
        <w:rPr>
          <w:rFonts w:ascii="Times New Roman" w:cs="Times New Roman" w:eastAsia="Times New Roman" w:hAnsi="Times New Roman"/>
          <w:sz w:val="14"/>
          <w:szCs w:val="14"/>
          <w:color w:val="auto"/>
        </w:rPr>
        <w:t>. Prior to 12:30 P.M., New York City time (subject to the Applicable Procedures of the Depositary), on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that are to be redeemed on that date, other than any Securities called for redemption on that date which have been converted prior to the date of such deposit.</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28" w:name="page129"/>
    <w:bookmarkEnd w:id="128"/>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If any Security called for redemption is converted, any money deposited with the Trustee or with any Paying Agent or so segregated and held in trust for the redemption of such Security shall (subject to any right of the Holder of such Security or any Predecessor Security to receive interest as provided in the last paragraph of Section 307 or in the terms of such Security) be paid to the Company upon Company Request or, if then held by the Company, shall be discharged from such trust.</w:t>
      </w:r>
    </w:p>
    <w:p>
      <w:pPr>
        <w:spacing w:after="0" w:line="136" w:lineRule="exact"/>
        <w:rPr>
          <w:sz w:val="20"/>
          <w:szCs w:val="20"/>
          <w:color w:val="auto"/>
        </w:rPr>
      </w:pPr>
    </w:p>
    <w:p>
      <w:pPr>
        <w:jc w:val="both"/>
        <w:ind w:firstLine="511"/>
        <w:spacing w:after="0" w:line="260" w:lineRule="auto"/>
        <w:rPr>
          <w:sz w:val="20"/>
          <w:szCs w:val="20"/>
          <w:color w:val="auto"/>
        </w:rPr>
      </w:pPr>
      <w:r>
        <w:rPr>
          <w:rFonts w:ascii="Times New Roman" w:cs="Times New Roman" w:eastAsia="Times New Roman" w:hAnsi="Times New Roman"/>
          <w:sz w:val="14"/>
          <w:szCs w:val="14"/>
          <w:color w:val="auto"/>
        </w:rPr>
        <w:t>Section 1106        </w:t>
      </w:r>
      <w:r>
        <w:rPr>
          <w:rFonts w:ascii="Times New Roman" w:cs="Times New Roman" w:eastAsia="Times New Roman" w:hAnsi="Times New Roman"/>
          <w:sz w:val="14"/>
          <w:szCs w:val="14"/>
          <w:u w:val="single" w:color="auto"/>
          <w:color w:val="auto"/>
        </w:rPr>
        <w:t>  Securities Payable on Redemption Date</w:t>
      </w:r>
      <w:r>
        <w:rPr>
          <w:rFonts w:ascii="Times New Roman" w:cs="Times New Roman" w:eastAsia="Times New Roman" w:hAnsi="Times New Roman"/>
          <w:sz w:val="14"/>
          <w:szCs w:val="14"/>
          <w:color w:val="auto"/>
        </w:rPr>
        <w:t>. Notice of redemption having been given as aforesaid, unless the conditions precedent described in the notice of redemption for the redemption have not been satisfied,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provided, however, that, unless otherwise specified as contemplated by Section 301, installments of interest whose Interest Payment Date is on or prior to the Redemption Date will be payable to the Holders of such Securities, or one or more Predecessor Securities, registered as such at the close of business on the relevant Record Dates according to their terms and the provisions of Section 307.</w:t>
      </w:r>
    </w:p>
    <w:p>
      <w:pPr>
        <w:spacing w:after="0" w:line="145"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24" w:lineRule="exact"/>
        <w:rPr>
          <w:sz w:val="20"/>
          <w:szCs w:val="20"/>
          <w:color w:val="auto"/>
        </w:rPr>
      </w:pPr>
    </w:p>
    <w:p>
      <w:pPr>
        <w:jc w:val="both"/>
        <w:ind w:firstLine="511"/>
        <w:spacing w:after="0" w:line="262" w:lineRule="auto"/>
        <w:rPr>
          <w:sz w:val="20"/>
          <w:szCs w:val="20"/>
          <w:color w:val="auto"/>
        </w:rPr>
      </w:pPr>
      <w:r>
        <w:rPr>
          <w:rFonts w:ascii="Times New Roman" w:cs="Times New Roman" w:eastAsia="Times New Roman" w:hAnsi="Times New Roman"/>
          <w:sz w:val="14"/>
          <w:szCs w:val="14"/>
          <w:color w:val="auto"/>
        </w:rPr>
        <w:t>Section 1107        </w:t>
      </w:r>
      <w:r>
        <w:rPr>
          <w:rFonts w:ascii="Times New Roman" w:cs="Times New Roman" w:eastAsia="Times New Roman" w:hAnsi="Times New Roman"/>
          <w:sz w:val="14"/>
          <w:szCs w:val="14"/>
          <w:u w:val="single" w:color="auto"/>
          <w:color w:val="auto"/>
        </w:rPr>
        <w:t>  Securities Redeemed in Part</w:t>
      </w:r>
      <w:r>
        <w:rPr>
          <w:rFonts w:ascii="Times New Roman" w:cs="Times New Roman" w:eastAsia="Times New Roman" w:hAnsi="Times New Roman"/>
          <w:sz w:val="14"/>
          <w:szCs w:val="14"/>
          <w:color w:val="auto"/>
        </w:rPr>
        <w:t>. Any Security that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and, if applicable, the Guarantors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43"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Section 1108        </w:t>
      </w:r>
      <w:r>
        <w:rPr>
          <w:rFonts w:ascii="Times New Roman" w:cs="Times New Roman" w:eastAsia="Times New Roman" w:hAnsi="Times New Roman"/>
          <w:sz w:val="14"/>
          <w:szCs w:val="14"/>
          <w:u w:val="single" w:color="auto"/>
          <w:color w:val="auto"/>
        </w:rPr>
        <w:t>  No Limit on Repurchases</w:t>
      </w:r>
      <w:r>
        <w:rPr>
          <w:rFonts w:ascii="Times New Roman" w:cs="Times New Roman" w:eastAsia="Times New Roman" w:hAnsi="Times New Roman"/>
          <w:sz w:val="14"/>
          <w:szCs w:val="14"/>
          <w:color w:val="auto"/>
        </w:rPr>
        <w:t>. Nothing in this Indenture or the Securities shall prohibit or limit the right of the Company or any Affiliate of the Company to repurchase Securities from time to time at any price in open market purchases or private transactions at negotiated prices, by tender offer or otherwise, in each case without any notice to or consent by Holders. Any Securities purchased by the Company or any Affiliate of the Company may, to the extent permitted by law and at the discretion of the Company, be held, resold or delivered to the Trustee for cancellation. Any such Securities delivered to the Trustee for cancellation may not be resold and shall be disposed of as directed by Company Order.</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4"/>
          <w:szCs w:val="14"/>
          <w:b w:val="1"/>
          <w:bCs w:val="1"/>
          <w:color w:val="auto"/>
        </w:rPr>
        <w:t>ARTICLE XII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SINKING FUNDS</w:t>
      </w:r>
    </w:p>
    <w:p>
      <w:pPr>
        <w:spacing w:after="0" w:line="165"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Section 1201        </w:t>
      </w:r>
      <w:r>
        <w:rPr>
          <w:rFonts w:ascii="Times New Roman" w:cs="Times New Roman" w:eastAsia="Times New Roman" w:hAnsi="Times New Roman"/>
          <w:sz w:val="14"/>
          <w:szCs w:val="14"/>
          <w:u w:val="single" w:color="auto"/>
          <w:color w:val="auto"/>
        </w:rPr>
        <w:t>  Applicability of Article</w:t>
      </w:r>
      <w:r>
        <w:rPr>
          <w:rFonts w:ascii="Times New Roman" w:cs="Times New Roman" w:eastAsia="Times New Roman" w:hAnsi="Times New Roman"/>
          <w:sz w:val="14"/>
          <w:szCs w:val="14"/>
          <w:color w:val="auto"/>
        </w:rPr>
        <w:t>. The provisions of this Article shall be applicable to any sinking fund for the retirement of Securities of any series except as otherwise specified as contemplated by Section 301 for such Securities.</w:t>
      </w:r>
    </w:p>
    <w:p>
      <w:pPr>
        <w:spacing w:after="0" w:line="122" w:lineRule="exact"/>
        <w:rPr>
          <w:sz w:val="20"/>
          <w:szCs w:val="20"/>
          <w:color w:val="auto"/>
        </w:rPr>
      </w:pPr>
    </w:p>
    <w:p>
      <w:pPr>
        <w:jc w:val="both"/>
        <w:ind w:firstLine="511"/>
        <w:spacing w:after="0" w:line="266" w:lineRule="auto"/>
        <w:rPr>
          <w:sz w:val="20"/>
          <w:szCs w:val="20"/>
          <w:color w:val="auto"/>
        </w:rPr>
      </w:pPr>
      <w:r>
        <w:rPr>
          <w:rFonts w:ascii="Times New Roman" w:cs="Times New Roman" w:eastAsia="Times New Roman" w:hAnsi="Times New Roman"/>
          <w:sz w:val="14"/>
          <w:szCs w:val="14"/>
          <w:color w:val="auto"/>
        </w:rPr>
        <w:t>The minimum amount of any sinking fund payment provided for by the terms of any Securities is herein referred to as a “</w:t>
      </w:r>
      <w:r>
        <w:rPr>
          <w:rFonts w:ascii="Times New Roman" w:cs="Times New Roman" w:eastAsia="Times New Roman" w:hAnsi="Times New Roman"/>
          <w:sz w:val="14"/>
          <w:szCs w:val="14"/>
          <w:b w:val="1"/>
          <w:bCs w:val="1"/>
          <w:i w:val="1"/>
          <w:iCs w:val="1"/>
          <w:color w:val="auto"/>
        </w:rPr>
        <w:t>mandatory sinking fund payment</w:t>
      </w:r>
      <w:r>
        <w:rPr>
          <w:rFonts w:ascii="Times New Roman" w:cs="Times New Roman" w:eastAsia="Times New Roman" w:hAnsi="Times New Roman"/>
          <w:sz w:val="14"/>
          <w:szCs w:val="14"/>
          <w:color w:val="auto"/>
        </w:rPr>
        <w:t>,” and any payment in excess of such minimum amount provided for by the terms of such Securities is herein referred to as an “</w:t>
      </w:r>
      <w:r>
        <w:rPr>
          <w:rFonts w:ascii="Times New Roman" w:cs="Times New Roman" w:eastAsia="Times New Roman" w:hAnsi="Times New Roman"/>
          <w:sz w:val="14"/>
          <w:szCs w:val="14"/>
          <w:b w:val="1"/>
          <w:bCs w:val="1"/>
          <w:i w:val="1"/>
          <w:iCs w:val="1"/>
          <w:color w:val="auto"/>
        </w:rPr>
        <w:t>optional sinking fund payment</w:t>
      </w:r>
      <w:r>
        <w:rPr>
          <w:rFonts w:ascii="Times New Roman" w:cs="Times New Roman" w:eastAsia="Times New Roman" w:hAnsi="Times New Roman"/>
          <w:sz w:val="14"/>
          <w:szCs w:val="14"/>
          <w:color w:val="auto"/>
        </w:rPr>
        <w:t>.” If provided for by the terms of any Securities, the cash amount of any sinking fund payment may be subject to reduction as provided in Section 1202. Each sinking fund payment shall be applied to the redemption of Securities as provided for by the terms of such Securities.</w:t>
      </w:r>
    </w:p>
    <w:p>
      <w:pPr>
        <w:spacing w:after="0" w:line="139" w:lineRule="exact"/>
        <w:rPr>
          <w:sz w:val="20"/>
          <w:szCs w:val="20"/>
          <w:color w:val="auto"/>
        </w:rPr>
      </w:pPr>
    </w:p>
    <w:p>
      <w:pPr>
        <w:jc w:val="both"/>
        <w:ind w:firstLine="511"/>
        <w:spacing w:after="0" w:line="259" w:lineRule="auto"/>
        <w:rPr>
          <w:sz w:val="20"/>
          <w:szCs w:val="20"/>
          <w:color w:val="auto"/>
        </w:rPr>
      </w:pPr>
      <w:r>
        <w:rPr>
          <w:rFonts w:ascii="Times New Roman" w:cs="Times New Roman" w:eastAsia="Times New Roman" w:hAnsi="Times New Roman"/>
          <w:sz w:val="14"/>
          <w:szCs w:val="14"/>
          <w:color w:val="auto"/>
        </w:rPr>
        <w:t>Section 1202        </w:t>
      </w:r>
      <w:r>
        <w:rPr>
          <w:rFonts w:ascii="Times New Roman" w:cs="Times New Roman" w:eastAsia="Times New Roman" w:hAnsi="Times New Roman"/>
          <w:sz w:val="14"/>
          <w:szCs w:val="14"/>
          <w:u w:val="single" w:color="auto"/>
          <w:color w:val="auto"/>
        </w:rPr>
        <w:t>  Satisfaction of Sinking Fund Payments with Securities</w:t>
      </w:r>
      <w:r>
        <w:rPr>
          <w:rFonts w:ascii="Times New Roman" w:cs="Times New Roman" w:eastAsia="Times New Roman" w:hAnsi="Times New Roman"/>
          <w:sz w:val="14"/>
          <w:szCs w:val="14"/>
          <w:color w:val="auto"/>
        </w:rPr>
        <w:t xml:space="preserve">. The Company (1) may deliver Outstanding Securities of a series (other than any previously called for redemption) and (2) may apply as a credit Securities of a series that have been converted in accordance with their terms or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Securities to be so credited have not been previously so credited. The Securities to be so credited shall be received and credited for such purpose by the Trustee at the Redemption Price, as specified in the Securities so to be redeemed (or at such other prices as may be specified for such Securities as contemplated in Section 301), for redemption through operation of the sinking fund and the amount of such sinking fund payment shall be reduced accordingly.</w:t>
      </w:r>
    </w:p>
    <w:p>
      <w:pPr>
        <w:spacing w:after="0" w:line="146" w:lineRule="exact"/>
        <w:rPr>
          <w:sz w:val="20"/>
          <w:szCs w:val="20"/>
          <w:color w:val="auto"/>
        </w:rPr>
      </w:pPr>
    </w:p>
    <w:p>
      <w:pPr>
        <w:jc w:val="both"/>
        <w:ind w:firstLine="511"/>
        <w:spacing w:after="0" w:line="260" w:lineRule="auto"/>
        <w:rPr>
          <w:sz w:val="20"/>
          <w:szCs w:val="20"/>
          <w:color w:val="auto"/>
        </w:rPr>
      </w:pPr>
      <w:r>
        <w:rPr>
          <w:rFonts w:ascii="Times New Roman" w:cs="Times New Roman" w:eastAsia="Times New Roman" w:hAnsi="Times New Roman"/>
          <w:sz w:val="14"/>
          <w:szCs w:val="14"/>
          <w:color w:val="auto"/>
        </w:rPr>
        <w:t>Section 1203        </w:t>
      </w:r>
      <w:r>
        <w:rPr>
          <w:rFonts w:ascii="Times New Roman" w:cs="Times New Roman" w:eastAsia="Times New Roman" w:hAnsi="Times New Roman"/>
          <w:sz w:val="14"/>
          <w:szCs w:val="14"/>
          <w:u w:val="single" w:color="auto"/>
          <w:color w:val="auto"/>
        </w:rPr>
        <w:t>  Redemption of Securities for Sinking Fund</w:t>
      </w:r>
      <w:r>
        <w:rPr>
          <w:rFonts w:ascii="Times New Roman" w:cs="Times New Roman" w:eastAsia="Times New Roman" w:hAnsi="Times New Roman"/>
          <w:sz w:val="14"/>
          <w:szCs w:val="14"/>
          <w:color w:val="auto"/>
        </w:rPr>
        <w:t>. Not less than 45 days (or such shorter period as shall be satisfactory to the Trustee) prior to each sinking fund payment date for any Securities, the Company will deliver to the Trustee an Officer’s Certificate specifying the amount of the next ensuing sinking fund payment for such Securities pursuant to the terms of such Securities, the portion thereof, if any, that is to be satisfied by payment of cash and the portion thereof, if any, that is to be satisfied by delivering and crediting Securities pursuant to Section 1202 and will also deliver to the Trustee any Securities to be so delivered. Not less than 30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 1106 and Section 1107.</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4"/>
          <w:szCs w:val="14"/>
          <w:b w:val="1"/>
          <w:bCs w:val="1"/>
          <w:color w:val="auto"/>
        </w:rPr>
        <w:t>ARTICLE XIII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DEFEASANCE AND COVENANT DEFEASANCE</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1301        </w:t>
      </w:r>
      <w:r>
        <w:rPr>
          <w:rFonts w:ascii="Times New Roman" w:cs="Times New Roman" w:eastAsia="Times New Roman" w:hAnsi="Times New Roman"/>
          <w:sz w:val="14"/>
          <w:szCs w:val="14"/>
          <w:u w:val="single" w:color="auto"/>
          <w:color w:val="auto"/>
        </w:rPr>
        <w:t>  Company’s Option to Effect Defeasance or Covenant Defeasance</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Unless otherwise designated pursuant to Section 301, the Securities of any series of Securities shall be subject to defeasance or covenant defeasance pursuant to such Section 1302 or Section 1303, in accordance with any applicable requirements provided pursuant to Section 301 and upon compliance with the conditions set forth below in this Article. The Company may elect, at its option, at any time, to have Section 1302 or Section 1303 applied to any Securities or any series of Securities so subject to Defeasance or Covenant Defeasance. Any such election shall be evidenced by a Board Resolution or in another manner specified as contemplated by Section 301 for such Securities.</w:t>
      </w:r>
    </w:p>
    <w:p>
      <w:pPr>
        <w:spacing w:after="0" w:line="140" w:lineRule="exact"/>
        <w:rPr>
          <w:sz w:val="20"/>
          <w:szCs w:val="20"/>
          <w:color w:val="auto"/>
        </w:rPr>
      </w:pPr>
    </w:p>
    <w:p>
      <w:pPr>
        <w:jc w:val="both"/>
        <w:ind w:firstLine="511"/>
        <w:spacing w:after="0" w:line="256" w:lineRule="auto"/>
        <w:rPr>
          <w:sz w:val="20"/>
          <w:szCs w:val="20"/>
          <w:color w:val="auto"/>
        </w:rPr>
      </w:pPr>
      <w:r>
        <w:rPr>
          <w:rFonts w:ascii="Times New Roman" w:cs="Times New Roman" w:eastAsia="Times New Roman" w:hAnsi="Times New Roman"/>
          <w:sz w:val="14"/>
          <w:szCs w:val="14"/>
          <w:color w:val="auto"/>
        </w:rPr>
        <w:t>Section 1302        </w:t>
      </w:r>
      <w:r>
        <w:rPr>
          <w:rFonts w:ascii="Times New Roman" w:cs="Times New Roman" w:eastAsia="Times New Roman" w:hAnsi="Times New Roman"/>
          <w:sz w:val="14"/>
          <w:szCs w:val="14"/>
          <w:u w:val="single" w:color="auto"/>
          <w:color w:val="auto"/>
        </w:rPr>
        <w:t>  Defeasance and Discharge</w:t>
      </w:r>
      <w:r>
        <w:rPr>
          <w:rFonts w:ascii="Times New Roman" w:cs="Times New Roman" w:eastAsia="Times New Roman" w:hAnsi="Times New Roman"/>
          <w:sz w:val="14"/>
          <w:szCs w:val="14"/>
          <w:color w:val="auto"/>
        </w:rPr>
        <w:t>. Upon the Company’s exercise of its option (if any) to have this Section 1302 applied to any Securities or any series of Securities, as the case may be, the Company shall be deemed to have been discharged from its obligations with respect to such Securities as provided in this Section 1302 on and after the date the conditions set forth in Section 1304 are satisfied (hereinafter called “</w:t>
      </w:r>
      <w:r>
        <w:rPr>
          <w:rFonts w:ascii="Times New Roman" w:cs="Times New Roman" w:eastAsia="Times New Roman" w:hAnsi="Times New Roman"/>
          <w:sz w:val="14"/>
          <w:szCs w:val="14"/>
          <w:b w:val="1"/>
          <w:bCs w:val="1"/>
          <w:i w:val="1"/>
          <w:iCs w:val="1"/>
          <w:color w:val="auto"/>
        </w:rPr>
        <w:t>Defeasance</w:t>
      </w:r>
      <w:r>
        <w:rPr>
          <w:rFonts w:ascii="Times New Roman" w:cs="Times New Roman" w:eastAsia="Times New Roman" w:hAnsi="Times New Roman"/>
          <w:sz w:val="14"/>
          <w:szCs w:val="14"/>
          <w:color w:val="auto"/>
        </w:rPr>
        <w:t>”). For this purpose, such Defeasance means that the Company and the Guarantors of the Securities shall be deemed to have paid and discharged the entire indebtedness represented by such Securities and to have satisfied all their other respective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(1) the rights of Holders of such Securities to receive, solely from the trust fund described in Section 1304(1) and as more fully set forth in such Section, payments in respect of the principal of and any premium and interest on such Securities when payments are due, or, if applicable, to convert such Securities in accordance with their terms, (2) the obligations of the Company with respect to such Securities under Section 304, Section 305, Section 306, Section 1002 and Section 1003, and, if applicable, their obligations with respect to the conversion of such Securities, (3) the rights, powers, trusts, duties and immunities of the Trustee hereunder and (4) this Article. If the Company exercises its Defeasance option, payment of the Securities may not be accelerated because of an Event of Default with respect to the Securities. Subject to compliance with this Article, the Company may exercise its option (if any) to have this Section 1302 applied to any Securities notwithstanding the prior exercise of its option (if any) to have Section 1303 applied to such Securities. Upon the effectiveness of Defeasance with respect to any series of Securities, each Guarantor of the Securities of such series shall be automatically and unconditionally released and discharged from all of its obligations under its Guarantee of the Securities of such series and all of its other obligations under this Indenture in respect of the Securities of such series, without any action by the Company, any Guarantor or the Trustee and without the consent of the Holders of any Securities.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131" w:name="page132"/>
    <w:bookmarkEnd w:id="131"/>
    <w:p>
      <w:pPr>
        <w:ind w:left="520"/>
        <w:spacing w:after="0"/>
        <w:rPr>
          <w:sz w:val="20"/>
          <w:szCs w:val="20"/>
          <w:color w:val="auto"/>
        </w:rPr>
      </w:pPr>
      <w:r>
        <w:rPr>
          <w:rFonts w:ascii="Times New Roman" w:cs="Times New Roman" w:eastAsia="Times New Roman" w:hAnsi="Times New Roman"/>
          <w:sz w:val="14"/>
          <w:szCs w:val="14"/>
          <w:color w:val="auto"/>
        </w:rPr>
        <w:t>Section 1303        </w:t>
      </w:r>
      <w:r>
        <w:rPr>
          <w:rFonts w:ascii="Times New Roman" w:cs="Times New Roman" w:eastAsia="Times New Roman" w:hAnsi="Times New Roman"/>
          <w:sz w:val="14"/>
          <w:szCs w:val="14"/>
          <w:u w:val="single" w:color="auto"/>
          <w:color w:val="auto"/>
        </w:rPr>
        <w:t>  Covenant Defeasance</w:t>
      </w:r>
      <w:r>
        <w:rPr>
          <w:rFonts w:ascii="Times New Roman" w:cs="Times New Roman" w:eastAsia="Times New Roman" w:hAnsi="Times New Roman"/>
          <w:sz w:val="14"/>
          <w:szCs w:val="14"/>
          <w:color w:val="auto"/>
        </w:rPr>
        <w:t>. Upon the Company’s exercise of its option (if any) to have this Section 1303 applied to any Securities or any series of Securities, as the case may be,</w:t>
      </w:r>
    </w:p>
    <w:p>
      <w:pPr>
        <w:spacing w:after="0" w:line="23" w:lineRule="exact"/>
        <w:rPr>
          <w:sz w:val="20"/>
          <w:szCs w:val="20"/>
          <w:color w:val="auto"/>
        </w:rPr>
      </w:pPr>
    </w:p>
    <w:p>
      <w:pPr>
        <w:jc w:val="both"/>
        <w:ind w:firstLine="5"/>
        <w:spacing w:after="0" w:line="255" w:lineRule="auto"/>
        <w:tabs>
          <w:tab w:leader="none" w:pos="20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be released from its obligations under any covenants provided pursuant to Section 301(18), Section 901(5), Section 901(6) or Section 901(9) for the benefit of the Holders of such Securities and (2) the occurrence of any event specified in Section 501(4) (with respect to any such covenants provided pursuant to Section 301(18), Section 901(5), Section 901(6) or Section 901(9) shall be deemed not to be or result in an Event of Default, in each case with respect to such Securities as provided in this Section 1303 on and after the date the conditions set forth in Section 1304 are satisfied (hereinafter called “</w:t>
      </w:r>
      <w:r>
        <w:rPr>
          <w:rFonts w:ascii="Times New Roman" w:cs="Times New Roman" w:eastAsia="Times New Roman" w:hAnsi="Times New Roman"/>
          <w:sz w:val="14"/>
          <w:szCs w:val="14"/>
          <w:b w:val="1"/>
          <w:bCs w:val="1"/>
          <w:i w:val="1"/>
          <w:iCs w:val="1"/>
          <w:color w:val="auto"/>
        </w:rPr>
        <w:t>Covenant Defeasance</w:t>
      </w:r>
      <w:r>
        <w:rPr>
          <w:rFonts w:ascii="Times New Roman" w:cs="Times New Roman" w:eastAsia="Times New Roman" w:hAnsi="Times New Roman"/>
          <w:sz w:val="14"/>
          <w:szCs w:val="14"/>
          <w:color w:val="auto"/>
        </w:rPr>
        <w:t>”)). For this purpose, such Covenant Defeasance means that, with respect to such Securities, the Company and any Guarantor may omit to comply with and shall have no liability in respect of any term, condition or limitation set forth in any such specified Section (to the extent so specified in the case of Section 501(4)), whether directly or indirectly by reason of any reference elsewhere herein to any such Section or by reason of any reference in any such Section to any other provision herein or in any other document, but the remainder of this Indenture and such Securities thereof shall be unaffected thereby. If the Company exercises its Covenant Defeasance option, payment of the Securities may not be accelerated because of, and a default or Event of Default shall be deemed not to exist as a result of or to arise out of, an Event of Default with respect to the failure of the Company to comply with any covenants provided pursuant to Section 301(18), Section 901(5), Section 901(6) or Section 901(9). Upon the effectiveness of Covenant Defeasance with respect to any series of Securities, each Guarantor of the Securities of such series shall be automatically and unconditionally released and discharged from all of its obligations under its Guarantee of the Securities of such series and all of its other obligations under this Indenture in respect of the Securities of such series, without any action by the Company, any Guarantor or the Trustee and without the consent of the Holders of any Securities.</w:t>
      </w:r>
    </w:p>
    <w:p>
      <w:pPr>
        <w:spacing w:after="0" w:line="3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1304        </w:t>
      </w:r>
      <w:r>
        <w:rPr>
          <w:rFonts w:ascii="Times New Roman" w:cs="Times New Roman" w:eastAsia="Times New Roman" w:hAnsi="Times New Roman"/>
          <w:sz w:val="14"/>
          <w:szCs w:val="14"/>
          <w:u w:val="single" w:color="auto"/>
          <w:color w:val="auto"/>
        </w:rPr>
        <w:t>  Conditions to Defeasance or Covenant Defeasance</w:t>
      </w:r>
      <w:r>
        <w:rPr>
          <w:rFonts w:ascii="Times New Roman" w:cs="Times New Roman" w:eastAsia="Times New Roman" w:hAnsi="Times New Roman"/>
          <w:sz w:val="14"/>
          <w:szCs w:val="14"/>
          <w:color w:val="auto"/>
        </w:rPr>
        <w:t>. The following shall be the conditions to the application of Section 1302 or Section 1303 to any Securities or any series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as the case may be:</w:t>
      </w:r>
    </w:p>
    <w:p>
      <w:pPr>
        <w:spacing w:after="0" w:line="165" w:lineRule="exact"/>
        <w:rPr>
          <w:sz w:val="20"/>
          <w:szCs w:val="20"/>
          <w:color w:val="auto"/>
        </w:rPr>
      </w:pPr>
    </w:p>
    <w:p>
      <w:pPr>
        <w:jc w:val="both"/>
        <w:ind w:left="520" w:firstLine="511"/>
        <w:spacing w:after="0" w:line="256" w:lineRule="auto"/>
        <w:rPr>
          <w:sz w:val="20"/>
          <w:szCs w:val="20"/>
          <w:color w:val="auto"/>
        </w:rPr>
      </w:pPr>
      <w:r>
        <w:rPr>
          <w:rFonts w:ascii="Times New Roman" w:cs="Times New Roman" w:eastAsia="Times New Roman" w:hAnsi="Times New Roman"/>
          <w:sz w:val="14"/>
          <w:szCs w:val="14"/>
          <w:color w:val="auto"/>
        </w:rPr>
        <w:t>(1)           The Company shall irrevocably have deposited or caused to be deposited with the Trustee (or another trustee which satisfies the requirements contemplated by Section 609 and agrees to comply with the provisions of this Article applicable to it) as trust funds in trust for the purpose of making the following payments, and dedicated solely to, the benefits of the Holders of such Securities, money in U.S. dollars, U.S. Government Obligations, or a combination thereof, in such amounts as will be sufficient (without consideration of any reinvestment of interest and, solely in the case of U.S. Government Obligations, in the opinion of a nationally recognized firm of independent public accountants or a nationally recognized investment banking firm, in either case expressed in a written certification thereof delivered to the Trustee (or if such a firm declines or refuses to express such opinion, a certificate from the chief financial officer of the Company)) to pay and discharge all principal, premium, if any, and interest when due on all the Securities not delivered to the Trustee for cancellation to maturity or redemption, as the case may be, and which shall be applied by the Trustee (or any such other qualifying trustee) to pay and discharge, the principal of and any premium and interest on such Securities on the respective Stated Maturities, in accordance with the terms of this Indenture and such Securities. As used herein, “</w:t>
      </w:r>
      <w:r>
        <w:rPr>
          <w:rFonts w:ascii="Times New Roman" w:cs="Times New Roman" w:eastAsia="Times New Roman" w:hAnsi="Times New Roman"/>
          <w:sz w:val="14"/>
          <w:szCs w:val="14"/>
          <w:b w:val="1"/>
          <w:bCs w:val="1"/>
          <w:i w:val="1"/>
          <w:iCs w:val="1"/>
          <w:color w:val="auto"/>
        </w:rPr>
        <w:t>U.S. Government Obligation</w:t>
      </w:r>
      <w:r>
        <w:rPr>
          <w:rFonts w:ascii="Times New Roman" w:cs="Times New Roman" w:eastAsia="Times New Roman" w:hAnsi="Times New Roman"/>
          <w:sz w:val="14"/>
          <w:szCs w:val="14"/>
          <w:color w:val="auto"/>
        </w:rPr>
        <w:t xml:space="preserve">” means (x) any security that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32" w:name="page133"/>
    <w:bookmarkEnd w:id="132"/>
    <w:p>
      <w:pPr>
        <w:jc w:val="both"/>
        <w:ind w:firstLine="511"/>
        <w:spacing w:after="0" w:line="260" w:lineRule="auto"/>
        <w:rPr>
          <w:sz w:val="20"/>
          <w:szCs w:val="20"/>
          <w:color w:val="auto"/>
        </w:rPr>
      </w:pPr>
      <w:r>
        <w:rPr>
          <w:rFonts w:ascii="Times New Roman" w:cs="Times New Roman" w:eastAsia="Times New Roman" w:hAnsi="Times New Roman"/>
          <w:sz w:val="14"/>
          <w:szCs w:val="14"/>
          <w:color w:val="auto"/>
        </w:rPr>
        <w:t>(2)           In the event of an election to have Section 1302 apply to any Securities or any series of Securities, as the case may be, the Company shall have delivered to the Trustee an Opinion of Counsel (subject to customary assumptions and exclusions) stating that (A) the Company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145"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(3)           In the event of an election to have Section 1303 apply to any Securities or any series of Securities, as the case may be, the Company shall have delivered to the Trustee an Opinion of Counsel (subject to customary assumptions and exclusions)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140"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(4)           No Event of Default with respect to such Securities or any other Securities (other than such an Event of Default with respect to such Securities resulting solely from the incurrence of indebtedness or other borrowing of funds, or the grant of liens securing such indebtedness or other borrowing, all or a portion of which are to be applied to such deposit) shall have occurred and be continuing at the time of such deposit.</w:t>
      </w:r>
    </w:p>
    <w:p>
      <w:pPr>
        <w:spacing w:after="0" w:line="136"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(5)           Such Defeasance or Covenant Defeasance shall not result in a breach of, or constitute a default under, any other agreement or instrument (other than this Indenture insofar as such Securities are concerned) to which the Company is a party or by which it is bound.</w:t>
      </w:r>
    </w:p>
    <w:p>
      <w:pPr>
        <w:spacing w:after="0" w:line="124"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(6)           The Company shall have delivered to the Trustee an Officer’s Certificate stating that the deposit was not made by the Company with the intent of preferring the Holders of such Securities over the other creditors of the Company or with the intent of defeating, hindering, delaying or defrauding creditors of the Company.</w:t>
      </w:r>
    </w:p>
    <w:p>
      <w:pPr>
        <w:spacing w:after="0" w:line="29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15240</wp:posOffset>
            </wp:positionV>
            <wp:extent cx="716153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760"/>
          </w:cols>
          <w:pgMar w:left="820" w:top="742" w:right="319" w:bottom="1440" w:gutter="0" w:footer="0" w:header="0"/>
        </w:sectPr>
      </w:pPr>
    </w:p>
    <w:bookmarkStart w:id="133" w:name="page134"/>
    <w:bookmarkEnd w:id="133"/>
    <w:p>
      <w:pPr>
        <w:ind w:left="520" w:firstLine="511"/>
        <w:spacing w:after="0" w:line="288" w:lineRule="auto"/>
        <w:rPr>
          <w:sz w:val="20"/>
          <w:szCs w:val="20"/>
          <w:color w:val="auto"/>
        </w:rPr>
      </w:pPr>
      <w:r>
        <w:rPr>
          <w:rFonts w:ascii="Times New Roman" w:cs="Times New Roman" w:eastAsia="Times New Roman" w:hAnsi="Times New Roman"/>
          <w:sz w:val="14"/>
          <w:szCs w:val="14"/>
          <w:color w:val="auto"/>
        </w:rPr>
        <w:t>(7)           The Company shall have delivered to the Trustee an Officer’s Certificate and an Opinion of Counsel, each stating that all conditions precedent with respect to such Defeasance or Covenant Defeasance have been complied with.</w:t>
      </w:r>
    </w:p>
    <w:p>
      <w:pPr>
        <w:spacing w:after="0" w:line="124" w:lineRule="exact"/>
        <w:rPr>
          <w:sz w:val="20"/>
          <w:szCs w:val="20"/>
          <w:color w:val="auto"/>
        </w:rPr>
      </w:pPr>
    </w:p>
    <w:p>
      <w:pPr>
        <w:jc w:val="both"/>
        <w:ind w:firstLine="511"/>
        <w:spacing w:after="0" w:line="264" w:lineRule="auto"/>
        <w:rPr>
          <w:sz w:val="20"/>
          <w:szCs w:val="20"/>
          <w:color w:val="auto"/>
        </w:rPr>
      </w:pPr>
      <w:r>
        <w:rPr>
          <w:rFonts w:ascii="Times New Roman" w:cs="Times New Roman" w:eastAsia="Times New Roman" w:hAnsi="Times New Roman"/>
          <w:sz w:val="14"/>
          <w:szCs w:val="14"/>
          <w:color w:val="auto"/>
        </w:rPr>
        <w:t>Upon satisfaction of the conditions set forth herein and upon request of the Company, the Trustee shall acknowledge in writing the discharge of those obligations that the Company terminates.</w:t>
      </w:r>
    </w:p>
    <w:p>
      <w:pPr>
        <w:spacing w:after="0" w:line="334" w:lineRule="exact"/>
        <w:rPr>
          <w:sz w:val="20"/>
          <w:szCs w:val="20"/>
          <w:color w:val="auto"/>
        </w:rPr>
      </w:pPr>
    </w:p>
    <w:p>
      <w:pPr>
        <w:jc w:val="both"/>
        <w:ind w:firstLine="511"/>
        <w:spacing w:after="0" w:line="259" w:lineRule="auto"/>
        <w:rPr>
          <w:sz w:val="20"/>
          <w:szCs w:val="20"/>
          <w:color w:val="auto"/>
        </w:rPr>
      </w:pPr>
      <w:r>
        <w:rPr>
          <w:rFonts w:ascii="Times New Roman" w:cs="Times New Roman" w:eastAsia="Times New Roman" w:hAnsi="Times New Roman"/>
          <w:sz w:val="14"/>
          <w:szCs w:val="14"/>
          <w:color w:val="auto"/>
        </w:rPr>
        <w:t>Section 1305       </w:t>
      </w:r>
      <w:r>
        <w:rPr>
          <w:rFonts w:ascii="Times New Roman" w:cs="Times New Roman" w:eastAsia="Times New Roman" w:hAnsi="Times New Roman"/>
          <w:sz w:val="14"/>
          <w:szCs w:val="14"/>
          <w:u w:val="single" w:color="auto"/>
          <w:color w:val="auto"/>
        </w:rPr>
        <w:t>  Deposited Money and U.S. Government Obligations to Be Held in Trust; Miscellaneous Provisions</w:t>
      </w:r>
      <w:r>
        <w:rPr>
          <w:rFonts w:ascii="Times New Roman" w:cs="Times New Roman" w:eastAsia="Times New Roman" w:hAnsi="Times New Roman"/>
          <w:sz w:val="14"/>
          <w:szCs w:val="14"/>
          <w:color w:val="auto"/>
        </w:rPr>
        <w:t>. Subject to the provisions of the last paragraph of Section 1003, all money, U.S. Government Obligations and other obligations (including the proceeds thereof) deposited with the Trustee or other qualifying trustee (solely for purposes of this Section 1305 and Section 1306, the Trustee and any such other trustee are referred to collectively as the “</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pursuant to Section 1304 in respect of any Securities shall be held in trust and applied by the Trustee, in accordance with the provisions of such Securities and this Indenture, to the payment, either directly or through any such Paying Agent (including the Company acting as its own Paying Agent or any Guarantor of the Securities of the applicable series or any Subsidiary or Affiliate of the Company or any such Guarantor acting as Paying Agent) as the Trustee may determine, to the Holders of such Securities, of all sums due and to become due thereon in respect of principal and any premium and interest, but money and U.S. Government Obligations so held in trust need not be segregated from other funds except to the extent required by law.</w:t>
      </w:r>
    </w:p>
    <w:p>
      <w:pPr>
        <w:spacing w:after="0" w:line="146"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The Company shall pay and indemnify the Trustee against any tax, fee or other charge imposed on or assessed against the U.S. Government Obligations deposited pursuant to Section 401 or 1304 or the principal and interest received in respect thereof other than any such tax, fee or other charge which by law is for the account of the Holders of Outstanding Securities.</w:t>
      </w:r>
    </w:p>
    <w:p>
      <w:pPr>
        <w:spacing w:after="0" w:line="124"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Anything in this Article to the contrary notwithstanding, the Trustee shall deliver or pay to the Company from time to time upon Company Request any money, U.S. Government Obligations or other obligations held by it as provided in Section 1304 with respect to any Securities that are in excess of the amount thereof which would then be required to be deposited to effect the Defeasance or Covenant Defeasance, as the case may be, with respect to such Securities.</w:t>
      </w:r>
    </w:p>
    <w:p>
      <w:pPr>
        <w:spacing w:after="0" w:line="136" w:lineRule="exact"/>
        <w:rPr>
          <w:sz w:val="20"/>
          <w:szCs w:val="20"/>
          <w:color w:val="auto"/>
        </w:rPr>
      </w:pPr>
    </w:p>
    <w:p>
      <w:pPr>
        <w:jc w:val="both"/>
        <w:ind w:firstLine="511"/>
        <w:spacing w:after="0" w:line="259" w:lineRule="auto"/>
        <w:rPr>
          <w:sz w:val="20"/>
          <w:szCs w:val="20"/>
          <w:color w:val="auto"/>
        </w:rPr>
      </w:pPr>
      <w:r>
        <w:rPr>
          <w:rFonts w:ascii="Times New Roman" w:cs="Times New Roman" w:eastAsia="Times New Roman" w:hAnsi="Times New Roman"/>
          <w:sz w:val="14"/>
          <w:szCs w:val="14"/>
          <w:color w:val="auto"/>
        </w:rPr>
        <w:t>Section 1306        </w:t>
      </w:r>
      <w:r>
        <w:rPr>
          <w:rFonts w:ascii="Times New Roman" w:cs="Times New Roman" w:eastAsia="Times New Roman" w:hAnsi="Times New Roman"/>
          <w:sz w:val="14"/>
          <w:szCs w:val="14"/>
          <w:u w:val="single" w:color="auto"/>
          <w:color w:val="auto"/>
        </w:rPr>
        <w:t>  Reinstatement</w:t>
      </w:r>
      <w:r>
        <w:rPr>
          <w:rFonts w:ascii="Times New Roman" w:cs="Times New Roman" w:eastAsia="Times New Roman" w:hAnsi="Times New Roman"/>
          <w:sz w:val="14"/>
          <w:szCs w:val="14"/>
          <w:color w:val="auto"/>
        </w:rPr>
        <w:t>. If the Trustee or the Paying Agent is unable to apply any money in accordance with this Article with respect to any Securities by reason of any order or judgment of any court or governmental authority enjoining, restraining or otherwise prohibiting such application, then the respective obligations under this Indenture and such Securities and, if applicable, Guarantees of such Securities from which the Company and the applicable Guarantors have been discharged or released pursuant to Section 1302 or Section 1303 shall be revived and reinstated as though no deposit had occurred pursuant to this Article with respect to such Securities, until such time as the Trustee or Paying Agent is permitted to apply all money held in trust pursuant to Section 1305 with respect to such Securities in accordance with this Article; provided, however, that if the Company or any Guarantor makes any payment of principal of or any premium or interest on any such Security following such reinstatement of its obligations, the Company or such Guarantor, as the case may be, shall be subrogated to the rights (if any) of the Holders of such Securities to receive such payment from the money so held in trust.</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34" w:name="page135"/>
    <w:bookmarkEnd w:id="134"/>
    <w:p>
      <w:pPr>
        <w:ind w:left="5180"/>
        <w:spacing w:after="0"/>
        <w:rPr>
          <w:sz w:val="20"/>
          <w:szCs w:val="20"/>
          <w:color w:val="auto"/>
        </w:rPr>
      </w:pPr>
      <w:r>
        <w:rPr>
          <w:rFonts w:ascii="Times New Roman" w:cs="Times New Roman" w:eastAsia="Times New Roman" w:hAnsi="Times New Roman"/>
          <w:sz w:val="14"/>
          <w:szCs w:val="14"/>
          <w:b w:val="1"/>
          <w:bCs w:val="1"/>
          <w:color w:val="auto"/>
        </w:rPr>
        <w:t>ARTICLE XIV</w:t>
      </w:r>
    </w:p>
    <w:p>
      <w:pPr>
        <w:spacing w:after="0" w:line="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GUARANTEES</w:t>
      </w:r>
    </w:p>
    <w:p>
      <w:pPr>
        <w:spacing w:after="0" w:line="165"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Section 1401        </w:t>
      </w:r>
      <w:r>
        <w:rPr>
          <w:rFonts w:ascii="Times New Roman" w:cs="Times New Roman" w:eastAsia="Times New Roman" w:hAnsi="Times New Roman"/>
          <w:sz w:val="14"/>
          <w:szCs w:val="14"/>
          <w:u w:val="single" w:color="auto"/>
          <w:color w:val="auto"/>
        </w:rPr>
        <w:t>  Guarantees</w:t>
      </w:r>
      <w:r>
        <w:rPr>
          <w:rFonts w:ascii="Times New Roman" w:cs="Times New Roman" w:eastAsia="Times New Roman" w:hAnsi="Times New Roman"/>
          <w:sz w:val="14"/>
          <w:szCs w:val="14"/>
          <w:color w:val="auto"/>
        </w:rPr>
        <w:t xml:space="preserve">. Securities of any series that are to be guaranteed by the Guarantees of any Guarantors shall be guaranteed by such Guarantors as shall be established pursuant to Section 301 with respect to the Securities of such series. The Persons who shall initially be the Guarantors of the Securities of any such series may include any and all such Persons as the Company may determine;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prior to the authentication and delivery upon original issuance of Securities that are to be guaranteed by a Person, the Company, the Trustee and such Person shall enter into a supplemental indenture pursuant to Section 901 hereof whereby such Person shall become a Guarantor under this Indenture.</w:t>
      </w:r>
    </w:p>
    <w:p>
      <w:pPr>
        <w:spacing w:after="0" w:line="140"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Securities of any series that are to be guaranteed by the Guarantees of any Guarantors shall be guaranteed in accordance with the terms of such Guarantees as established pursuant to Section 301 with respect to such Securities and such Guarantees thereof and (except as otherwise specified as contemplated by Section 301 for such Securities and such Guarantees thereof) in accordance with this Article.</w:t>
      </w:r>
    </w:p>
    <w:p>
      <w:pPr>
        <w:spacing w:after="0" w:line="136" w:lineRule="exact"/>
        <w:rPr>
          <w:sz w:val="20"/>
          <w:szCs w:val="20"/>
          <w:color w:val="auto"/>
        </w:rPr>
      </w:pPr>
    </w:p>
    <w:p>
      <w:pPr>
        <w:jc w:val="both"/>
        <w:ind w:firstLine="511"/>
        <w:spacing w:after="0" w:line="262" w:lineRule="auto"/>
        <w:rPr>
          <w:sz w:val="20"/>
          <w:szCs w:val="20"/>
          <w:color w:val="auto"/>
        </w:rPr>
      </w:pPr>
      <w:r>
        <w:rPr>
          <w:rFonts w:ascii="Times New Roman" w:cs="Times New Roman" w:eastAsia="Times New Roman" w:hAnsi="Times New Roman"/>
          <w:sz w:val="14"/>
          <w:szCs w:val="14"/>
          <w:color w:val="auto"/>
        </w:rPr>
        <w:t>Each Guarantor of any Security hereby fully and unconditionally guarantees to each Holder of such Security, and to the Trustee on behalf of such Holder, the due and punctual payment of the principal of, and premium, if any, and interest, if any, on such Security when and as the same shall become due and payable, whether at the Stated Maturity, by declaration of acceleration, call for redemption or otherwise, in accordance with the terms of such Security and of this Indenture. In case of the failure of the Company punctually to make any such payment, such Guarantor hereby agrees to cause such payment to be made punctually when and as the same shall become due and payable, whether at the Stated Maturity or by acceleration, call for redemption or otherwise, and as if such payment were made by the Company.</w:t>
      </w:r>
    </w:p>
    <w:p>
      <w:pPr>
        <w:spacing w:after="0" w:line="143" w:lineRule="exact"/>
        <w:rPr>
          <w:sz w:val="20"/>
          <w:szCs w:val="20"/>
          <w:color w:val="auto"/>
        </w:rPr>
      </w:pPr>
    </w:p>
    <w:p>
      <w:pPr>
        <w:jc w:val="both"/>
        <w:ind w:firstLine="511"/>
        <w:spacing w:after="0" w:line="259" w:lineRule="auto"/>
        <w:rPr>
          <w:sz w:val="20"/>
          <w:szCs w:val="20"/>
          <w:color w:val="auto"/>
        </w:rPr>
      </w:pPr>
      <w:r>
        <w:rPr>
          <w:rFonts w:ascii="Times New Roman" w:cs="Times New Roman" w:eastAsia="Times New Roman" w:hAnsi="Times New Roman"/>
          <w:sz w:val="14"/>
          <w:szCs w:val="14"/>
          <w:color w:val="auto"/>
        </w:rPr>
        <w:t>The Guarantor of any Security hereby agrees that its obligations hereunder shall be absolute and unconditional irrespective of, and shall be unaffected by, any invalidity, irregularity or unenforceability of such Security or this Indenture, any failure to enforce the provisions of such Security or this Indenture, or any waiver, modification or indulgence granted to the Company with respect thereto, by the Holder of such Security or the Trustee or any other circumstance that may otherwise constitute a legal or equitable discharge or defense of a surety or guarantor; provided, however, that, notwithstanding the foregoing, no such waiver, modification or indulgence shall, without the consent of any Guarantor, increase the principal amount of such Security, or increase the interest rate thereon, change any redemption provisions thereof (including any change to increase any premium payable upon redemption thereof) or change the Interest Payment Date or Stated Maturity of any payment thereon, or increase the principal amount of any Original Issue Discount Security that would be due and payable upon acceleration or the maturity thereof pursuant to Section 502 of this Indenture.</w:t>
      </w:r>
    </w:p>
    <w:p>
      <w:pPr>
        <w:spacing w:after="0" w:line="146" w:lineRule="exact"/>
        <w:rPr>
          <w:sz w:val="20"/>
          <w:szCs w:val="20"/>
          <w:color w:val="auto"/>
        </w:rPr>
      </w:pPr>
    </w:p>
    <w:p>
      <w:pPr>
        <w:jc w:val="both"/>
        <w:ind w:firstLine="511"/>
        <w:spacing w:after="0" w:line="259" w:lineRule="auto"/>
        <w:rPr>
          <w:sz w:val="20"/>
          <w:szCs w:val="20"/>
          <w:color w:val="auto"/>
        </w:rPr>
      </w:pPr>
      <w:r>
        <w:rPr>
          <w:rFonts w:ascii="Times New Roman" w:cs="Times New Roman" w:eastAsia="Times New Roman" w:hAnsi="Times New Roman"/>
          <w:sz w:val="14"/>
          <w:szCs w:val="14"/>
          <w:color w:val="auto"/>
        </w:rPr>
        <w:t>The Guarantor of any Security hereby waives the benefits of diligence, presentment, demand for payment, any requirement that the Trustee or any of the Holders exhaust any right or take any action against the Company or any other Person, filing of claims with a court in the event of insolvency or bankruptcy of the Company, any right to require a proceeding first against the Company, protest or notice with respect to any Security or the indebtedness evidenced thereby and all demands whatsoever, and covenants that its obligations hereunder will not be discharged in respect of such Security except by complete performance of the obligations of such Guarantor contained in such Security and in this Indenture. Any Guarantee of any Guarantor hereunder shall constitute a guaranty of payment and not of collection. The Guarantor of any Security hereby agrees that, in the event of a default in payment of principal, or premium, if any, or interest, if any, on such Security, whether at any Interest Payment Date, at its Stated Maturity, by acceleration, call for redemption or otherwise, legal proceedings may be instituted by the Trustee on behalf of, or by, the Holder of such Security, subject to the terms and conditions set forth in this Indenture, directly against such Guarantor to enforce the obligation of such Guarantor hereunder without first proceeding against the Company.</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135" w:name="page136"/>
    <w:bookmarkEnd w:id="135"/>
    <w:p>
      <w:pPr>
        <w:jc w:val="both"/>
        <w:ind w:firstLine="511"/>
        <w:spacing w:after="0" w:line="260" w:lineRule="auto"/>
        <w:rPr>
          <w:sz w:val="20"/>
          <w:szCs w:val="20"/>
          <w:color w:val="auto"/>
        </w:rPr>
      </w:pPr>
      <w:r>
        <w:rPr>
          <w:rFonts w:ascii="Times New Roman" w:cs="Times New Roman" w:eastAsia="Times New Roman" w:hAnsi="Times New Roman"/>
          <w:sz w:val="14"/>
          <w:szCs w:val="14"/>
          <w:color w:val="auto"/>
        </w:rPr>
        <w:t>The Guarantee by any Guarantor of any Security shall remain in full force and effect and continue notwithstanding any petition filed by or against the Company for liquidation or reorganization, the Company becoming insolvent or making an assignment for the benefit of creditors or a receiver or trustee being appointed for all or any significant part of the Company’s assets, and shall, to the fullest extent permitted by law, continue to be effective or reinstated, as the case may be, if at any time payment of such Security, is, pursuant to applicable law, rescinded or reduced in amount, or must otherwise be restored or returned by any Holder of such Security, whether as a “voidable preference,” “fraudulent transfer,” or otherwise, all as though such payment or performance had not been made. In the event that any payment, or any part thereof, is rescinded, reduced, restored or returned on a Security, such Security shall, to the fullest extent permitted by law, be reinstated and deemed paid only by such amount paid and not so rescinded, reduced, restored or returned.</w:t>
      </w:r>
    </w:p>
    <w:p>
      <w:pPr>
        <w:spacing w:after="0" w:line="145"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No Subsidiary Guarantor shall consolidate with or merge with or into, or sell, convey, transfer or lease all or substantially all of its properties and assets on a consolidated basis to any Person, in each case in a transaction in which the successor Person formed by such consolidation or merger or to which such sale, conveyance, transfer or lease is made is an Affiliate of the Company (other than the Company or a Guarantor), unless, in any such case:</w:t>
      </w:r>
    </w:p>
    <w:p>
      <w:pPr>
        <w:spacing w:after="0" w:line="134" w:lineRule="exact"/>
        <w:rPr>
          <w:sz w:val="20"/>
          <w:szCs w:val="20"/>
          <w:color w:val="auto"/>
        </w:rPr>
      </w:pPr>
    </w:p>
    <w:p>
      <w:pPr>
        <w:jc w:val="both"/>
        <w:ind w:left="520" w:firstLine="511"/>
        <w:spacing w:after="0" w:line="291" w:lineRule="auto"/>
        <w:rPr>
          <w:sz w:val="20"/>
          <w:szCs w:val="20"/>
          <w:color w:val="auto"/>
        </w:rPr>
      </w:pPr>
      <w:r>
        <w:rPr>
          <w:rFonts w:ascii="Times New Roman" w:cs="Times New Roman" w:eastAsia="Times New Roman" w:hAnsi="Times New Roman"/>
          <w:sz w:val="14"/>
          <w:szCs w:val="14"/>
          <w:color w:val="auto"/>
        </w:rPr>
        <w:t>(1)           the resulting, surviving or transferee Person (the “</w:t>
      </w:r>
      <w:r>
        <w:rPr>
          <w:rFonts w:ascii="Times New Roman" w:cs="Times New Roman" w:eastAsia="Times New Roman" w:hAnsi="Times New Roman"/>
          <w:sz w:val="14"/>
          <w:szCs w:val="14"/>
          <w:b w:val="1"/>
          <w:bCs w:val="1"/>
          <w:i w:val="1"/>
          <w:iCs w:val="1"/>
          <w:color w:val="auto"/>
        </w:rPr>
        <w:t>Successor Guarantor</w:t>
      </w:r>
      <w:r>
        <w:rPr>
          <w:rFonts w:ascii="Times New Roman" w:cs="Times New Roman" w:eastAsia="Times New Roman" w:hAnsi="Times New Roman"/>
          <w:sz w:val="14"/>
          <w:szCs w:val="14"/>
          <w:color w:val="auto"/>
        </w:rPr>
        <w:t>”) shall be a corporation, limited liability company, partnership, trust, or other entity organized and validly existing under the laws of the United States, any State thereof or the District of Columbia;</w:t>
      </w:r>
    </w:p>
    <w:p>
      <w:pPr>
        <w:spacing w:after="0" w:line="122" w:lineRule="exact"/>
        <w:rPr>
          <w:sz w:val="20"/>
          <w:szCs w:val="20"/>
          <w:color w:val="auto"/>
        </w:rPr>
      </w:pPr>
    </w:p>
    <w:p>
      <w:pPr>
        <w:jc w:val="both"/>
        <w:ind w:left="520" w:firstLine="511"/>
        <w:spacing w:after="0" w:line="288" w:lineRule="auto"/>
        <w:rPr>
          <w:sz w:val="20"/>
          <w:szCs w:val="20"/>
          <w:color w:val="auto"/>
        </w:rPr>
      </w:pPr>
      <w:r>
        <w:rPr>
          <w:rFonts w:ascii="Times New Roman" w:cs="Times New Roman" w:eastAsia="Times New Roman" w:hAnsi="Times New Roman"/>
          <w:sz w:val="14"/>
          <w:szCs w:val="14"/>
          <w:color w:val="auto"/>
        </w:rPr>
        <w:t>(2)           the Successor Guarantor (if not the predecessor Subsidiary Guarantor) shall expressly assume, by supplemental indenture, executed and delivered to the Trustee, in form reasonably satisfactory to the Trustee, the performance or observance of every covenant of this Indenture and any Guarantees on the part of such Guarantor to be performed or observed;</w:t>
      </w:r>
    </w:p>
    <w:p>
      <w:pPr>
        <w:spacing w:after="0" w:line="124" w:lineRule="exact"/>
        <w:rPr>
          <w:sz w:val="20"/>
          <w:szCs w:val="20"/>
          <w:color w:val="auto"/>
        </w:rPr>
      </w:pPr>
    </w:p>
    <w:p>
      <w:pPr>
        <w:jc w:val="both"/>
        <w:ind w:left="520" w:firstLine="511"/>
        <w:spacing w:after="0" w:line="288" w:lineRule="auto"/>
        <w:rPr>
          <w:sz w:val="20"/>
          <w:szCs w:val="20"/>
          <w:color w:val="auto"/>
        </w:rPr>
      </w:pPr>
      <w:r>
        <w:rPr>
          <w:rFonts w:ascii="Times New Roman" w:cs="Times New Roman" w:eastAsia="Times New Roman" w:hAnsi="Times New Roman"/>
          <w:sz w:val="14"/>
          <w:szCs w:val="14"/>
          <w:color w:val="auto"/>
        </w:rPr>
        <w:t>(3)           immediately after giving effect to such transaction, no Event of Default, and no event that, after notice or lapse of time or both, would become an Event of Default, shall have occurred and be continuing; and</w:t>
      </w:r>
    </w:p>
    <w:p>
      <w:pPr>
        <w:spacing w:after="0" w:line="124" w:lineRule="exact"/>
        <w:rPr>
          <w:sz w:val="20"/>
          <w:szCs w:val="20"/>
          <w:color w:val="auto"/>
        </w:rPr>
      </w:pPr>
    </w:p>
    <w:p>
      <w:pPr>
        <w:jc w:val="both"/>
        <w:ind w:left="520" w:firstLine="511"/>
        <w:spacing w:after="0" w:line="271" w:lineRule="auto"/>
        <w:rPr>
          <w:sz w:val="20"/>
          <w:szCs w:val="20"/>
          <w:color w:val="auto"/>
        </w:rPr>
      </w:pPr>
      <w:r>
        <w:rPr>
          <w:rFonts w:ascii="Times New Roman" w:cs="Times New Roman" w:eastAsia="Times New Roman" w:hAnsi="Times New Roman"/>
          <w:sz w:val="14"/>
          <w:szCs w:val="14"/>
          <w:color w:val="auto"/>
        </w:rPr>
        <w:t>(4)           such Subsidiary Guarantor has delivered to the Trustee a Guarantor’s Officer’s Certificate and an Opinion of Counsel, each stating that such consolidation, merger, sale, conveyance, transfer or lease and, if a supplemental indenture is required in connection with such transaction, such supplemental indenture comply with this Article and that all conditions precedent provided for in this Indenture relating to such transaction have been complied with.</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36" w:name="page137"/>
    <w:bookmarkEnd w:id="136"/>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The foregoing paragraph shall not apply to the merger into, or sale, conveyance, transfer or lease of all or substantially all properties and assets by any Subsidiary Guarantor to another Guarantor or the Company.</w:t>
      </w:r>
    </w:p>
    <w:p>
      <w:pPr>
        <w:spacing w:after="0" w:line="124" w:lineRule="exact"/>
        <w:rPr>
          <w:sz w:val="20"/>
          <w:szCs w:val="20"/>
          <w:color w:val="auto"/>
        </w:rPr>
      </w:pPr>
    </w:p>
    <w:p>
      <w:pPr>
        <w:jc w:val="both"/>
        <w:ind w:firstLine="511"/>
        <w:spacing w:after="0" w:line="262" w:lineRule="auto"/>
        <w:rPr>
          <w:sz w:val="20"/>
          <w:szCs w:val="20"/>
          <w:color w:val="auto"/>
        </w:rPr>
      </w:pPr>
      <w:r>
        <w:rPr>
          <w:rFonts w:ascii="Times New Roman" w:cs="Times New Roman" w:eastAsia="Times New Roman" w:hAnsi="Times New Roman"/>
          <w:sz w:val="14"/>
          <w:szCs w:val="14"/>
          <w:color w:val="auto"/>
        </w:rPr>
        <w:t>Upon any consolidation of any Guarantor with, or merger of such Guarantor with or into, or any sale, conveyance, transfer or lease of all or substantially all the properties and assets of such Guarantor on a consolidated basis to, any Person, in each case in accordance with this paragraph, the Successor Guarantor shall succeed to, and be substituted for, and may exercise every right and power of, such Guarantor under this Indenture with the same effect as if the Successor Guarantor had been named as such Guarantor herein, and thereafter the predecessor Guarantor shall be relieved of all obligations and covenants under this Indenture and any Guarantees of such Guarantor, except in the case of a lease of all or substantially all of the properties and assets of the Guarantor on a consolidated basis, in which case the predecessor Guarantor shall not be released from the obligation to pay the principal of, any premium on, and interest on the Securities.</w:t>
      </w:r>
    </w:p>
    <w:p>
      <w:pPr>
        <w:spacing w:after="0" w:line="143" w:lineRule="exact"/>
        <w:rPr>
          <w:sz w:val="20"/>
          <w:szCs w:val="20"/>
          <w:color w:val="auto"/>
        </w:rPr>
      </w:pPr>
    </w:p>
    <w:p>
      <w:pPr>
        <w:jc w:val="both"/>
        <w:ind w:firstLine="511"/>
        <w:spacing w:after="0" w:line="256" w:lineRule="auto"/>
        <w:rPr>
          <w:sz w:val="20"/>
          <w:szCs w:val="20"/>
          <w:color w:val="auto"/>
        </w:rPr>
      </w:pPr>
      <w:r>
        <w:rPr>
          <w:rFonts w:ascii="Times New Roman" w:cs="Times New Roman" w:eastAsia="Times New Roman" w:hAnsi="Times New Roman"/>
          <w:sz w:val="14"/>
          <w:szCs w:val="14"/>
          <w:color w:val="auto"/>
        </w:rPr>
        <w:t>Each Guarantor shall be released and discharged automatically and unconditionally from all its obligations under this Indenture and its Guarantees with respect to a series of Securities, and will cease to be a Guarantor with respect to such Securities, without further action required on the part of the Trustee or any Holder, (a) in the case of a Subsidiary Guarantor, in the event the Subsidiary Guarantor is sold or disposed of (whether by merger, consolidation, the sale of a sufficient amount of its (or an intermediate holding company’s) capital stock so that it no longer constitutes a Subsidiary of the Company or the sale of all or substantially all of its properties and assets on a consolidated basis (other than by lease)), and whether or not the Guarantor is the surviving entity in such transaction, to a Person that is not (and does not thereupon become) the Company or a Subsidiary of the Company, (b) in the case of the Parent Guarantor, to the extent that the Company no longer intends to rely upon the annual reports and the information, documents and other reports filed by the Parent Guarantor for purposes of compliance with Section 704, upon delivery of an Officer’s Certificate to the Trustee certifying thereto and confirming release of the guarantee provided by the Parent Guarantor, (c) upon any merger with and into Viper Energy Partners, Viper Energy or any other Guarantor, (d) in connection with any Covenant Defeasance or Defeasance pursuant to Article XIII or satisfaction and discharge of the Securities of that series pursuant to Article IV, (e) if no Event of Default has occurred and is then continuing, upon the liquidation or dissolution of the Guarantor, or (f) upon delivery of an Officer’s Certificate to the Trustee certifying that such Guarantor does not guarantee (or is substantially concurrently being released from its guarantee of) the obligations of the Company under any indebtedness for borrowed money (including any release that would be conditioned only on the release or discharge of the Guarantee of the Securities, other than indebtedness for borrowed money). The Company may, at its option, at any time and from time to time, cause any Guarantor to be automatically and unconditionally released and discharged from all its obligations under its Guarantees with respect to Securities of any series guaranteed by Guarantees of such Guarantor and under this Indenture upon (i) any conditions for such release provided with respect to Securities of such series in accordance with Section 301 having been satisfied and (ii) delivery by the Company to the Trustee of a Company Order relating to such release and discharge. If the Trustee is requested to acknowledge, authorize or sign a release (or similar or related document) of any Guarantor, such Guarantor will deliver to the Trustee an Officer’s Certificate and Opinion of Counsel each stating that all conditions precedent provided for in this Indenture relating to such transaction or release and discharge have been complied with.</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37" w:name="page138"/>
    <w:bookmarkEnd w:id="137"/>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Anything in this Indenture, the Securities or any Guarantee to the contrary notwithstanding, the obligations of any Guarantor under its Guarantees and this Indenture shall be limited to the maximum amount as will, after giving effect to all other contingent and fixed liabilities of such Guarantor, result in the obligations of such Guarantor under its Guarantees and this Indenture not constituting a fraudulent advance or fraudulent transfer under any Bankruptcy Law, the Uniform Fraudulent Conveyance Act, the Uniform Fraudulent Transfer Act or any similar federal, state or other law affecting the rights of creditors generally.</w:t>
      </w:r>
    </w:p>
    <w:p>
      <w:pPr>
        <w:spacing w:after="0" w:line="140" w:lineRule="exact"/>
        <w:rPr>
          <w:sz w:val="20"/>
          <w:szCs w:val="20"/>
          <w:color w:val="auto"/>
        </w:rPr>
      </w:pPr>
    </w:p>
    <w:p>
      <w:pPr>
        <w:jc w:val="both"/>
        <w:ind w:firstLine="511"/>
        <w:spacing w:after="0" w:line="288" w:lineRule="auto"/>
        <w:rPr>
          <w:sz w:val="20"/>
          <w:szCs w:val="20"/>
          <w:color w:val="auto"/>
        </w:rPr>
      </w:pPr>
      <w:r>
        <w:rPr>
          <w:rFonts w:ascii="Times New Roman" w:cs="Times New Roman" w:eastAsia="Times New Roman" w:hAnsi="Times New Roman"/>
          <w:sz w:val="14"/>
          <w:szCs w:val="14"/>
          <w:color w:val="auto"/>
        </w:rPr>
        <w:t>No Guarantee by any Guarantor of any Security, whether or not such Guarantee is or is to be endorsed thereon, shall be valid and obligatory for any purpose with respect to such Security until the certificate of authentication on such Security shall have been signed by or on behalf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2692400</wp:posOffset>
            </wp:positionH>
            <wp:positionV relativeFrom="paragraph">
              <wp:posOffset>88265</wp:posOffset>
            </wp:positionV>
            <wp:extent cx="179006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1790065" cy="6985"/>
                    </a:xfrm>
                    <a:prstGeom prst="rect">
                      <a:avLst/>
                    </a:prstGeom>
                    <a:noFill/>
                  </pic:spPr>
                </pic:pic>
              </a:graphicData>
            </a:graphic>
          </wp:anchor>
        </w:drawing>
      </w:r>
    </w:p>
    <w:p>
      <w:pPr>
        <w:spacing w:after="0" w:line="296"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This instrument may be executed in any number of counterparts, each of which so executed shall be deemed to be an original, but all such counterparts shall together constitute but one and the same instrument. Delivery of an executed counterpart of this Indenture by facsimile or electronic transmission shall be equally as effective as delivery of an original executed counterpart of this Indenture. Any party delivering an executed counterpart of this Indenture by facsimile or electronic transmission also shall deliver an original executed counterpart of this Indenture, but failure to deliver an original executed counterpart shall not affect the validity, enforceability and binding effect of this Indenture.</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716153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color w:val="auto"/>
        </w:rPr>
        <w:t>IN WITNESS WHEREOF, the parties hereto have caused this Indenture to be duly executed as of the day and year first above written.</w:t>
      </w:r>
    </w:p>
    <w:p>
      <w:pPr>
        <w:spacing w:after="0" w:line="1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VIPER ENERGY PARTNERS LP</w:t>
      </w:r>
    </w:p>
    <w:p>
      <w:pPr>
        <w:spacing w:after="0" w:line="179" w:lineRule="exact"/>
        <w:rPr>
          <w:sz w:val="20"/>
          <w:szCs w:val="20"/>
          <w:color w:val="auto"/>
        </w:rPr>
      </w:pPr>
    </w:p>
    <w:p>
      <w:pPr>
        <w:ind w:left="5140"/>
        <w:spacing w:after="0"/>
        <w:tabs>
          <w:tab w:leader="none" w:pos="5440" w:val="left"/>
        </w:tabs>
        <w:rPr>
          <w:sz w:val="20"/>
          <w:szCs w:val="20"/>
          <w:color w:val="auto"/>
        </w:rPr>
      </w:pPr>
      <w:r>
        <w:rPr>
          <w:rFonts w:ascii="Times New Roman" w:cs="Times New Roman" w:eastAsia="Times New Roman" w:hAnsi="Times New Roman"/>
          <w:sz w:val="14"/>
          <w:szCs w:val="14"/>
          <w:color w:val="auto"/>
        </w:rPr>
        <w:t>By:</w:t>
        <w:tab/>
        <w:t>Viper Energy GP LLC, its general partner</w:t>
      </w:r>
    </w:p>
    <w:p>
      <w:pPr>
        <w:spacing w:after="0" w:line="1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-100965</wp:posOffset>
            </wp:positionV>
            <wp:extent cx="336423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3364230" cy="6985"/>
                    </a:xfrm>
                    <a:prstGeom prst="rect">
                      <a:avLst/>
                    </a:prstGeom>
                    <a:noFill/>
                  </pic:spPr>
                </pic:pic>
              </a:graphicData>
            </a:graphic>
          </wp:anchor>
        </w:drawing>
      </w:r>
    </w:p>
    <w:p>
      <w:pPr>
        <w:ind w:left="54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12700</wp:posOffset>
            </wp:positionV>
            <wp:extent cx="300672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3006725" cy="698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-100965</wp:posOffset>
            </wp:positionV>
            <wp:extent cx="300672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3006725" cy="6985"/>
                    </a:xfrm>
                    <a:prstGeom prst="rect">
                      <a:avLst/>
                    </a:prstGeom>
                    <a:noFill/>
                  </pic:spPr>
                </pic:pic>
              </a:graphicData>
            </a:graphic>
          </wp:anchor>
        </w:drawing>
      </w:r>
    </w:p>
    <w:p>
      <w:pPr>
        <w:spacing w:after="0" w:line="15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VIPER ENERGY, INC.</w:t>
      </w:r>
    </w:p>
    <w:p>
      <w:pPr>
        <w:spacing w:after="0" w:line="1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-100965</wp:posOffset>
            </wp:positionV>
            <wp:extent cx="336423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3364230" cy="6985"/>
                    </a:xfrm>
                    <a:prstGeom prst="rect">
                      <a:avLst/>
                    </a:prstGeom>
                    <a:noFill/>
                  </pic:spPr>
                </pic:pic>
              </a:graphicData>
            </a:graphic>
          </wp:anchor>
        </w:drawing>
      </w:r>
    </w:p>
    <w:p>
      <w:pPr>
        <w:ind w:left="54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12700</wp:posOffset>
            </wp:positionV>
            <wp:extent cx="300672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3006725" cy="698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-100965</wp:posOffset>
            </wp:positionV>
            <wp:extent cx="300672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3006725" cy="6985"/>
                    </a:xfrm>
                    <a:prstGeom prst="rect">
                      <a:avLst/>
                    </a:prstGeom>
                    <a:noFill/>
                  </pic:spPr>
                </pic:pic>
              </a:graphicData>
            </a:graphic>
          </wp:anchor>
        </w:drawing>
      </w:r>
    </w:p>
    <w:p>
      <w:pPr>
        <w:spacing w:after="0" w:line="16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i w:val="1"/>
          <w:iCs w:val="1"/>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354330</wp:posOffset>
            </wp:positionV>
            <wp:extent cx="716153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9639"/>
          </w:cols>
          <w:pgMar w:left="820" w:top="742" w:right="1440" w:bottom="1440" w:gutter="0" w:footer="0" w:header="0"/>
        </w:sectPr>
      </w:pPr>
    </w:p>
    <w:bookmarkStart w:id="139" w:name="page140"/>
    <w:bookmarkEnd w:id="139"/>
    <w:p>
      <w:pPr>
        <w:ind w:left="4520"/>
        <w:spacing w:after="0"/>
        <w:rPr>
          <w:sz w:val="20"/>
          <w:szCs w:val="20"/>
          <w:color w:val="auto"/>
        </w:rPr>
      </w:pPr>
      <w:r>
        <w:rPr>
          <w:rFonts w:ascii="Times New Roman" w:cs="Times New Roman" w:eastAsia="Times New Roman" w:hAnsi="Times New Roman"/>
          <w:sz w:val="13"/>
          <w:szCs w:val="13"/>
          <w:color w:val="auto"/>
        </w:rPr>
        <w:t>COMPUTERSHARE TRUST COMPANY, NATIONAL ASSOCIATION, as Trustee</w:t>
      </w:r>
    </w:p>
    <w:p>
      <w:pPr>
        <w:spacing w:after="0" w:line="1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3075940</wp:posOffset>
            </wp:positionH>
            <wp:positionV relativeFrom="paragraph">
              <wp:posOffset>-100965</wp:posOffset>
            </wp:positionV>
            <wp:extent cx="336423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extLst>
                    </a:blip>
                    <a:srcRect/>
                    <a:stretch>
                      <a:fillRect/>
                    </a:stretch>
                  </pic:blipFill>
                  <pic:spPr bwMode="auto">
                    <a:xfrm>
                      <a:off x="0" y="0"/>
                      <a:ext cx="3364230" cy="698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12700</wp:posOffset>
            </wp:positionV>
            <wp:extent cx="300672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extLst>
                    </a:blip>
                    <a:srcRect/>
                    <a:stretch>
                      <a:fillRect/>
                    </a:stretch>
                  </pic:blipFill>
                  <pic:spPr bwMode="auto">
                    <a:xfrm>
                      <a:off x="0" y="0"/>
                      <a:ext cx="3006725" cy="698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-100965</wp:posOffset>
            </wp:positionV>
            <wp:extent cx="300672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6">
                      <a:extLst>
                        <a:ext uri="{28A0092B-C50C-407E-A947-70E740481C1C}"/>
                      </a:extLst>
                    </a:blip>
                    <a:srcRect/>
                    <a:stretch>
                      <a:fillRect/>
                    </a:stretch>
                  </pic:blipFill>
                  <pic:spPr bwMode="auto">
                    <a:xfrm>
                      <a:off x="0" y="0"/>
                      <a:ext cx="3006725" cy="6985"/>
                    </a:xfrm>
                    <a:prstGeom prst="rect">
                      <a:avLst/>
                    </a:prstGeom>
                    <a:noFill/>
                  </pic:spPr>
                </pic:pic>
              </a:graphicData>
            </a:graphic>
          </wp:anchor>
        </w:drawing>
      </w:r>
    </w:p>
    <w:p>
      <w:pPr>
        <w:spacing w:after="0" w:line="16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i w:val="1"/>
          <w:iCs w:val="1"/>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354330</wp:posOffset>
            </wp:positionV>
            <wp:extent cx="716153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9340"/>
          </w:cols>
          <w:pgMar w:left="1440" w:top="742" w:right="111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368"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color w:val="auto"/>
        </w:rPr>
        <w:t>811 Main Street, Suite 3700</w:t>
      </w:r>
    </w:p>
    <w:p>
      <w:pPr>
        <w:spacing w:after="0" w:line="23"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color w:val="auto"/>
        </w:rPr>
        <w:t>Houston, TX 77002</w:t>
      </w:r>
    </w:p>
    <w:p>
      <w:pPr>
        <w:spacing w:after="0" w:line="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color w:val="auto"/>
        </w:rPr>
        <w:t>Tel: +1.713.546.5400 Fax: +1.713.546.5401</w:t>
      </w:r>
    </w:p>
    <w:p>
      <w:pPr>
        <w:spacing w:after="0" w:line="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color w:val="auto"/>
        </w:rPr>
        <w:t>www.lw.com</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7660" w:type="dxa"/>
            <w:vAlign w:val="bottom"/>
            <w:gridSpan w:val="2"/>
          </w:tcPr>
          <w:p>
            <w:pPr>
              <w:ind w:left="5340"/>
              <w:spacing w:after="0"/>
              <w:rPr>
                <w:sz w:val="20"/>
                <w:szCs w:val="20"/>
                <w:color w:val="auto"/>
              </w:rPr>
            </w:pPr>
            <w:r>
              <w:rPr>
                <w:rFonts w:ascii="Times New Roman" w:cs="Times New Roman" w:eastAsia="Times New Roman" w:hAnsi="Times New Roman"/>
                <w:sz w:val="14"/>
                <w:szCs w:val="14"/>
                <w:color w:val="auto"/>
              </w:rPr>
              <w:t>FIRM / AFFILIATE OFFICES</w:t>
            </w:r>
          </w:p>
        </w:tc>
      </w:tr>
      <w:tr>
        <w:trPr>
          <w:trHeight w:val="199"/>
        </w:trPr>
        <w:tc>
          <w:tcPr>
            <w:tcW w:w="5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340" w:type="dxa"/>
            <w:vAlign w:val="bottom"/>
          </w:tcPr>
          <w:p>
            <w:pPr>
              <w:ind w:left="5340"/>
              <w:spacing w:after="0"/>
              <w:rPr>
                <w:sz w:val="20"/>
                <w:szCs w:val="20"/>
                <w:color w:val="auto"/>
              </w:rPr>
            </w:pPr>
            <w:r>
              <w:rPr>
                <w:rFonts w:ascii="Times New Roman" w:cs="Times New Roman" w:eastAsia="Times New Roman" w:hAnsi="Times New Roman"/>
                <w:sz w:val="14"/>
                <w:szCs w:val="14"/>
                <w:color w:val="auto"/>
              </w:rPr>
              <w:t>Austin</w:t>
            </w:r>
          </w:p>
        </w:tc>
        <w:tc>
          <w:tcPr>
            <w:tcW w:w="1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Milan</w:t>
            </w:r>
          </w:p>
        </w:tc>
      </w:tr>
      <w:tr>
        <w:trPr>
          <w:trHeight w:val="170"/>
        </w:trPr>
        <w:tc>
          <w:tcPr>
            <w:tcW w:w="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340" w:type="dxa"/>
            <w:vAlign w:val="bottom"/>
          </w:tcPr>
          <w:p>
            <w:pPr>
              <w:ind w:left="5340"/>
              <w:spacing w:after="0"/>
              <w:rPr>
                <w:sz w:val="20"/>
                <w:szCs w:val="20"/>
                <w:color w:val="auto"/>
              </w:rPr>
            </w:pPr>
            <w:r>
              <w:rPr>
                <w:rFonts w:ascii="Times New Roman" w:cs="Times New Roman" w:eastAsia="Times New Roman" w:hAnsi="Times New Roman"/>
                <w:sz w:val="14"/>
                <w:szCs w:val="14"/>
                <w:color w:val="auto"/>
              </w:rPr>
              <w:t>Beijing</w:t>
            </w:r>
          </w:p>
        </w:tc>
        <w:tc>
          <w:tcPr>
            <w:tcW w:w="1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Munich</w:t>
            </w:r>
          </w:p>
        </w:tc>
      </w:tr>
      <w:tr>
        <w:trPr>
          <w:trHeight w:val="170"/>
        </w:trPr>
        <w:tc>
          <w:tcPr>
            <w:tcW w:w="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340" w:type="dxa"/>
            <w:vAlign w:val="bottom"/>
          </w:tcPr>
          <w:p>
            <w:pPr>
              <w:ind w:left="5340"/>
              <w:spacing w:after="0"/>
              <w:rPr>
                <w:sz w:val="20"/>
                <w:szCs w:val="20"/>
                <w:color w:val="auto"/>
              </w:rPr>
            </w:pPr>
            <w:r>
              <w:rPr>
                <w:rFonts w:ascii="Times New Roman" w:cs="Times New Roman" w:eastAsia="Times New Roman" w:hAnsi="Times New Roman"/>
                <w:sz w:val="14"/>
                <w:szCs w:val="14"/>
                <w:color w:val="auto"/>
              </w:rPr>
              <w:t>Boston</w:t>
            </w:r>
          </w:p>
        </w:tc>
        <w:tc>
          <w:tcPr>
            <w:tcW w:w="1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New York</w:t>
            </w:r>
          </w:p>
        </w:tc>
      </w:tr>
      <w:tr>
        <w:trPr>
          <w:trHeight w:val="170"/>
        </w:trPr>
        <w:tc>
          <w:tcPr>
            <w:tcW w:w="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340" w:type="dxa"/>
            <w:vAlign w:val="bottom"/>
          </w:tcPr>
          <w:p>
            <w:pPr>
              <w:ind w:left="5340"/>
              <w:spacing w:after="0"/>
              <w:rPr>
                <w:sz w:val="20"/>
                <w:szCs w:val="20"/>
                <w:color w:val="auto"/>
              </w:rPr>
            </w:pPr>
            <w:r>
              <w:rPr>
                <w:rFonts w:ascii="Times New Roman" w:cs="Times New Roman" w:eastAsia="Times New Roman" w:hAnsi="Times New Roman"/>
                <w:sz w:val="14"/>
                <w:szCs w:val="14"/>
                <w:color w:val="auto"/>
              </w:rPr>
              <w:t>Brussels</w:t>
            </w:r>
          </w:p>
        </w:tc>
        <w:tc>
          <w:tcPr>
            <w:tcW w:w="1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Orange County</w:t>
            </w:r>
          </w:p>
        </w:tc>
      </w:tr>
      <w:tr>
        <w:trPr>
          <w:trHeight w:val="170"/>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March 9, 2026</w:t>
            </w:r>
          </w:p>
        </w:tc>
        <w:tc>
          <w:tcPr>
            <w:tcW w:w="6340" w:type="dxa"/>
            <w:vAlign w:val="bottom"/>
          </w:tcPr>
          <w:p>
            <w:pPr>
              <w:ind w:left="5340"/>
              <w:spacing w:after="0"/>
              <w:rPr>
                <w:sz w:val="20"/>
                <w:szCs w:val="20"/>
                <w:color w:val="auto"/>
              </w:rPr>
            </w:pPr>
            <w:r>
              <w:rPr>
                <w:rFonts w:ascii="Times New Roman" w:cs="Times New Roman" w:eastAsia="Times New Roman" w:hAnsi="Times New Roman"/>
                <w:sz w:val="14"/>
                <w:szCs w:val="14"/>
                <w:color w:val="auto"/>
              </w:rPr>
              <w:t>Chicago</w:t>
            </w:r>
          </w:p>
        </w:tc>
        <w:tc>
          <w:tcPr>
            <w:tcW w:w="1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Paris</w:t>
            </w:r>
          </w:p>
        </w:tc>
      </w:tr>
      <w:tr>
        <w:trPr>
          <w:trHeight w:val="170"/>
        </w:trPr>
        <w:tc>
          <w:tcPr>
            <w:tcW w:w="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340" w:type="dxa"/>
            <w:vAlign w:val="bottom"/>
          </w:tcPr>
          <w:p>
            <w:pPr>
              <w:ind w:left="5340"/>
              <w:spacing w:after="0"/>
              <w:rPr>
                <w:sz w:val="20"/>
                <w:szCs w:val="20"/>
                <w:color w:val="auto"/>
              </w:rPr>
            </w:pPr>
            <w:r>
              <w:rPr>
                <w:rFonts w:ascii="Times New Roman" w:cs="Times New Roman" w:eastAsia="Times New Roman" w:hAnsi="Times New Roman"/>
                <w:sz w:val="14"/>
                <w:szCs w:val="14"/>
                <w:color w:val="auto"/>
              </w:rPr>
              <w:t>Dubai</w:t>
            </w:r>
          </w:p>
        </w:tc>
        <w:tc>
          <w:tcPr>
            <w:tcW w:w="1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Riyadh</w:t>
            </w:r>
          </w:p>
        </w:tc>
      </w:tr>
      <w:tr>
        <w:trPr>
          <w:trHeight w:val="170"/>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Viper Energy, Inc.</w:t>
            </w:r>
          </w:p>
        </w:tc>
        <w:tc>
          <w:tcPr>
            <w:tcW w:w="6340" w:type="dxa"/>
            <w:vAlign w:val="bottom"/>
          </w:tcPr>
          <w:p>
            <w:pPr>
              <w:ind w:left="5340"/>
              <w:spacing w:after="0"/>
              <w:rPr>
                <w:sz w:val="20"/>
                <w:szCs w:val="20"/>
                <w:color w:val="auto"/>
              </w:rPr>
            </w:pPr>
            <w:r>
              <w:rPr>
                <w:rFonts w:ascii="Times New Roman" w:cs="Times New Roman" w:eastAsia="Times New Roman" w:hAnsi="Times New Roman"/>
                <w:sz w:val="14"/>
                <w:szCs w:val="14"/>
                <w:color w:val="auto"/>
              </w:rPr>
              <w:t>Düsseldorf</w:t>
            </w:r>
          </w:p>
        </w:tc>
        <w:tc>
          <w:tcPr>
            <w:tcW w:w="1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San Diego</w:t>
            </w:r>
          </w:p>
        </w:tc>
      </w:tr>
      <w:tr>
        <w:trPr>
          <w:trHeight w:val="170"/>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500 West Texas Ave., Suite 100</w:t>
            </w:r>
          </w:p>
        </w:tc>
        <w:tc>
          <w:tcPr>
            <w:tcW w:w="6340" w:type="dxa"/>
            <w:vAlign w:val="bottom"/>
          </w:tcPr>
          <w:p>
            <w:pPr>
              <w:ind w:left="5340"/>
              <w:spacing w:after="0"/>
              <w:rPr>
                <w:sz w:val="20"/>
                <w:szCs w:val="20"/>
                <w:color w:val="auto"/>
              </w:rPr>
            </w:pPr>
            <w:r>
              <w:rPr>
                <w:rFonts w:ascii="Times New Roman" w:cs="Times New Roman" w:eastAsia="Times New Roman" w:hAnsi="Times New Roman"/>
                <w:sz w:val="14"/>
                <w:szCs w:val="14"/>
                <w:color w:val="auto"/>
              </w:rPr>
              <w:t>Frankfurt</w:t>
            </w:r>
          </w:p>
        </w:tc>
        <w:tc>
          <w:tcPr>
            <w:tcW w:w="1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San Francisco</w:t>
            </w:r>
          </w:p>
        </w:tc>
      </w:tr>
      <w:tr>
        <w:trPr>
          <w:trHeight w:val="170"/>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Midland, Texas 79701</w:t>
            </w:r>
          </w:p>
        </w:tc>
        <w:tc>
          <w:tcPr>
            <w:tcW w:w="6340" w:type="dxa"/>
            <w:vAlign w:val="bottom"/>
          </w:tcPr>
          <w:p>
            <w:pPr>
              <w:ind w:left="5340"/>
              <w:spacing w:after="0"/>
              <w:rPr>
                <w:sz w:val="20"/>
                <w:szCs w:val="20"/>
                <w:color w:val="auto"/>
              </w:rPr>
            </w:pPr>
            <w:r>
              <w:rPr>
                <w:rFonts w:ascii="Times New Roman" w:cs="Times New Roman" w:eastAsia="Times New Roman" w:hAnsi="Times New Roman"/>
                <w:sz w:val="14"/>
                <w:szCs w:val="14"/>
                <w:color w:val="auto"/>
              </w:rPr>
              <w:t>Hamburg</w:t>
            </w:r>
          </w:p>
        </w:tc>
        <w:tc>
          <w:tcPr>
            <w:tcW w:w="1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Seoul</w:t>
            </w:r>
          </w:p>
        </w:tc>
      </w:tr>
      <w:tr>
        <w:trPr>
          <w:trHeight w:val="170"/>
        </w:trPr>
        <w:tc>
          <w:tcPr>
            <w:tcW w:w="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340" w:type="dxa"/>
            <w:vAlign w:val="bottom"/>
          </w:tcPr>
          <w:p>
            <w:pPr>
              <w:ind w:left="5340"/>
              <w:spacing w:after="0"/>
              <w:rPr>
                <w:sz w:val="20"/>
                <w:szCs w:val="20"/>
                <w:color w:val="auto"/>
              </w:rPr>
            </w:pPr>
            <w:r>
              <w:rPr>
                <w:rFonts w:ascii="Times New Roman" w:cs="Times New Roman" w:eastAsia="Times New Roman" w:hAnsi="Times New Roman"/>
                <w:sz w:val="14"/>
                <w:szCs w:val="14"/>
                <w:color w:val="auto"/>
              </w:rPr>
              <w:t>Hong Kong</w:t>
            </w:r>
          </w:p>
        </w:tc>
        <w:tc>
          <w:tcPr>
            <w:tcW w:w="1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Silicon Valley</w:t>
            </w:r>
          </w:p>
        </w:tc>
      </w:tr>
      <w:tr>
        <w:trPr>
          <w:trHeight w:val="170"/>
        </w:trPr>
        <w:tc>
          <w:tcPr>
            <w:tcW w:w="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340" w:type="dxa"/>
            <w:vAlign w:val="bottom"/>
          </w:tcPr>
          <w:p>
            <w:pPr>
              <w:ind w:left="5340"/>
              <w:spacing w:after="0"/>
              <w:rPr>
                <w:sz w:val="20"/>
                <w:szCs w:val="20"/>
                <w:color w:val="auto"/>
              </w:rPr>
            </w:pPr>
            <w:r>
              <w:rPr>
                <w:rFonts w:ascii="Times New Roman" w:cs="Times New Roman" w:eastAsia="Times New Roman" w:hAnsi="Times New Roman"/>
                <w:sz w:val="14"/>
                <w:szCs w:val="14"/>
                <w:color w:val="auto"/>
              </w:rPr>
              <w:t>Houston</w:t>
            </w:r>
          </w:p>
        </w:tc>
        <w:tc>
          <w:tcPr>
            <w:tcW w:w="1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Singapore</w:t>
            </w:r>
          </w:p>
        </w:tc>
      </w:tr>
      <w:tr>
        <w:trPr>
          <w:trHeight w:val="170"/>
        </w:trPr>
        <w:tc>
          <w:tcPr>
            <w:tcW w:w="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340" w:type="dxa"/>
            <w:vAlign w:val="bottom"/>
          </w:tcPr>
          <w:p>
            <w:pPr>
              <w:ind w:left="5340"/>
              <w:spacing w:after="0"/>
              <w:rPr>
                <w:sz w:val="20"/>
                <w:szCs w:val="20"/>
                <w:color w:val="auto"/>
              </w:rPr>
            </w:pPr>
            <w:r>
              <w:rPr>
                <w:rFonts w:ascii="Times New Roman" w:cs="Times New Roman" w:eastAsia="Times New Roman" w:hAnsi="Times New Roman"/>
                <w:sz w:val="14"/>
                <w:szCs w:val="14"/>
                <w:color w:val="auto"/>
              </w:rPr>
              <w:t>London</w:t>
            </w:r>
          </w:p>
        </w:tc>
        <w:tc>
          <w:tcPr>
            <w:tcW w:w="1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Tel Aviv</w:t>
            </w:r>
          </w:p>
        </w:tc>
      </w:tr>
      <w:tr>
        <w:trPr>
          <w:trHeight w:val="170"/>
        </w:trPr>
        <w:tc>
          <w:tcPr>
            <w:tcW w:w="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340" w:type="dxa"/>
            <w:vAlign w:val="bottom"/>
          </w:tcPr>
          <w:p>
            <w:pPr>
              <w:ind w:left="5340"/>
              <w:spacing w:after="0"/>
              <w:rPr>
                <w:sz w:val="20"/>
                <w:szCs w:val="20"/>
                <w:color w:val="auto"/>
              </w:rPr>
            </w:pPr>
            <w:r>
              <w:rPr>
                <w:rFonts w:ascii="Times New Roman" w:cs="Times New Roman" w:eastAsia="Times New Roman" w:hAnsi="Times New Roman"/>
                <w:sz w:val="14"/>
                <w:szCs w:val="14"/>
                <w:color w:val="auto"/>
              </w:rPr>
              <w:t>Los Angeles</w:t>
            </w:r>
          </w:p>
        </w:tc>
        <w:tc>
          <w:tcPr>
            <w:tcW w:w="1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Tokyo</w:t>
            </w:r>
          </w:p>
        </w:tc>
      </w:tr>
      <w:tr>
        <w:trPr>
          <w:trHeight w:val="184"/>
        </w:trPr>
        <w:tc>
          <w:tcPr>
            <w:tcW w:w="5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340" w:type="dxa"/>
            <w:vAlign w:val="bottom"/>
          </w:tcPr>
          <w:p>
            <w:pPr>
              <w:ind w:left="5340"/>
              <w:spacing w:after="0"/>
              <w:rPr>
                <w:sz w:val="20"/>
                <w:szCs w:val="20"/>
                <w:color w:val="auto"/>
              </w:rPr>
            </w:pPr>
            <w:r>
              <w:rPr>
                <w:rFonts w:ascii="Times New Roman" w:cs="Times New Roman" w:eastAsia="Times New Roman" w:hAnsi="Times New Roman"/>
                <w:sz w:val="14"/>
                <w:szCs w:val="14"/>
                <w:color w:val="auto"/>
              </w:rPr>
              <w:t>Madrid</w:t>
            </w:r>
          </w:p>
        </w:tc>
        <w:tc>
          <w:tcPr>
            <w:tcW w:w="132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98"/>
              </w:rPr>
              <w:t>Washington, D.C.</w:t>
            </w:r>
          </w:p>
        </w:tc>
      </w:tr>
      <w:tr>
        <w:trPr>
          <w:trHeight w:val="309"/>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Re:</w:t>
            </w: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Registration Statement on Form S-3</w:t>
            </w:r>
          </w:p>
        </w:tc>
        <w:tc>
          <w:tcPr>
            <w:tcW w:w="63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-1850390</wp:posOffset>
            </wp:positionV>
            <wp:extent cx="1601470" cy="1079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8">
                      <a:extLst>
                        <a:ext uri="{28A0092B-C50C-407E-A947-70E740481C1C}"/>
                      </a:extLst>
                    </a:blip>
                    <a:srcRect/>
                    <a:stretch>
                      <a:fillRect/>
                    </a:stretch>
                  </pic:blipFill>
                  <pic:spPr bwMode="auto">
                    <a:xfrm>
                      <a:off x="0" y="0"/>
                      <a:ext cx="1601470" cy="10795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addressee set forth above: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have acted as special counsel to Viper Energy, Inc., a Delaware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and Viper Energy Partners LP, a Delaware limited partnership (“</w:t>
      </w:r>
      <w:r>
        <w:rPr>
          <w:rFonts w:ascii="Times New Roman" w:cs="Times New Roman" w:eastAsia="Times New Roman" w:hAnsi="Times New Roman"/>
          <w:sz w:val="14"/>
          <w:szCs w:val="14"/>
          <w:b w:val="1"/>
          <w:bCs w:val="1"/>
          <w:i w:val="1"/>
          <w:iCs w:val="1"/>
          <w:color w:val="auto"/>
        </w:rPr>
        <w:t>VEP</w:t>
      </w:r>
      <w:r>
        <w:rPr>
          <w:rFonts w:ascii="Times New Roman" w:cs="Times New Roman" w:eastAsia="Times New Roman" w:hAnsi="Times New Roman"/>
          <w:sz w:val="14"/>
          <w:szCs w:val="14"/>
          <w:color w:val="auto"/>
        </w:rPr>
        <w:t>”), in connection with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their filing on the date hereof with the 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of a registration statement on Form S-3 (as amended,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including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 prospectus (the “</w:t>
      </w:r>
      <w:r>
        <w:rPr>
          <w:rFonts w:ascii="Times New Roman" w:cs="Times New Roman" w:eastAsia="Times New Roman" w:hAnsi="Times New Roman"/>
          <w:sz w:val="14"/>
          <w:szCs w:val="14"/>
          <w:b w:val="1"/>
          <w:bCs w:val="1"/>
          <w:i w:val="1"/>
          <w:iCs w:val="1"/>
          <w:color w:val="auto"/>
        </w:rPr>
        <w:t>Base Prospectus</w:t>
      </w:r>
      <w:r>
        <w:rPr>
          <w:rFonts w:ascii="Times New Roman" w:cs="Times New Roman" w:eastAsia="Times New Roman" w:hAnsi="Times New Roman"/>
          <w:sz w:val="14"/>
          <w:szCs w:val="14"/>
          <w:color w:val="auto"/>
        </w:rPr>
        <w:t>”), which provides that it will be supplemented by one or more prospectus supplements (each such prospectus supplement, together with the Base Prospectus,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b w:val="1"/>
          <w:bCs w:val="1"/>
          <w:i w:val="1"/>
          <w:iCs w:val="1"/>
          <w:color w:val="auto"/>
        </w:rPr>
        <w:t>Act</w:t>
      </w:r>
      <w:r>
        <w:rPr>
          <w:rFonts w:ascii="Times New Roman" w:cs="Times New Roman" w:eastAsia="Times New Roman" w:hAnsi="Times New Roman"/>
          <w:sz w:val="14"/>
          <w:szCs w:val="14"/>
          <w:color w:val="auto"/>
        </w:rPr>
        <w:t>”), relating to the registration for issue and sale of (i) shares of the Company’s Class A common stock, $0.000001 par value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(ii) shares of one or more series of the Company’s preferred stock, $0.000001 par value per share (“</w:t>
      </w:r>
      <w:r>
        <w:rPr>
          <w:rFonts w:ascii="Times New Roman" w:cs="Times New Roman" w:eastAsia="Times New Roman" w:hAnsi="Times New Roman"/>
          <w:sz w:val="14"/>
          <w:szCs w:val="14"/>
          <w:b w:val="1"/>
          <w:bCs w:val="1"/>
          <w:i w:val="1"/>
          <w:iCs w:val="1"/>
          <w:color w:val="auto"/>
        </w:rPr>
        <w:t>Preferred Stock</w:t>
      </w:r>
      <w:r>
        <w:rPr>
          <w:rFonts w:ascii="Times New Roman" w:cs="Times New Roman" w:eastAsia="Times New Roman" w:hAnsi="Times New Roman"/>
          <w:sz w:val="14"/>
          <w:szCs w:val="14"/>
          <w:color w:val="auto"/>
        </w:rPr>
        <w:t>”), (iii) one or more series of VEP’s debt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(collectively, “</w:t>
      </w:r>
      <w:r>
        <w:rPr>
          <w:rFonts w:ascii="Times New Roman" w:cs="Times New Roman" w:eastAsia="Times New Roman" w:hAnsi="Times New Roman"/>
          <w:sz w:val="14"/>
          <w:szCs w:val="14"/>
          <w:b w:val="1"/>
          <w:bCs w:val="1"/>
          <w:i w:val="1"/>
          <w:iCs w:val="1"/>
          <w:color w:val="auto"/>
        </w:rPr>
        <w:t>Debt Securities</w:t>
      </w:r>
      <w:r>
        <w:rPr>
          <w:rFonts w:ascii="Times New Roman" w:cs="Times New Roman" w:eastAsia="Times New Roman" w:hAnsi="Times New Roman"/>
          <w:sz w:val="14"/>
          <w:szCs w:val="14"/>
          <w:color w:val="auto"/>
        </w:rPr>
        <w:t>”) to be issued under an indenture to be entered into between VEP, as issuer, and Computershare Trust Company, National Association, as trustee (a form of which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included as Exhibit 4.13 to the Registration Statement) and one or more board resolutions, supplements thereto or officer’s certificates thereunder (such indenture, together with the applicable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resolution, supplement or officer’s certificate pertaining to the applicable series of Debt Securities, the “</w:t>
      </w:r>
      <w:r>
        <w:rPr>
          <w:rFonts w:ascii="Times New Roman" w:cs="Times New Roman" w:eastAsia="Times New Roman" w:hAnsi="Times New Roman"/>
          <w:sz w:val="14"/>
          <w:szCs w:val="14"/>
          <w:b w:val="1"/>
          <w:bCs w:val="1"/>
          <w:i w:val="1"/>
          <w:iCs w:val="1"/>
          <w:color w:val="auto"/>
        </w:rPr>
        <w:t>Applicable Indenture</w:t>
      </w:r>
      <w:r>
        <w:rPr>
          <w:rFonts w:ascii="Times New Roman" w:cs="Times New Roman" w:eastAsia="Times New Roman" w:hAnsi="Times New Roman"/>
          <w:sz w:val="14"/>
          <w:szCs w:val="14"/>
          <w:color w:val="auto"/>
        </w:rPr>
        <w:t>”), (iv) warrants to acquire Common Stock or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and (v) guarantees of the Debt Securities (the “</w:t>
      </w:r>
      <w:r>
        <w:rPr>
          <w:rFonts w:ascii="Times New Roman" w:cs="Times New Roman" w:eastAsia="Times New Roman" w:hAnsi="Times New Roman"/>
          <w:sz w:val="14"/>
          <w:szCs w:val="14"/>
          <w:b w:val="1"/>
          <w:bCs w:val="1"/>
          <w:i w:val="1"/>
          <w:iCs w:val="1"/>
          <w:color w:val="auto"/>
        </w:rPr>
        <w:t>Guarantees</w:t>
      </w:r>
      <w:r>
        <w:rPr>
          <w:rFonts w:ascii="Times New Roman" w:cs="Times New Roman" w:eastAsia="Times New Roman" w:hAnsi="Times New Roman"/>
          <w:sz w:val="14"/>
          <w:szCs w:val="14"/>
          <w:color w:val="auto"/>
        </w:rPr>
        <w:t>”) by the Company (in such capacity, the “</w:t>
      </w:r>
      <w:r>
        <w:rPr>
          <w:rFonts w:ascii="Times New Roman" w:cs="Times New Roman" w:eastAsia="Times New Roman" w:hAnsi="Times New Roman"/>
          <w:sz w:val="14"/>
          <w:szCs w:val="14"/>
          <w:b w:val="1"/>
          <w:bCs w:val="1"/>
          <w:i w:val="1"/>
          <w:iCs w:val="1"/>
          <w:color w:val="auto"/>
        </w:rPr>
        <w:t>Guarantor</w:t>
      </w:r>
      <w:r>
        <w:rPr>
          <w:rFonts w:ascii="Times New Roman" w:cs="Times New Roman" w:eastAsia="Times New Roman" w:hAnsi="Times New Roman"/>
          <w:sz w:val="14"/>
          <w:szCs w:val="14"/>
          <w:color w:val="auto"/>
        </w:rPr>
        <w:t>”). The Common Stock, Preferred Stock, Debt Securities, Warrants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Guarantees are referred to herein collectively as the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w:t>
      </w:r>
    </w:p>
    <w:p>
      <w:pPr>
        <w:spacing w:after="0" w:line="165" w:lineRule="exact"/>
        <w:rPr>
          <w:sz w:val="20"/>
          <w:szCs w:val="20"/>
          <w:color w:val="auto"/>
        </w:rPr>
      </w:pPr>
    </w:p>
    <w:p>
      <w:pPr>
        <w:ind w:right="60" w:firstLine="511"/>
        <w:spacing w:after="0" w:line="288" w:lineRule="auto"/>
        <w:rPr>
          <w:sz w:val="20"/>
          <w:szCs w:val="20"/>
          <w:color w:val="auto"/>
        </w:rPr>
      </w:pPr>
      <w:r>
        <w:rPr>
          <w:rFonts w:ascii="Times New Roman" w:cs="Times New Roman" w:eastAsia="Times New Roman" w:hAnsi="Times New Roman"/>
          <w:sz w:val="14"/>
          <w:szCs w:val="14"/>
          <w:color w:val="auto"/>
        </w:rPr>
        <w:t>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issue of the Securities.</w:t>
      </w:r>
    </w:p>
    <w:p>
      <w:pPr>
        <w:spacing w:after="0" w:line="124" w:lineRule="exact"/>
        <w:rPr>
          <w:sz w:val="20"/>
          <w:szCs w:val="20"/>
          <w:color w:val="auto"/>
        </w:rPr>
      </w:pPr>
    </w:p>
    <w:p>
      <w:pPr>
        <w:ind w:right="60" w:firstLine="511"/>
        <w:spacing w:after="0" w:line="262" w:lineRule="auto"/>
        <w:rPr>
          <w:sz w:val="20"/>
          <w:szCs w:val="20"/>
          <w:color w:val="auto"/>
        </w:rPr>
      </w:pPr>
      <w:r>
        <w:rPr>
          <w:rFonts w:ascii="Times New Roman" w:cs="Times New Roman" w:eastAsia="Times New Roman" w:hAnsi="Times New Roman"/>
          <w:sz w:val="14"/>
          <w:szCs w:val="14"/>
          <w:color w:val="auto"/>
        </w:rPr>
        <w:t>As such counsel, we have examined such matters of fact and questions of law as we have considered appropriate for purposes of this letter. With your consent, we have relied upon certificates and other assurances of officers of the Company, VEP and others as to factual matters without having independently verified such factual matters. We are opining herein as to the General Corporation Law of the State of Delaware, the Delaware Revised Uniform Partnership Act, and with respect to the opinions set forth in paragraphs 3 and 4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16153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color w:val="auto"/>
        </w:rPr>
        <w:t>March 9, 2026</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1169035" cy="148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0">
                      <a:extLst>
                        <a:ext uri="{28A0092B-C50C-407E-A947-70E740481C1C}"/>
                      </a:extLst>
                    </a:blip>
                    <a:srcRect/>
                    <a:stretch>
                      <a:fillRect/>
                    </a:stretch>
                  </pic:blipFill>
                  <pic:spPr bwMode="auto">
                    <a:xfrm>
                      <a:off x="0" y="0"/>
                      <a:ext cx="1169035" cy="1485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Subject to the foregoing and the other matters set forth herein, it is our opinion that, as of the date hereof:</w:t>
      </w:r>
    </w:p>
    <w:p>
      <w:pPr>
        <w:spacing w:after="0" w:line="179" w:lineRule="exact"/>
        <w:rPr>
          <w:sz w:val="20"/>
          <w:szCs w:val="20"/>
          <w:color w:val="auto"/>
        </w:rPr>
      </w:pPr>
    </w:p>
    <w:p>
      <w:pPr>
        <w:ind w:left="780" w:right="80" w:hanging="264"/>
        <w:spacing w:after="0" w:line="265" w:lineRule="auto"/>
        <w:tabs>
          <w:tab w:leader="none" w:pos="7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an issuance of Common Stock has been duly authorized by all necessary corporate action of the Company, upon issuance, delivery and payment therefor in an amount not less than the par value thereof in the manner contemplated by the applicable Prospectus and by such corporate action, such shares of Common Stock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40" w:lineRule="exact"/>
        <w:rPr>
          <w:rFonts w:ascii="Times New Roman" w:cs="Times New Roman" w:eastAsia="Times New Roman" w:hAnsi="Times New Roman"/>
          <w:sz w:val="14"/>
          <w:szCs w:val="14"/>
          <w:color w:val="auto"/>
        </w:rPr>
      </w:pPr>
    </w:p>
    <w:p>
      <w:pPr>
        <w:ind w:left="780" w:hanging="264"/>
        <w:spacing w:after="0" w:line="265" w:lineRule="auto"/>
        <w:tabs>
          <w:tab w:leader="none" w:pos="7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 series of Preferred Stock has been duly established in accordance with the terms of the Company’s Amended and Restated Certificate of Incorporation and authorized by all necessary corporate action of the Company, upon issuance, delivery and payment therefor in an amount not less than the par value thereof in the manner contemplated by the applicable Prospectus and by such corporate action, such shares of such series of Preferred Stock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40" w:lineRule="exact"/>
        <w:rPr>
          <w:rFonts w:ascii="Times New Roman" w:cs="Times New Roman" w:eastAsia="Times New Roman" w:hAnsi="Times New Roman"/>
          <w:sz w:val="14"/>
          <w:szCs w:val="14"/>
          <w:color w:val="auto"/>
        </w:rPr>
      </w:pPr>
    </w:p>
    <w:p>
      <w:pPr>
        <w:ind w:left="780" w:right="40" w:hanging="264"/>
        <w:spacing w:after="0" w:line="259" w:lineRule="auto"/>
        <w:tabs>
          <w:tab w:leader="none" w:pos="7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Applicable Indenture has been duly authorized, executed and delivered by all necessary limited partnership action of VEP and, if applicable, all necessary corporate action of the Guarantor, and when the specific terms of a particular series of Debt Securities have been duly established in accordance with the terms of the Applicable Indenture and authorized by all necessary limited partnership action of VEP and, if applicable, all necessary corporate action of the Guarantor, and such Debt Securities have been duly executed, authenticated, issued and delivered against payment therefor, and when the Guarantees of such Debt Securities have been duly authorized by all necessary corporate action of the Guarantor and duly executed and delivered by the Guarantor, in accordance with the terms of the Applicable Indenture and in the manner contemplated by the applicable Prospectus and by such corporate or limited partnership action, (i) such Debt Securities will be the legally valid and binding obligations of VEP, enforceable against VEP in accordance with their terms, and (ii) such Guarantees will be the legally valid and binding obligations of the Guarantor, enforceable against the Guarantor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331470</wp:posOffset>
            </wp:positionV>
            <wp:extent cx="716153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20"/>
          </w:cols>
          <w:pgMar w:left="300" w:top="740" w:right="3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color w:val="auto"/>
        </w:rPr>
        <w:t>March 9, 2026</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1169035" cy="148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2">
                      <a:extLst>
                        <a:ext uri="{28A0092B-C50C-407E-A947-70E740481C1C}"/>
                      </a:extLst>
                    </a:blip>
                    <a:srcRect/>
                    <a:stretch>
                      <a:fillRect/>
                    </a:stretch>
                  </pic:blipFill>
                  <pic:spPr bwMode="auto">
                    <a:xfrm>
                      <a:off x="0" y="0"/>
                      <a:ext cx="1169035" cy="1485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780" w:hanging="264"/>
        <w:spacing w:after="0" w:line="260" w:lineRule="auto"/>
        <w:tabs>
          <w:tab w:leader="none" w:pos="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w:t>
      </w:r>
    </w:p>
    <w:p>
      <w:pPr>
        <w:spacing w:after="0" w:line="145"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4"/>
          <w:szCs w:val="14"/>
          <w:color w:val="auto"/>
        </w:rPr>
        <w:t>Our opinions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w:t>
      </w:r>
    </w:p>
    <w:p>
      <w:pPr>
        <w:spacing w:after="0" w:line="5" w:lineRule="exact"/>
        <w:rPr>
          <w:sz w:val="20"/>
          <w:szCs w:val="20"/>
          <w:color w:val="auto"/>
        </w:rPr>
      </w:pPr>
    </w:p>
    <w:p>
      <w:pPr>
        <w:ind w:right="200" w:firstLine="5"/>
        <w:spacing w:after="0" w:line="267" w:lineRule="auto"/>
        <w:tabs>
          <w:tab w:leader="none" w:pos="201"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spacing w:after="0" w:line="138" w:lineRule="exact"/>
        <w:rPr>
          <w:sz w:val="20"/>
          <w:szCs w:val="20"/>
          <w:color w:val="auto"/>
        </w:rPr>
      </w:pPr>
    </w:p>
    <w:p>
      <w:pPr>
        <w:ind w:firstLine="511"/>
        <w:spacing w:after="0" w:line="260" w:lineRule="auto"/>
        <w:rPr>
          <w:sz w:val="20"/>
          <w:szCs w:val="20"/>
          <w:color w:val="auto"/>
        </w:rPr>
      </w:pPr>
      <w:r>
        <w:rPr>
          <w:rFonts w:ascii="Times New Roman" w:cs="Times New Roman" w:eastAsia="Times New Roman" w:hAnsi="Times New Roman"/>
          <w:sz w:val="14"/>
          <w:szCs w:val="14"/>
          <w:color w:val="auto"/>
        </w:rPr>
        <w:t>With your consent, we have assumed (a) that each of the Debt Securities, Guarantees, Warrants and the Applicable Indenture and warrant agreements governing such Securities (collectively, the “</w:t>
      </w:r>
      <w:r>
        <w:rPr>
          <w:rFonts w:ascii="Times New Roman" w:cs="Times New Roman" w:eastAsia="Times New Roman" w:hAnsi="Times New Roman"/>
          <w:sz w:val="14"/>
          <w:szCs w:val="14"/>
          <w:b w:val="1"/>
          <w:bCs w:val="1"/>
          <w:i w:val="1"/>
          <w:iCs w:val="1"/>
          <w:color w:val="auto"/>
        </w:rPr>
        <w:t>Documents</w:t>
      </w:r>
      <w:r>
        <w:rPr>
          <w:rFonts w:ascii="Times New Roman" w:cs="Times New Roman" w:eastAsia="Times New Roman" w:hAnsi="Times New Roman"/>
          <w:sz w:val="14"/>
          <w:szCs w:val="14"/>
          <w:color w:val="auto"/>
        </w:rPr>
        <w:t>”) will be governed by the internal laws of the State of New York, (b) that each of the Documents will be duly authorized, executed and delivered by the parties thereto, (c) that each of the Documents will constitute legally valid and binding obligations of the parties thereto other than the Company and VEP, as applicable, enforceable against each of them in accordance with their respective terms, and (d) that the status of each of the Documents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331470</wp:posOffset>
            </wp:positionV>
            <wp:extent cx="716153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60"/>
          </w:cols>
          <w:pgMar w:left="300" w:top="740"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color w:val="auto"/>
        </w:rPr>
        <w:t>March 9, 2026</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1169035" cy="148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4">
                      <a:extLst>
                        <a:ext uri="{28A0092B-C50C-407E-A947-70E740481C1C}"/>
                      </a:extLst>
                    </a:blip>
                    <a:srcRect/>
                    <a:stretch>
                      <a:fillRect/>
                    </a:stretch>
                  </pic:blipFill>
                  <pic:spPr bwMode="auto">
                    <a:xfrm>
                      <a:off x="0" y="0"/>
                      <a:ext cx="1169035" cy="1485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firstLine="511"/>
        <w:spacing w:after="0" w:line="271" w:lineRule="auto"/>
        <w:rPr>
          <w:sz w:val="20"/>
          <w:szCs w:val="20"/>
          <w:color w:val="auto"/>
        </w:rPr>
      </w:pPr>
      <w:r>
        <w:rPr>
          <w:rFonts w:ascii="Times New Roman" w:cs="Times New Roman" w:eastAsia="Times New Roman" w:hAnsi="Times New Roman"/>
          <w:sz w:val="14"/>
          <w:szCs w:val="14"/>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Sincerely,</w:t>
      </w:r>
    </w:p>
    <w:p>
      <w:pPr>
        <w:spacing w:after="0" w:line="1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716153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180"/>
          </w:cols>
          <w:pgMar w:left="300" w:top="740" w:right="41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4"/>
          <w:szCs w:val="14"/>
          <w:b w:val="1"/>
          <w:bCs w:val="1"/>
          <w:color w:val="auto"/>
        </w:rPr>
        <w:t>Exhibit 22.1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Viper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List of Issuers and Subsidiary Guarantors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entities are the issuer and the guarantors, as specified below, of Viper Energy, Inc.'s senior notes registered under the Securities Act of 1933, as amended: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Role</w:t>
            </w:r>
          </w:p>
        </w:tc>
      </w:tr>
      <w:tr>
        <w:trPr>
          <w:trHeight w:val="161"/>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Viper Energy Partners LP</w:t>
            </w:r>
          </w:p>
        </w:tc>
        <w:tc>
          <w:tcPr>
            <w:tcW w:w="220" w:type="dxa"/>
            <w:vAlign w:val="bottom"/>
            <w:tcBorders>
              <w:top w:val="single" w:sz="8" w:color="CCEEFF"/>
            </w:tcBorders>
            <w:shd w:val="clear" w:color="auto" w:fill="CCEEFF"/>
          </w:tcPr>
          <w:p>
            <w:pPr>
              <w:spacing w:after="0"/>
              <w:rPr>
                <w:sz w:val="14"/>
                <w:szCs w:val="14"/>
                <w:color w:val="auto"/>
              </w:rPr>
            </w:pPr>
          </w:p>
        </w:tc>
        <w:tc>
          <w:tcPr>
            <w:tcW w:w="4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20" w:type="dxa"/>
            <w:vAlign w:val="bottom"/>
            <w:tcBorders>
              <w:top w:val="single" w:sz="8" w:color="CCEEFF"/>
            </w:tcBorders>
            <w:shd w:val="clear" w:color="auto" w:fill="CCEEFF"/>
          </w:tcPr>
          <w:p>
            <w:pPr>
              <w:spacing w:after="0"/>
              <w:rPr>
                <w:sz w:val="14"/>
                <w:szCs w:val="14"/>
                <w:color w:val="auto"/>
              </w:rPr>
            </w:pPr>
          </w:p>
        </w:tc>
        <w:tc>
          <w:tcPr>
            <w:tcW w:w="3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Issuer</w:t>
            </w:r>
          </w:p>
        </w:tc>
      </w:tr>
      <w:tr>
        <w:trPr>
          <w:trHeight w:val="184"/>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Viper Energy, Inc.</w:t>
            </w:r>
          </w:p>
        </w:tc>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Delaware</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Guarantor</w:t>
            </w:r>
          </w:p>
        </w:tc>
      </w:tr>
      <w:tr>
        <w:trPr>
          <w:trHeight w:val="518"/>
        </w:trPr>
        <w:tc>
          <w:tcPr>
            <w:tcW w:w="3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14" w:right="31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We have issued our reports dated February 25, 2026 with respect to the consolidated financial statements and internal control over financial reporting of Viper Energy, Inc. included in the Annual Report on Form 10-K for the year ended December 31, 2025, which are incorporated by reference in this Registration Statement. We consent to the incorporation by reference of the aforementioned reports in this Registration Statement, and to the use of our name as it appears under the caption “Experts.”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Oklahoma City, Oklahoma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16153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7"/>
          <w:szCs w:val="17"/>
          <w:b w:val="1"/>
          <w:bCs w:val="1"/>
          <w:color w:val="auto"/>
        </w:rPr>
        <w:t>Exhibit 23.3</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CERTIFIED PUBLIC ACCOUNTANTS</w:t>
      </w:r>
    </w:p>
    <w:p>
      <w:pPr>
        <w:spacing w:after="0" w:line="18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color w:val="auto"/>
        </w:rPr>
        <w:t>We have issued our report dated March 21, 2025 with respect to the statements of revenues and direct operating expenses attributable to certain mineral and royalty interests of Diamondback Energy, Inc. and several of its subsidiaries, Endeavor Energy Resources, LP, 1979 Royalties, LP and 1979 Royalties GP, LLC, for the years ended December 31, 2024 and 2023, included in the definitive proxy statement on Schedule DEFM 14A of Viper Energy, Inc. filed on March 31, 2025, which are incorporated by reference in this Registration Statement. We consent to the incorporation by reference of the aforementioned report in this Registration Statement, and to the use of our name as it appears under the caption “Experts.”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Oklahoma City, Oklahoma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16153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7"/>
          <w:szCs w:val="17"/>
          <w:b w:val="1"/>
          <w:bCs w:val="1"/>
          <w:color w:val="auto"/>
        </w:rPr>
        <w:t>Exhibit 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810895" cy="3308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8">
                      <a:extLst>
                        <a:ext uri="{28A0092B-C50C-407E-A947-70E740481C1C}"/>
                      </a:extLst>
                    </a:blip>
                    <a:srcRect/>
                    <a:stretch>
                      <a:fillRect/>
                    </a:stretch>
                  </pic:blipFill>
                  <pic:spPr bwMode="auto">
                    <a:xfrm>
                      <a:off x="0" y="0"/>
                      <a:ext cx="810895" cy="33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color w:val="auto"/>
        </w:rPr>
        <w:t>KPMG LLP</w:t>
      </w:r>
    </w:p>
    <w:p>
      <w:pPr>
        <w:spacing w:after="0" w:line="2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color w:val="auto"/>
        </w:rPr>
        <w:t>811 Main Street</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color w:val="auto"/>
        </w:rPr>
        <w:t>Houston, TX 77002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1"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4"/>
          <w:szCs w:val="14"/>
          <w:color w:val="auto"/>
        </w:rPr>
        <w:t>We consent to the use of our report dated February 26, 2025, with respect to the consolidated financial statements of Sitio Royalties Corp., and the effectiveness of internal control over financial reporting, incorporated herein by reference, and to the reference to our firm under the heading “Experts”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88265</wp:posOffset>
            </wp:positionV>
            <wp:extent cx="810895" cy="1555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9">
                      <a:extLst>
                        <a:ext uri="{28A0092B-C50C-407E-A947-70E740481C1C}"/>
                      </a:extLst>
                    </a:blip>
                    <a:srcRect/>
                    <a:stretch>
                      <a:fillRect/>
                    </a:stretch>
                  </pic:blipFill>
                  <pic:spPr bwMode="auto">
                    <a:xfrm>
                      <a:off x="0" y="0"/>
                      <a:ext cx="810895" cy="15557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9, 2026</w:t>
      </w:r>
    </w:p>
    <w:p>
      <w:pPr>
        <w:spacing w:after="0" w:line="16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KPMG LLP, a Delaware limited liability partnership, and its subsidiaries are part of</w:t>
      </w:r>
    </w:p>
    <w:p>
      <w:pPr>
        <w:spacing w:after="0" w:line="2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the KPMG global organization of independent member firms affiliated with KPMG</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International Limited, a private English company limited by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16153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7"/>
          <w:szCs w:val="17"/>
          <w:b w:val="1"/>
          <w:bCs w:val="1"/>
          <w:color w:val="auto"/>
        </w:rPr>
        <w:t>EXHIBIT 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134620</wp:posOffset>
            </wp:positionV>
            <wp:extent cx="1743075" cy="4527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1">
                      <a:extLst>
                        <a:ext uri="{28A0092B-C50C-407E-A947-70E740481C1C}"/>
                      </a:extLst>
                    </a:blip>
                    <a:srcRect/>
                    <a:stretch>
                      <a:fillRect/>
                    </a:stretch>
                  </pic:blipFill>
                  <pic:spPr bwMode="auto">
                    <a:xfrm>
                      <a:off x="0" y="0"/>
                      <a:ext cx="1743075" cy="45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TBPELS REGISTERED ENGINEERING FIRM F-1580</w:t>
      </w:r>
    </w:p>
    <w:p>
      <w:pPr>
        <w:spacing w:after="0" w:line="52" w:lineRule="exact"/>
        <w:rPr>
          <w:sz w:val="20"/>
          <w:szCs w:val="20"/>
          <w:color w:val="auto"/>
        </w:rPr>
      </w:pPr>
    </w:p>
    <w:p>
      <w:pPr>
        <w:ind w:left="840"/>
        <w:spacing w:after="0"/>
        <w:tabs>
          <w:tab w:leader="none" w:pos="4120" w:val="left"/>
          <w:tab w:leader="none" w:pos="7960" w:val="left"/>
        </w:tabs>
        <w:rPr>
          <w:sz w:val="20"/>
          <w:szCs w:val="20"/>
          <w:color w:val="auto"/>
        </w:rPr>
      </w:pPr>
      <w:r>
        <w:rPr>
          <w:rFonts w:ascii="Times New Roman" w:cs="Times New Roman" w:eastAsia="Times New Roman" w:hAnsi="Times New Roman"/>
          <w:sz w:val="14"/>
          <w:szCs w:val="14"/>
          <w:color w:val="auto"/>
        </w:rPr>
        <w:t>1100 LOUISIANA SUITE 4600</w:t>
      </w:r>
      <w:r>
        <w:rPr>
          <w:sz w:val="20"/>
          <w:szCs w:val="20"/>
          <w:color w:val="auto"/>
        </w:rPr>
        <w:tab/>
      </w:r>
      <w:r>
        <w:rPr>
          <w:rFonts w:ascii="Times New Roman" w:cs="Times New Roman" w:eastAsia="Times New Roman" w:hAnsi="Times New Roman"/>
          <w:sz w:val="14"/>
          <w:szCs w:val="14"/>
          <w:color w:val="auto"/>
        </w:rPr>
        <w:t>HOUSTON, TEXAS 77002-5294</w:t>
      </w:r>
      <w:r>
        <w:rPr>
          <w:sz w:val="20"/>
          <w:szCs w:val="20"/>
          <w:color w:val="auto"/>
        </w:rPr>
        <w:tab/>
      </w:r>
      <w:r>
        <w:rPr>
          <w:rFonts w:ascii="Times New Roman" w:cs="Times New Roman" w:eastAsia="Times New Roman" w:hAnsi="Times New Roman"/>
          <w:sz w:val="14"/>
          <w:szCs w:val="14"/>
          <w:color w:val="auto"/>
        </w:rPr>
        <w:t>TELEPHONE (713) 651-9191</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RYDER SCOTT COMPANY, L.P.</w:t>
      </w:r>
    </w:p>
    <w:p>
      <w:pPr>
        <w:spacing w:after="0" w:line="181" w:lineRule="exact"/>
        <w:rPr>
          <w:sz w:val="20"/>
          <w:szCs w:val="20"/>
          <w:color w:val="auto"/>
        </w:rPr>
      </w:pPr>
    </w:p>
    <w:p>
      <w:pPr>
        <w:jc w:val="both"/>
        <w:ind w:firstLine="511"/>
        <w:spacing w:after="0" w:line="262" w:lineRule="auto"/>
        <w:rPr>
          <w:sz w:val="20"/>
          <w:szCs w:val="20"/>
          <w:color w:val="auto"/>
        </w:rPr>
      </w:pPr>
      <w:r>
        <w:rPr>
          <w:rFonts w:ascii="Times New Roman" w:cs="Times New Roman" w:eastAsia="Times New Roman" w:hAnsi="Times New Roman"/>
          <w:sz w:val="14"/>
          <w:szCs w:val="14"/>
          <w:color w:val="auto"/>
        </w:rPr>
        <w:t>We have issued our report dated January 13, 2026 on the audit of estimated quantities of proved reserves, future production and income attributable to certain royalty interests of Viper Energy, Inc. (the “Company”), as of December 31, 2025 (the “Reserve Report”), included in the Company’s Annual Report on Form 10-K for the year ended December 31, 2025 (the “Annual Report”). As independent oil and gas consultants, we hereby consent to (i) the incorporation by reference of the Reserve Report in this Registration Statement on Form S-3 (this “ Registration Statement”) and (ii) the use in this Registration Statement of the information contained in the Reserve Report and in our prior reserve reports referenced in this Registration Statement or in the Annual Report, which is incorporated by reference in this Registration Statement. We further consent to the reference to our firm under the heading “Experts” in this Registration Statement.</w:t>
      </w:r>
    </w:p>
    <w:p>
      <w:pPr>
        <w:spacing w:after="0" w:line="1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RYDER SCOTT COMPANY, L.P.</w:t>
      </w:r>
    </w:p>
    <w:p>
      <w:pPr>
        <w:spacing w:after="0" w:line="1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RYDER SCOTT COMPANY, L.P.</w:t>
      </w:r>
    </w:p>
    <w:p>
      <w:pPr>
        <w:spacing w:after="0" w:line="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TBPELS Firm Registration No. F-1580</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9, 2026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SUITE 2800, 350 7TH AVENUE, S.W.</w:t>
            </w:r>
          </w:p>
        </w:tc>
        <w:tc>
          <w:tcPr>
            <w:tcW w:w="3760" w:type="dxa"/>
            <w:vAlign w:val="bottom"/>
          </w:tcPr>
          <w:p>
            <w:pPr>
              <w:jc w:val="center"/>
              <w:ind w:right="209"/>
              <w:spacing w:after="0"/>
              <w:rPr>
                <w:sz w:val="20"/>
                <w:szCs w:val="20"/>
                <w:color w:val="auto"/>
              </w:rPr>
            </w:pPr>
            <w:r>
              <w:rPr>
                <w:rFonts w:ascii="Times New Roman" w:cs="Times New Roman" w:eastAsia="Times New Roman" w:hAnsi="Times New Roman"/>
                <w:sz w:val="14"/>
                <w:szCs w:val="14"/>
                <w:color w:val="auto"/>
                <w:w w:val="99"/>
              </w:rPr>
              <w:t>CALGARY, ALBERTA T2P 3N9</w:t>
            </w:r>
          </w:p>
        </w:tc>
        <w:tc>
          <w:tcPr>
            <w:tcW w:w="362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TEL (403) 262-2799</w:t>
            </w:r>
          </w:p>
        </w:tc>
      </w:tr>
      <w:tr>
        <w:trPr>
          <w:trHeight w:val="184"/>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555 17TH STREET, SUITE 985</w:t>
            </w:r>
          </w:p>
        </w:tc>
        <w:tc>
          <w:tcPr>
            <w:tcW w:w="376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DENVER, COLORADO 80202</w:t>
            </w:r>
          </w:p>
        </w:tc>
        <w:tc>
          <w:tcPr>
            <w:tcW w:w="362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TEL (303) 339-8110</w:t>
            </w:r>
          </w:p>
        </w:tc>
      </w:tr>
      <w:tr>
        <w:trPr>
          <w:trHeight w:val="533"/>
        </w:trPr>
        <w:tc>
          <w:tcPr>
            <w:tcW w:w="39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06" w:right="31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7"/>
          <w:szCs w:val="17"/>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161530" cy="133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2">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161925</wp:posOffset>
            </wp:positionV>
            <wp:extent cx="716153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2692400</wp:posOffset>
            </wp:positionH>
            <wp:positionV relativeFrom="paragraph">
              <wp:posOffset>141605</wp:posOffset>
            </wp:positionV>
            <wp:extent cx="179006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4">
                      <a:extLst>
                        <a:ext uri="{28A0092B-C50C-407E-A947-70E740481C1C}"/>
                      </a:extLst>
                    </a:blip>
                    <a:srcRect/>
                    <a:stretch>
                      <a:fillRect/>
                    </a:stretch>
                  </pic:blipFill>
                  <pic:spPr bwMode="auto">
                    <a:xfrm>
                      <a:off x="0" y="0"/>
                      <a:ext cx="1790065" cy="698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T-1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STATEMENT OF ELIGIBILITY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 THE TRUST INDENTURE ACT OF 1939 OF 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CORPORATION DESIGNATED TO ACT AS TRUSTEE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CHECK IF AN APPLICATION TO DETERMINE ELIGIBILITY OF A</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TRUSTEE PURSUANT TO SECTION 305(b)(2)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2692400</wp:posOffset>
            </wp:positionH>
            <wp:positionV relativeFrom="paragraph">
              <wp:posOffset>141605</wp:posOffset>
            </wp:positionV>
            <wp:extent cx="179006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5">
                      <a:extLst>
                        <a:ext uri="{28A0092B-C50C-407E-A947-70E740481C1C}"/>
                      </a:extLst>
                    </a:blip>
                    <a:srcRect/>
                    <a:stretch>
                      <a:fillRect/>
                    </a:stretch>
                  </pic:blipFill>
                  <pic:spPr bwMode="auto">
                    <a:xfrm>
                      <a:off x="0" y="0"/>
                      <a:ext cx="1790065" cy="698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COMPUTERSHARE TRUST COMPANY, NATIONAL ASSOCIATION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trustee as specified in its charter)</w:t>
      </w:r>
    </w:p>
    <w:p>
      <w:pPr>
        <w:spacing w:after="0" w:line="163" w:lineRule="exact"/>
        <w:rPr>
          <w:sz w:val="20"/>
          <w:szCs w:val="20"/>
          <w:color w:val="auto"/>
        </w:rPr>
      </w:pPr>
    </w:p>
    <w:tbl>
      <w:tblPr>
        <w:tblLayout w:type="fixed"/>
        <w:tblInd w:w="1540" w:type="dxa"/>
        <w:tblCellMar>
          <w:top w:w="0" w:type="dxa"/>
          <w:left w:w="0" w:type="dxa"/>
          <w:bottom w:w="0" w:type="dxa"/>
          <w:right w:w="0" w:type="dxa"/>
        </w:tblCellMar>
      </w:tblPr>
      <w:tr>
        <w:trPr>
          <w:trHeight w:val="172"/>
        </w:trPr>
        <w:tc>
          <w:tcPr>
            <w:tcW w:w="5740" w:type="dxa"/>
            <w:vAlign w:val="bottom"/>
            <w:gridSpan w:val="3"/>
          </w:tcPr>
          <w:p>
            <w:pPr>
              <w:jc w:val="center"/>
              <w:ind w:right="3180"/>
              <w:spacing w:after="0"/>
              <w:rPr>
                <w:sz w:val="20"/>
                <w:szCs w:val="20"/>
                <w:color w:val="auto"/>
              </w:rPr>
            </w:pPr>
            <w:r>
              <w:rPr>
                <w:rFonts w:ascii="Times New Roman" w:cs="Times New Roman" w:eastAsia="Times New Roman" w:hAnsi="Times New Roman"/>
                <w:sz w:val="14"/>
                <w:szCs w:val="14"/>
                <w:b w:val="1"/>
                <w:bCs w:val="1"/>
                <w:color w:val="auto"/>
              </w:rPr>
              <w:t>National Banking Association</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04-3401714</w:t>
            </w:r>
          </w:p>
        </w:tc>
      </w:tr>
      <w:tr>
        <w:trPr>
          <w:trHeight w:val="170"/>
        </w:trPr>
        <w:tc>
          <w:tcPr>
            <w:tcW w:w="5740" w:type="dxa"/>
            <w:vAlign w:val="bottom"/>
            <w:gridSpan w:val="3"/>
          </w:tcPr>
          <w:p>
            <w:pPr>
              <w:jc w:val="center"/>
              <w:ind w:right="3180"/>
              <w:spacing w:after="0"/>
              <w:rPr>
                <w:sz w:val="20"/>
                <w:szCs w:val="20"/>
                <w:color w:val="auto"/>
              </w:rPr>
            </w:pPr>
            <w:r>
              <w:rPr>
                <w:rFonts w:ascii="Times New Roman" w:cs="Times New Roman" w:eastAsia="Times New Roman" w:hAnsi="Times New Roman"/>
                <w:sz w:val="14"/>
                <w:szCs w:val="14"/>
                <w:color w:val="auto"/>
              </w:rPr>
              <w:t>(Jurisdiction of incorporation or organization</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57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color w:val="auto"/>
              </w:rPr>
              <w:t>if not a U.S. national bank)</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326"/>
        </w:trPr>
        <w:tc>
          <w:tcPr>
            <w:tcW w:w="57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b w:val="1"/>
                <w:bCs w:val="1"/>
                <w:color w:val="auto"/>
              </w:rPr>
              <w:t>150 Royall Street, Canton, MA</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02021</w:t>
            </w:r>
          </w:p>
        </w:tc>
      </w:tr>
      <w:tr>
        <w:trPr>
          <w:trHeight w:val="184"/>
        </w:trPr>
        <w:tc>
          <w:tcPr>
            <w:tcW w:w="5740" w:type="dxa"/>
            <w:vAlign w:val="bottom"/>
            <w:gridSpan w:val="3"/>
          </w:tcPr>
          <w:p>
            <w:pPr>
              <w:jc w:val="center"/>
              <w:ind w:right="318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r>
        <w:trPr>
          <w:trHeight w:val="324"/>
        </w:trPr>
        <w:tc>
          <w:tcPr>
            <w:tcW w:w="2700" w:type="dxa"/>
            <w:vAlign w:val="bottom"/>
          </w:tcPr>
          <w:p>
            <w:pPr>
              <w:spacing w:after="0"/>
              <w:rPr>
                <w:sz w:val="24"/>
                <w:szCs w:val="24"/>
                <w:color w:val="auto"/>
              </w:rPr>
            </w:pPr>
          </w:p>
        </w:tc>
        <w:tc>
          <w:tcPr>
            <w:tcW w:w="3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Law Department</w:t>
            </w:r>
          </w:p>
        </w:tc>
        <w:tc>
          <w:tcPr>
            <w:tcW w:w="2340" w:type="dxa"/>
            <w:vAlign w:val="bottom"/>
          </w:tcPr>
          <w:p>
            <w:pPr>
              <w:spacing w:after="0"/>
              <w:rPr>
                <w:sz w:val="24"/>
                <w:szCs w:val="24"/>
                <w:color w:val="auto"/>
              </w:rPr>
            </w:pPr>
          </w:p>
        </w:tc>
      </w:tr>
      <w:tr>
        <w:trPr>
          <w:trHeight w:val="170"/>
        </w:trPr>
        <w:tc>
          <w:tcPr>
            <w:tcW w:w="5740" w:type="dxa"/>
            <w:vAlign w:val="bottom"/>
            <w:gridSpan w:val="3"/>
          </w:tcPr>
          <w:p>
            <w:pPr>
              <w:jc w:val="center"/>
              <w:ind w:left="2409"/>
              <w:spacing w:after="0"/>
              <w:rPr>
                <w:sz w:val="20"/>
                <w:szCs w:val="20"/>
                <w:color w:val="auto"/>
              </w:rPr>
            </w:pPr>
            <w:r>
              <w:rPr>
                <w:rFonts w:ascii="Times New Roman" w:cs="Times New Roman" w:eastAsia="Times New Roman" w:hAnsi="Times New Roman"/>
                <w:sz w:val="14"/>
                <w:szCs w:val="14"/>
                <w:b w:val="1"/>
                <w:bCs w:val="1"/>
                <w:color w:val="auto"/>
              </w:rPr>
              <w:t>Computershare Trust Company, National Association</w:t>
            </w:r>
          </w:p>
        </w:tc>
        <w:tc>
          <w:tcPr>
            <w:tcW w:w="2340" w:type="dxa"/>
            <w:vAlign w:val="bottom"/>
          </w:tcPr>
          <w:p>
            <w:pPr>
              <w:spacing w:after="0"/>
              <w:rPr>
                <w:sz w:val="14"/>
                <w:szCs w:val="14"/>
                <w:color w:val="auto"/>
              </w:rPr>
            </w:pPr>
          </w:p>
        </w:tc>
      </w:tr>
      <w:tr>
        <w:trPr>
          <w:trHeight w:val="170"/>
        </w:trPr>
        <w:tc>
          <w:tcPr>
            <w:tcW w:w="2700" w:type="dxa"/>
            <w:vAlign w:val="bottom"/>
          </w:tcPr>
          <w:p>
            <w:pPr>
              <w:spacing w:after="0"/>
              <w:rPr>
                <w:sz w:val="14"/>
                <w:szCs w:val="14"/>
                <w:color w:val="auto"/>
              </w:rPr>
            </w:pP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150 Royall Street, Canton, MA</w:t>
            </w:r>
          </w:p>
        </w:tc>
        <w:tc>
          <w:tcPr>
            <w:tcW w:w="2340" w:type="dxa"/>
            <w:vAlign w:val="bottom"/>
          </w:tcPr>
          <w:p>
            <w:pPr>
              <w:spacing w:after="0"/>
              <w:rPr>
                <w:sz w:val="14"/>
                <w:szCs w:val="14"/>
                <w:color w:val="auto"/>
              </w:rPr>
            </w:pPr>
          </w:p>
        </w:tc>
      </w:tr>
      <w:tr>
        <w:trPr>
          <w:trHeight w:val="170"/>
        </w:trPr>
        <w:tc>
          <w:tcPr>
            <w:tcW w:w="5520" w:type="dxa"/>
            <w:vAlign w:val="bottom"/>
            <w:gridSpan w:val="2"/>
          </w:tcPr>
          <w:p>
            <w:pPr>
              <w:jc w:val="right"/>
              <w:ind w:right="1169"/>
              <w:spacing w:after="0"/>
              <w:rPr>
                <w:sz w:val="20"/>
                <w:szCs w:val="20"/>
                <w:color w:val="auto"/>
              </w:rPr>
            </w:pPr>
            <w:r>
              <w:rPr>
                <w:rFonts w:ascii="Times New Roman" w:cs="Times New Roman" w:eastAsia="Times New Roman" w:hAnsi="Times New Roman"/>
                <w:sz w:val="14"/>
                <w:szCs w:val="14"/>
                <w:b w:val="1"/>
                <w:bCs w:val="1"/>
                <w:color w:val="auto"/>
              </w:rPr>
              <w:t>02021</w:t>
            </w:r>
          </w:p>
        </w:tc>
        <w:tc>
          <w:tcPr>
            <w:tcW w:w="22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70"/>
        </w:trPr>
        <w:tc>
          <w:tcPr>
            <w:tcW w:w="5520" w:type="dxa"/>
            <w:vAlign w:val="bottom"/>
            <w:gridSpan w:val="2"/>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(781) 575-2000</w:t>
            </w:r>
          </w:p>
        </w:tc>
        <w:tc>
          <w:tcPr>
            <w:tcW w:w="22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86"/>
        </w:trPr>
        <w:tc>
          <w:tcPr>
            <w:tcW w:w="8080" w:type="dxa"/>
            <w:vAlign w:val="bottom"/>
            <w:gridSpan w:val="4"/>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tc>
      </w:tr>
      <w:tr>
        <w:trPr>
          <w:trHeight w:val="213"/>
        </w:trPr>
        <w:tc>
          <w:tcPr>
            <w:tcW w:w="2700" w:type="dxa"/>
            <w:vAlign w:val="bottom"/>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370"/>
        </w:trPr>
        <w:tc>
          <w:tcPr>
            <w:tcW w:w="2700" w:type="dxa"/>
            <w:vAlign w:val="bottom"/>
          </w:tcPr>
          <w:p>
            <w:pPr>
              <w:spacing w:after="0"/>
              <w:rPr>
                <w:sz w:val="24"/>
                <w:szCs w:val="24"/>
                <w:color w:val="auto"/>
              </w:rPr>
            </w:pPr>
          </w:p>
        </w:tc>
        <w:tc>
          <w:tcPr>
            <w:tcW w:w="3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Viper Energy Partners LP*</w:t>
            </w:r>
          </w:p>
        </w:tc>
        <w:tc>
          <w:tcPr>
            <w:tcW w:w="2340" w:type="dxa"/>
            <w:vAlign w:val="bottom"/>
          </w:tcPr>
          <w:p>
            <w:pPr>
              <w:spacing w:after="0"/>
              <w:rPr>
                <w:sz w:val="24"/>
                <w:szCs w:val="24"/>
                <w:color w:val="auto"/>
              </w:rPr>
            </w:pPr>
          </w:p>
        </w:tc>
      </w:tr>
      <w:tr>
        <w:trPr>
          <w:trHeight w:val="184"/>
        </w:trPr>
        <w:tc>
          <w:tcPr>
            <w:tcW w:w="2700" w:type="dxa"/>
            <w:vAlign w:val="bottom"/>
          </w:tcPr>
          <w:p>
            <w:pPr>
              <w:spacing w:after="0"/>
              <w:rPr>
                <w:sz w:val="16"/>
                <w:szCs w:val="16"/>
                <w:color w:val="auto"/>
              </w:rPr>
            </w:pPr>
          </w:p>
        </w:tc>
        <w:tc>
          <w:tcPr>
            <w:tcW w:w="3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(Exact name of obligor as specified in its charter)</w:t>
            </w:r>
          </w:p>
        </w:tc>
        <w:tc>
          <w:tcPr>
            <w:tcW w:w="2340" w:type="dxa"/>
            <w:vAlign w:val="bottom"/>
          </w:tcPr>
          <w:p>
            <w:pPr>
              <w:spacing w:after="0"/>
              <w:rPr>
                <w:sz w:val="16"/>
                <w:szCs w:val="16"/>
                <w:color w:val="auto"/>
              </w:rPr>
            </w:pPr>
          </w:p>
        </w:tc>
      </w:tr>
      <w:tr>
        <w:trPr>
          <w:trHeight w:val="326"/>
        </w:trPr>
        <w:tc>
          <w:tcPr>
            <w:tcW w:w="57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35-2486057</w:t>
            </w:r>
          </w:p>
        </w:tc>
      </w:tr>
      <w:tr>
        <w:trPr>
          <w:trHeight w:val="170"/>
        </w:trPr>
        <w:tc>
          <w:tcPr>
            <w:tcW w:w="5740" w:type="dxa"/>
            <w:vAlign w:val="bottom"/>
            <w:gridSpan w:val="3"/>
          </w:tcPr>
          <w:p>
            <w:pPr>
              <w:jc w:val="center"/>
              <w:ind w:right="318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Number)</w:t>
            </w:r>
          </w:p>
        </w:tc>
      </w:tr>
      <w:tr>
        <w:trPr>
          <w:trHeight w:val="184"/>
        </w:trPr>
        <w:tc>
          <w:tcPr>
            <w:tcW w:w="57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340" w:type="dxa"/>
            <w:vAlign w:val="bottom"/>
          </w:tcPr>
          <w:p>
            <w:pPr>
              <w:spacing w:after="0"/>
              <w:rPr>
                <w:sz w:val="16"/>
                <w:szCs w:val="16"/>
                <w:color w:val="auto"/>
              </w:rPr>
            </w:pPr>
          </w:p>
        </w:tc>
      </w:tr>
      <w:tr>
        <w:trPr>
          <w:trHeight w:val="324"/>
        </w:trPr>
        <w:tc>
          <w:tcPr>
            <w:tcW w:w="5740" w:type="dxa"/>
            <w:vAlign w:val="bottom"/>
            <w:gridSpan w:val="3"/>
          </w:tcPr>
          <w:p>
            <w:pPr>
              <w:jc w:val="center"/>
              <w:ind w:right="3180"/>
              <w:spacing w:after="0"/>
              <w:rPr>
                <w:sz w:val="20"/>
                <w:szCs w:val="20"/>
                <w:color w:val="auto"/>
              </w:rPr>
            </w:pPr>
            <w:r>
              <w:rPr>
                <w:rFonts w:ascii="Times New Roman" w:cs="Times New Roman" w:eastAsia="Times New Roman" w:hAnsi="Times New Roman"/>
                <w:sz w:val="14"/>
                <w:szCs w:val="14"/>
                <w:b w:val="1"/>
                <w:bCs w:val="1"/>
                <w:color w:val="auto"/>
                <w:w w:val="99"/>
              </w:rPr>
              <w:t>500 West Texas Ave., Suite 100</w:t>
            </w:r>
          </w:p>
        </w:tc>
        <w:tc>
          <w:tcPr>
            <w:tcW w:w="2340" w:type="dxa"/>
            <w:vAlign w:val="bottom"/>
          </w:tcPr>
          <w:p>
            <w:pPr>
              <w:spacing w:after="0"/>
              <w:rPr>
                <w:sz w:val="24"/>
                <w:szCs w:val="24"/>
                <w:color w:val="auto"/>
              </w:rPr>
            </w:pPr>
          </w:p>
        </w:tc>
      </w:tr>
      <w:tr>
        <w:trPr>
          <w:trHeight w:val="172"/>
        </w:trPr>
        <w:tc>
          <w:tcPr>
            <w:tcW w:w="57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b w:val="1"/>
                <w:bCs w:val="1"/>
                <w:color w:val="auto"/>
              </w:rPr>
              <w:t>Midland, Texas</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79701</w:t>
            </w:r>
          </w:p>
        </w:tc>
      </w:tr>
      <w:tr>
        <w:trPr>
          <w:trHeight w:val="184"/>
        </w:trPr>
        <w:tc>
          <w:tcPr>
            <w:tcW w:w="5740" w:type="dxa"/>
            <w:vAlign w:val="bottom"/>
            <w:gridSpan w:val="3"/>
          </w:tcPr>
          <w:p>
            <w:pPr>
              <w:jc w:val="center"/>
              <w:ind w:right="318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2692400</wp:posOffset>
            </wp:positionH>
            <wp:positionV relativeFrom="paragraph">
              <wp:posOffset>135255</wp:posOffset>
            </wp:positionV>
            <wp:extent cx="179006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6">
                      <a:extLst>
                        <a:ext uri="{28A0092B-C50C-407E-A947-70E740481C1C}"/>
                      </a:extLst>
                    </a:blip>
                    <a:srcRect/>
                    <a:stretch>
                      <a:fillRect/>
                    </a:stretch>
                  </pic:blipFill>
                  <pic:spPr bwMode="auto">
                    <a:xfrm>
                      <a:off x="0" y="0"/>
                      <a:ext cx="1790065" cy="698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Debt Securities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(Title of the indenture securities)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Table of Additional Obligors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6153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7">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143510</wp:posOffset>
            </wp:positionV>
            <wp:extent cx="7161530" cy="133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8">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501650</wp:posOffset>
            </wp:positionV>
            <wp:extent cx="716153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4"/>
          <w:szCs w:val="14"/>
          <w:b w:val="1"/>
          <w:bCs w:val="1"/>
          <w:color w:val="auto"/>
        </w:rPr>
        <w:t>TABLE OF ADDITIONAL OBLIGORS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following are obligors that guarantee the debt securities: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w:t>
            </w:r>
          </w:p>
        </w:tc>
      </w:tr>
      <w:tr>
        <w:trPr>
          <w:trHeight w:val="170"/>
        </w:trPr>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Employer</w:t>
            </w:r>
          </w:p>
        </w:tc>
      </w:tr>
      <w:tr>
        <w:trPr>
          <w:trHeight w:val="170"/>
        </w:trPr>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w:t>
            </w:r>
          </w:p>
        </w:tc>
      </w:tr>
      <w:tr>
        <w:trPr>
          <w:trHeight w:val="186"/>
        </w:trPr>
        <w:tc>
          <w:tcPr>
            <w:tcW w:w="6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Exact name of obligor as specified in its charter (1)</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organization</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76"/>
        </w:trPr>
        <w:tc>
          <w:tcPr>
            <w:tcW w:w="6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Viper Energy, Inc.</w:t>
            </w:r>
          </w:p>
        </w:tc>
        <w:tc>
          <w:tcPr>
            <w:tcW w:w="120" w:type="dxa"/>
            <w:vAlign w:val="bottom"/>
          </w:tcPr>
          <w:p>
            <w:pPr>
              <w:spacing w:after="0"/>
              <w:rPr>
                <w:sz w:val="15"/>
                <w:szCs w:val="15"/>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100" w:type="dxa"/>
            <w:vAlign w:val="bottom"/>
          </w:tcPr>
          <w:p>
            <w:pPr>
              <w:spacing w:after="0"/>
              <w:rPr>
                <w:sz w:val="15"/>
                <w:szCs w:val="15"/>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39-2596878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179006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0">
                      <a:extLst>
                        <a:ext uri="{28A0092B-C50C-407E-A947-70E740481C1C}"/>
                      </a:extLst>
                    </a:blip>
                    <a:srcRect/>
                    <a:stretch>
                      <a:fillRect/>
                    </a:stretch>
                  </pic:blipFill>
                  <pic:spPr bwMode="auto">
                    <a:xfrm>
                      <a:off x="0" y="0"/>
                      <a:ext cx="1790065" cy="6985"/>
                    </a:xfrm>
                    <a:prstGeom prst="rect">
                      <a:avLst/>
                    </a:prstGeom>
                    <a:noFill/>
                  </pic:spPr>
                </pic:pic>
              </a:graphicData>
            </a:graphic>
          </wp:anchor>
        </w:drawing>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The address, including zip code, of the principal executive offices of each of the obligors listed in this table is c/o Viper Energy, Inc., 500 West Texas Ave., Suite 100, Midland, Texas 79701.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16153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151" w:name="page152"/>
    <w:bookmarkEnd w:id="151"/>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 xml:space="preserve">General Information. </w:t>
      </w:r>
      <w:r>
        <w:rPr>
          <w:rFonts w:ascii="Times New Roman" w:cs="Times New Roman" w:eastAsia="Times New Roman" w:hAnsi="Times New Roman"/>
          <w:sz w:val="14"/>
          <w:szCs w:val="14"/>
          <w:color w:val="auto"/>
        </w:rPr>
        <w:t>Furnish the following information as to the trustee:</w:t>
      </w:r>
    </w:p>
    <w:p>
      <w:pPr>
        <w:spacing w:after="0" w:line="181" w:lineRule="exact"/>
        <w:rPr>
          <w:sz w:val="20"/>
          <w:szCs w:val="20"/>
          <w:color w:val="auto"/>
        </w:rPr>
      </w:pPr>
    </w:p>
    <w:p>
      <w:pPr>
        <w:ind w:left="1540" w:hanging="514"/>
        <w:spacing w:after="0"/>
        <w:tabs>
          <w:tab w:leader="none" w:pos="15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 and address of each examining or supervising authority to which it is subject.</w:t>
      </w:r>
    </w:p>
    <w:p>
      <w:pPr>
        <w:spacing w:after="0" w:line="179" w:lineRule="exact"/>
        <w:rPr>
          <w:rFonts w:ascii="Times New Roman" w:cs="Times New Roman" w:eastAsia="Times New Roman" w:hAnsi="Times New Roman"/>
          <w:sz w:val="14"/>
          <w:szCs w:val="14"/>
          <w:color w:val="auto"/>
        </w:rPr>
      </w:pPr>
    </w:p>
    <w:p>
      <w:pPr>
        <w:ind w:left="1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Comptroller of the Currency</w:t>
      </w:r>
    </w:p>
    <w:p>
      <w:pPr>
        <w:spacing w:after="0" w:line="23" w:lineRule="exact"/>
        <w:rPr>
          <w:rFonts w:ascii="Times New Roman" w:cs="Times New Roman" w:eastAsia="Times New Roman" w:hAnsi="Times New Roman"/>
          <w:sz w:val="14"/>
          <w:szCs w:val="14"/>
          <w:color w:val="auto"/>
        </w:rPr>
      </w:pPr>
    </w:p>
    <w:p>
      <w:pPr>
        <w:ind w:left="1540" w:right="7960"/>
        <w:spacing w:after="0" w:line="22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340 Madison Avenue, 4</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3"/>
          <w:szCs w:val="13"/>
          <w:color w:val="auto"/>
        </w:rPr>
        <w:t xml:space="preserve"> Floor New York, NY 10017-2613</w:t>
      </w:r>
    </w:p>
    <w:p>
      <w:pPr>
        <w:spacing w:after="0" w:line="157" w:lineRule="exact"/>
        <w:rPr>
          <w:rFonts w:ascii="Times New Roman" w:cs="Times New Roman" w:eastAsia="Times New Roman" w:hAnsi="Times New Roman"/>
          <w:sz w:val="14"/>
          <w:szCs w:val="14"/>
          <w:color w:val="auto"/>
        </w:rPr>
      </w:pPr>
    </w:p>
    <w:p>
      <w:pPr>
        <w:ind w:left="1540" w:hanging="514"/>
        <w:spacing w:after="0"/>
        <w:tabs>
          <w:tab w:leader="none" w:pos="15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it is authorized to exercise corporate trust powers.</w:t>
      </w:r>
    </w:p>
    <w:p>
      <w:pPr>
        <w:spacing w:after="0" w:line="179" w:lineRule="exact"/>
        <w:rPr>
          <w:sz w:val="20"/>
          <w:szCs w:val="20"/>
          <w:color w:val="auto"/>
        </w:rPr>
      </w:pPr>
    </w:p>
    <w:p>
      <w:pPr>
        <w:jc w:val="center"/>
        <w:ind w:right="4820"/>
        <w:spacing w:after="0"/>
        <w:rPr>
          <w:sz w:val="20"/>
          <w:szCs w:val="20"/>
          <w:color w:val="auto"/>
        </w:rPr>
      </w:pPr>
      <w:r>
        <w:rPr>
          <w:rFonts w:ascii="Times New Roman" w:cs="Times New Roman" w:eastAsia="Times New Roman" w:hAnsi="Times New Roman"/>
          <w:sz w:val="14"/>
          <w:szCs w:val="14"/>
          <w:color w:val="auto"/>
        </w:rPr>
        <w:t>The trustee is authorized to exercise corporate trust powers.</w:t>
      </w:r>
    </w:p>
    <w:p>
      <w:pPr>
        <w:spacing w:after="0" w:line="17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 xml:space="preserve">Affiliations with the obligor. </w:t>
      </w:r>
      <w:r>
        <w:rPr>
          <w:rFonts w:ascii="Times New Roman" w:cs="Times New Roman" w:eastAsia="Times New Roman" w:hAnsi="Times New Roman"/>
          <w:sz w:val="14"/>
          <w:szCs w:val="14"/>
          <w:color w:val="auto"/>
        </w:rPr>
        <w:t>If the obligor is an affiliate of the trustee, describe such affiliation.</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ind w:left="1020" w:hanging="1020"/>
        <w:spacing w:after="0" w:line="288" w:lineRule="auto"/>
        <w:tabs>
          <w:tab w:leader="none" w:pos="1000" w:val="left"/>
        </w:tabs>
        <w:rPr>
          <w:sz w:val="20"/>
          <w:szCs w:val="20"/>
          <w:color w:val="auto"/>
        </w:rPr>
      </w:pPr>
      <w:r>
        <w:rPr>
          <w:rFonts w:ascii="Times New Roman" w:cs="Times New Roman" w:eastAsia="Times New Roman" w:hAnsi="Times New Roman"/>
          <w:sz w:val="14"/>
          <w:szCs w:val="14"/>
          <w:b w:val="1"/>
          <w:bCs w:val="1"/>
          <w:color w:val="auto"/>
        </w:rPr>
        <w:t>Items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3-15</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No responses are included for Items 3-15 of this Form T-1 because, to the best of the Trustee’s knowledge, neither the obligor nor any guarantor is in default under any Indenture for which the Trustee acts as Trustee and the Trustee is not a foreign trustee as provided under Item 15.</w:t>
      </w:r>
    </w:p>
    <w:p>
      <w:pPr>
        <w:spacing w:after="0" w:line="12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 xml:space="preserve">List of exhibits. </w:t>
      </w:r>
      <w:r>
        <w:rPr>
          <w:rFonts w:ascii="Times New Roman" w:cs="Times New Roman" w:eastAsia="Times New Roman" w:hAnsi="Times New Roman"/>
          <w:sz w:val="14"/>
          <w:szCs w:val="14"/>
          <w:color w:val="auto"/>
        </w:rPr>
        <w:t>List below all exhibits filed as a part of this statement of eligibility.</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A copy of the articles of association of the trustee. (See Exhibit 1 to Form T-1 filed with Registration Statement No. 333-200089).</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A copy of the certificate of authority of the trustee to commence business.</w:t>
      </w:r>
    </w:p>
    <w:p>
      <w:pPr>
        <w:spacing w:after="0" w:line="1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3.</w:t>
      </w:r>
      <w:r>
        <w:rPr>
          <w:rFonts w:ascii="Times New Roman" w:cs="Times New Roman" w:eastAsia="Times New Roman" w:hAnsi="Times New Roman"/>
          <w:sz w:val="14"/>
          <w:szCs w:val="14"/>
          <w:b w:val="1"/>
          <w:bCs w:val="1"/>
          <w:color w:val="auto"/>
        </w:rPr>
        <w:t>            </w:t>
      </w:r>
      <w:r>
        <w:rPr>
          <w:rFonts w:ascii="Times New Roman" w:cs="Times New Roman" w:eastAsia="Times New Roman" w:hAnsi="Times New Roman"/>
          <w:sz w:val="14"/>
          <w:szCs w:val="14"/>
          <w:color w:val="auto"/>
        </w:rPr>
        <w:t>A copy of the Comptroller of the Currency Certification of Fiduciary Powers for Computershare Trust Company, National Association.</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4.            A copy of the existing bylaws of the trustee, as now in effect. (See Exhibit 4 to Form T-1 filed with Registration Statement No. 333-200089).</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5.            Not applicable</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6.            The consent of the Trustee required by Section 321(b) of the Act.</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7.            A copy of the latest report of condition of the trustee published pursuant to law or the requirements of its supervising or examining authority.</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8.            Not applicable</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9.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716153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152" w:name="page153"/>
    <w:bookmarkEnd w:id="152"/>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Pursuant to the requirements of the Trust Indenture Act of 1939, the trustee, Computershare Trust Company, National Association, a national banking association, organized and existing under the laws of the United States, has duly caused this statement of eligibility to be signed on its behalf by the undersigned, thereunto duly authorized, all in the City of St. Paul, and State of Minnesota, on the 9th day of March, 2026.</w:t>
      </w:r>
    </w:p>
    <w:p>
      <w:pPr>
        <w:spacing w:after="0" w:line="13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COMPUTERSHARE TRUST COMPANY, NATIONAL ASSOCIATION</w:t>
      </w:r>
    </w:p>
    <w:p>
      <w:pPr>
        <w:spacing w:after="0" w:line="18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By:   /s/ Katherine M. O'Brien Mathis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Name: Katherine M. O'Brien Mathis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-100965</wp:posOffset>
            </wp:positionV>
            <wp:extent cx="336423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3">
                      <a:extLst>
                        <a:ext uri="{28A0092B-C50C-407E-A947-70E740481C1C}"/>
                      </a:extLst>
                    </a:blip>
                    <a:srcRect/>
                    <a:stretch>
                      <a:fillRect/>
                    </a:stretch>
                  </pic:blipFill>
                  <pic:spPr bwMode="auto">
                    <a:xfrm>
                      <a:off x="0" y="0"/>
                      <a:ext cx="3364230" cy="698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4"/>
          <w:szCs w:val="14"/>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16153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120"/>
          </w:cols>
          <w:pgMar w:left="300" w:top="740" w:right="4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6153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159"/>
          </w:cols>
          <w:pgMar w:left="300" w:top="740" w:right="1440" w:bottom="1440" w:gutter="0" w:footer="0" w:header="0"/>
        </w:sectPr>
      </w:pP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copy of the Comptroller of the Currency Certificate of Corporate Existence for Computershare Trust Company, National Association, dated February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61530" cy="66274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6">
                      <a:extLst>
                        <a:ext uri="{28A0092B-C50C-407E-A947-70E740481C1C}"/>
                      </a:extLst>
                    </a:blip>
                    <a:srcRect/>
                    <a:stretch>
                      <a:fillRect/>
                    </a:stretch>
                  </pic:blipFill>
                  <pic:spPr bwMode="auto">
                    <a:xfrm>
                      <a:off x="0" y="0"/>
                      <a:ext cx="7161530" cy="6627495"/>
                    </a:xfrm>
                    <a:prstGeom prst="rect">
                      <a:avLst/>
                    </a:prstGeom>
                    <a:noFill/>
                  </pic:spPr>
                </pic:pic>
              </a:graphicData>
            </a:graphic>
          </wp:anchor>
        </w:drawing>
      </w:r>
    </w:p>
    <w:p>
      <w:pPr>
        <w:sectPr>
          <w:pgSz w:w="11900" w:h="16838" w:orient="portrait"/>
          <w:cols w:equalWidth="0" w:num="1">
            <w:col w:w="10159"/>
          </w:cols>
          <w:pgMar w:left="300" w:top="740" w:right="1440"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6153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159"/>
          </w:cols>
          <w:pgMar w:left="300" w:top="740" w:right="1440" w:bottom="1440" w:gutter="0" w:footer="0" w:header="0"/>
        </w:sectPr>
      </w:pP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copy of the Comptroller of the Currency Certification of Fiduciary Powers for Computershare Trust Company, National Association, dated February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61530" cy="66274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8">
                      <a:extLst>
                        <a:ext uri="{28A0092B-C50C-407E-A947-70E740481C1C}"/>
                      </a:extLst>
                    </a:blip>
                    <a:srcRect/>
                    <a:stretch>
                      <a:fillRect/>
                    </a:stretch>
                  </pic:blipFill>
                  <pic:spPr bwMode="auto">
                    <a:xfrm>
                      <a:off x="0" y="0"/>
                      <a:ext cx="7161530" cy="6627495"/>
                    </a:xfrm>
                    <a:prstGeom prst="rect">
                      <a:avLst/>
                    </a:prstGeom>
                    <a:noFill/>
                  </pic:spPr>
                </pic:pic>
              </a:graphicData>
            </a:graphic>
          </wp:anchor>
        </w:drawing>
      </w:r>
    </w:p>
    <w:p>
      <w:pPr>
        <w:sectPr>
          <w:pgSz w:w="11900" w:h="16838" w:orient="portrait"/>
          <w:cols w:equalWidth="0" w:num="1">
            <w:col w:w="10159"/>
          </w:cols>
          <w:pgMar w:left="300" w:top="740" w:right="1440"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color w:val="auto"/>
        </w:rPr>
        <w:t>EXHIBIT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6153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THE TRUSTEE</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Pursuant to the requirements of Section 321 (b) of the Trust Indenture Act of 1939, and in connection with the proposed issue of debt securities, Computershare Trust Company, National Association hereby consents that reports of examinations by Federal, State, Territorial or District authorities may be furnished by such authorities to the Securities and Exchange Commission upon request therefore.</w:t>
      </w:r>
    </w:p>
    <w:p>
      <w:pPr>
        <w:spacing w:after="0" w:line="13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COMPUTERSHARE TRUST COMPANY, NATIONAL ASSOCIATION</w:t>
      </w:r>
    </w:p>
    <w:p>
      <w:pPr>
        <w:spacing w:after="0" w:line="18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By:   /s/ Katherine M. O'Brien Mathis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-100965</wp:posOffset>
            </wp:positionV>
            <wp:extent cx="336423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0">
                      <a:extLst>
                        <a:ext uri="{28A0092B-C50C-407E-A947-70E740481C1C}"/>
                      </a:extLst>
                    </a:blip>
                    <a:srcRect/>
                    <a:stretch>
                      <a:fillRect/>
                    </a:stretch>
                  </pic:blipFill>
                  <pic:spPr bwMode="auto">
                    <a:xfrm>
                      <a:off x="0" y="0"/>
                      <a:ext cx="3364230" cy="698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16153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380" w:type="dxa"/>
            <w:vAlign w:val="bottom"/>
            <w:tcBorders>
              <w:top w:val="single" w:sz="8" w:color="auto"/>
            </w:tcBorders>
            <w:gridSpan w:val="2"/>
          </w:tcPr>
          <w:p>
            <w:pPr>
              <w:jc w:val="center"/>
              <w:ind w:left="1829"/>
              <w:spacing w:after="0"/>
              <w:rPr>
                <w:sz w:val="20"/>
                <w:szCs w:val="20"/>
                <w:color w:val="auto"/>
              </w:rPr>
            </w:pPr>
            <w:r>
              <w:rPr>
                <w:rFonts w:ascii="Times New Roman" w:cs="Times New Roman" w:eastAsia="Times New Roman" w:hAnsi="Times New Roman"/>
                <w:sz w:val="14"/>
                <w:szCs w:val="14"/>
                <w:color w:val="auto"/>
              </w:rPr>
              <w:t>Consolidated Report of Condition of</w:t>
            </w:r>
          </w:p>
        </w:tc>
        <w:tc>
          <w:tcPr>
            <w:tcW w:w="1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6"/>
        </w:trPr>
        <w:tc>
          <w:tcPr>
            <w:tcW w:w="9380" w:type="dxa"/>
            <w:vAlign w:val="bottom"/>
            <w:gridSpan w:val="2"/>
          </w:tcPr>
          <w:p>
            <w:pPr>
              <w:jc w:val="center"/>
              <w:ind w:left="1849"/>
              <w:spacing w:after="0"/>
              <w:rPr>
                <w:sz w:val="20"/>
                <w:szCs w:val="20"/>
                <w:color w:val="auto"/>
              </w:rPr>
            </w:pPr>
            <w:r>
              <w:rPr>
                <w:rFonts w:ascii="Times New Roman" w:cs="Times New Roman" w:eastAsia="Times New Roman" w:hAnsi="Times New Roman"/>
                <w:sz w:val="14"/>
                <w:szCs w:val="14"/>
                <w:color w:val="auto"/>
                <w:w w:val="99"/>
              </w:rPr>
              <w:t>COMPUTERSHARE TRUST COMPANY, NATIONAL ASSOCIATION</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9380" w:type="dxa"/>
            <w:vAlign w:val="bottom"/>
            <w:gridSpan w:val="2"/>
          </w:tcPr>
          <w:p>
            <w:pPr>
              <w:jc w:val="center"/>
              <w:ind w:left="1789"/>
              <w:spacing w:after="0"/>
              <w:rPr>
                <w:sz w:val="20"/>
                <w:szCs w:val="20"/>
                <w:color w:val="auto"/>
              </w:rPr>
            </w:pPr>
            <w:r>
              <w:rPr>
                <w:rFonts w:ascii="Times New Roman" w:cs="Times New Roman" w:eastAsia="Times New Roman" w:hAnsi="Times New Roman"/>
                <w:sz w:val="14"/>
                <w:szCs w:val="14"/>
                <w:color w:val="auto"/>
              </w:rPr>
              <w:t>150 Royall Street, Canton, MA 02021</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9380" w:type="dxa"/>
            <w:vAlign w:val="bottom"/>
            <w:gridSpan w:val="2"/>
          </w:tcPr>
          <w:p>
            <w:pPr>
              <w:jc w:val="center"/>
              <w:ind w:left="1849"/>
              <w:spacing w:after="0"/>
              <w:rPr>
                <w:sz w:val="20"/>
                <w:szCs w:val="20"/>
                <w:color w:val="auto"/>
              </w:rPr>
            </w:pPr>
            <w:r>
              <w:rPr>
                <w:rFonts w:ascii="Times New Roman" w:cs="Times New Roman" w:eastAsia="Times New Roman" w:hAnsi="Times New Roman"/>
                <w:sz w:val="14"/>
                <w:szCs w:val="14"/>
                <w:color w:val="auto"/>
              </w:rPr>
              <w:t>at the close of business December 31, 2025.</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6"/>
        </w:trPr>
        <w:tc>
          <w:tcPr>
            <w:tcW w:w="9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Dollar Amounts</w:t>
            </w:r>
          </w:p>
        </w:tc>
        <w:tc>
          <w:tcPr>
            <w:tcW w:w="0" w:type="dxa"/>
            <w:vAlign w:val="bottom"/>
          </w:tcPr>
          <w:p>
            <w:pPr>
              <w:spacing w:after="0"/>
              <w:rPr>
                <w:sz w:val="1"/>
                <w:szCs w:val="1"/>
                <w:color w:val="auto"/>
              </w:rPr>
            </w:pPr>
          </w:p>
        </w:tc>
      </w:tr>
      <w:tr>
        <w:trPr>
          <w:trHeight w:val="185"/>
        </w:trPr>
        <w:tc>
          <w:tcPr>
            <w:tcW w:w="9380" w:type="dxa"/>
            <w:vAlign w:val="bottom"/>
            <w:gridSpan w:val="2"/>
            <w:vMerge w:val="continue"/>
          </w:tcPr>
          <w:p>
            <w:pPr>
              <w:spacing w:after="0"/>
              <w:rPr>
                <w:sz w:val="16"/>
                <w:szCs w:val="16"/>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161"/>
        </w:trPr>
        <w:tc>
          <w:tcPr>
            <w:tcW w:w="9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12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Noninterest-bearing balances and currency and coin</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705</w:t>
            </w:r>
          </w:p>
        </w:tc>
        <w:tc>
          <w:tcPr>
            <w:tcW w:w="0" w:type="dxa"/>
            <w:vAlign w:val="bottom"/>
          </w:tcPr>
          <w:p>
            <w:pPr>
              <w:spacing w:after="0"/>
              <w:rPr>
                <w:sz w:val="1"/>
                <w:szCs w:val="1"/>
                <w:color w:val="auto"/>
              </w:rPr>
            </w:pPr>
          </w:p>
        </w:tc>
      </w:tr>
      <w:tr>
        <w:trPr>
          <w:trHeight w:val="170"/>
        </w:trPr>
        <w:tc>
          <w:tcPr>
            <w:tcW w:w="9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Interest-bearing balances</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429,716</w:t>
            </w:r>
          </w:p>
        </w:tc>
        <w:tc>
          <w:tcPr>
            <w:tcW w:w="0" w:type="dxa"/>
            <w:vAlign w:val="bottom"/>
          </w:tcPr>
          <w:p>
            <w:pPr>
              <w:spacing w:after="0"/>
              <w:rPr>
                <w:sz w:val="1"/>
                <w:szCs w:val="1"/>
                <w:color w:val="auto"/>
              </w:rPr>
            </w:pPr>
          </w:p>
        </w:tc>
      </w:tr>
      <w:tr>
        <w:trPr>
          <w:trHeight w:val="170"/>
        </w:trPr>
        <w:tc>
          <w:tcPr>
            <w:tcW w:w="9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9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funds sold and securities purchased under agreements to resell:</w:t>
            </w: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Federal funds sold in domestic offices</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9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9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Loans and lease financing receivables:</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and leases held for sale</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9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Loans and leases, net of unearned income</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9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Allowance for loan and lease losses</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9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Loans and leases, net of unearned income and allowance</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assets</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9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Premises and fixed assets (including capitalized leases)</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6,375</w:t>
            </w:r>
          </w:p>
        </w:tc>
        <w:tc>
          <w:tcPr>
            <w:tcW w:w="0" w:type="dxa"/>
            <w:vAlign w:val="bottom"/>
          </w:tcPr>
          <w:p>
            <w:pPr>
              <w:spacing w:after="0"/>
              <w:rPr>
                <w:sz w:val="1"/>
                <w:szCs w:val="1"/>
                <w:color w:val="auto"/>
              </w:rPr>
            </w:pPr>
          </w:p>
        </w:tc>
      </w:tr>
      <w:tr>
        <w:trPr>
          <w:trHeight w:val="170"/>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9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Investments in unconsolidated subsidiaries and associated companies</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 and indirect investments in real estate ventures</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9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Goodwill</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134,206</w:t>
            </w:r>
          </w:p>
        </w:tc>
        <w:tc>
          <w:tcPr>
            <w:tcW w:w="0" w:type="dxa"/>
            <w:vAlign w:val="bottom"/>
          </w:tcPr>
          <w:p>
            <w:pPr>
              <w:spacing w:after="0"/>
              <w:rPr>
                <w:sz w:val="1"/>
                <w:szCs w:val="1"/>
                <w:color w:val="auto"/>
              </w:rPr>
            </w:pPr>
          </w:p>
        </w:tc>
      </w:tr>
      <w:tr>
        <w:trPr>
          <w:trHeight w:val="170"/>
        </w:trPr>
        <w:tc>
          <w:tcPr>
            <w:tcW w:w="9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intangible assets</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387,223</w:t>
            </w:r>
          </w:p>
        </w:tc>
        <w:tc>
          <w:tcPr>
            <w:tcW w:w="0" w:type="dxa"/>
            <w:vAlign w:val="bottom"/>
          </w:tcPr>
          <w:p>
            <w:pPr>
              <w:spacing w:after="0"/>
              <w:rPr>
                <w:sz w:val="1"/>
                <w:szCs w:val="1"/>
                <w:color w:val="auto"/>
              </w:rPr>
            </w:pPr>
          </w:p>
        </w:tc>
      </w:tr>
      <w:tr>
        <w:trPr>
          <w:trHeight w:val="181"/>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137,153</w:t>
            </w:r>
          </w:p>
        </w:tc>
        <w:tc>
          <w:tcPr>
            <w:tcW w:w="0" w:type="dxa"/>
            <w:vAlign w:val="bottom"/>
          </w:tcPr>
          <w:p>
            <w:pPr>
              <w:spacing w:after="0"/>
              <w:rPr>
                <w:sz w:val="1"/>
                <w:szCs w:val="1"/>
                <w:color w:val="auto"/>
              </w:rPr>
            </w:pPr>
          </w:p>
        </w:tc>
      </w:tr>
      <w:tr>
        <w:trPr>
          <w:trHeight w:val="172"/>
        </w:trPr>
        <w:tc>
          <w:tcPr>
            <w:tcW w:w="9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1,095,378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9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70" w:right="319" w:bottom="144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380" w:type="dxa"/>
            <w:vAlign w:val="bottom"/>
          </w:tcPr>
          <w:p>
            <w:pPr>
              <w:spacing w:after="0"/>
              <w:rPr>
                <w:sz w:val="20"/>
                <w:szCs w:val="20"/>
                <w:color w:val="auto"/>
              </w:rPr>
            </w:pPr>
            <w:r>
              <w:rPr>
                <w:rFonts w:ascii="Times New Roman" w:cs="Times New Roman" w:eastAsia="Times New Roman" w:hAnsi="Times New Roman"/>
                <w:sz w:val="14"/>
                <w:szCs w:val="14"/>
                <w:color w:val="auto"/>
              </w:rPr>
              <w:t>Deposits:</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 domestic offices</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9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Noninterest-bearing</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Interest-bearing</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9380" w:type="dxa"/>
            <w:vAlign w:val="bottom"/>
          </w:tcPr>
          <w:p>
            <w:pPr>
              <w:spacing w:after="0"/>
              <w:rPr>
                <w:sz w:val="20"/>
                <w:szCs w:val="20"/>
                <w:color w:val="auto"/>
              </w:rPr>
            </w:pPr>
            <w:r>
              <w:rPr>
                <w:rFonts w:ascii="Times New Roman" w:cs="Times New Roman" w:eastAsia="Times New Roman" w:hAnsi="Times New Roman"/>
                <w:sz w:val="14"/>
                <w:szCs w:val="14"/>
                <w:color w:val="auto"/>
              </w:rPr>
              <w:t>Federal funds purchased and securities sold under agreements to repurchase:</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Federal funds purchased in domestic offices</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9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liabilities</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9380" w:type="dxa"/>
            <w:vAlign w:val="bottom"/>
          </w:tcPr>
          <w:p>
            <w:pPr>
              <w:spacing w:after="0"/>
              <w:rPr>
                <w:sz w:val="20"/>
                <w:szCs w:val="20"/>
                <w:color w:val="auto"/>
              </w:rPr>
            </w:pPr>
            <w:r>
              <w:rPr>
                <w:rFonts w:ascii="Times New Roman" w:cs="Times New Roman" w:eastAsia="Times New Roman" w:hAnsi="Times New Roman"/>
                <w:sz w:val="14"/>
                <w:szCs w:val="14"/>
                <w:color w:val="auto"/>
              </w:rPr>
              <w:t>Other borrowed money: (includes mortgage indebtedness and obligations under capitalized leases)</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380" w:type="dxa"/>
            <w:vAlign w:val="bottom"/>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1"/>
        </w:trPr>
        <w:tc>
          <w:tcPr>
            <w:tcW w:w="938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156,885</w:t>
            </w:r>
          </w:p>
        </w:tc>
        <w:tc>
          <w:tcPr>
            <w:tcW w:w="0" w:type="dxa"/>
            <w:vAlign w:val="bottom"/>
          </w:tcPr>
          <w:p>
            <w:pPr>
              <w:spacing w:after="0"/>
              <w:rPr>
                <w:sz w:val="1"/>
                <w:szCs w:val="1"/>
                <w:color w:val="auto"/>
              </w:rPr>
            </w:pPr>
          </w:p>
        </w:tc>
      </w:tr>
      <w:tr>
        <w:trPr>
          <w:trHeight w:val="172"/>
        </w:trPr>
        <w:tc>
          <w:tcPr>
            <w:tcW w:w="9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156,885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3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EQUITY CAPITAL</w:t>
            </w: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380" w:type="dxa"/>
            <w:vAlign w:val="bottom"/>
          </w:tcPr>
          <w:p>
            <w:pPr>
              <w:spacing w:after="0"/>
              <w:rPr>
                <w:sz w:val="20"/>
                <w:szCs w:val="20"/>
                <w:color w:val="auto"/>
              </w:rPr>
            </w:pPr>
            <w:r>
              <w:rPr>
                <w:rFonts w:ascii="Times New Roman" w:cs="Times New Roman" w:eastAsia="Times New Roman" w:hAnsi="Times New Roman"/>
                <w:sz w:val="14"/>
                <w:szCs w:val="14"/>
                <w:color w:val="auto"/>
              </w:rPr>
              <w:t>Perpetual preferred stock and related surplus</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70"/>
        </w:trPr>
        <w:tc>
          <w:tcPr>
            <w:tcW w:w="9380" w:type="dxa"/>
            <w:vAlign w:val="bottom"/>
          </w:tcPr>
          <w:p>
            <w:pPr>
              <w:spacing w:after="0"/>
              <w:rPr>
                <w:sz w:val="20"/>
                <w:szCs w:val="20"/>
                <w:color w:val="auto"/>
              </w:rPr>
            </w:pPr>
            <w:r>
              <w:rPr>
                <w:rFonts w:ascii="Times New Roman" w:cs="Times New Roman" w:eastAsia="Times New Roman" w:hAnsi="Times New Roman"/>
                <w:sz w:val="14"/>
                <w:szCs w:val="14"/>
                <w:color w:val="auto"/>
              </w:rPr>
              <w:t>Surplus (exclude all surplus related to preferred stock)</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850,876</w:t>
            </w:r>
          </w:p>
        </w:tc>
        <w:tc>
          <w:tcPr>
            <w:tcW w:w="0" w:type="dxa"/>
            <w:vAlign w:val="bottom"/>
          </w:tcPr>
          <w:p>
            <w:pPr>
              <w:spacing w:after="0"/>
              <w:rPr>
                <w:sz w:val="1"/>
                <w:szCs w:val="1"/>
                <w:color w:val="auto"/>
              </w:rPr>
            </w:pPr>
          </w:p>
        </w:tc>
      </w:tr>
      <w:tr>
        <w:trPr>
          <w:trHeight w:val="170"/>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87,117</w:t>
            </w:r>
          </w:p>
        </w:tc>
        <w:tc>
          <w:tcPr>
            <w:tcW w:w="0" w:type="dxa"/>
            <w:vAlign w:val="bottom"/>
          </w:tcPr>
          <w:p>
            <w:pPr>
              <w:spacing w:after="0"/>
              <w:rPr>
                <w:sz w:val="1"/>
                <w:szCs w:val="1"/>
                <w:color w:val="auto"/>
              </w:rPr>
            </w:pPr>
          </w:p>
        </w:tc>
      </w:tr>
      <w:tr>
        <w:trPr>
          <w:trHeight w:val="170"/>
        </w:trPr>
        <w:tc>
          <w:tcPr>
            <w:tcW w:w="938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equity capital components</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9380" w:type="dxa"/>
            <w:vAlign w:val="bottom"/>
          </w:tcPr>
          <w:p>
            <w:pPr>
              <w:spacing w:after="0"/>
              <w:rPr>
                <w:sz w:val="20"/>
                <w:szCs w:val="20"/>
                <w:color w:val="auto"/>
              </w:rPr>
            </w:pPr>
            <w:r>
              <w:rPr>
                <w:rFonts w:ascii="Times New Roman" w:cs="Times New Roman" w:eastAsia="Times New Roman" w:hAnsi="Times New Roman"/>
                <w:sz w:val="14"/>
                <w:szCs w:val="14"/>
                <w:color w:val="auto"/>
              </w:rPr>
              <w:t>Total bank equity capital</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938,493</w:t>
            </w:r>
          </w:p>
        </w:tc>
        <w:tc>
          <w:tcPr>
            <w:tcW w:w="0" w:type="dxa"/>
            <w:vAlign w:val="bottom"/>
          </w:tcPr>
          <w:p>
            <w:pPr>
              <w:spacing w:after="0"/>
              <w:rPr>
                <w:sz w:val="1"/>
                <w:szCs w:val="1"/>
                <w:color w:val="auto"/>
              </w:rPr>
            </w:pPr>
          </w:p>
        </w:tc>
      </w:tr>
      <w:tr>
        <w:trPr>
          <w:trHeight w:val="170"/>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(minority) interests in consolidated subsidiaries</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1"/>
        </w:trPr>
        <w:tc>
          <w:tcPr>
            <w:tcW w:w="9380" w:type="dxa"/>
            <w:vAlign w:val="bottom"/>
          </w:tcPr>
          <w:p>
            <w:pPr>
              <w:spacing w:after="0"/>
              <w:rPr>
                <w:sz w:val="20"/>
                <w:szCs w:val="20"/>
                <w:color w:val="auto"/>
              </w:rPr>
            </w:pPr>
            <w:r>
              <w:rPr>
                <w:rFonts w:ascii="Times New Roman" w:cs="Times New Roman" w:eastAsia="Times New Roman" w:hAnsi="Times New Roman"/>
                <w:sz w:val="14"/>
                <w:szCs w:val="14"/>
                <w:color w:val="auto"/>
              </w:rPr>
              <w:t>Total equity capital</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938,493</w:t>
            </w:r>
          </w:p>
        </w:tc>
        <w:tc>
          <w:tcPr>
            <w:tcW w:w="0" w:type="dxa"/>
            <w:vAlign w:val="bottom"/>
          </w:tcPr>
          <w:p>
            <w:pPr>
              <w:spacing w:after="0"/>
              <w:rPr>
                <w:sz w:val="1"/>
                <w:szCs w:val="1"/>
                <w:color w:val="auto"/>
              </w:rPr>
            </w:pPr>
          </w:p>
        </w:tc>
      </w:tr>
      <w:tr>
        <w:trPr>
          <w:trHeight w:val="172"/>
        </w:trPr>
        <w:tc>
          <w:tcPr>
            <w:tcW w:w="9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equity capital</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1,095,378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380" w:type="dxa"/>
            <w:vAlign w:val="bottom"/>
            <w:vMerge w:val="restart"/>
          </w:tcPr>
          <w:p>
            <w:pPr>
              <w:ind w:left="5600"/>
              <w:spacing w:after="0"/>
              <w:rPr>
                <w:sz w:val="20"/>
                <w:szCs w:val="20"/>
                <w:color w:val="auto"/>
              </w:rPr>
            </w:pPr>
            <w:r>
              <w:rPr>
                <w:rFonts w:ascii="Times New Roman" w:cs="Times New Roman" w:eastAsia="Times New Roman" w:hAnsi="Times New Roman"/>
                <w:sz w:val="14"/>
                <w:szCs w:val="14"/>
                <w:color w:val="auto"/>
              </w:rPr>
              <w:t>2</w:t>
            </w: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9380" w:type="dxa"/>
            <w:vAlign w:val="bottom"/>
            <w:tcBorders>
              <w:bottom w:val="single" w:sz="8" w:color="auto"/>
            </w:tcBorders>
            <w:vMerge w:val="continue"/>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78" w:right="3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color w:val="auto"/>
        </w:rPr>
        <w:t>I, Greg Brandt, Assistant Controller of the above named bank do hereby declare that this Report of Condition is true and correct to the best of my knowledge and belief.</w:t>
      </w:r>
    </w:p>
    <w:p>
      <w:pPr>
        <w:spacing w:after="0" w:line="179"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4"/>
          <w:szCs w:val="14"/>
          <w:color w:val="auto"/>
        </w:rPr>
        <w:t>/s/ Greg Brandt</w:t>
      </w:r>
    </w:p>
    <w:p>
      <w:pPr>
        <w:spacing w:after="0" w:line="17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4"/>
          <w:szCs w:val="14"/>
          <w:color w:val="auto"/>
        </w:rPr>
        <w:t>Greg Brandt</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Assistant Controller</w:t>
      </w:r>
    </w:p>
    <w:p>
      <w:pPr>
        <w:spacing w:after="0" w:line="3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59" w:name="page160"/>
    <w:bookmarkEnd w:id="159"/>
    <w:p>
      <w:pPr>
        <w:ind w:left="3460"/>
        <w:spacing w:after="0"/>
        <w:rPr>
          <w:sz w:val="20"/>
          <w:szCs w:val="20"/>
          <w:color w:val="auto"/>
        </w:rPr>
      </w:pPr>
      <w:r>
        <w:rPr>
          <w:rFonts w:ascii="Arial" w:cs="Arial" w:eastAsia="Arial" w:hAnsi="Arial"/>
          <w:sz w:val="28"/>
          <w:szCs w:val="28"/>
          <w:b w:val="1"/>
          <w:bCs w:val="1"/>
          <w:color w:val="auto"/>
        </w:rPr>
        <w:t>Calculation of Filing Fee Tables</w:t>
      </w:r>
    </w:p>
    <w:p>
      <w:pPr>
        <w:spacing w:after="0" w:line="178"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4" w:lineRule="exact"/>
        <w:rPr>
          <w:sz w:val="20"/>
          <w:szCs w:val="20"/>
          <w:color w:val="auto"/>
        </w:rPr>
      </w:pPr>
    </w:p>
    <w:p>
      <w:pPr>
        <w:jc w:val="center"/>
        <w:ind w:right="220"/>
        <w:spacing w:after="0"/>
        <w:rPr>
          <w:sz w:val="20"/>
          <w:szCs w:val="20"/>
          <w:color w:val="auto"/>
        </w:rPr>
      </w:pPr>
      <w:r>
        <w:rPr>
          <w:rFonts w:ascii="Arial" w:cs="Arial" w:eastAsia="Arial" w:hAnsi="Arial"/>
          <w:sz w:val="28"/>
          <w:szCs w:val="28"/>
          <w:b w:val="1"/>
          <w:bCs w:val="1"/>
          <w:color w:val="auto"/>
        </w:rPr>
        <w:t>Viper Energy, Inc.</w:t>
      </w:r>
    </w:p>
    <w:p>
      <w:pPr>
        <w:spacing w:after="0" w:line="106"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4560" w:type="dxa"/>
            <w:vAlign w:val="bottom"/>
            <w:tcBorders>
              <w:bottom w:val="single" w:sz="8" w:color="auto"/>
            </w:tcBorders>
            <w:gridSpan w:val="13"/>
          </w:tcPr>
          <w:p>
            <w:pPr>
              <w:ind w:left="40"/>
              <w:spacing w:after="0"/>
              <w:rPr>
                <w:sz w:val="20"/>
                <w:szCs w:val="20"/>
                <w:color w:val="auto"/>
              </w:rPr>
            </w:pPr>
            <w:r>
              <w:rPr>
                <w:rFonts w:ascii="Arial" w:cs="Arial" w:eastAsia="Arial" w:hAnsi="Arial"/>
                <w:sz w:val="17"/>
                <w:szCs w:val="17"/>
                <w:b w:val="1"/>
                <w:bCs w:val="1"/>
                <w:color w:val="auto"/>
                <w:w w:val="99"/>
              </w:rPr>
              <w:t>Table 1: Newly Registered and Carry Forward Securities</w:t>
            </w: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2"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ind w:left="140"/>
              <w:spacing w:after="0" w:line="192"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55"/>
              <w:spacing w:after="0" w:line="192"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right"/>
              <w:ind w:right="15"/>
              <w:spacing w:after="0" w:line="192"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2"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920" w:type="dxa"/>
            <w:vAlign w:val="bottom"/>
            <w:shd w:val="clear" w:color="auto" w:fill="9ADAF6"/>
          </w:tcPr>
          <w:p>
            <w:pPr>
              <w:ind w:left="40"/>
              <w:spacing w:after="0" w:line="192" w:lineRule="exact"/>
              <w:rPr>
                <w:sz w:val="20"/>
                <w:szCs w:val="20"/>
                <w:color w:val="auto"/>
              </w:rPr>
            </w:pPr>
            <w:r>
              <w:rPr>
                <w:rFonts w:ascii="Arial" w:cs="Arial" w:eastAsia="Arial" w:hAnsi="Arial"/>
                <w:sz w:val="17"/>
                <w:szCs w:val="17"/>
                <w:b w:val="1"/>
                <w:bCs w:val="1"/>
                <w:color w:val="auto"/>
              </w:rPr>
              <w:t>Class Title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92"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right"/>
              <w:spacing w:after="0" w:line="192"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right"/>
              <w:ind w:right="275"/>
              <w:spacing w:after="0" w:line="192"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580" w:type="dxa"/>
            <w:vAlign w:val="bottom"/>
            <w:gridSpan w:val="6"/>
          </w:tcPr>
          <w:p>
            <w:pPr>
              <w:jc w:val="center"/>
              <w:ind w:right="215"/>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Viper</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92" w:lineRule="exact"/>
              <w:rPr>
                <w:sz w:val="20"/>
                <w:szCs w:val="20"/>
                <w:color w:val="auto"/>
              </w:rPr>
            </w:pPr>
            <w:r>
              <w:rPr>
                <w:rFonts w:ascii="Arial" w:cs="Arial" w:eastAsia="Arial" w:hAnsi="Arial"/>
                <w:sz w:val="17"/>
                <w:szCs w:val="17"/>
                <w:color w:val="auto"/>
              </w:rPr>
              <w:t>Energy,</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92" w:lineRule="exact"/>
              <w:rPr>
                <w:sz w:val="20"/>
                <w:szCs w:val="20"/>
                <w:color w:val="auto"/>
              </w:rPr>
            </w:pPr>
            <w:r>
              <w:rPr>
                <w:rFonts w:ascii="Arial" w:cs="Arial" w:eastAsia="Arial" w:hAnsi="Arial"/>
                <w:sz w:val="17"/>
                <w:szCs w:val="17"/>
                <w:color w:val="auto"/>
              </w:rPr>
              <w:t>Inc. Class</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92" w:lineRule="exact"/>
              <w:rPr>
                <w:sz w:val="20"/>
                <w:szCs w:val="20"/>
                <w:color w:val="auto"/>
              </w:rPr>
            </w:pPr>
            <w:r>
              <w:rPr>
                <w:rFonts w:ascii="Arial" w:cs="Arial" w:eastAsia="Arial" w:hAnsi="Arial"/>
                <w:sz w:val="17"/>
                <w:szCs w:val="17"/>
                <w:color w:val="auto"/>
              </w:rPr>
              <w:t>A Common</w:t>
            </w:r>
          </w:p>
        </w:tc>
        <w:tc>
          <w:tcPr>
            <w:tcW w:w="20" w:type="dxa"/>
            <w:vAlign w:val="bottom"/>
          </w:tcPr>
          <w:p>
            <w:pPr>
              <w:spacing w:after="0"/>
              <w:rPr>
                <w:sz w:val="16"/>
                <w:szCs w:val="16"/>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line="192"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E7E7E2"/>
          </w:tcPr>
          <w:p>
            <w:pPr>
              <w:ind w:left="20"/>
              <w:spacing w:after="0" w:line="192" w:lineRule="exact"/>
              <w:rPr>
                <w:sz w:val="20"/>
                <w:szCs w:val="20"/>
                <w:color w:val="auto"/>
              </w:rPr>
            </w:pPr>
            <w:r>
              <w:rPr>
                <w:rFonts w:ascii="Arial" w:cs="Arial" w:eastAsia="Arial" w:hAnsi="Arial"/>
                <w:sz w:val="17"/>
                <w:szCs w:val="17"/>
                <w:color w:val="auto"/>
              </w:rPr>
              <w:t>Stock, par</w:t>
            </w: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40" w:type="dxa"/>
            <w:vAlign w:val="bottom"/>
            <w:tcBorders>
              <w:left w:val="single" w:sz="8" w:color="auto"/>
            </w:tcBorders>
          </w:tcPr>
          <w:p>
            <w:pPr>
              <w:spacing w:after="0"/>
              <w:rPr>
                <w:sz w:val="5"/>
                <w:szCs w:val="5"/>
                <w:color w:val="auto"/>
              </w:rPr>
            </w:pPr>
          </w:p>
        </w:tc>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92"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92" w:lineRule="exact"/>
              <w:rPr>
                <w:sz w:val="20"/>
                <w:szCs w:val="20"/>
                <w:color w:val="auto"/>
              </w:rPr>
            </w:pPr>
            <w:r>
              <w:rPr>
                <w:rFonts w:ascii="Arial" w:cs="Arial" w:eastAsia="Arial" w:hAnsi="Arial"/>
                <w:sz w:val="17"/>
                <w:szCs w:val="17"/>
                <w:color w:val="auto"/>
              </w:rPr>
              <w:t>$0.000001</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1" w:lineRule="exact"/>
              <w:rPr>
                <w:sz w:val="20"/>
                <w:szCs w:val="20"/>
                <w:color w:val="auto"/>
              </w:rPr>
            </w:pPr>
            <w:r>
              <w:rPr>
                <w:rFonts w:ascii="Arial" w:cs="Arial" w:eastAsia="Arial" w:hAnsi="Arial"/>
                <w:sz w:val="17"/>
                <w:szCs w:val="17"/>
                <w:color w:val="auto"/>
              </w:rPr>
              <w:t>Viper</w:t>
            </w: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92" w:lineRule="exact"/>
              <w:rPr>
                <w:sz w:val="20"/>
                <w:szCs w:val="20"/>
                <w:color w:val="auto"/>
              </w:rPr>
            </w:pPr>
            <w:r>
              <w:rPr>
                <w:rFonts w:ascii="Arial" w:cs="Arial" w:eastAsia="Arial" w:hAnsi="Arial"/>
                <w:sz w:val="17"/>
                <w:szCs w:val="17"/>
                <w:color w:val="auto"/>
              </w:rPr>
              <w:t>Energy,</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92" w:lineRule="exact"/>
              <w:rPr>
                <w:sz w:val="20"/>
                <w:szCs w:val="20"/>
                <w:color w:val="auto"/>
              </w:rPr>
            </w:pPr>
            <w:r>
              <w:rPr>
                <w:rFonts w:ascii="Arial" w:cs="Arial" w:eastAsia="Arial" w:hAnsi="Arial"/>
                <w:sz w:val="17"/>
                <w:szCs w:val="17"/>
                <w:color w:val="auto"/>
              </w:rPr>
              <w:t>Inc.</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92"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6"/>
                <w:szCs w:val="16"/>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line="192"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E7E7E2"/>
          </w:tcPr>
          <w:p>
            <w:pPr>
              <w:ind w:left="20"/>
              <w:spacing w:after="0" w:line="192" w:lineRule="exact"/>
              <w:rPr>
                <w:sz w:val="20"/>
                <w:szCs w:val="20"/>
                <w:color w:val="auto"/>
              </w:rPr>
            </w:pPr>
            <w:r>
              <w:rPr>
                <w:rFonts w:ascii="Arial" w:cs="Arial" w:eastAsia="Arial" w:hAnsi="Arial"/>
                <w:sz w:val="17"/>
                <w:szCs w:val="17"/>
                <w:color w:val="auto"/>
              </w:rPr>
              <w:t>Stock, par</w:t>
            </w: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40" w:type="dxa"/>
            <w:vAlign w:val="bottom"/>
            <w:tcBorders>
              <w:left w:val="single" w:sz="8" w:color="auto"/>
            </w:tcBorders>
          </w:tcPr>
          <w:p>
            <w:pPr>
              <w:spacing w:after="0"/>
              <w:rPr>
                <w:sz w:val="5"/>
                <w:szCs w:val="5"/>
                <w:color w:val="auto"/>
              </w:rPr>
            </w:pPr>
          </w:p>
        </w:tc>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92"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92" w:lineRule="exact"/>
              <w:rPr>
                <w:sz w:val="20"/>
                <w:szCs w:val="20"/>
                <w:color w:val="auto"/>
              </w:rPr>
            </w:pPr>
            <w:r>
              <w:rPr>
                <w:rFonts w:ascii="Arial" w:cs="Arial" w:eastAsia="Arial" w:hAnsi="Arial"/>
                <w:sz w:val="17"/>
                <w:szCs w:val="17"/>
                <w:color w:val="auto"/>
              </w:rPr>
              <w:t>$0.000001</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1" w:lineRule="exact"/>
              <w:rPr>
                <w:sz w:val="20"/>
                <w:szCs w:val="20"/>
                <w:color w:val="auto"/>
              </w:rPr>
            </w:pPr>
            <w:r>
              <w:rPr>
                <w:rFonts w:ascii="Arial" w:cs="Arial" w:eastAsia="Arial" w:hAnsi="Arial"/>
                <w:sz w:val="17"/>
                <w:szCs w:val="17"/>
                <w:color w:val="auto"/>
              </w:rPr>
              <w:t>Viper</w:t>
            </w: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92" w:lineRule="exact"/>
              <w:rPr>
                <w:sz w:val="20"/>
                <w:szCs w:val="20"/>
                <w:color w:val="auto"/>
              </w:rPr>
            </w:pPr>
            <w:r>
              <w:rPr>
                <w:rFonts w:ascii="Arial" w:cs="Arial" w:eastAsia="Arial" w:hAnsi="Arial"/>
                <w:sz w:val="17"/>
                <w:szCs w:val="17"/>
                <w:color w:val="auto"/>
              </w:rPr>
              <w:t>Energy</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2" w:lineRule="exact"/>
              <w:rPr>
                <w:sz w:val="20"/>
                <w:szCs w:val="20"/>
                <w:color w:val="auto"/>
              </w:rPr>
            </w:pPr>
            <w:r>
              <w:rPr>
                <w:rFonts w:ascii="Arial" w:cs="Arial" w:eastAsia="Arial" w:hAnsi="Arial"/>
                <w:sz w:val="17"/>
                <w:szCs w:val="17"/>
                <w:color w:val="auto"/>
              </w:rPr>
              <w:t>3</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92"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0"/>
              <w:spacing w:after="0" w:line="192" w:lineRule="exact"/>
              <w:rPr>
                <w:sz w:val="20"/>
                <w:szCs w:val="20"/>
                <w:color w:val="auto"/>
              </w:rPr>
            </w:pPr>
            <w:r>
              <w:rPr>
                <w:rFonts w:ascii="Arial" w:cs="Arial" w:eastAsia="Arial" w:hAnsi="Arial"/>
                <w:sz w:val="17"/>
                <w:szCs w:val="17"/>
                <w:color w:val="auto"/>
              </w:rPr>
              <w:t>Partners</w:t>
            </w:r>
          </w:p>
        </w:tc>
        <w:tc>
          <w:tcPr>
            <w:tcW w:w="20" w:type="dxa"/>
            <w:vAlign w:val="bottom"/>
          </w:tcPr>
          <w:p>
            <w:pPr>
              <w:spacing w:after="0"/>
              <w:rPr>
                <w:sz w:val="8"/>
                <w:szCs w:val="8"/>
                <w:color w:val="auto"/>
              </w:rPr>
            </w:pPr>
          </w:p>
        </w:tc>
        <w:tc>
          <w:tcPr>
            <w:tcW w:w="960" w:type="dxa"/>
            <w:vAlign w:val="bottom"/>
            <w:vMerge w:val="restart"/>
            <w:shd w:val="clear" w:color="auto" w:fill="E7E7E2"/>
          </w:tcPr>
          <w:p>
            <w:pPr>
              <w:jc w:val="center"/>
              <w:spacing w:after="0" w:line="192"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92"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E7E7E2"/>
          </w:tcPr>
          <w:p>
            <w:pPr>
              <w:ind w:left="20"/>
              <w:spacing w:after="0" w:line="192" w:lineRule="exact"/>
              <w:rPr>
                <w:sz w:val="20"/>
                <w:szCs w:val="20"/>
                <w:color w:val="auto"/>
              </w:rPr>
            </w:pPr>
            <w:r>
              <w:rPr>
                <w:rFonts w:ascii="Arial" w:cs="Arial" w:eastAsia="Arial" w:hAnsi="Arial"/>
                <w:sz w:val="17"/>
                <w:szCs w:val="17"/>
                <w:color w:val="auto"/>
              </w:rPr>
              <w:t>LP Debt</w:t>
            </w: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40" w:type="dxa"/>
            <w:vAlign w:val="bottom"/>
            <w:tcBorders>
              <w:left w:val="single" w:sz="8" w:color="auto"/>
            </w:tcBorders>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1" w:lineRule="exact"/>
              <w:rPr>
                <w:sz w:val="20"/>
                <w:szCs w:val="20"/>
                <w:color w:val="auto"/>
              </w:rPr>
            </w:pPr>
            <w:r>
              <w:rPr>
                <w:rFonts w:ascii="Arial" w:cs="Arial" w:eastAsia="Arial" w:hAnsi="Arial"/>
                <w:sz w:val="17"/>
                <w:szCs w:val="17"/>
                <w:color w:val="auto"/>
              </w:rPr>
              <w:t>Viper</w:t>
            </w: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92" w:lineRule="exact"/>
              <w:rPr>
                <w:sz w:val="20"/>
                <w:szCs w:val="20"/>
                <w:color w:val="auto"/>
              </w:rPr>
            </w:pPr>
            <w:r>
              <w:rPr>
                <w:rFonts w:ascii="Arial" w:cs="Arial" w:eastAsia="Arial" w:hAnsi="Arial"/>
                <w:sz w:val="17"/>
                <w:szCs w:val="17"/>
                <w:color w:val="auto"/>
              </w:rPr>
              <w:t>Energy,</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92" w:lineRule="exact"/>
              <w:rPr>
                <w:sz w:val="20"/>
                <w:szCs w:val="20"/>
                <w:color w:val="auto"/>
              </w:rPr>
            </w:pPr>
            <w:r>
              <w:rPr>
                <w:rFonts w:ascii="Arial" w:cs="Arial" w:eastAsia="Arial" w:hAnsi="Arial"/>
                <w:sz w:val="17"/>
                <w:szCs w:val="17"/>
                <w:color w:val="auto"/>
              </w:rPr>
              <w:t>Inc.</w:t>
            </w:r>
          </w:p>
        </w:tc>
        <w:tc>
          <w:tcPr>
            <w:tcW w:w="20" w:type="dxa"/>
            <w:vAlign w:val="bottom"/>
          </w:tcPr>
          <w:p>
            <w:pPr>
              <w:spacing w:after="0"/>
              <w:rPr>
                <w:sz w:val="16"/>
                <w:szCs w:val="16"/>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line="192"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E7E7E2"/>
          </w:tcPr>
          <w:p>
            <w:pPr>
              <w:ind w:left="20"/>
              <w:spacing w:after="0" w:line="192" w:lineRule="exact"/>
              <w:rPr>
                <w:sz w:val="20"/>
                <w:szCs w:val="20"/>
                <w:color w:val="auto"/>
              </w:rPr>
            </w:pPr>
            <w:r>
              <w:rPr>
                <w:rFonts w:ascii="Arial" w:cs="Arial" w:eastAsia="Arial" w:hAnsi="Arial"/>
                <w:sz w:val="17"/>
                <w:szCs w:val="17"/>
                <w:color w:val="auto"/>
                <w:w w:val="99"/>
              </w:rPr>
              <w:t>Guarantees</w:t>
            </w: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40" w:type="dxa"/>
            <w:vAlign w:val="bottom"/>
            <w:tcBorders>
              <w:left w:val="single" w:sz="8" w:color="auto"/>
            </w:tcBorders>
          </w:tcPr>
          <w:p>
            <w:pPr>
              <w:spacing w:after="0"/>
              <w:rPr>
                <w:sz w:val="5"/>
                <w:szCs w:val="5"/>
                <w:color w:val="auto"/>
              </w:rPr>
            </w:pPr>
          </w:p>
        </w:tc>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92" w:lineRule="exact"/>
              <w:rPr>
                <w:sz w:val="20"/>
                <w:szCs w:val="20"/>
                <w:color w:val="auto"/>
              </w:rPr>
            </w:pPr>
            <w:r>
              <w:rPr>
                <w:rFonts w:ascii="Arial" w:cs="Arial" w:eastAsia="Arial" w:hAnsi="Arial"/>
                <w:sz w:val="17"/>
                <w:szCs w:val="17"/>
                <w:color w:val="auto"/>
              </w:rPr>
              <w:t>of Debt</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1"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5"/>
                <w:szCs w:val="15"/>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5"/>
                <w:szCs w:val="15"/>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1"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60" w:type="dxa"/>
            <w:vAlign w:val="bottom"/>
            <w:gridSpan w:val="5"/>
          </w:tcPr>
          <w:p>
            <w:pPr>
              <w:jc w:val="center"/>
              <w:ind w:right="215"/>
              <w:spacing w:after="0"/>
              <w:rPr>
                <w:sz w:val="20"/>
                <w:szCs w:val="20"/>
                <w:color w:val="auto"/>
              </w:rPr>
            </w:pPr>
            <w:r>
              <w:rPr>
                <w:rFonts w:ascii="Arial" w:cs="Arial" w:eastAsia="Arial" w:hAnsi="Arial"/>
                <w:sz w:val="17"/>
                <w:szCs w:val="17"/>
                <w:b w:val="1"/>
                <w:bCs w:val="1"/>
                <w:color w:val="auto"/>
                <w:w w:val="99"/>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8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Net Fee Due:</w:t>
            </w: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4" w:lineRule="exact"/>
        <w:rPr>
          <w:sz w:val="20"/>
          <w:szCs w:val="20"/>
          <w:color w:val="auto"/>
        </w:rPr>
      </w:pPr>
    </w:p>
    <w:p>
      <w:pPr>
        <w:jc w:val="both"/>
        <w:ind w:left="220" w:right="160"/>
        <w:spacing w:after="0" w:line="246" w:lineRule="auto"/>
        <w:rPr>
          <w:sz w:val="20"/>
          <w:szCs w:val="20"/>
          <w:color w:val="auto"/>
        </w:rPr>
      </w:pPr>
      <w:r>
        <w:rPr>
          <w:rFonts w:ascii="Arial" w:cs="Arial" w:eastAsia="Arial" w:hAnsi="Arial"/>
          <w:sz w:val="17"/>
          <w:szCs w:val="17"/>
          <w:color w:val="auto"/>
        </w:rPr>
        <w:t>An indeterminate aggregate initial offering price or number of the securities of each identified class is being registered as may from time to time be offered at indeterminate prices. Separate consideration may or may not be received for the securities that are issuable on exercise, conversion or exchange of other securities. In accordance with Rules 456(b) and 457(r) under the Securities Act of 1933, the Registrant is deferring payment of all of the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59055</wp:posOffset>
            </wp:positionV>
            <wp:extent cx="7146290"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3">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32" w:lineRule="exact"/>
        <w:rPr>
          <w:sz w:val="20"/>
          <w:szCs w:val="20"/>
          <w:color w:val="auto"/>
        </w:rPr>
      </w:pPr>
    </w:p>
    <w:p>
      <w:pPr>
        <w:ind w:left="40"/>
        <w:spacing w:after="0"/>
        <w:rPr>
          <w:sz w:val="20"/>
          <w:szCs w:val="20"/>
          <w:color w:val="auto"/>
        </w:rPr>
      </w:pPr>
      <w:r>
        <w:rPr>
          <w:rFonts w:ascii="Arial" w:cs="Arial" w:eastAsia="Arial" w:hAnsi="Arial"/>
          <w:sz w:val="11"/>
          <w:szCs w:val="11"/>
          <w:color w:val="auto"/>
        </w:rPr>
        <w:t>2</w:t>
      </w:r>
    </w:p>
    <w:p>
      <w:pPr>
        <w:spacing w:after="0" w:line="54" w:lineRule="exact"/>
        <w:rPr>
          <w:sz w:val="20"/>
          <w:szCs w:val="20"/>
          <w:color w:val="auto"/>
        </w:rPr>
      </w:pPr>
    </w:p>
    <w:p>
      <w:pPr>
        <w:jc w:val="both"/>
        <w:ind w:left="220" w:right="160"/>
        <w:spacing w:after="0" w:line="246" w:lineRule="auto"/>
        <w:rPr>
          <w:sz w:val="20"/>
          <w:szCs w:val="20"/>
          <w:color w:val="auto"/>
        </w:rPr>
      </w:pPr>
      <w:r>
        <w:rPr>
          <w:rFonts w:ascii="Arial" w:cs="Arial" w:eastAsia="Arial" w:hAnsi="Arial"/>
          <w:sz w:val="17"/>
          <w:szCs w:val="17"/>
          <w:color w:val="auto"/>
        </w:rPr>
        <w:t>An indeterminate aggregate initial offering price or number of the securities of each identified class is being registered as may from time to time be offered at indeterminate prices. Separate consideration may or may not be received for the securities that are issuable on exercise, conversion or exchange of other securities. In accordance with Rules 456(b) and 457(r) under the Securities Act of 1933, the Registrant is deferring payment of all of the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59055</wp:posOffset>
            </wp:positionV>
            <wp:extent cx="714629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4">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32" w:lineRule="exact"/>
        <w:rPr>
          <w:sz w:val="20"/>
          <w:szCs w:val="20"/>
          <w:color w:val="auto"/>
        </w:rPr>
      </w:pPr>
    </w:p>
    <w:p>
      <w:pPr>
        <w:ind w:left="40"/>
        <w:spacing w:after="0"/>
        <w:rPr>
          <w:sz w:val="20"/>
          <w:szCs w:val="20"/>
          <w:color w:val="auto"/>
        </w:rPr>
      </w:pPr>
      <w:r>
        <w:rPr>
          <w:rFonts w:ascii="Arial" w:cs="Arial" w:eastAsia="Arial" w:hAnsi="Arial"/>
          <w:sz w:val="11"/>
          <w:szCs w:val="11"/>
          <w:color w:val="auto"/>
        </w:rPr>
        <w:t>3</w:t>
      </w:r>
    </w:p>
    <w:p>
      <w:pPr>
        <w:spacing w:after="0" w:line="54" w:lineRule="exact"/>
        <w:rPr>
          <w:sz w:val="20"/>
          <w:szCs w:val="20"/>
          <w:color w:val="auto"/>
        </w:rPr>
      </w:pPr>
    </w:p>
    <w:p>
      <w:pPr>
        <w:jc w:val="both"/>
        <w:ind w:left="220" w:right="160"/>
        <w:spacing w:after="0" w:line="246" w:lineRule="auto"/>
        <w:rPr>
          <w:sz w:val="20"/>
          <w:szCs w:val="20"/>
          <w:color w:val="auto"/>
        </w:rPr>
      </w:pPr>
      <w:r>
        <w:rPr>
          <w:rFonts w:ascii="Arial" w:cs="Arial" w:eastAsia="Arial" w:hAnsi="Arial"/>
          <w:sz w:val="17"/>
          <w:szCs w:val="17"/>
          <w:color w:val="auto"/>
        </w:rPr>
        <w:t>An indeterminate aggregate initial offering price or number of the securities of each identified class is being registered as may from time to time be offered at indeterminate prices. Separate consideration may or may not be received for the securities that are issuable on exercise, conversion or exchange of other securities. In accordance with Rules 456(b) and 457(r) under the Securities Act of 1933, the Registrant is deferring payment of all of the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59055</wp:posOffset>
            </wp:positionV>
            <wp:extent cx="714629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5">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ectPr>
          <w:pgSz w:w="11900" w:h="16838" w:orient="portrait"/>
          <w:cols w:equalWidth="0" w:num="1">
            <w:col w:w="11360"/>
          </w:cols>
          <w:pgMar w:left="300" w:top="142" w:right="239" w:bottom="0" w:gutter="0" w:footer="0" w:header="0"/>
        </w:sect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0"/>
          <w:szCs w:val="10"/>
          <w:color w:val="auto"/>
        </w:rPr>
        <w:t>4</w:t>
      </w:r>
    </w:p>
    <w:p>
      <w:pPr>
        <w:sectPr>
          <w:pgSz w:w="11900" w:h="16838" w:orient="portrait"/>
          <w:cols w:equalWidth="0" w:num="1">
            <w:col w:w="11360"/>
          </w:cols>
          <w:pgMar w:left="300" w:top="142" w:right="239" w:bottom="0" w:gutter="0" w:footer="0" w:header="0"/>
          <w:type w:val="continuous"/>
        </w:sectPr>
      </w:pPr>
    </w:p>
    <w:bookmarkStart w:id="160" w:name="page161"/>
    <w:bookmarkEnd w:id="160"/>
    <w:p>
      <w:pPr>
        <w:ind w:left="220"/>
        <w:spacing w:after="0"/>
        <w:rPr>
          <w:sz w:val="20"/>
          <w:szCs w:val="20"/>
          <w:color w:val="auto"/>
        </w:rPr>
      </w:pPr>
      <w:r>
        <w:rPr>
          <w:rFonts w:ascii="Arial" w:cs="Arial" w:eastAsia="Arial" w:hAnsi="Arial"/>
          <w:sz w:val="17"/>
          <w:szCs w:val="17"/>
          <w:color w:val="auto"/>
        </w:rPr>
        <w:t>Pursuant to Rule 457(n) under the Securities Act of 1933, no separate filing fee is payable in respect of the subsidiary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714629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6">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64" w:lineRule="exact"/>
        <w:rPr>
          <w:sz w:val="20"/>
          <w:szCs w:val="20"/>
          <w:color w:val="auto"/>
        </w:rPr>
      </w:pPr>
    </w:p>
    <w:p>
      <w:pPr>
        <w:ind w:left="40"/>
        <w:spacing w:after="0"/>
        <w:rPr>
          <w:sz w:val="20"/>
          <w:szCs w:val="20"/>
          <w:color w:val="auto"/>
        </w:rPr>
      </w:pPr>
      <w:r>
        <w:rPr>
          <w:rFonts w:ascii="Arial" w:cs="Arial" w:eastAsia="Arial" w:hAnsi="Arial"/>
          <w:sz w:val="11"/>
          <w:szCs w:val="11"/>
          <w:color w:val="auto"/>
        </w:rPr>
        <w:t>5</w:t>
      </w:r>
    </w:p>
    <w:p>
      <w:pPr>
        <w:spacing w:after="0" w:line="54" w:lineRule="exact"/>
        <w:rPr>
          <w:sz w:val="20"/>
          <w:szCs w:val="20"/>
          <w:color w:val="auto"/>
        </w:rPr>
      </w:pPr>
    </w:p>
    <w:p>
      <w:pPr>
        <w:jc w:val="both"/>
        <w:ind w:left="220" w:right="80"/>
        <w:spacing w:after="0" w:line="246" w:lineRule="auto"/>
        <w:rPr>
          <w:sz w:val="20"/>
          <w:szCs w:val="20"/>
          <w:color w:val="auto"/>
        </w:rPr>
      </w:pPr>
      <w:r>
        <w:rPr>
          <w:rFonts w:ascii="Arial" w:cs="Arial" w:eastAsia="Arial" w:hAnsi="Arial"/>
          <w:sz w:val="17"/>
          <w:szCs w:val="17"/>
          <w:color w:val="auto"/>
        </w:rPr>
        <w:t>An indeterminate aggregate initial offering price or number of the securities of each identified class is being registered as may from time to time be offered at indeterminate prices. Separate consideration may or may not be received for the securities that are issuable on exercise, conversion or exchange of other securities. In accordance with Rules 456(b) and 457(r) under the Securities Act of 1933, the Registrant is deferring payment of all of the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59055</wp:posOffset>
            </wp:positionV>
            <wp:extent cx="7146290"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7">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shd w:val="clear" w:color="auto" w:fill="9ADAF6"/>
          </w:tcPr>
          <w:p>
            <w:pPr>
              <w:spacing w:after="0"/>
              <w:rPr>
                <w:sz w:val="17"/>
                <w:szCs w:val="17"/>
                <w:color w:val="auto"/>
              </w:rPr>
            </w:pPr>
          </w:p>
        </w:tc>
        <w:tc>
          <w:tcPr>
            <w:tcW w:w="40" w:type="dxa"/>
            <w:vAlign w:val="bottom"/>
            <w:tcBorders>
              <w:right w:val="single" w:sz="8" w:color="9ADAF6"/>
            </w:tcBorders>
            <w:shd w:val="clear" w:color="auto" w:fill="9ADAF6"/>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40" w:type="dxa"/>
            <w:vAlign w:val="bottom"/>
            <w:tcBorders>
              <w:right w:val="single" w:sz="8" w:color="9ADAF6"/>
            </w:tcBorders>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40" w:type="dxa"/>
            <w:vAlign w:val="bottom"/>
            <w:tcBorders>
              <w:right w:val="single" w:sz="8" w:color="9ADAF6"/>
            </w:tcBorders>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9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40" w:type="dxa"/>
            <w:vAlign w:val="bottom"/>
            <w:tcBorders>
              <w:right w:val="single" w:sz="8" w:color="9ADAF6"/>
            </w:tcBorders>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540" w:type="dxa"/>
            <w:vAlign w:val="bottom"/>
            <w:gridSpan w:val="3"/>
            <w:vMerge w:val="restart"/>
            <w:shd w:val="clear" w:color="auto" w:fill="9ADAF6"/>
          </w:tcPr>
          <w:p>
            <w:pPr>
              <w:jc w:val="right"/>
              <w:ind w:right="115"/>
              <w:spacing w:after="0"/>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9ADAF6"/>
            </w:tcBorders>
          </w:tcPr>
          <w:p>
            <w:pPr>
              <w:spacing w:after="0"/>
              <w:rPr>
                <w:sz w:val="16"/>
                <w:szCs w:val="16"/>
                <w:color w:val="auto"/>
              </w:rPr>
            </w:pPr>
          </w:p>
        </w:tc>
        <w:tc>
          <w:tcPr>
            <w:tcW w:w="9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restart"/>
            <w:shd w:val="clear" w:color="auto" w:fill="9ADAF6"/>
          </w:tcPr>
          <w:p>
            <w:pPr>
              <w:ind w:left="40"/>
              <w:spacing w:after="0"/>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40" w:type="dxa"/>
            <w:vAlign w:val="bottom"/>
            <w:tcBorders>
              <w:right w:val="single" w:sz="8" w:color="9ADAF6"/>
            </w:tcBorders>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gridSpan w:val="3"/>
            <w:shd w:val="clear" w:color="auto" w:fill="9ADAF6"/>
          </w:tcPr>
          <w:p>
            <w:pPr>
              <w:jc w:val="center"/>
              <w:ind w:left="4"/>
              <w:spacing w:after="0" w:line="112" w:lineRule="exact"/>
              <w:rPr>
                <w:sz w:val="20"/>
                <w:szCs w:val="20"/>
                <w:color w:val="auto"/>
              </w:rPr>
            </w:pPr>
            <w:r>
              <w:rPr>
                <w:rFonts w:ascii="Arial" w:cs="Arial" w:eastAsia="Arial" w:hAnsi="Arial"/>
                <w:sz w:val="12"/>
                <w:szCs w:val="12"/>
                <w:b w:val="1"/>
                <w:bCs w:val="1"/>
                <w:color w:val="auto"/>
              </w:rPr>
              <w:t>Filing</w:t>
            </w:r>
          </w:p>
        </w:tc>
        <w:tc>
          <w:tcPr>
            <w:tcW w:w="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gridSpan w:val="4"/>
            <w:shd w:val="clear" w:color="auto" w:fill="9ADAF6"/>
          </w:tcPr>
          <w:p>
            <w:pPr>
              <w:jc w:val="right"/>
              <w:ind w:right="15"/>
              <w:spacing w:after="0" w:line="112" w:lineRule="exact"/>
              <w:rPr>
                <w:sz w:val="20"/>
                <w:szCs w:val="20"/>
                <w:color w:val="auto"/>
              </w:rPr>
            </w:pPr>
            <w:r>
              <w:rPr>
                <w:rFonts w:ascii="Arial" w:cs="Arial" w:eastAsia="Arial" w:hAnsi="Arial"/>
                <w:sz w:val="12"/>
                <w:szCs w:val="12"/>
                <w:b w:val="1"/>
                <w:bCs w:val="1"/>
                <w:color w:val="auto"/>
              </w:rPr>
              <w:t>Offset</w:t>
            </w:r>
          </w:p>
        </w:tc>
        <w:tc>
          <w:tcPr>
            <w:tcW w:w="40" w:type="dxa"/>
            <w:vAlign w:val="bottom"/>
            <w:tcBorders>
              <w:right w:val="single" w:sz="8" w:color="9ADAF6"/>
            </w:tcBorders>
          </w:tcPr>
          <w:p>
            <w:pPr>
              <w:spacing w:after="0"/>
              <w:rPr>
                <w:sz w:val="9"/>
                <w:szCs w:val="9"/>
                <w:color w:val="auto"/>
              </w:rPr>
            </w:pPr>
          </w:p>
        </w:tc>
        <w:tc>
          <w:tcPr>
            <w:tcW w:w="9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continue"/>
            <w:shd w:val="clear" w:color="auto" w:fill="9ADAF6"/>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44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5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shd w:val="clear" w:color="auto" w:fill="9ADAF6"/>
          </w:tcPr>
          <w:p>
            <w:pPr>
              <w:spacing w:after="0"/>
              <w:rPr>
                <w:sz w:val="21"/>
                <w:szCs w:val="21"/>
                <w:color w:val="auto"/>
              </w:rPr>
            </w:pPr>
          </w:p>
        </w:tc>
        <w:tc>
          <w:tcPr>
            <w:tcW w:w="40" w:type="dxa"/>
            <w:vAlign w:val="bottom"/>
            <w:tcBorders>
              <w:right w:val="single" w:sz="8" w:color="9ADAF6"/>
            </w:tcBorders>
            <w:shd w:val="clear" w:color="auto" w:fill="9ADAF6"/>
          </w:tcPr>
          <w:p>
            <w:pPr>
              <w:spacing w:after="0"/>
              <w:rPr>
                <w:sz w:val="21"/>
                <w:szCs w:val="21"/>
                <w:color w:val="auto"/>
              </w:rPr>
            </w:pPr>
          </w:p>
        </w:tc>
        <w:tc>
          <w:tcPr>
            <w:tcW w:w="1240" w:type="dxa"/>
            <w:vAlign w:val="bottom"/>
            <w:shd w:val="clear" w:color="auto" w:fill="9ADAF6"/>
          </w:tcPr>
          <w:p>
            <w:pPr>
              <w:ind w:left="240"/>
              <w:spacing w:after="0"/>
              <w:rPr>
                <w:sz w:val="20"/>
                <w:szCs w:val="20"/>
                <w:color w:val="auto"/>
              </w:rPr>
            </w:pPr>
            <w:r>
              <w:rPr>
                <w:rFonts w:ascii="Arial" w:cs="Arial" w:eastAsia="Arial" w:hAnsi="Arial"/>
                <w:sz w:val="17"/>
                <w:szCs w:val="17"/>
                <w:b w:val="1"/>
                <w:bCs w:val="1"/>
                <w:color w:val="auto"/>
              </w:rPr>
              <w:t>Name</w:t>
            </w:r>
          </w:p>
        </w:tc>
        <w:tc>
          <w:tcPr>
            <w:tcW w:w="20" w:type="dxa"/>
            <w:vAlign w:val="bottom"/>
          </w:tcPr>
          <w:p>
            <w:pPr>
              <w:spacing w:after="0"/>
              <w:rPr>
                <w:sz w:val="21"/>
                <w:szCs w:val="21"/>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21"/>
                <w:szCs w:val="21"/>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21"/>
                <w:szCs w:val="21"/>
                <w:color w:val="auto"/>
              </w:rPr>
            </w:pPr>
          </w:p>
        </w:tc>
        <w:tc>
          <w:tcPr>
            <w:tcW w:w="540" w:type="dxa"/>
            <w:vAlign w:val="bottom"/>
            <w:gridSpan w:val="3"/>
            <w:shd w:val="clear" w:color="auto" w:fill="9ADAF6"/>
          </w:tcPr>
          <w:p>
            <w:pPr>
              <w:jc w:val="center"/>
              <w:ind w:left="4"/>
              <w:spacing w:after="0"/>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21"/>
                <w:szCs w:val="21"/>
                <w:color w:val="auto"/>
              </w:rPr>
            </w:pPr>
          </w:p>
        </w:tc>
        <w:tc>
          <w:tcPr>
            <w:tcW w:w="680" w:type="dxa"/>
            <w:vAlign w:val="bottom"/>
            <w:gridSpan w:val="4"/>
            <w:shd w:val="clear" w:color="auto" w:fill="9ADAF6"/>
          </w:tcPr>
          <w:p>
            <w:pPr>
              <w:jc w:val="right"/>
              <w:spacing w:after="0"/>
              <w:rPr>
                <w:sz w:val="20"/>
                <w:szCs w:val="20"/>
                <w:color w:val="auto"/>
              </w:rPr>
            </w:pPr>
            <w:r>
              <w:rPr>
                <w:rFonts w:ascii="Arial" w:cs="Arial" w:eastAsia="Arial" w:hAnsi="Arial"/>
                <w:sz w:val="17"/>
                <w:szCs w:val="17"/>
                <w:b w:val="1"/>
                <w:bCs w:val="1"/>
                <w:color w:val="auto"/>
                <w:w w:val="99"/>
              </w:rPr>
              <w:t>Claimed</w:t>
            </w:r>
          </w:p>
        </w:tc>
        <w:tc>
          <w:tcPr>
            <w:tcW w:w="40" w:type="dxa"/>
            <w:vAlign w:val="bottom"/>
            <w:tcBorders>
              <w:right w:val="single" w:sz="8" w:color="9ADAF6"/>
            </w:tcBorders>
          </w:tcPr>
          <w:p>
            <w:pPr>
              <w:spacing w:after="0"/>
              <w:rPr>
                <w:sz w:val="21"/>
                <w:szCs w:val="21"/>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1"/>
                <w:szCs w:val="21"/>
                <w:color w:val="auto"/>
              </w:rPr>
            </w:pPr>
          </w:p>
        </w:tc>
        <w:tc>
          <w:tcPr>
            <w:tcW w:w="94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1"/>
                <w:szCs w:val="21"/>
                <w:color w:val="auto"/>
              </w:rPr>
            </w:pPr>
          </w:p>
        </w:tc>
        <w:tc>
          <w:tcPr>
            <w:tcW w:w="94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1"/>
                <w:szCs w:val="21"/>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21"/>
                <w:szCs w:val="21"/>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shd w:val="clear" w:color="auto" w:fill="9ADAF6"/>
          </w:tcPr>
          <w:p>
            <w:pPr>
              <w:spacing w:after="0"/>
              <w:rPr>
                <w:sz w:val="10"/>
                <w:szCs w:val="10"/>
                <w:color w:val="auto"/>
              </w:rPr>
            </w:pPr>
          </w:p>
        </w:tc>
        <w:tc>
          <w:tcPr>
            <w:tcW w:w="40" w:type="dxa"/>
            <w:vAlign w:val="bottom"/>
            <w:tcBorders>
              <w:right w:val="single" w:sz="8" w:color="9ADAF6"/>
            </w:tcBorders>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00" w:type="dxa"/>
            <w:vAlign w:val="bottom"/>
            <w:shd w:val="clear" w:color="auto" w:fill="9ADAF6"/>
          </w:tcPr>
          <w:p>
            <w:pPr>
              <w:spacing w:after="0"/>
              <w:rPr>
                <w:sz w:val="10"/>
                <w:szCs w:val="10"/>
                <w:color w:val="auto"/>
              </w:rPr>
            </w:pPr>
          </w:p>
        </w:tc>
        <w:tc>
          <w:tcPr>
            <w:tcW w:w="40" w:type="dxa"/>
            <w:vAlign w:val="bottom"/>
            <w:tcBorders>
              <w:right w:val="single" w:sz="8" w:color="9ADAF6"/>
            </w:tcBorders>
          </w:tcPr>
          <w:p>
            <w:pPr>
              <w:spacing w:after="0"/>
              <w:rPr>
                <w:sz w:val="10"/>
                <w:szCs w:val="10"/>
                <w:color w:val="auto"/>
              </w:rPr>
            </w:pPr>
          </w:p>
        </w:tc>
        <w:tc>
          <w:tcPr>
            <w:tcW w:w="9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40" w:type="dxa"/>
            <w:vAlign w:val="bottom"/>
            <w:tcBorders>
              <w:right w:val="single" w:sz="8" w:color="9ADAF6"/>
            </w:tcBorders>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9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40" w:type="dxa"/>
            <w:vAlign w:val="bottom"/>
            <w:tcBorders>
              <w:right w:val="single" w:sz="8" w:color="9ADAF6"/>
            </w:tcBorders>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00" w:type="dxa"/>
            <w:vAlign w:val="bottom"/>
            <w:shd w:val="clear" w:color="auto" w:fill="9ADAF6"/>
          </w:tcPr>
          <w:p>
            <w:pPr>
              <w:spacing w:after="0"/>
              <w:rPr>
                <w:sz w:val="19"/>
                <w:szCs w:val="19"/>
                <w:color w:val="auto"/>
              </w:rPr>
            </w:pPr>
          </w:p>
        </w:tc>
        <w:tc>
          <w:tcPr>
            <w:tcW w:w="40" w:type="dxa"/>
            <w:vAlign w:val="bottom"/>
            <w:tcBorders>
              <w:right w:val="single" w:sz="8" w:color="9ADAF6"/>
            </w:tcBorders>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14"/>
          </w:tcPr>
          <w:p>
            <w:pPr>
              <w:jc w:val="center"/>
              <w:ind w:left="515"/>
              <w:spacing w:after="0"/>
              <w:rPr>
                <w:sz w:val="20"/>
                <w:szCs w:val="20"/>
                <w:color w:val="auto"/>
              </w:rPr>
            </w:pPr>
            <w:r>
              <w:rPr>
                <w:rFonts w:ascii="Arial" w:cs="Arial" w:eastAsia="Arial" w:hAnsi="Arial"/>
                <w:sz w:val="17"/>
                <w:szCs w:val="17"/>
                <w:b w:val="1"/>
                <w:bCs w:val="1"/>
                <w:color w:val="auto"/>
                <w:w w:val="99"/>
              </w:rPr>
              <w:t>Rules 457(b) and 0-11(a)(2)</w:t>
            </w: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line="18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300" w:type="dxa"/>
            <w:vAlign w:val="bottom"/>
            <w:tcBorders>
              <w:right w:val="single" w:sz="8" w:color="E7E7E2"/>
            </w:tcBorders>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84"/>
              </w:rPr>
              <w:t>N/A</w:t>
            </w: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400" w:type="dxa"/>
            <w:vAlign w:val="bottom"/>
            <w:gridSpan w:val="2"/>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54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40" w:type="dxa"/>
            <w:vAlign w:val="bottom"/>
            <w:tcBorders>
              <w:right w:val="single" w:sz="8" w:color="E7E7E2"/>
            </w:tcBorders>
          </w:tcPr>
          <w:p>
            <w:pPr>
              <w:spacing w:after="0"/>
              <w:rPr>
                <w:sz w:val="16"/>
                <w:szCs w:val="16"/>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1"/>
              </w:rPr>
              <w:t>N/A</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right w:val="single" w:sz="8" w:color="E7E7E2"/>
            </w:tcBorders>
            <w:gridSpan w:val="2"/>
            <w:vMerge w:val="continue"/>
            <w:shd w:val="clear" w:color="auto" w:fill="E7E7E2"/>
          </w:tcPr>
          <w:p>
            <w:pPr>
              <w:spacing w:after="0"/>
              <w:rPr>
                <w:sz w:val="11"/>
                <w:szCs w:val="11"/>
                <w:color w:val="auto"/>
              </w:rPr>
            </w:pPr>
          </w:p>
        </w:tc>
        <w:tc>
          <w:tcPr>
            <w:tcW w:w="12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400" w:type="dxa"/>
            <w:vAlign w:val="bottom"/>
            <w:gridSpan w:val="2"/>
            <w:vMerge w:val="continue"/>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540" w:type="dxa"/>
            <w:vAlign w:val="bottom"/>
            <w:gridSpan w:val="3"/>
            <w:vMerge w:val="continue"/>
            <w:shd w:val="clear" w:color="auto" w:fill="E7E7E2"/>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96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40" w:type="dxa"/>
            <w:vAlign w:val="bottom"/>
            <w:tcBorders>
              <w:right w:val="single" w:sz="8" w:color="E7E7E2"/>
            </w:tcBorders>
            <w:shd w:val="clear" w:color="auto" w:fill="E7E7E2"/>
          </w:tcPr>
          <w:p>
            <w:pPr>
              <w:spacing w:after="0"/>
              <w:rPr>
                <w:sz w:val="8"/>
                <w:szCs w:val="8"/>
                <w:color w:val="auto"/>
              </w:rPr>
            </w:pPr>
          </w:p>
        </w:tc>
        <w:tc>
          <w:tcPr>
            <w:tcW w:w="12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40" w:type="dxa"/>
            <w:vAlign w:val="bottom"/>
            <w:tcBorders>
              <w:right w:val="single" w:sz="8" w:color="E7E7E2"/>
            </w:tcBorders>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960" w:type="dxa"/>
            <w:vAlign w:val="bottom"/>
            <w:gridSpan w:val="3"/>
            <w:shd w:val="clear" w:color="auto" w:fill="E7E7E2"/>
          </w:tcPr>
          <w:p>
            <w:pPr>
              <w:spacing w:after="0" w:line="181"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300" w:type="dxa"/>
            <w:vAlign w:val="bottom"/>
            <w:tcBorders>
              <w:right w:val="single" w:sz="8" w:color="E7E7E2"/>
            </w:tcBorders>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84"/>
              </w:rPr>
              <w:t>N/A</w:t>
            </w: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400" w:type="dxa"/>
            <w:vAlign w:val="bottom"/>
            <w:gridSpan w:val="2"/>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54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40" w:type="dxa"/>
            <w:vAlign w:val="bottom"/>
            <w:tcBorders>
              <w:right w:val="single" w:sz="8" w:color="E7E7E2"/>
            </w:tcBorders>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1"/>
              </w:rPr>
              <w:t>N/A</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right w:val="single" w:sz="8" w:color="E7E7E2"/>
            </w:tcBorders>
            <w:gridSpan w:val="2"/>
            <w:vMerge w:val="continue"/>
            <w:shd w:val="clear" w:color="auto" w:fill="E7E7E2"/>
          </w:tcPr>
          <w:p>
            <w:pPr>
              <w:spacing w:after="0"/>
              <w:rPr>
                <w:sz w:val="11"/>
                <w:szCs w:val="11"/>
                <w:color w:val="auto"/>
              </w:rPr>
            </w:pPr>
          </w:p>
        </w:tc>
        <w:tc>
          <w:tcPr>
            <w:tcW w:w="12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400" w:type="dxa"/>
            <w:vAlign w:val="bottom"/>
            <w:gridSpan w:val="2"/>
            <w:vMerge w:val="continue"/>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540" w:type="dxa"/>
            <w:vAlign w:val="bottom"/>
            <w:gridSpan w:val="3"/>
            <w:vMerge w:val="continue"/>
            <w:shd w:val="clear" w:color="auto" w:fill="E7E7E2"/>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96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40" w:type="dxa"/>
            <w:vAlign w:val="bottom"/>
            <w:tcBorders>
              <w:right w:val="single" w:sz="8" w:color="E7E7E2"/>
            </w:tcBorders>
            <w:shd w:val="clear" w:color="auto" w:fill="E7E7E2"/>
          </w:tcPr>
          <w:p>
            <w:pPr>
              <w:spacing w:after="0"/>
              <w:rPr>
                <w:sz w:val="8"/>
                <w:szCs w:val="8"/>
                <w:color w:val="auto"/>
              </w:rPr>
            </w:pPr>
          </w:p>
        </w:tc>
        <w:tc>
          <w:tcPr>
            <w:tcW w:w="12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40" w:type="dxa"/>
            <w:vAlign w:val="bottom"/>
            <w:tcBorders>
              <w:right w:val="single" w:sz="8" w:color="E7E7E2"/>
            </w:tcBorders>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6"/>
          </w:tcPr>
          <w:p>
            <w:pPr>
              <w:jc w:val="center"/>
              <w:ind w:left="175"/>
              <w:spacing w:after="0"/>
              <w:rPr>
                <w:sz w:val="20"/>
                <w:szCs w:val="20"/>
                <w:color w:val="auto"/>
              </w:rPr>
            </w:pPr>
            <w:r>
              <w:rPr>
                <w:rFonts w:ascii="Arial" w:cs="Arial" w:eastAsia="Arial" w:hAnsi="Arial"/>
                <w:sz w:val="17"/>
                <w:szCs w:val="17"/>
                <w:b w:val="1"/>
                <w:bCs w:val="1"/>
                <w:color w:val="auto"/>
              </w:rPr>
              <w:t>Rule 457(p)</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line="18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300" w:type="dxa"/>
            <w:vAlign w:val="bottom"/>
            <w:tcBorders>
              <w:right w:val="single" w:sz="8" w:color="E7E7E2"/>
            </w:tcBorders>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84"/>
              </w:rPr>
              <w:t>N/A</w:t>
            </w: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400" w:type="dxa"/>
            <w:vAlign w:val="bottom"/>
            <w:gridSpan w:val="2"/>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54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40" w:type="dxa"/>
            <w:vAlign w:val="bottom"/>
            <w:tcBorders>
              <w:right w:val="single" w:sz="8" w:color="E7E7E2"/>
            </w:tcBorders>
          </w:tcPr>
          <w:p>
            <w:pPr>
              <w:spacing w:after="0"/>
              <w:rPr>
                <w:sz w:val="16"/>
                <w:szCs w:val="16"/>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1"/>
              </w:rPr>
              <w:t>N/A</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right w:val="single" w:sz="8" w:color="E7E7E2"/>
            </w:tcBorders>
            <w:gridSpan w:val="2"/>
            <w:vMerge w:val="continue"/>
            <w:shd w:val="clear" w:color="auto" w:fill="E7E7E2"/>
          </w:tcPr>
          <w:p>
            <w:pPr>
              <w:spacing w:after="0"/>
              <w:rPr>
                <w:sz w:val="11"/>
                <w:szCs w:val="11"/>
                <w:color w:val="auto"/>
              </w:rPr>
            </w:pPr>
          </w:p>
        </w:tc>
        <w:tc>
          <w:tcPr>
            <w:tcW w:w="12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400" w:type="dxa"/>
            <w:vAlign w:val="bottom"/>
            <w:gridSpan w:val="2"/>
            <w:vMerge w:val="continue"/>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540" w:type="dxa"/>
            <w:vAlign w:val="bottom"/>
            <w:gridSpan w:val="3"/>
            <w:vMerge w:val="continue"/>
            <w:shd w:val="clear" w:color="auto" w:fill="E7E7E2"/>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96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40" w:type="dxa"/>
            <w:vAlign w:val="bottom"/>
            <w:tcBorders>
              <w:right w:val="single" w:sz="8" w:color="E7E7E2"/>
            </w:tcBorders>
            <w:shd w:val="clear" w:color="auto" w:fill="E7E7E2"/>
          </w:tcPr>
          <w:p>
            <w:pPr>
              <w:spacing w:after="0"/>
              <w:rPr>
                <w:sz w:val="8"/>
                <w:szCs w:val="8"/>
                <w:color w:val="auto"/>
              </w:rPr>
            </w:pPr>
          </w:p>
        </w:tc>
        <w:tc>
          <w:tcPr>
            <w:tcW w:w="12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40" w:type="dxa"/>
            <w:vAlign w:val="bottom"/>
            <w:tcBorders>
              <w:right w:val="single" w:sz="8" w:color="E7E7E2"/>
            </w:tcBorders>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960" w:type="dxa"/>
            <w:vAlign w:val="bottom"/>
            <w:gridSpan w:val="3"/>
            <w:shd w:val="clear" w:color="auto" w:fill="E7E7E2"/>
          </w:tcPr>
          <w:p>
            <w:pPr>
              <w:spacing w:after="0" w:line="181"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300" w:type="dxa"/>
            <w:vAlign w:val="bottom"/>
            <w:tcBorders>
              <w:right w:val="single" w:sz="8" w:color="E7E7E2"/>
            </w:tcBorders>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84"/>
              </w:rPr>
              <w:t>N/A</w:t>
            </w: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400" w:type="dxa"/>
            <w:vAlign w:val="bottom"/>
            <w:gridSpan w:val="2"/>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54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40" w:type="dxa"/>
            <w:vAlign w:val="bottom"/>
            <w:tcBorders>
              <w:right w:val="single" w:sz="8" w:color="E7E7E2"/>
            </w:tcBorders>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1"/>
              </w:rPr>
              <w:t>N/A</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right w:val="single" w:sz="8" w:color="E7E7E2"/>
            </w:tcBorders>
            <w:gridSpan w:val="2"/>
            <w:vMerge w:val="continue"/>
            <w:shd w:val="clear" w:color="auto" w:fill="E7E7E2"/>
          </w:tcPr>
          <w:p>
            <w:pPr>
              <w:spacing w:after="0"/>
              <w:rPr>
                <w:sz w:val="11"/>
                <w:szCs w:val="11"/>
                <w:color w:val="auto"/>
              </w:rPr>
            </w:pPr>
          </w:p>
        </w:tc>
        <w:tc>
          <w:tcPr>
            <w:tcW w:w="12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400" w:type="dxa"/>
            <w:vAlign w:val="bottom"/>
            <w:gridSpan w:val="2"/>
            <w:vMerge w:val="continue"/>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540" w:type="dxa"/>
            <w:vAlign w:val="bottom"/>
            <w:gridSpan w:val="3"/>
            <w:vMerge w:val="continue"/>
            <w:shd w:val="clear" w:color="auto" w:fill="E7E7E2"/>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96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40" w:type="dxa"/>
            <w:vAlign w:val="bottom"/>
            <w:tcBorders>
              <w:right w:val="single" w:sz="8" w:color="E7E7E2"/>
            </w:tcBorders>
            <w:shd w:val="clear" w:color="auto" w:fill="E7E7E2"/>
          </w:tcPr>
          <w:p>
            <w:pPr>
              <w:spacing w:after="0"/>
              <w:rPr>
                <w:sz w:val="8"/>
                <w:szCs w:val="8"/>
                <w:color w:val="auto"/>
              </w:rPr>
            </w:pPr>
          </w:p>
        </w:tc>
        <w:tc>
          <w:tcPr>
            <w:tcW w:w="12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40" w:type="dxa"/>
            <w:vAlign w:val="bottom"/>
            <w:tcBorders>
              <w:right w:val="single" w:sz="8" w:color="E7E7E2"/>
            </w:tcBorders>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60" w:type="dxa"/>
            <w:vAlign w:val="bottom"/>
            <w:shd w:val="clear" w:color="auto" w:fill="9ADAF6"/>
          </w:tcPr>
          <w:p>
            <w:pPr>
              <w:spacing w:after="0"/>
              <w:rPr>
                <w:sz w:val="17"/>
                <w:szCs w:val="17"/>
                <w:color w:val="auto"/>
              </w:rPr>
            </w:pPr>
          </w:p>
        </w:tc>
        <w:tc>
          <w:tcPr>
            <w:tcW w:w="40" w:type="dxa"/>
            <w:vAlign w:val="bottom"/>
            <w:tcBorders>
              <w:right w:val="single" w:sz="8" w:color="9ADAF6"/>
            </w:tcBorders>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6"/>
            <w:shd w:val="clear" w:color="auto" w:fill="9ADAF6"/>
          </w:tcPr>
          <w:p>
            <w:pPr>
              <w:jc w:val="center"/>
              <w:ind w:left="235"/>
              <w:spacing w:after="0"/>
              <w:rPr>
                <w:sz w:val="20"/>
                <w:szCs w:val="20"/>
                <w:color w:val="auto"/>
              </w:rPr>
            </w:pPr>
            <w:r>
              <w:rPr>
                <w:rFonts w:ascii="Arial" w:cs="Arial" w:eastAsia="Arial" w:hAnsi="Arial"/>
                <w:sz w:val="17"/>
                <w:szCs w:val="17"/>
                <w:b w:val="1"/>
                <w:bCs w:val="1"/>
                <w:color w:val="auto"/>
              </w:rPr>
              <w:t>Amount of</w:t>
            </w:r>
          </w:p>
        </w:tc>
        <w:tc>
          <w:tcPr>
            <w:tcW w:w="3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40" w:type="dxa"/>
            <w:vAlign w:val="bottom"/>
            <w:tcBorders>
              <w:right w:val="single" w:sz="8" w:color="9ADAF6"/>
            </w:tcBorders>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80" w:type="dxa"/>
            <w:vAlign w:val="bottom"/>
            <w:gridSpan w:val="5"/>
            <w:vMerge w:val="restart"/>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57"/>
              <w:spacing w:after="0" w:line="192" w:lineRule="exact"/>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jc w:val="center"/>
              <w:ind w:right="17"/>
              <w:spacing w:after="0" w:line="192"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5"/>
            <w:vMerge w:val="restart"/>
            <w:shd w:val="clear" w:color="auto" w:fill="9ADAF6"/>
          </w:tcPr>
          <w:p>
            <w:pPr>
              <w:ind w:left="220"/>
              <w:spacing w:after="0" w:line="192" w:lineRule="exact"/>
              <w:rPr>
                <w:sz w:val="20"/>
                <w:szCs w:val="20"/>
                <w:color w:val="auto"/>
              </w:rPr>
            </w:pPr>
            <w:r>
              <w:rPr>
                <w:rFonts w:ascii="Arial" w:cs="Arial" w:eastAsia="Arial" w:hAnsi="Arial"/>
                <w:sz w:val="17"/>
                <w:szCs w:val="17"/>
                <w:b w:val="1"/>
                <w:bCs w:val="1"/>
                <w:color w:val="auto"/>
              </w:rPr>
              <w:t>Security Type</w:t>
            </w:r>
          </w:p>
        </w:tc>
        <w:tc>
          <w:tcPr>
            <w:tcW w:w="40" w:type="dxa"/>
            <w:vAlign w:val="bottom"/>
            <w:tcBorders>
              <w:right w:val="single" w:sz="8" w:color="9ADAF6"/>
            </w:tcBorders>
          </w:tcPr>
          <w:p>
            <w:pPr>
              <w:spacing w:after="0"/>
              <w:rPr>
                <w:sz w:val="8"/>
                <w:szCs w:val="8"/>
                <w:color w:val="auto"/>
              </w:rPr>
            </w:pPr>
          </w:p>
        </w:tc>
        <w:tc>
          <w:tcPr>
            <w:tcW w:w="2620" w:type="dxa"/>
            <w:vAlign w:val="bottom"/>
            <w:gridSpan w:val="5"/>
            <w:vMerge w:val="restart"/>
            <w:shd w:val="clear" w:color="auto" w:fill="9ADAF6"/>
          </w:tcPr>
          <w:p>
            <w:pPr>
              <w:ind w:left="600"/>
              <w:spacing w:after="0" w:line="192"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8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line="192"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92"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5"/>
            <w:vMerge w:val="continue"/>
            <w:shd w:val="clear" w:color="auto" w:fill="9ADAF6"/>
          </w:tcPr>
          <w:p>
            <w:pPr>
              <w:spacing w:after="0"/>
              <w:rPr>
                <w:sz w:val="8"/>
                <w:szCs w:val="8"/>
                <w:color w:val="auto"/>
              </w:rPr>
            </w:pPr>
          </w:p>
        </w:tc>
        <w:tc>
          <w:tcPr>
            <w:tcW w:w="40" w:type="dxa"/>
            <w:vAlign w:val="bottom"/>
            <w:tcBorders>
              <w:right w:val="single" w:sz="8" w:color="9ADAF6"/>
            </w:tcBorders>
          </w:tcPr>
          <w:p>
            <w:pPr>
              <w:spacing w:after="0"/>
              <w:rPr>
                <w:sz w:val="8"/>
                <w:szCs w:val="8"/>
                <w:color w:val="auto"/>
              </w:rPr>
            </w:pPr>
          </w:p>
        </w:tc>
        <w:tc>
          <w:tcPr>
            <w:tcW w:w="262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6"/>
            <w:vMerge w:val="restart"/>
            <w:shd w:val="clear" w:color="auto" w:fill="9ADAF6"/>
          </w:tcPr>
          <w:p>
            <w:pPr>
              <w:jc w:val="center"/>
              <w:ind w:left="235"/>
              <w:spacing w:after="0" w:line="192" w:lineRule="exact"/>
              <w:rPr>
                <w:sz w:val="20"/>
                <w:szCs w:val="20"/>
                <w:color w:val="auto"/>
              </w:rPr>
            </w:pPr>
            <w:r>
              <w:rPr>
                <w:rFonts w:ascii="Arial" w:cs="Arial" w:eastAsia="Arial" w:hAnsi="Arial"/>
                <w:sz w:val="17"/>
                <w:szCs w:val="17"/>
                <w:b w:val="1"/>
                <w:bCs w:val="1"/>
                <w:color w:val="auto"/>
                <w:w w:val="99"/>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jc w:val="center"/>
              <w:ind w:right="17"/>
              <w:spacing w:after="0" w:line="192"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40" w:type="dxa"/>
            <w:vAlign w:val="bottom"/>
            <w:tcBorders>
              <w:right w:val="single" w:sz="8" w:color="9ADAF6"/>
            </w:tcBorders>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6"/>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40" w:type="dxa"/>
            <w:vAlign w:val="bottom"/>
            <w:tcBorders>
              <w:right w:val="single" w:sz="8" w:color="9ADAF6"/>
            </w:tcBorders>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6"/>
            <w:vMerge w:val="restart"/>
            <w:shd w:val="clear" w:color="auto" w:fill="9ADAF6"/>
          </w:tcPr>
          <w:p>
            <w:pPr>
              <w:jc w:val="center"/>
              <w:ind w:left="255"/>
              <w:spacing w:after="0"/>
              <w:rPr>
                <w:sz w:val="20"/>
                <w:szCs w:val="20"/>
                <w:color w:val="auto"/>
              </w:rPr>
            </w:pPr>
            <w:r>
              <w:rPr>
                <w:rFonts w:ascii="Arial" w:cs="Arial" w:eastAsia="Arial" w:hAnsi="Arial"/>
                <w:sz w:val="17"/>
                <w:szCs w:val="17"/>
                <w:b w:val="1"/>
                <w:bCs w:val="1"/>
                <w:color w:val="auto"/>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40" w:type="dxa"/>
            <w:vAlign w:val="bottom"/>
            <w:tcBorders>
              <w:right w:val="single" w:sz="8" w:color="9ADAF6"/>
            </w:tcBorders>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77"/>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40" w:type="dxa"/>
            <w:vAlign w:val="bottom"/>
            <w:tcBorders>
              <w:right w:val="single" w:sz="8" w:color="9ADAF6"/>
            </w:tcBorders>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6"/>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0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124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320" w:type="dxa"/>
            <w:vAlign w:val="bottom"/>
            <w:shd w:val="clear" w:color="auto" w:fill="E7E7E2"/>
          </w:tcPr>
          <w:p>
            <w:pPr>
              <w:ind w:left="2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240" w:type="dxa"/>
            <w:vAlign w:val="bottom"/>
            <w:tcBorders>
              <w:right w:val="single" w:sz="8" w:color="E7E7E2"/>
            </w:tcBorders>
            <w:gridSpan w:val="2"/>
            <w:shd w:val="clear" w:color="auto" w:fill="E7E7E2"/>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40" w:type="dxa"/>
            <w:vAlign w:val="bottom"/>
            <w:shd w:val="clear" w:color="auto" w:fill="E7E7E2"/>
          </w:tcPr>
          <w:p>
            <w:pPr>
              <w:ind w:left="54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jc w:val="center"/>
              <w:ind w:right="17"/>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ind w:left="4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00" w:type="dxa"/>
            <w:vAlign w:val="bottom"/>
            <w:tcBorders>
              <w:right w:val="single" w:sz="8" w:color="auto"/>
            </w:tcBorders>
            <w:gridSpan w:val="2"/>
            <w:shd w:val="clear" w:color="auto" w:fill="E7E7E2"/>
          </w:tcPr>
          <w:p>
            <w:pPr>
              <w:jc w:val="center"/>
              <w:ind w:right="26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decimal"/>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1)"/>
      <w:numFmt w:val="lowerRoman"/>
      <w:start w:val="3"/>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1)"/>
      <w:numFmt w:val="lowerRoman"/>
      <w:start w:val="1"/>
    </w:lvl>
  </w:abstractNum>
  <w:abstractNum w:abstractNumId="9">
    <w:nsid w:val="737B8DDC"/>
    <w:multiLevelType w:val="hybridMultilevel"/>
    <w:lvl w:ilvl="0">
      <w:lvlJc w:val="left"/>
      <w:lvlText w:val="(%1)"/>
      <w:numFmt w:val="lowerRoman"/>
      <w:start w:val="3"/>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1)"/>
      <w:numFmt w:val="decimal"/>
      <w:start w:val="3"/>
    </w:lvl>
  </w:abstractNum>
  <w:abstractNum w:abstractNumId="19">
    <w:nsid w:val="3804823E"/>
    <w:multiLevelType w:val="hybridMultilevel"/>
    <w:lvl w:ilvl="0">
      <w:lvlJc w:val="left"/>
      <w:lvlText w:val="(%1)"/>
      <w:numFmt w:val="decimal"/>
      <w:start w:val="4"/>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25">
    <w:nsid w:val="51EAD36B"/>
    <w:multiLevelType w:val="hybridMultilevel"/>
    <w:lvl w:ilvl="0">
      <w:lvlJc w:val="left"/>
      <w:lvlText w:val="%1"/>
      <w:numFmt w:val="decimal"/>
      <w:start w:val="1"/>
    </w:lvl>
    <w:lvl w:ilvl="1">
      <w:lvlJc w:val="left"/>
      <w:lvlText w:val="(%2)"/>
      <w:numFmt w:val="upperLetter"/>
      <w:start w:val="2"/>
    </w:lvl>
  </w:abstractNum>
  <w:abstractNum w:abstractNumId="26">
    <w:nsid w:val="2D517796"/>
    <w:multiLevelType w:val="hybridMultilevel"/>
    <w:lvl w:ilvl="0">
      <w:lvlJc w:val="left"/>
      <w:lvlText w:val="(%1)"/>
      <w:numFmt w:val="decimal"/>
      <w:start w:val="2"/>
    </w:lvl>
    <w:lvl w:ilvl="1">
      <w:lvlJc w:val="left"/>
      <w:lvlText w:val="%2"/>
      <w:numFmt w:val="upperLetter"/>
      <w:start w:val="1"/>
    </w:lvl>
  </w:abstractNum>
  <w:abstractNum w:abstractNumId="27">
    <w:nsid w:val="580BD78F"/>
    <w:multiLevelType w:val="hybridMultilevel"/>
    <w:lvl w:ilvl="0">
      <w:lvlJc w:val="left"/>
      <w:lvlText w:val="(%1)"/>
      <w:numFmt w:val="lowerLetter"/>
      <w:start w:val="3"/>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1)"/>
      <w:numFmt w:val="lowerRoman"/>
      <w:start w:val="2"/>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8">
    <w:nsid w:val="4B588F54"/>
    <w:multiLevelType w:val="hybridMultilevel"/>
    <w:lvl w:ilvl="0">
      <w:lvlJc w:val="left"/>
      <w:lvlText w:val="(%1)"/>
      <w:numFmt w:val="lowerRoman"/>
      <w:start w:val="2"/>
    </w:lvl>
  </w:abstractNum>
  <w:abstractNum w:abstractNumId="39">
    <w:nsid w:val="542289EC"/>
    <w:multiLevelType w:val="hybridMultilevel"/>
    <w:lvl w:ilvl="0">
      <w:lvlJc w:val="left"/>
      <w:lvlText w:val="(%1)"/>
      <w:numFmt w:val="decimal"/>
      <w:start w:val="2"/>
    </w:lvl>
    <w:lvl w:ilvl="1">
      <w:lvlJc w:val="left"/>
      <w:lvlText w:val="(%2)"/>
      <w:numFmt w:val="upperLetter"/>
      <w:start w:val="1"/>
    </w:lvl>
  </w:abstractNum>
  <w:abstractNum w:abstractNumId="40">
    <w:nsid w:val="6DE91B18"/>
    <w:multiLevelType w:val="hybridMultilevel"/>
    <w:lvl w:ilvl="0">
      <w:lvlJc w:val="left"/>
      <w:lvlText w:val="(%1)"/>
      <w:numFmt w:val="lowerRoman"/>
      <w:start w:val="1"/>
    </w:lvl>
  </w:abstractNum>
  <w:abstractNum w:abstractNumId="41">
    <w:nsid w:val="38437FDB"/>
    <w:multiLevelType w:val="hybridMultilevel"/>
    <w:lvl w:ilvl="0">
      <w:lvlJc w:val="left"/>
      <w:lvlText w:val="%1"/>
      <w:numFmt w:val="lowerLetter"/>
      <w:start w:val="1"/>
    </w:lvl>
    <w:lvl w:ilvl="1">
      <w:lvlJc w:val="left"/>
      <w:lvlText w:val="(%2)"/>
      <w:numFmt w:val="lowerRoman"/>
      <w:start w:val="2"/>
    </w:lvl>
  </w:abstractNum>
  <w:abstractNum w:abstractNumId="42">
    <w:nsid w:val="7644A45C"/>
    <w:multiLevelType w:val="hybridMultilevel"/>
    <w:lvl w:ilvl="0">
      <w:lvlJc w:val="left"/>
      <w:lvlText w:val="(%1)"/>
      <w:numFmt w:val="lowerLetter"/>
      <w:start w:val="2"/>
    </w:lvl>
    <w:lvl w:ilvl="1">
      <w:lvlJc w:val="left"/>
      <w:lvlText w:val="%2"/>
      <w:numFmt w:val="lowerRoman"/>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1)"/>
      <w:numFmt w:val="lowerLetter"/>
      <w:start w:val="2"/>
    </w:lvl>
  </w:abstractNum>
  <w:abstractNum w:abstractNumId="47">
    <w:nsid w:val="3DC240FB"/>
    <w:multiLevelType w:val="hybridMultilevel"/>
    <w:lvl w:ilvl="0">
      <w:lvlJc w:val="left"/>
      <w:lvlText w:val="(%1)"/>
      <w:numFmt w:val="upperLetter"/>
      <w:start w:val="2"/>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decimal"/>
      <w:start w:val="4"/>
    </w:lvl>
  </w:abstractNum>
  <w:abstractNum w:abstractNumId="51">
    <w:nsid w:val="12E685FB"/>
    <w:multiLevelType w:val="hybridMultilevel"/>
    <w:lvl w:ilvl="0">
      <w:lvlJc w:val="left"/>
      <w:lvlText w:val="(%1)"/>
      <w:numFmt w:val="lowerLetter"/>
      <w:start w:val="14"/>
    </w:lvl>
  </w:abstractNum>
  <w:abstractNum w:abstractNumId="52">
    <w:nsid w:val="70C6A52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9" Type="http://schemas.openxmlformats.org/officeDocument/2006/relationships/image" Target="media/image21.png"/><Relationship Id="rId45" Type="http://schemas.openxmlformats.org/officeDocument/2006/relationships/image" Target="media/image22.png"/><Relationship Id="rId46" Type="http://schemas.openxmlformats.org/officeDocument/2006/relationships/image" Target="media/image23.png"/><Relationship Id="rId47" Type="http://schemas.openxmlformats.org/officeDocument/2006/relationships/image" Target="media/image24.png"/><Relationship Id="rId48" Type="http://schemas.openxmlformats.org/officeDocument/2006/relationships/image" Target="media/image25.png"/><Relationship Id="rId49" Type="http://schemas.openxmlformats.org/officeDocument/2006/relationships/image" Target="media/image26.png"/><Relationship Id="rId50" Type="http://schemas.openxmlformats.org/officeDocument/2006/relationships/image" Target="media/image27.png"/><Relationship Id="rId51" Type="http://schemas.openxmlformats.org/officeDocument/2006/relationships/image" Target="media/image28.png"/><Relationship Id="rId52" Type="http://schemas.openxmlformats.org/officeDocument/2006/relationships/image" Target="media/image29.png"/><Relationship Id="rId53" Type="http://schemas.openxmlformats.org/officeDocument/2006/relationships/image" Target="media/image30.png"/><Relationship Id="rId54" Type="http://schemas.openxmlformats.org/officeDocument/2006/relationships/image" Target="media/image31.png"/><Relationship Id="rId55" Type="http://schemas.openxmlformats.org/officeDocument/2006/relationships/image" Target="media/image32.png"/><Relationship Id="rId56" Type="http://schemas.openxmlformats.org/officeDocument/2006/relationships/image" Target="media/image33.png"/><Relationship Id="rId57" Type="http://schemas.openxmlformats.org/officeDocument/2006/relationships/image" Target="media/image34.png"/><Relationship Id="rId58" Type="http://schemas.openxmlformats.org/officeDocument/2006/relationships/image" Target="media/image35.png"/><Relationship Id="rId59" Type="http://schemas.openxmlformats.org/officeDocument/2006/relationships/image" Target="media/image36.png"/><Relationship Id="rId60" Type="http://schemas.openxmlformats.org/officeDocument/2006/relationships/image" Target="media/image37.png"/><Relationship Id="rId61" Type="http://schemas.openxmlformats.org/officeDocument/2006/relationships/image" Target="media/image38.png"/><Relationship Id="rId62" Type="http://schemas.openxmlformats.org/officeDocument/2006/relationships/image" Target="media/image39.png"/><Relationship Id="rId63" Type="http://schemas.openxmlformats.org/officeDocument/2006/relationships/image" Target="media/image40.png"/><Relationship Id="rId64" Type="http://schemas.openxmlformats.org/officeDocument/2006/relationships/image" Target="media/image41.png"/><Relationship Id="rId65" Type="http://schemas.openxmlformats.org/officeDocument/2006/relationships/image" Target="media/image42.png"/><Relationship Id="rId66" Type="http://schemas.openxmlformats.org/officeDocument/2006/relationships/image" Target="media/image43.png"/><Relationship Id="rId67" Type="http://schemas.openxmlformats.org/officeDocument/2006/relationships/image" Target="media/image44.png"/><Relationship Id="rId68"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93" Type="http://schemas.openxmlformats.org/officeDocument/2006/relationships/image" Target="media/image59.png"/><Relationship Id="rId98" Type="http://schemas.openxmlformats.org/officeDocument/2006/relationships/image" Target="media/image60.png"/><Relationship Id="rId99" Type="http://schemas.openxmlformats.org/officeDocument/2006/relationships/image" Target="media/image61.png"/><Relationship Id="rId100" Type="http://schemas.openxmlformats.org/officeDocument/2006/relationships/image" Target="media/image62.png"/><Relationship Id="rId101" Type="http://schemas.openxmlformats.org/officeDocument/2006/relationships/image" Target="media/image63.png"/><Relationship Id="rId102" Type="http://schemas.openxmlformats.org/officeDocument/2006/relationships/image" Target="media/image64.png"/><Relationship Id="rId103" Type="http://schemas.openxmlformats.org/officeDocument/2006/relationships/image" Target="media/image65.png"/><Relationship Id="rId104" Type="http://schemas.openxmlformats.org/officeDocument/2006/relationships/image" Target="media/image66.png"/><Relationship Id="rId105" Type="http://schemas.openxmlformats.org/officeDocument/2006/relationships/image" Target="media/image67.png"/><Relationship Id="rId106" Type="http://schemas.openxmlformats.org/officeDocument/2006/relationships/image" Target="media/image68.png"/><Relationship Id="rId107" Type="http://schemas.openxmlformats.org/officeDocument/2006/relationships/image" Target="media/image69.png"/><Relationship Id="rId108" Type="http://schemas.openxmlformats.org/officeDocument/2006/relationships/image" Target="media/image70.png"/><Relationship Id="rId109" Type="http://schemas.openxmlformats.org/officeDocument/2006/relationships/image" Target="media/image71.png"/><Relationship Id="rId110" Type="http://schemas.openxmlformats.org/officeDocument/2006/relationships/image" Target="media/image72.png"/><Relationship Id="rId111" Type="http://schemas.openxmlformats.org/officeDocument/2006/relationships/image" Target="media/image73.png"/><Relationship Id="rId112" Type="http://schemas.openxmlformats.org/officeDocument/2006/relationships/image" Target="media/image74.png"/><Relationship Id="rId113" Type="http://schemas.openxmlformats.org/officeDocument/2006/relationships/image" Target="media/image75.png"/><Relationship Id="rId114" Type="http://schemas.openxmlformats.org/officeDocument/2006/relationships/image" Target="media/image76.png"/><Relationship Id="rId115" Type="http://schemas.openxmlformats.org/officeDocument/2006/relationships/image" Target="media/image77.png"/><Relationship Id="rId116" Type="http://schemas.openxmlformats.org/officeDocument/2006/relationships/image" Target="media/image78.png"/><Relationship Id="rId117" Type="http://schemas.openxmlformats.org/officeDocument/2006/relationships/image" Target="media/image79.png"/><Relationship Id="rId118" Type="http://schemas.openxmlformats.org/officeDocument/2006/relationships/image" Target="media/image80.png"/><Relationship Id="rId119" Type="http://schemas.openxmlformats.org/officeDocument/2006/relationships/image" Target="media/image81.png"/><Relationship Id="rId120" Type="http://schemas.openxmlformats.org/officeDocument/2006/relationships/image" Target="media/image82.png"/><Relationship Id="rId121" Type="http://schemas.openxmlformats.org/officeDocument/2006/relationships/image" Target="media/image83.png"/><Relationship Id="rId122" Type="http://schemas.openxmlformats.org/officeDocument/2006/relationships/image" Target="media/image84.png"/><Relationship Id="rId123" Type="http://schemas.openxmlformats.org/officeDocument/2006/relationships/image" Target="media/image85.png"/><Relationship Id="rId124" Type="http://schemas.openxmlformats.org/officeDocument/2006/relationships/image" Target="media/image86.png"/><Relationship Id="rId125" Type="http://schemas.openxmlformats.org/officeDocument/2006/relationships/image" Target="media/image87.png"/><Relationship Id="rId126" Type="http://schemas.openxmlformats.org/officeDocument/2006/relationships/image" Target="media/image88.png"/><Relationship Id="rId127" Type="http://schemas.openxmlformats.org/officeDocument/2006/relationships/image" Target="media/image89.png"/><Relationship Id="rId128" Type="http://schemas.openxmlformats.org/officeDocument/2006/relationships/image" Target="media/image90.png"/><Relationship Id="rId129" Type="http://schemas.openxmlformats.org/officeDocument/2006/relationships/image" Target="media/image91.png"/><Relationship Id="rId130"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png"/><Relationship Id="rId133" Type="http://schemas.openxmlformats.org/officeDocument/2006/relationships/image" Target="media/image95.png"/><Relationship Id="rId134" Type="http://schemas.openxmlformats.org/officeDocument/2006/relationships/image" Target="media/image96.png"/><Relationship Id="rId135" Type="http://schemas.openxmlformats.org/officeDocument/2006/relationships/image" Target="media/image97.png"/><Relationship Id="rId136" Type="http://schemas.openxmlformats.org/officeDocument/2006/relationships/image" Target="media/image98.png"/><Relationship Id="rId137" Type="http://schemas.openxmlformats.org/officeDocument/2006/relationships/image" Target="media/image99.png"/><Relationship Id="rId138" Type="http://schemas.openxmlformats.org/officeDocument/2006/relationships/image" Target="media/image100.png"/><Relationship Id="rId139" Type="http://schemas.openxmlformats.org/officeDocument/2006/relationships/image" Target="media/image101.png"/><Relationship Id="rId140" Type="http://schemas.openxmlformats.org/officeDocument/2006/relationships/image" Target="media/image102.png"/><Relationship Id="rId141" Type="http://schemas.openxmlformats.org/officeDocument/2006/relationships/image" Target="media/image103.png"/><Relationship Id="rId142" Type="http://schemas.openxmlformats.org/officeDocument/2006/relationships/image" Target="media/image104.png"/><Relationship Id="rId143" Type="http://schemas.openxmlformats.org/officeDocument/2006/relationships/image" Target="media/image105.png"/><Relationship Id="rId144" Type="http://schemas.openxmlformats.org/officeDocument/2006/relationships/image" Target="media/image106.png"/><Relationship Id="rId145" Type="http://schemas.openxmlformats.org/officeDocument/2006/relationships/image" Target="media/image107.png"/><Relationship Id="rId146" Type="http://schemas.openxmlformats.org/officeDocument/2006/relationships/image" Target="media/image108.png"/><Relationship Id="rId147" Type="http://schemas.openxmlformats.org/officeDocument/2006/relationships/image" Target="media/image109.png"/><Relationship Id="rId148" Type="http://schemas.openxmlformats.org/officeDocument/2006/relationships/image" Target="media/image110.png"/><Relationship Id="rId149" Type="http://schemas.openxmlformats.org/officeDocument/2006/relationships/image" Target="media/image111.png"/><Relationship Id="rId150"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223" Type="http://schemas.openxmlformats.org/officeDocument/2006/relationships/image" Target="media/image185.png"/><Relationship Id="rId224" Type="http://schemas.openxmlformats.org/officeDocument/2006/relationships/image" Target="media/image186.png"/><Relationship Id="rId225" Type="http://schemas.openxmlformats.org/officeDocument/2006/relationships/image" Target="media/image187.png"/><Relationship Id="rId226" Type="http://schemas.openxmlformats.org/officeDocument/2006/relationships/image" Target="media/image188.png"/><Relationship Id="rId227" Type="http://schemas.openxmlformats.org/officeDocument/2006/relationships/image" Target="media/image189.png"/><Relationship Id="rId228" Type="http://schemas.openxmlformats.org/officeDocument/2006/relationships/image" Target="media/image190.jpeg"/><Relationship Id="rId229" Type="http://schemas.openxmlformats.org/officeDocument/2006/relationships/image" Target="media/image191.png"/><Relationship Id="rId230" Type="http://schemas.openxmlformats.org/officeDocument/2006/relationships/image" Target="media/image192.jpeg"/><Relationship Id="rId231" Type="http://schemas.openxmlformats.org/officeDocument/2006/relationships/image" Target="media/image193.png"/><Relationship Id="rId232" Type="http://schemas.openxmlformats.org/officeDocument/2006/relationships/image" Target="media/image194.jpeg"/><Relationship Id="rId233" Type="http://schemas.openxmlformats.org/officeDocument/2006/relationships/image" Target="media/image195.png"/><Relationship Id="rId234" Type="http://schemas.openxmlformats.org/officeDocument/2006/relationships/image" Target="media/image196.jpeg"/><Relationship Id="rId235" Type="http://schemas.openxmlformats.org/officeDocument/2006/relationships/image" Target="media/image197.png"/><Relationship Id="rId236" Type="http://schemas.openxmlformats.org/officeDocument/2006/relationships/image" Target="media/image198.png"/><Relationship Id="rId237" Type="http://schemas.openxmlformats.org/officeDocument/2006/relationships/image" Target="media/image199.png"/><Relationship Id="rId238" Type="http://schemas.openxmlformats.org/officeDocument/2006/relationships/image" Target="media/image200.jpeg"/><Relationship Id="rId239" Type="http://schemas.openxmlformats.org/officeDocument/2006/relationships/image" Target="media/image201.jpeg"/><Relationship Id="rId240" Type="http://schemas.openxmlformats.org/officeDocument/2006/relationships/image" Target="media/image202.png"/><Relationship Id="rId241" Type="http://schemas.openxmlformats.org/officeDocument/2006/relationships/image" Target="media/image203.png"/><Relationship Id="rId242" Type="http://schemas.openxmlformats.org/officeDocument/2006/relationships/image" Target="media/image204.png"/><Relationship Id="rId243" Type="http://schemas.openxmlformats.org/officeDocument/2006/relationships/image" Target="media/image205.png"/><Relationship Id="rId244" Type="http://schemas.openxmlformats.org/officeDocument/2006/relationships/image" Target="media/image206.png"/><Relationship Id="rId245" Type="http://schemas.openxmlformats.org/officeDocument/2006/relationships/image" Target="media/image207.png"/><Relationship Id="rId246" Type="http://schemas.openxmlformats.org/officeDocument/2006/relationships/image" Target="media/image208.png"/><Relationship Id="rId247" Type="http://schemas.openxmlformats.org/officeDocument/2006/relationships/image" Target="media/image209.png"/><Relationship Id="rId248" Type="http://schemas.openxmlformats.org/officeDocument/2006/relationships/image" Target="media/image210.png"/><Relationship Id="rId249" Type="http://schemas.openxmlformats.org/officeDocument/2006/relationships/image" Target="media/image211.png"/><Relationship Id="rId250" Type="http://schemas.openxmlformats.org/officeDocument/2006/relationships/image" Target="media/image212.png"/><Relationship Id="rId251" Type="http://schemas.openxmlformats.org/officeDocument/2006/relationships/image" Target="media/image213.png"/><Relationship Id="rId252" Type="http://schemas.openxmlformats.org/officeDocument/2006/relationships/image" Target="media/image214.png"/><Relationship Id="rId253" Type="http://schemas.openxmlformats.org/officeDocument/2006/relationships/image" Target="media/image215.png"/><Relationship Id="rId254" Type="http://schemas.openxmlformats.org/officeDocument/2006/relationships/image" Target="media/image216.png"/><Relationship Id="rId255" Type="http://schemas.openxmlformats.org/officeDocument/2006/relationships/image" Target="media/image217.png"/><Relationship Id="rId256" Type="http://schemas.openxmlformats.org/officeDocument/2006/relationships/image" Target="media/image218.png"/><Relationship Id="rId257" Type="http://schemas.openxmlformats.org/officeDocument/2006/relationships/image" Target="media/image219.png"/><Relationship Id="rId258" Type="http://schemas.openxmlformats.org/officeDocument/2006/relationships/image" Target="media/image220.png"/><Relationship Id="rId259" Type="http://schemas.openxmlformats.org/officeDocument/2006/relationships/image" Target="media/image221.png"/><Relationship Id="rId260" Type="http://schemas.openxmlformats.org/officeDocument/2006/relationships/image" Target="media/image222.png"/><Relationship Id="rId261" Type="http://schemas.openxmlformats.org/officeDocument/2006/relationships/image" Target="media/image223.png"/><Relationship Id="rId262" Type="http://schemas.openxmlformats.org/officeDocument/2006/relationships/image" Target="media/image224.png"/><Relationship Id="rId263" Type="http://schemas.openxmlformats.org/officeDocument/2006/relationships/image" Target="media/image225.png"/><Relationship Id="rId264" Type="http://schemas.openxmlformats.org/officeDocument/2006/relationships/image" Target="media/image226.png"/><Relationship Id="rId265" Type="http://schemas.openxmlformats.org/officeDocument/2006/relationships/image" Target="media/image227.png"/><Relationship Id="rId266" Type="http://schemas.openxmlformats.org/officeDocument/2006/relationships/image" Target="media/image228.png"/><Relationship Id="rId267" Type="http://schemas.openxmlformats.org/officeDocument/2006/relationships/image" Target="media/image229.png"/><Relationship Id="rId28" Type="http://schemas.openxmlformats.org/officeDocument/2006/relationships/hyperlink" Target="https://www.sec.gov/ix?doc=/Archives/edgar/data/2074176/000207417626000010/vnom-20251231.htm" TargetMode="External"/><Relationship Id="rId30" Type="http://schemas.openxmlformats.org/officeDocument/2006/relationships/hyperlink" Target="https://www.sec.gov/ix?doc=/Archives/edgar/data/1602065/000119312525077960/d884560ddef14a.htm" TargetMode="External"/><Relationship Id="rId31" Type="http://schemas.openxmlformats.org/officeDocument/2006/relationships/hyperlink" Target="https://www.sec.gov/ix?doc=/Archives/edgar/data/1602065/000160206525000003/vnom-20250130.htm" TargetMode="External"/><Relationship Id="rId32" Type="http://schemas.openxmlformats.org/officeDocument/2006/relationships/hyperlink" Target="https://www.sec.gov/Archives/edgar/data/1602065/000160206525000003/ex992statementsofrevenuesa.htm" TargetMode="External"/><Relationship Id="rId33" Type="http://schemas.openxmlformats.org/officeDocument/2006/relationships/hyperlink" Target="https://www.sec.gov/ix?doc=/Archives/edgar/data/1602065/000119312525152799/d941838d8k.htm" TargetMode="External"/><Relationship Id="rId34" Type="http://schemas.openxmlformats.org/officeDocument/2006/relationships/hyperlink" Target="https://www.sec.gov/Archives/edgar/data/1602065/000119312525152799/d941838dex991.htm" TargetMode="External"/><Relationship Id="rId35" Type="http://schemas.openxmlformats.org/officeDocument/2006/relationships/hyperlink" Target="https://www.sec.gov/Archives/edgar/data/1602065/000119312525152799/d941838dex992.htm" TargetMode="External"/><Relationship Id="rId36" Type="http://schemas.openxmlformats.org/officeDocument/2006/relationships/hyperlink" Target="https://www.sec.gov/Archives/edgar/data/1602065/000119312525152799/d941838dex994.htm" TargetMode="External"/><Relationship Id="rId37" Type="http://schemas.openxmlformats.org/officeDocument/2006/relationships/hyperlink" Target="https://www.sec.gov/ix?doc=/Archives/edgar/data/2074176/000119312525187727/d97296d8ka.htm" TargetMode="External"/><Relationship Id="rId38" Type="http://schemas.openxmlformats.org/officeDocument/2006/relationships/hyperlink" Target="https://www.sec.gov/Archives/edgar/data/2074176/000119312525187727/d97296dex991.htm" TargetMode="External"/><Relationship Id="rId39" Type="http://schemas.openxmlformats.org/officeDocument/2006/relationships/hyperlink" Target="https://www.sec.gov/Archives/edgar/data/2074176/000119312525187727/d97296dex992.htm" TargetMode="External"/><Relationship Id="rId40" Type="http://schemas.openxmlformats.org/officeDocument/2006/relationships/hyperlink" Target="https://www.sec.gov/ix?doc=/Archives/edgar/data/2074176/000110465926017566/tm266596d1_8k.htm" TargetMode="External"/><Relationship Id="rId41" Type="http://schemas.openxmlformats.org/officeDocument/2006/relationships/hyperlink" Target="https://www.sec.gov/ix?doc=/Archives/edgar/data/2074176/000110465926022427/tm267697d1_8k.htm" TargetMode="External"/><Relationship Id="rId42" Type="http://schemas.openxmlformats.org/officeDocument/2006/relationships/hyperlink" Target="https://www.sec.gov/ix?doc=/Archives/edgar/data/2074176/000110465926023479/tm267705d4_8k.htm" TargetMode="External"/><Relationship Id="rId43" Type="http://schemas.openxmlformats.org/officeDocument/2006/relationships/hyperlink" Target="https://www.sec.gov/ix?doc=/Archives/edgar/data/2074176/000119312525183036/d66098d8k12b.htm" TargetMode="External"/><Relationship Id="rId44" Type="http://schemas.openxmlformats.org/officeDocument/2006/relationships/hyperlink" Target="https://www.sec.gov/Archives/edgar/data/2074176/000119312525183036/d66098dex49.htm" TargetMode="External"/><Relationship Id="rId82" Type="http://schemas.openxmlformats.org/officeDocument/2006/relationships/hyperlink" Target="https://www.sec.gov/Archives/edgar/data/1602065/000160206525000003/viperex21-dropdownpsa.htm" TargetMode="External"/><Relationship Id="rId83" Type="http://schemas.openxmlformats.org/officeDocument/2006/relationships/hyperlink" Target="https://www.sec.gov/Archives/edgar/data/1602065/000119312525134303/d40523dex21.htm" TargetMode="External"/><Relationship Id="rId84" Type="http://schemas.openxmlformats.org/officeDocument/2006/relationships/hyperlink" Target="https://www.sec.gov/Archives/edgar/data/2074176/000119312525183036/d66098dex31.htm" TargetMode="External"/><Relationship Id="rId85" Type="http://schemas.openxmlformats.org/officeDocument/2006/relationships/hyperlink" Target="https://www.sec.gov/Archives/edgar/data/2074176/000119312525183036/d66098dex32.htm" TargetMode="External"/><Relationship Id="rId86" Type="http://schemas.openxmlformats.org/officeDocument/2006/relationships/hyperlink" Target="https://www.sec.gov/Archives/edgar/data/2074176/000207417625000053/q32025viper10-qxex33.htm" TargetMode="External"/><Relationship Id="rId87" Type="http://schemas.openxmlformats.org/officeDocument/2006/relationships/hyperlink" Target="https://www.sec.gov/Archives/edgar/data/1602065/000160206524000076/exhibit41-viperxtwrxoption.htm" TargetMode="External"/><Relationship Id="rId88" Type="http://schemas.openxmlformats.org/officeDocument/2006/relationships/hyperlink" Target="https://www.sec.gov/Archives/edgar/data/1602065/000160206524000076/exhibit42-viperenergyllcx2.htm" TargetMode="External"/><Relationship Id="rId89" Type="http://schemas.openxmlformats.org/officeDocument/2006/relationships/hyperlink" Target="https://www.sec.gov/Archives/edgar/data/1602065/000119312525070518/d915920dex44.htm" TargetMode="External"/><Relationship Id="rId90" Type="http://schemas.openxmlformats.org/officeDocument/2006/relationships/hyperlink" Target="https://www.sec.gov/Archives/edgar/data/1602065/000110465923116606/tm2330431d1_ex10-3.htm" TargetMode="External"/><Relationship Id="rId91" Type="http://schemas.openxmlformats.org/officeDocument/2006/relationships/hyperlink" Target="https://www.sec.gov/Archives/edgar/data/1602065/000160206525000010/viper202410-kxex44.htm" TargetMode="External"/><Relationship Id="rId92" Type="http://schemas.openxmlformats.org/officeDocument/2006/relationships/hyperlink" Target="https://www.sec.gov/Archives/edgar/data/1602065/000160206525000010/viper202410-kxex45.htm" TargetMode="External"/><Relationship Id="rId94" Type="http://schemas.openxmlformats.org/officeDocument/2006/relationships/hyperlink" Target="https://www.sec.gov/Archives/edgar/data/2074176/000119312525183036/d66098dex41.htm" TargetMode="External"/><Relationship Id="rId95" Type="http://schemas.openxmlformats.org/officeDocument/2006/relationships/hyperlink" Target="https://www.sec.gov/Archives/edgar/data/1602065/000119312525163455/d901207dex41.htm" TargetMode="External"/><Relationship Id="rId96" Type="http://schemas.openxmlformats.org/officeDocument/2006/relationships/hyperlink" Target="https://www.sec.gov/Archives/edgar/data/1602065/000119312525163455/d901207dex42.htm" TargetMode="External"/><Relationship Id="rId97" Type="http://schemas.openxmlformats.org/officeDocument/2006/relationships/hyperlink" Target="https://www.sec.gov/Archives/edgar/data/2074176/000119312525183036/d66098dex4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2026-03-09T16:24:55Z</dcterms:created>
  <dcterms:modified xsi:type="dcterms:W3CDTF">2026-03-09T16:24:55Z</dcterms:modified>
</cp:coreProperties>
</file>