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85.xml.htm"/>
      <w:bookmarkStart w:id="1" w:name="kswkform4_17912306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Gilfillian Austen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Viper Energy, Inc.</w:t>
              </w:r>
            </w:hyperlink>
            <w:r>
              <w:rPr/>
              <w:t xml:space="preserve"> [ </w:t>
            </w:r>
            <w:r>
              <w:rPr>
                <w:rFonts w:ascii="Times;serif" w:hAnsi="Times;serif"/>
                <w:color w:val="0000FF"/>
                <w:sz w:val="24"/>
                <w:shd w:fill="FFFFFF" w:val="clear"/>
              </w:rPr>
              <w:t>VNOM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1,008</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48,260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withheld shares of common stock that would have otherwise been issuable to the reporting person to satisfy the issuer's tax withholding obligations in connection with the vesting and settlement on October 1, 2026 of the third tranche of the time-based restricted stock units granted to the reporting person on March 2, 2023. The number of shares of common stock withheld was determined based on the closing price per share of the issuer's common stock on September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F. Krueger, as attorney-in-fact for Austen Gilfillian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447" TargetMode="External"/><Relationship Id="rId5" Type="http://schemas.openxmlformats.org/officeDocument/2006/relationships/hyperlink" Target="http://www.sec.gov/cgi-bin/browse-edgar?action=getcompany&amp;CIK=00020741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3515</Characters>
  <CharactersWithSpaces>4097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