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2508250</wp:posOffset>
            </wp:positionH>
            <wp:positionV relativeFrom="page">
              <wp:posOffset>1143000</wp:posOffset>
            </wp:positionV>
            <wp:extent cx="2706370" cy="145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06370" cy="1456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99"/>
        <w:spacing w:after="0"/>
        <w:rPr>
          <w:sz w:val="20"/>
          <w:szCs w:val="20"/>
          <w:color w:val="auto"/>
        </w:rPr>
      </w:pPr>
      <w:r>
        <w:rPr>
          <w:rFonts w:ascii="Arial" w:cs="Arial" w:eastAsia="Arial" w:hAnsi="Arial"/>
          <w:sz w:val="38"/>
          <w:szCs w:val="38"/>
          <w:b w:val="1"/>
          <w:bCs w:val="1"/>
          <w:color w:val="231F1F"/>
        </w:rPr>
        <w:t>Viper Energy, Inc.</w:t>
      </w:r>
    </w:p>
    <w:p>
      <w:pPr>
        <w:spacing w:after="0" w:line="86"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231F1F"/>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692150</wp:posOffset>
                </wp:positionH>
                <wp:positionV relativeFrom="page">
                  <wp:posOffset>234315</wp:posOffset>
                </wp:positionV>
                <wp:extent cx="6400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5pt,18.45pt" to="558.5pt,18.45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692150</wp:posOffset>
                </wp:positionH>
                <wp:positionV relativeFrom="page">
                  <wp:posOffset>281940</wp:posOffset>
                </wp:positionV>
                <wp:extent cx="6400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5pt,22.2pt" to="558.5pt,22.2pt" o:allowincell="f" strokecolor="#000000" strokeweight="1pt">
                <w10:wrap anchorx="page" anchory="page"/>
              </v:line>
            </w:pict>
          </mc:Fallback>
        </mc:AlternateContent>
        <w:t>UNITED STATES</w:t>
      </w:r>
    </w:p>
    <w:p>
      <w:pPr>
        <w:jc w:val="center"/>
        <w:ind w:right="20"/>
        <w:spacing w:after="0" w:line="237"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-194945</wp:posOffset>
                </wp:positionV>
                <wp:extent cx="25431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15.3499pt" to="352.1pt,-15.3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1938020</wp:posOffset>
                </wp:positionH>
                <wp:positionV relativeFrom="paragraph">
                  <wp:posOffset>50800</wp:posOffset>
                </wp:positionV>
                <wp:extent cx="25431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6pt,4pt" to="352.85pt,4pt" o:allowincell="f" strokecolor="#000000" strokeweight="1pt"/>
            </w:pict>
          </mc:Fallback>
        </mc:AlternateContent>
      </w:r>
    </w:p>
    <w:p>
      <w:pPr>
        <w:spacing w:after="0" w:line="223" w:lineRule="exact"/>
        <w:rPr>
          <w:sz w:val="20"/>
          <w:szCs w:val="20"/>
          <w:color w:val="auto"/>
        </w:rPr>
      </w:pPr>
    </w:p>
    <w:p>
      <w:pPr>
        <w:ind w:left="660" w:hanging="607"/>
        <w:spacing w:after="0"/>
        <w:tabs>
          <w:tab w:leader="none" w:pos="660" w:val="left"/>
        </w:tabs>
        <w:numPr>
          <w:ilvl w:val="1"/>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 w:lineRule="exact"/>
        <w:rPr>
          <w:rFonts w:ascii="Segoe UI Symbol" w:cs="Segoe UI Symbol" w:eastAsia="Segoe UI Symbol" w:hAnsi="Segoe UI Symbol"/>
          <w:sz w:val="18"/>
          <w:szCs w:val="18"/>
          <w:color w:val="auto"/>
        </w:rPr>
      </w:pPr>
    </w:p>
    <w:p>
      <w:pPr>
        <w:ind w:left="3360"/>
        <w:spacing w:after="0"/>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2" w:lineRule="exact"/>
        <w:rPr>
          <w:rFonts w:ascii="Segoe UI Symbol" w:cs="Segoe UI Symbol" w:eastAsia="Segoe UI Symbol" w:hAnsi="Segoe UI Symbol"/>
          <w:sz w:val="18"/>
          <w:szCs w:val="18"/>
          <w:color w:val="auto"/>
        </w:rPr>
      </w:pPr>
    </w:p>
    <w:p>
      <w:pPr>
        <w:ind w:left="4960"/>
        <w:spacing w:after="0"/>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or</w:t>
      </w:r>
    </w:p>
    <w:p>
      <w:pPr>
        <w:spacing w:after="0" w:line="95" w:lineRule="exact"/>
        <w:rPr>
          <w:rFonts w:ascii="Segoe UI Symbol" w:cs="Segoe UI Symbol" w:eastAsia="Segoe UI Symbol" w:hAnsi="Segoe UI Symbol"/>
          <w:sz w:val="18"/>
          <w:szCs w:val="18"/>
          <w:color w:val="auto"/>
        </w:rPr>
      </w:pPr>
    </w:p>
    <w:p>
      <w:pPr>
        <w:ind w:left="660" w:hanging="608"/>
        <w:spacing w:after="0"/>
        <w:tabs>
          <w:tab w:leader="none" w:pos="660" w:val="left"/>
        </w:tabs>
        <w:numPr>
          <w:ilvl w:val="0"/>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TRANSITION REPORT PURSUANT TO SECTION 13 OR 15(d) OF SECURITIES EXCHANGE ACT OF 1934</w:t>
      </w:r>
    </w:p>
    <w:p>
      <w:pPr>
        <w:spacing w:after="0" w:line="62" w:lineRule="exact"/>
        <w:rPr>
          <w:rFonts w:ascii="Segoe UI Symbol" w:cs="Segoe UI Symbol" w:eastAsia="Segoe UI Symbol" w:hAnsi="Segoe UI Symbol"/>
          <w:sz w:val="18"/>
          <w:szCs w:val="18"/>
          <w:color w:val="auto"/>
        </w:rPr>
      </w:pPr>
    </w:p>
    <w:p>
      <w:pPr>
        <w:ind w:left="3700"/>
        <w:spacing w:after="0"/>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Commission file number 001-42807</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Viper Energy,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-265430</wp:posOffset>
                </wp:positionV>
                <wp:extent cx="25431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20.8999pt" to="352.1pt,-20.8999pt" o:allowincell="f" strokecolor="#000000" strokeweight="1pt"/>
            </w:pict>
          </mc:Fallback>
        </mc:AlternateConten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52070</wp:posOffset>
                </wp:positionV>
                <wp:extent cx="2543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4.1pt" to="352.1pt,4.1pt" o:allowincell="f" strokecolor="#000000" strokeweight="1pt"/>
            </w:pict>
          </mc:Fallback>
        </mc:AlternateContent>
      </w:r>
    </w:p>
    <w:p>
      <w:pPr>
        <w:spacing w:after="0" w:line="388" w:lineRule="exact"/>
        <w:rPr>
          <w:sz w:val="20"/>
          <w:szCs w:val="20"/>
          <w:color w:val="auto"/>
        </w:rPr>
      </w:pPr>
    </w:p>
    <w:tbl>
      <w:tblPr>
        <w:tblLayout w:type="fixed"/>
        <w:tblInd w:w="1620" w:type="dxa"/>
        <w:tblCellMar>
          <w:top w:w="0" w:type="dxa"/>
          <w:left w:w="0" w:type="dxa"/>
          <w:bottom w:w="0" w:type="dxa"/>
          <w:right w:w="0" w:type="dxa"/>
        </w:tblCellMar>
      </w:tblPr>
      <w:tr>
        <w:trPr>
          <w:trHeight w:val="222"/>
        </w:trPr>
        <w:tc>
          <w:tcPr>
            <w:tcW w:w="34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3240" w:type="dxa"/>
            <w:vAlign w:val="bottom"/>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8"/>
              </w:rPr>
              <w:t>39-2596878</w:t>
            </w:r>
          </w:p>
        </w:tc>
      </w:tr>
      <w:tr>
        <w:trPr>
          <w:trHeight w:val="193"/>
        </w:trPr>
        <w:tc>
          <w:tcPr>
            <w:tcW w:w="34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3240" w:type="dxa"/>
            <w:vAlign w:val="bottom"/>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22"/>
        </w:trPr>
        <w:tc>
          <w:tcPr>
            <w:tcW w:w="348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3240" w:type="dxa"/>
            <w:vAlign w:val="bottom"/>
          </w:tcPr>
          <w:p>
            <w:pPr>
              <w:spacing w:after="0"/>
              <w:rPr>
                <w:sz w:val="19"/>
                <w:szCs w:val="19"/>
                <w:color w:val="auto"/>
              </w:rPr>
            </w:pPr>
          </w:p>
        </w:tc>
      </w:tr>
      <w:tr>
        <w:trPr>
          <w:trHeight w:val="362"/>
        </w:trPr>
        <w:tc>
          <w:tcPr>
            <w:tcW w:w="348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3240" w:type="dxa"/>
            <w:vAlign w:val="bottom"/>
          </w:tcPr>
          <w:p>
            <w:pPr>
              <w:spacing w:after="0"/>
              <w:rPr>
                <w:sz w:val="24"/>
                <w:szCs w:val="24"/>
                <w:color w:val="auto"/>
              </w:rPr>
            </w:pPr>
          </w:p>
        </w:tc>
      </w:tr>
      <w:tr>
        <w:trPr>
          <w:trHeight w:val="223"/>
        </w:trPr>
        <w:tc>
          <w:tcPr>
            <w:tcW w:w="34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3240" w:type="dxa"/>
            <w:vAlign w:val="bottom"/>
          </w:tcPr>
          <w:p>
            <w:pPr>
              <w:spacing w:after="0"/>
              <w:rPr>
                <w:sz w:val="19"/>
                <w:szCs w:val="19"/>
                <w:color w:val="auto"/>
              </w:rPr>
            </w:pPr>
          </w:p>
        </w:tc>
      </w:tr>
      <w:tr>
        <w:trPr>
          <w:trHeight w:val="226"/>
        </w:trPr>
        <w:tc>
          <w:tcPr>
            <w:tcW w:w="34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3240" w:type="dxa"/>
            <w:vAlign w:val="bottom"/>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9"/>
              </w:rPr>
              <w:t>79701</w:t>
            </w:r>
          </w:p>
        </w:tc>
      </w:tr>
      <w:tr>
        <w:trPr>
          <w:trHeight w:val="226"/>
        </w:trPr>
        <w:tc>
          <w:tcPr>
            <w:tcW w:w="34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240" w:type="dxa"/>
            <w:vAlign w:val="bottom"/>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432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 xml:space="preserve"> 221-7400</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150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860" w:type="dxa"/>
            <w:vAlign w:val="bottom"/>
            <w:gridSpan w:val="4"/>
          </w:tcPr>
          <w:p>
            <w:pPr>
              <w:jc w:val="center"/>
              <w:ind w:left="24"/>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r>
      <w:tr>
        <w:trPr>
          <w:trHeight w:val="240"/>
        </w:trPr>
        <w:tc>
          <w:tcPr>
            <w:tcW w:w="2980" w:type="dxa"/>
            <w:vAlign w:val="bottom"/>
            <w:gridSpan w:val="3"/>
          </w:tcPr>
          <w:p>
            <w:pPr>
              <w:jc w:val="center"/>
              <w:ind w:left="820"/>
              <w:spacing w:after="0"/>
              <w:rPr>
                <w:sz w:val="20"/>
                <w:szCs w:val="20"/>
                <w:color w:val="auto"/>
              </w:rPr>
            </w:pPr>
            <w:r>
              <w:rPr>
                <w:rFonts w:ascii="Times New Roman" w:cs="Times New Roman" w:eastAsia="Times New Roman" w:hAnsi="Times New Roman"/>
                <w:sz w:val="16"/>
                <w:szCs w:val="16"/>
                <w:color w:val="auto"/>
                <w:w w:val="98"/>
              </w:rPr>
              <w:t>Class A Common Stock,</w:t>
            </w:r>
          </w:p>
        </w:tc>
        <w:tc>
          <w:tcPr>
            <w:tcW w:w="1500" w:type="dxa"/>
            <w:vAlign w:val="bottom"/>
          </w:tcPr>
          <w:p>
            <w:pPr>
              <w:spacing w:after="0"/>
              <w:rPr>
                <w:sz w:val="20"/>
                <w:szCs w:val="20"/>
                <w:color w:val="auto"/>
              </w:rPr>
            </w:pPr>
          </w:p>
        </w:tc>
        <w:tc>
          <w:tcPr>
            <w:tcW w:w="248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color w:val="auto"/>
                <w:w w:val="98"/>
              </w:rPr>
              <w:t>VNOM</w:t>
            </w:r>
          </w:p>
        </w:tc>
        <w:tc>
          <w:tcPr>
            <w:tcW w:w="100" w:type="dxa"/>
            <w:vAlign w:val="bottom"/>
          </w:tcPr>
          <w:p>
            <w:pPr>
              <w:spacing w:after="0"/>
              <w:rPr>
                <w:sz w:val="20"/>
                <w:szCs w:val="20"/>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8"/>
        </w:trPr>
        <w:tc>
          <w:tcPr>
            <w:tcW w:w="2980" w:type="dxa"/>
            <w:vAlign w:val="bottom"/>
            <w:gridSpan w:val="3"/>
          </w:tcPr>
          <w:p>
            <w:pPr>
              <w:jc w:val="center"/>
              <w:ind w:left="820"/>
              <w:spacing w:after="0"/>
              <w:rPr>
                <w:sz w:val="20"/>
                <w:szCs w:val="20"/>
                <w:color w:val="auto"/>
              </w:rPr>
            </w:pPr>
            <w:r>
              <w:rPr>
                <w:rFonts w:ascii="Times New Roman" w:cs="Times New Roman" w:eastAsia="Times New Roman" w:hAnsi="Times New Roman"/>
                <w:sz w:val="16"/>
                <w:szCs w:val="16"/>
                <w:color w:val="auto"/>
              </w:rPr>
              <w:t>$0.000001 Par Value</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r>
        <w:trPr>
          <w:trHeight w:val="259"/>
        </w:trPr>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980" w:type="dxa"/>
            <w:vAlign w:val="bottom"/>
            <w:gridSpan w:val="3"/>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8"/>
              </w:rPr>
              <w:t>Securities registered pursuant to section 12(g) of the Act: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8"/>
        </w:trPr>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80" w:type="dxa"/>
            <w:vAlign w:val="bottom"/>
            <w:gridSpan w:val="2"/>
          </w:tcPr>
          <w:p>
            <w:pPr>
              <w:jc w:val="center"/>
              <w:ind w:right="1340"/>
              <w:spacing w:after="0"/>
              <w:rPr>
                <w:sz w:val="20"/>
                <w:szCs w:val="20"/>
                <w:color w:val="auto"/>
              </w:rPr>
            </w:pPr>
            <w:r>
              <w:rPr>
                <w:rFonts w:ascii="Times New Roman" w:cs="Times New Roman" w:eastAsia="Times New Roman" w:hAnsi="Times New Roman"/>
                <w:sz w:val="16"/>
                <w:szCs w:val="16"/>
                <w:color w:val="auto"/>
                <w:w w:val="98"/>
              </w:rPr>
              <w:t>None.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6"/>
        </w:trPr>
        <w:tc>
          <w:tcPr>
            <w:tcW w:w="76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1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r>
      <w:tr>
        <w:trPr>
          <w:trHeight w:val="272"/>
        </w:trPr>
        <w:tc>
          <w:tcPr>
            <w:tcW w:w="7620" w:type="dxa"/>
            <w:vAlign w:val="bottom"/>
            <w:gridSpan w:val="8"/>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r>
    </w:tbl>
    <w:p>
      <w:pPr>
        <w:jc w:val="both"/>
        <w:ind w:right="20"/>
        <w:spacing w:after="0" w:line="22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jc w:val="both"/>
        <w:spacing w:after="0" w:line="20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tbl>
      <w:tblPr>
        <w:tblLayout w:type="fixed"/>
        <w:tblInd w:w="0" w:type="dxa"/>
        <w:tblCellMar>
          <w:top w:w="0" w:type="dxa"/>
          <w:left w:w="0" w:type="dxa"/>
          <w:bottom w:w="0" w:type="dxa"/>
          <w:right w:w="0" w:type="dxa"/>
        </w:tblCellMar>
      </w:tblPr>
      <w:tr>
        <w:trPr>
          <w:trHeight w:val="168"/>
        </w:trPr>
        <w:tc>
          <w:tcPr>
            <w:tcW w:w="1008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w:t>
            </w:r>
          </w:p>
        </w:tc>
        <w:tc>
          <w:tcPr>
            <w:tcW w:w="0" w:type="dxa"/>
            <w:vAlign w:val="bottom"/>
          </w:tcPr>
          <w:p>
            <w:pPr>
              <w:spacing w:after="0"/>
              <w:rPr>
                <w:sz w:val="1"/>
                <w:szCs w:val="1"/>
                <w:color w:val="auto"/>
              </w:rPr>
            </w:pPr>
          </w:p>
        </w:tc>
      </w:tr>
      <w:tr>
        <w:trPr>
          <w:trHeight w:val="158"/>
        </w:trPr>
        <w:tc>
          <w:tcPr>
            <w:tcW w:w="1008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auto"/>
              </w:rPr>
              <w:t>emerging growth company. See the definitions of “large accelerated filer,” “accelerated filer,” “smaller reporting company” and “emerging growth</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company” in Rule 12b-2 of the Exchange Act.</w:t>
            </w:r>
          </w:p>
        </w:tc>
        <w:tc>
          <w:tcPr>
            <w:tcW w:w="1760" w:type="dxa"/>
            <w:vAlign w:val="bottom"/>
            <w:vMerge w:val="restart"/>
          </w:tcPr>
          <w:p>
            <w:pPr>
              <w:ind w:left="100"/>
              <w:spacing w:after="0"/>
              <w:rPr>
                <w:sz w:val="20"/>
                <w:szCs w:val="20"/>
                <w:color w:val="auto"/>
              </w:rPr>
            </w:pPr>
            <w:r>
              <w:rPr>
                <w:rFonts w:ascii="Segoe UI Symbol" w:cs="Segoe UI Symbol" w:eastAsia="Segoe UI Symbol" w:hAnsi="Segoe UI Symbol"/>
                <w:sz w:val="16"/>
                <w:szCs w:val="16"/>
                <w:color w:val="auto"/>
              </w:rPr>
              <w:t>☒</w:t>
            </w:r>
          </w:p>
        </w:tc>
        <w:tc>
          <w:tcPr>
            <w:tcW w:w="3620" w:type="dxa"/>
            <w:vAlign w:val="bottom"/>
          </w:tcPr>
          <w:p>
            <w:pPr>
              <w:spacing w:after="0"/>
              <w:rPr>
                <w:sz w:val="18"/>
                <w:szCs w:val="18"/>
                <w:color w:val="auto"/>
              </w:rPr>
            </w:pPr>
          </w:p>
        </w:tc>
        <w:tc>
          <w:tcPr>
            <w:tcW w:w="1620" w:type="dxa"/>
            <w:vAlign w:val="bottom"/>
            <w:vMerge w:val="restart"/>
          </w:tcPr>
          <w:p>
            <w:pPr>
              <w:ind w:left="38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217"/>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vMerge w:val="continue"/>
          </w:tcPr>
          <w:p>
            <w:pPr>
              <w:spacing w:after="0"/>
              <w:rPr>
                <w:sz w:val="18"/>
                <w:szCs w:val="18"/>
                <w:color w:val="auto"/>
              </w:rPr>
            </w:pPr>
          </w:p>
        </w:tc>
        <w:tc>
          <w:tcPr>
            <w:tcW w:w="36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Accelerated filer</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00"/>
              <w:spacing w:after="0"/>
              <w:rPr>
                <w:sz w:val="20"/>
                <w:szCs w:val="20"/>
                <w:color w:val="auto"/>
              </w:rPr>
            </w:pPr>
            <w:r>
              <w:rPr>
                <w:rFonts w:ascii="Segoe UI Symbol" w:cs="Segoe UI Symbol" w:eastAsia="Segoe UI Symbol" w:hAnsi="Segoe UI Symbol"/>
                <w:sz w:val="16"/>
                <w:szCs w:val="16"/>
                <w:color w:val="auto"/>
              </w:rPr>
              <w:t>☐</w:t>
            </w:r>
          </w:p>
        </w:tc>
        <w:tc>
          <w:tcPr>
            <w:tcW w:w="36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20" w:type="dxa"/>
            <w:vAlign w:val="bottom"/>
          </w:tcPr>
          <w:p>
            <w:pPr>
              <w:ind w:left="38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367"/>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20" w:type="dxa"/>
            <w:vAlign w:val="bottom"/>
          </w:tcPr>
          <w:p>
            <w:pPr>
              <w:ind w:left="38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6"/>
          <w:szCs w:val="16"/>
          <w:color w:val="auto"/>
        </w:rPr>
        <w:t>☒</w:t>
      </w: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tbl>
      <w:tblPr>
        <w:tblLayout w:type="fixed"/>
        <w:tblInd w:w="0" w:type="dxa"/>
        <w:tblCellMar>
          <w:top w:w="0" w:type="dxa"/>
          <w:left w:w="0" w:type="dxa"/>
          <w:bottom w:w="0" w:type="dxa"/>
          <w:right w:w="0" w:type="dxa"/>
        </w:tblCellMar>
      </w:tblPr>
      <w:tr>
        <w:trPr>
          <w:trHeight w:val="169"/>
        </w:trPr>
        <w:tc>
          <w:tcPr>
            <w:tcW w:w="1008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w:t>
            </w:r>
          </w:p>
        </w:tc>
        <w:tc>
          <w:tcPr>
            <w:tcW w:w="0" w:type="dxa"/>
            <w:vAlign w:val="bottom"/>
          </w:tcPr>
          <w:p>
            <w:pPr>
              <w:spacing w:after="0"/>
              <w:rPr>
                <w:sz w:val="1"/>
                <w:szCs w:val="1"/>
                <w:color w:val="auto"/>
              </w:rPr>
            </w:pPr>
          </w:p>
        </w:tc>
      </w:tr>
      <w:tr>
        <w:trPr>
          <w:trHeight w:val="158"/>
        </w:trPr>
        <w:tc>
          <w:tcPr>
            <w:tcW w:w="70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by any of the registrant’s executive officers during the relevant recovery period pursuant to §240.10D-1(b).</w:t>
            </w:r>
          </w:p>
        </w:tc>
        <w:tc>
          <w:tcPr>
            <w:tcW w:w="600" w:type="dxa"/>
            <w:vAlign w:val="bottom"/>
          </w:tcPr>
          <w:p>
            <w:pPr>
              <w:spacing w:after="0" w:line="158" w:lineRule="exact"/>
              <w:rPr>
                <w:sz w:val="20"/>
                <w:szCs w:val="20"/>
                <w:color w:val="auto"/>
              </w:rPr>
            </w:pPr>
            <w:r>
              <w:rPr>
                <w:rFonts w:ascii="Segoe UI Symbol" w:cs="Segoe UI Symbol" w:eastAsia="Segoe UI Symbol" w:hAnsi="Segoe UI Symbol"/>
                <w:sz w:val="15"/>
                <w:szCs w:val="15"/>
                <w:color w:val="auto"/>
              </w:rPr>
              <w:t>☐</w:t>
            </w:r>
          </w:p>
        </w:tc>
        <w:tc>
          <w:tcPr>
            <w:tcW w:w="2480" w:type="dxa"/>
            <w:vAlign w:val="bottom"/>
            <w:vMerge w:val="restart"/>
          </w:tcPr>
          <w:p>
            <w:pPr>
              <w:ind w:left="4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274"/>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  Yes</w:t>
            </w:r>
          </w:p>
        </w:tc>
        <w:tc>
          <w:tcPr>
            <w:tcW w:w="600" w:type="dxa"/>
            <w:vAlign w:val="bottom"/>
          </w:tcPr>
          <w:p>
            <w:pPr>
              <w:ind w:left="80"/>
              <w:spacing w:after="0"/>
              <w:rPr>
                <w:sz w:val="20"/>
                <w:szCs w:val="20"/>
                <w:color w:val="auto"/>
              </w:rPr>
            </w:pPr>
            <w:r>
              <w:rPr>
                <w:rFonts w:ascii="Segoe UI Symbol" w:cs="Segoe UI Symbol" w:eastAsia="Segoe UI Symbol" w:hAnsi="Segoe UI Symbol"/>
                <w:sz w:val="16"/>
                <w:szCs w:val="16"/>
                <w:color w:val="auto"/>
              </w:rPr>
              <w:t xml:space="preserve">☐ </w:t>
            </w:r>
            <w:r>
              <w:rPr>
                <w:rFonts w:ascii="Times New Roman" w:cs="Times New Roman" w:eastAsia="Times New Roman" w:hAnsi="Times New Roman"/>
                <w:sz w:val="16"/>
                <w:szCs w:val="16"/>
                <w:color w:val="auto"/>
              </w:rPr>
              <w:t>No</w:t>
            </w:r>
          </w:p>
        </w:tc>
        <w:tc>
          <w:tcPr>
            <w:tcW w:w="2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Aggregate market value of the voting and non-voting common equity held by non-affiliates of registrant as of June 30, 2025, was approximately $5.0 billion.</w:t>
      </w:r>
    </w:p>
    <w:p>
      <w:pPr>
        <w:spacing w:after="0" w:line="3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As of February 20, 2026, 176,723,281 shares of Class A Common Stock and 180,825,588 shares of Class B Common Stock of the registrant were outstanding.</w:t>
      </w: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Portions of Viper Energy, Inc.’s Proxy Statement for the 2026 Annual Meeting of Stockholders are incorporated by reference in Items 10, 11, 12, 13 and 14 of Part III of this Form 10 -K.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101600</wp:posOffset>
                </wp:positionV>
                <wp:extent cx="6400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pt" to="504pt,8pt" o:allowincell="f" strokecolor="#000000" strokeweight="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149225</wp:posOffset>
                </wp:positionV>
                <wp:extent cx="6400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5pt" to="504pt,11.75pt" o:allowincell="f" strokecolor="#000000" strokeweight="1pt"/>
            </w:pict>
          </mc:Fallback>
        </mc:AlternateContent>
      </w:r>
    </w:p>
    <w:p>
      <w:pPr>
        <w:sectPr>
          <w:pgSz w:w="12240" w:h="15840" w:orient="portrait"/>
          <w:cols w:equalWidth="0" w:num="1">
            <w:col w:w="10100"/>
          </w:cols>
          <w:pgMar w:left="1080" w:top="473" w:right="1060" w:bottom="705" w:gutter="0" w:footer="0" w:header="0"/>
        </w:sectPr>
      </w:pPr>
    </w:p>
    <w:bookmarkStart w:id="2" w:name="page3"/>
    <w:bookmarkEnd w:id="2"/>
    <w:p>
      <w:pPr>
        <w:ind w:left="4060"/>
        <w:spacing w:after="0"/>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5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6092825</wp:posOffset>
                </wp:positionH>
                <wp:positionV relativeFrom="paragraph">
                  <wp:posOffset>31115</wp:posOffset>
                </wp:positionV>
                <wp:extent cx="3905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75pt,2.45pt" to="510.5pt,2.45pt" o:allowincell="f" strokecolor="#000000" strokeweight="1pt"/>
            </w:pict>
          </mc:Fallback>
        </mc:AlternateContent>
      </w:r>
    </w:p>
    <w:p>
      <w:pPr>
        <w:spacing w:after="0" w:line="38" w:lineRule="exact"/>
        <w:rPr>
          <w:sz w:val="20"/>
          <w:szCs w:val="20"/>
          <w:color w:val="auto"/>
        </w:rPr>
      </w:pPr>
    </w:p>
    <w:p>
      <w:pPr>
        <w:spacing w:after="0"/>
        <w:tabs>
          <w:tab w:leader="dot" w:pos="9820" w:val="left"/>
        </w:tabs>
        <w:rPr>
          <w:sz w:val="20"/>
          <w:szCs w:val="20"/>
          <w:color w:val="auto"/>
        </w:rPr>
      </w:pPr>
      <w:r>
        <w:rPr>
          <w:rFonts w:ascii="Times New Roman" w:cs="Times New Roman" w:eastAsia="Times New Roman" w:hAnsi="Times New Roman"/>
          <w:sz w:val="20"/>
          <w:szCs w:val="20"/>
          <w:color w:val="auto"/>
        </w:rPr>
        <w:t>Glossary of Oil and Natural Gas Terms</w:t>
      </w:r>
      <w:r>
        <w:rPr>
          <w:sz w:val="20"/>
          <w:szCs w:val="20"/>
          <w:color w:val="auto"/>
        </w:rPr>
        <w:tab/>
      </w:r>
      <w:r>
        <w:rPr>
          <w:rFonts w:ascii="Times New Roman" w:cs="Times New Roman" w:eastAsia="Times New Roman" w:hAnsi="Times New Roman"/>
          <w:sz w:val="17"/>
          <w:szCs w:val="17"/>
          <w:color w:val="auto"/>
        </w:rPr>
        <w:t>ii</w:t>
      </w:r>
    </w:p>
    <w:p>
      <w:pPr>
        <w:spacing w:after="0" w:line="70" w:lineRule="exact"/>
        <w:rPr>
          <w:sz w:val="20"/>
          <w:szCs w:val="20"/>
          <w:color w:val="auto"/>
        </w:rPr>
      </w:pPr>
    </w:p>
    <w:p>
      <w:pPr>
        <w:spacing w:after="0"/>
        <w:tabs>
          <w:tab w:leader="dot" w:pos="9800" w:val="left"/>
        </w:tabs>
        <w:rPr>
          <w:sz w:val="20"/>
          <w:szCs w:val="20"/>
          <w:color w:val="auto"/>
        </w:rPr>
      </w:pPr>
      <w:r>
        <w:rPr>
          <w:rFonts w:ascii="Times New Roman" w:cs="Times New Roman" w:eastAsia="Times New Roman" w:hAnsi="Times New Roman"/>
          <w:sz w:val="20"/>
          <w:szCs w:val="20"/>
          <w:color w:val="auto"/>
        </w:rPr>
        <w:t>Glossary of Certain Other Terms</w:t>
      </w:r>
      <w:r>
        <w:rPr>
          <w:sz w:val="20"/>
          <w:szCs w:val="20"/>
          <w:color w:val="auto"/>
        </w:rPr>
        <w:tab/>
      </w:r>
      <w:r>
        <w:rPr>
          <w:rFonts w:ascii="Times New Roman" w:cs="Times New Roman" w:eastAsia="Times New Roman" w:hAnsi="Times New Roman"/>
          <w:sz w:val="20"/>
          <w:szCs w:val="20"/>
          <w:color w:val="auto"/>
        </w:rPr>
        <w:t>iv</w:t>
      </w:r>
    </w:p>
    <w:p>
      <w:pPr>
        <w:spacing w:after="0" w:line="72" w:lineRule="exact"/>
        <w:rPr>
          <w:sz w:val="20"/>
          <w:szCs w:val="20"/>
          <w:color w:val="auto"/>
        </w:rPr>
      </w:pPr>
    </w:p>
    <w:p>
      <w:pPr>
        <w:spacing w:after="0"/>
        <w:tabs>
          <w:tab w:leader="dot" w:pos="9840" w:val="left"/>
        </w:tabs>
        <w:rPr>
          <w:sz w:val="20"/>
          <w:szCs w:val="20"/>
          <w:color w:val="auto"/>
        </w:rPr>
      </w:pPr>
      <w:r>
        <w:rPr>
          <w:rFonts w:ascii="Times New Roman" w:cs="Times New Roman" w:eastAsia="Times New Roman" w:hAnsi="Times New Roman"/>
          <w:sz w:val="20"/>
          <w:szCs w:val="20"/>
          <w:color w:val="auto"/>
        </w:rPr>
        <w:t>Cautionary Statement Regarding Forward-Looking Statements</w:t>
      </w:r>
      <w:r>
        <w:rPr>
          <w:sz w:val="20"/>
          <w:szCs w:val="20"/>
          <w:color w:val="auto"/>
        </w:rPr>
        <w:tab/>
      </w:r>
      <w:r>
        <w:rPr>
          <w:rFonts w:ascii="Times New Roman" w:cs="Times New Roman" w:eastAsia="Times New Roman" w:hAnsi="Times New Roman"/>
          <w:sz w:val="20"/>
          <w:szCs w:val="20"/>
          <w:color w:val="auto"/>
        </w:rPr>
        <w:t>v</w:t>
      </w:r>
    </w:p>
    <w:p>
      <w:pPr>
        <w:spacing w:after="0" w:line="200" w:lineRule="exact"/>
        <w:rPr>
          <w:sz w:val="20"/>
          <w:szCs w:val="20"/>
          <w:color w:val="auto"/>
        </w:rPr>
      </w:pPr>
    </w:p>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71" w:lineRule="exact"/>
        <w:rPr>
          <w:sz w:val="20"/>
          <w:szCs w:val="20"/>
          <w:color w:val="auto"/>
        </w:rPr>
      </w:pPr>
    </w:p>
    <w:p>
      <w:pPr>
        <w:spacing w:after="0"/>
        <w:tabs>
          <w:tab w:leader="dot" w:pos="9840" w:val="left"/>
        </w:tabs>
        <w:rPr>
          <w:sz w:val="20"/>
          <w:szCs w:val="20"/>
          <w:color w:val="auto"/>
        </w:rPr>
      </w:pPr>
      <w:r>
        <w:rPr>
          <w:rFonts w:ascii="Times New Roman" w:cs="Times New Roman" w:eastAsia="Times New Roman" w:hAnsi="Times New Roman"/>
          <w:sz w:val="20"/>
          <w:szCs w:val="20"/>
          <w:color w:val="auto"/>
        </w:rPr>
        <w:t>Items 1 and 2. Business and Properties</w:t>
      </w:r>
      <w:r>
        <w:rPr>
          <w:sz w:val="20"/>
          <w:szCs w:val="20"/>
          <w:color w:val="auto"/>
        </w:rPr>
        <w:tab/>
      </w:r>
      <w:r>
        <w:rPr>
          <w:rFonts w:ascii="Times New Roman" w:cs="Times New Roman" w:eastAsia="Times New Roman" w:hAnsi="Times New Roman"/>
          <w:sz w:val="20"/>
          <w:szCs w:val="20"/>
          <w:color w:val="auto"/>
        </w:rPr>
        <w:t>1</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14</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25</w:t>
      </w:r>
    </w:p>
    <w:p>
      <w:pPr>
        <w:spacing w:after="0" w:line="68"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25</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3. Legal Proceedings</w:t>
      </w:r>
      <w:r>
        <w:rPr>
          <w:sz w:val="20"/>
          <w:szCs w:val="20"/>
          <w:color w:val="auto"/>
        </w:rPr>
        <w:tab/>
      </w:r>
      <w:r>
        <w:rPr>
          <w:rFonts w:ascii="Times New Roman" w:cs="Times New Roman" w:eastAsia="Times New Roman" w:hAnsi="Times New Roman"/>
          <w:sz w:val="20"/>
          <w:szCs w:val="20"/>
          <w:color w:val="auto"/>
        </w:rPr>
        <w:t>26</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4. Mine Safety Disclosures</w:t>
      </w:r>
      <w:r>
        <w:rPr>
          <w:sz w:val="20"/>
          <w:szCs w:val="20"/>
          <w:color w:val="auto"/>
        </w:rPr>
        <w:tab/>
      </w:r>
      <w:r>
        <w:rPr>
          <w:rFonts w:ascii="Times New Roman" w:cs="Times New Roman" w:eastAsia="Times New Roman" w:hAnsi="Times New Roman"/>
          <w:sz w:val="20"/>
          <w:szCs w:val="20"/>
          <w:color w:val="auto"/>
        </w:rPr>
        <w:t>26</w:t>
      </w:r>
    </w:p>
    <w:p>
      <w:pPr>
        <w:spacing w:after="0" w:line="3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p>
      <w:pPr>
        <w:spacing w:after="0" w:line="1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27</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6. [Reserved]</w:t>
      </w:r>
      <w:r>
        <w:rPr>
          <w:sz w:val="20"/>
          <w:szCs w:val="20"/>
          <w:color w:val="auto"/>
        </w:rPr>
        <w:tab/>
      </w:r>
      <w:r>
        <w:rPr>
          <w:rFonts w:ascii="Times New Roman" w:cs="Times New Roman" w:eastAsia="Times New Roman" w:hAnsi="Times New Roman"/>
          <w:sz w:val="20"/>
          <w:szCs w:val="20"/>
          <w:color w:val="auto"/>
        </w:rPr>
        <w:t>28</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29</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42</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8. Financial Statements and Supplementary Data</w:t>
      </w:r>
      <w:r>
        <w:rPr>
          <w:sz w:val="20"/>
          <w:szCs w:val="20"/>
          <w:color w:val="auto"/>
        </w:rPr>
        <w:tab/>
      </w:r>
      <w:r>
        <w:rPr>
          <w:rFonts w:ascii="Times New Roman" w:cs="Times New Roman" w:eastAsia="Times New Roman" w:hAnsi="Times New Roman"/>
          <w:sz w:val="20"/>
          <w:szCs w:val="20"/>
          <w:color w:val="auto"/>
        </w:rPr>
        <w:t>44</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83</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83</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86</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86</w:t>
      </w:r>
    </w:p>
    <w:p>
      <w:pPr>
        <w:spacing w:after="0" w:line="39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71"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w:t>
      </w:r>
      <w:r>
        <w:rPr>
          <w:sz w:val="20"/>
          <w:szCs w:val="20"/>
          <w:color w:val="auto"/>
        </w:rPr>
        <w:tab/>
      </w:r>
      <w:r>
        <w:rPr>
          <w:rFonts w:ascii="Times New Roman" w:cs="Times New Roman" w:eastAsia="Times New Roman" w:hAnsi="Times New Roman"/>
          <w:sz w:val="20"/>
          <w:szCs w:val="20"/>
          <w:color w:val="auto"/>
        </w:rPr>
        <w:t>86</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11. Executive Compensation</w:t>
      </w:r>
      <w:r>
        <w:rPr>
          <w:sz w:val="20"/>
          <w:szCs w:val="20"/>
          <w:color w:val="auto"/>
        </w:rPr>
        <w:tab/>
      </w:r>
      <w:r>
        <w:rPr>
          <w:rFonts w:ascii="Times New Roman" w:cs="Times New Roman" w:eastAsia="Times New Roman" w:hAnsi="Times New Roman"/>
          <w:sz w:val="20"/>
          <w:szCs w:val="20"/>
          <w:color w:val="auto"/>
        </w:rPr>
        <w:t>86</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86</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86</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14. Principal Accountant Fees and Services</w:t>
      </w:r>
      <w:r>
        <w:rPr>
          <w:sz w:val="20"/>
          <w:szCs w:val="20"/>
          <w:color w:val="auto"/>
        </w:rPr>
        <w:tab/>
      </w:r>
      <w:r>
        <w:rPr>
          <w:rFonts w:ascii="Times New Roman" w:cs="Times New Roman" w:eastAsia="Times New Roman" w:hAnsi="Times New Roman"/>
          <w:sz w:val="20"/>
          <w:szCs w:val="20"/>
          <w:color w:val="auto"/>
        </w:rPr>
        <w:t>86</w:t>
      </w:r>
    </w:p>
    <w:p>
      <w:pPr>
        <w:spacing w:after="0" w:line="39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71"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15. Exhibits and Financial Statement Schedules</w:t>
      </w:r>
      <w:r>
        <w:rPr>
          <w:sz w:val="20"/>
          <w:szCs w:val="20"/>
          <w:color w:val="auto"/>
        </w:rPr>
        <w:tab/>
      </w:r>
      <w:r>
        <w:rPr>
          <w:rFonts w:ascii="Times New Roman" w:cs="Times New Roman" w:eastAsia="Times New Roman" w:hAnsi="Times New Roman"/>
          <w:sz w:val="20"/>
          <w:szCs w:val="20"/>
          <w:color w:val="auto"/>
        </w:rPr>
        <w:t>87</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Item 16. Form 10-K Summary</w:t>
      </w:r>
      <w:r>
        <w:rPr>
          <w:sz w:val="20"/>
          <w:szCs w:val="20"/>
          <w:color w:val="auto"/>
        </w:rPr>
        <w:tab/>
      </w:r>
      <w:r>
        <w:rPr>
          <w:rFonts w:ascii="Times New Roman" w:cs="Times New Roman" w:eastAsia="Times New Roman" w:hAnsi="Times New Roman"/>
          <w:sz w:val="20"/>
          <w:szCs w:val="20"/>
          <w:color w:val="auto"/>
        </w:rPr>
        <w:t>89</w:t>
      </w:r>
    </w:p>
    <w:p>
      <w:pPr>
        <w:spacing w:after="0" w:line="70" w:lineRule="exact"/>
        <w:rPr>
          <w:sz w:val="20"/>
          <w:szCs w:val="20"/>
          <w:color w:val="auto"/>
        </w:rPr>
      </w:pPr>
    </w:p>
    <w:p>
      <w:pPr>
        <w:spacing w:after="0"/>
        <w:tabs>
          <w:tab w:leader="dot" w:pos="978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90</w:t>
      </w:r>
    </w:p>
    <w:p>
      <w:pPr>
        <w:sectPr>
          <w:pgSz w:w="12240" w:h="15840" w:orient="portrait"/>
          <w:cols w:equalWidth="0" w:num="1">
            <w:col w:w="10080"/>
          </w:cols>
          <w:pgMar w:left="1040" w:top="77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080"/>
          </w:cols>
          <w:pgMar w:left="1040" w:top="778" w:right="112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GLOSSARY OF OIL AND NATURAL GAS TERMS</w:t>
      </w:r>
    </w:p>
    <w:p>
      <w:pPr>
        <w:spacing w:after="0" w:line="274" w:lineRule="exact"/>
        <w:rPr>
          <w:sz w:val="20"/>
          <w:szCs w:val="20"/>
          <w:color w:val="auto"/>
        </w:rPr>
      </w:pPr>
    </w:p>
    <w:p>
      <w:pPr>
        <w:ind w:left="20" w:right="80" w:firstLine="720"/>
        <w:spacing w:after="0" w:line="289" w:lineRule="auto"/>
        <w:rPr>
          <w:sz w:val="20"/>
          <w:szCs w:val="20"/>
          <w:color w:val="auto"/>
        </w:rPr>
      </w:pPr>
      <w:r>
        <w:rPr>
          <w:rFonts w:ascii="Times New Roman" w:cs="Times New Roman" w:eastAsia="Times New Roman" w:hAnsi="Times New Roman"/>
          <w:sz w:val="20"/>
          <w:szCs w:val="20"/>
          <w:color w:val="auto"/>
        </w:rPr>
        <w:t>The following is a glossary of certain oil and natural gas industry terms used in this Annual Report on Form 10-K (the “Annual Report” or this “report”):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Argus WTI Midland</w:t>
            </w:r>
          </w:p>
        </w:tc>
        <w:tc>
          <w:tcPr>
            <w:tcW w:w="8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Grade of oil that serves as a benchmark price for oil at Midland, Texas.</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Basin</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large depression on the earth’s surface in which sediments accumulate.</w:t>
            </w: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Bbl or barrel</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stock tank barrel, or 42 U.S. gallons liquid volume, used in this report in reference to crude oil or other liquid</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hydrocarbons.</w:t>
            </w:r>
          </w:p>
        </w:tc>
      </w:tr>
      <w:tr>
        <w:trPr>
          <w:trHeight w:val="26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barrel of crude oil.</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BO/d</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BO per day.</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BOE</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barrel of crude oil equivalent, with six thousand cubic feet of natural gas being equivalent to one barrel of oil.</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BOE/d</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BOE per day.</w:t>
            </w:r>
          </w:p>
        </w:tc>
      </w:tr>
      <w:tr>
        <w:trPr>
          <w:trHeight w:val="281"/>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British Thermal Unit</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quantity of heat required to raise the temperature of one pound of water by one degree Fahrenheit.</w:t>
            </w:r>
          </w:p>
        </w:tc>
      </w:tr>
      <w:tr>
        <w:trPr>
          <w:trHeight w:val="270"/>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Completion</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process of treating a drilled well followed by the installation of permanent equipment for the production of</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natural gas or oil, or in the case of a dry hole, the reporting of abandonment to the appropriate agency.</w:t>
            </w:r>
          </w:p>
        </w:tc>
      </w:tr>
      <w:tr>
        <w:trPr>
          <w:trHeight w:val="26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Condensate</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Liquid hydrocarbons associated with the production that is primarily natural gas.</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Crude oil</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Liquid hydrocarbons retrieved from geological structures underground to be refined into fuel sources.</w:t>
            </w: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Deterministic method</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method of estimating reserves or resources under which a single value for each parameter (from the geoscience,</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engineering or economic data) in the reserves calculation is used in the reserves estimation procedure.</w:t>
            </w:r>
          </w:p>
        </w:tc>
      </w:tr>
      <w:tr>
        <w:trPr>
          <w:trHeight w:val="269"/>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Developed acreage</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Acreage allocated or assignable to productive wells.</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Development costs</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costs incurred in the acquisition, exploitation and exploration of proved oil and natural gas reserves.</w:t>
            </w: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Development well</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well drilled within the proved area of a natural gas or oil reservoir to the depth of a stratigraphic horizon known to</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be productive.</w:t>
            </w:r>
          </w:p>
        </w:tc>
      </w:tr>
      <w:tr>
        <w:trPr>
          <w:trHeight w:val="251"/>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Differential</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 adjustment to the price of oil or natural gas from an established spot market price to reflect differences in the</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quality and/or location of oil or natural gas.</w:t>
            </w:r>
          </w:p>
        </w:tc>
      </w:tr>
      <w:tr>
        <w:trPr>
          <w:trHeight w:val="248"/>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Dry hole</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well found to be incapable of producing hydrocarbons in sufficient quantities such that proceeds from the sale of</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such production exceed production expenses and taxes.</w:t>
            </w:r>
          </w:p>
        </w:tc>
      </w:tr>
      <w:tr>
        <w:trPr>
          <w:trHeight w:val="251"/>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Exploitation</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development or other project which may target proven or unproven reserves (such as probable or possible</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reserves), but which generally has a lower risk than that associated with exploration projects.</w:t>
            </w:r>
          </w:p>
        </w:tc>
      </w:tr>
      <w:tr>
        <w:trPr>
          <w:trHeight w:val="248"/>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Field</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 area consisting of either a single reservoir or multiple reservoirs, all grouped on or related to the same individual</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geological structural feature and/or stratigraphic condition.</w:t>
            </w:r>
          </w:p>
        </w:tc>
      </w:tr>
      <w:tr>
        <w:trPr>
          <w:trHeight w:val="251"/>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Finding costs</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costs incurred in the acquisition of proved oil and natural gas reserves divided by proved reserve additions</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revisions to proved reserves.</w:t>
            </w:r>
          </w:p>
        </w:tc>
      </w:tr>
      <w:tr>
        <w:trPr>
          <w:trHeight w:val="26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Formation</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layer of rock which has distinct characteristics that differs from nearby rock.</w:t>
            </w:r>
          </w:p>
        </w:tc>
      </w:tr>
      <w:tr>
        <w:trPr>
          <w:trHeight w:val="268"/>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Fracturing</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process of creating and preserving a fracture or system of fractures in a reservoir rock typically by injecting a</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fluid under pressure through a wellbore and into the targeted formation.</w:t>
            </w:r>
          </w:p>
        </w:tc>
      </w:tr>
      <w:tr>
        <w:trPr>
          <w:trHeight w:val="248"/>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Gross royalty acres or</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total acres or wells in which a mineral interest is owned.</w:t>
            </w:r>
          </w:p>
        </w:tc>
      </w:tr>
      <w:tr>
        <w:trPr>
          <w:trHeight w:val="229"/>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gross wells</w:t>
            </w:r>
          </w:p>
        </w:tc>
        <w:tc>
          <w:tcPr>
            <w:tcW w:w="8480" w:type="dxa"/>
            <w:vAlign w:val="bottom"/>
          </w:tcPr>
          <w:p>
            <w:pPr>
              <w:spacing w:after="0"/>
              <w:rPr>
                <w:sz w:val="19"/>
                <w:szCs w:val="19"/>
                <w:color w:val="auto"/>
              </w:rPr>
            </w:pPr>
          </w:p>
        </w:tc>
      </w:tr>
      <w:tr>
        <w:trPr>
          <w:trHeight w:val="269"/>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Henry Hub</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Natural gas gathering point that serves as a benchmark price for natural gas futures on the NYMEX.</w:t>
            </w: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Horizontal drilling</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drilling technique used in certain formations where a well is drilled vertically to a certain depth and then drilled at</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right angle within a specified interval.</w:t>
            </w:r>
          </w:p>
        </w:tc>
      </w:tr>
      <w:tr>
        <w:trPr>
          <w:trHeight w:val="251"/>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Horizontal wells</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Wells drilled directionally horizontal to allow for development of structures not reachable through traditional</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vertical drilling mechanisms.</w:t>
            </w:r>
          </w:p>
        </w:tc>
      </w:tr>
      <w:tr>
        <w:trPr>
          <w:trHeight w:val="269"/>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MBbls</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thousand barrels of crude oil and other liquid hydrocarbons.</w:t>
            </w: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MBOE</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thousand BOE, determined using a ratio of six Mcf of natural gas to one Bbl of crude oil, condensate or natural</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gas liquids.</w:t>
            </w:r>
          </w:p>
        </w:tc>
      </w:tr>
      <w:tr>
        <w:trPr>
          <w:trHeight w:val="269"/>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MBOE/d</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thousand BOE per day.</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Mcf</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thousand cubic feet of natural gas.</w:t>
            </w: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Mineral interests</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interests in ownership of the resource and mineral rights, giving an owner the right to profit from the extracted</w:t>
            </w:r>
          </w:p>
        </w:tc>
      </w:tr>
      <w:tr>
        <w:trPr>
          <w:trHeight w:val="229"/>
        </w:trPr>
        <w:tc>
          <w:tcPr>
            <w:tcW w:w="1780" w:type="dxa"/>
            <w:vAlign w:val="bottom"/>
          </w:tcPr>
          <w:p>
            <w:pPr>
              <w:spacing w:after="0"/>
              <w:rPr>
                <w:sz w:val="19"/>
                <w:szCs w:val="19"/>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resources.</w:t>
            </w:r>
          </w:p>
        </w:tc>
      </w:tr>
      <w:tr>
        <w:trPr>
          <w:trHeight w:val="269"/>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MMBtu</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One million British Thermal Units.</w:t>
            </w:r>
          </w:p>
        </w:tc>
      </w:tr>
      <w:tr>
        <w:trPr>
          <w:trHeight w:val="286"/>
        </w:trPr>
        <w:tc>
          <w:tcPr>
            <w:tcW w:w="1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MMcf</w:t>
            </w:r>
          </w:p>
        </w:tc>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Million cubic feet of natural gas.</w:t>
            </w:r>
          </w:p>
        </w:tc>
      </w:tr>
      <w:tr>
        <w:trPr>
          <w:trHeight w:val="21"/>
        </w:trPr>
        <w:tc>
          <w:tcPr>
            <w:tcW w:w="1780" w:type="dxa"/>
            <w:vAlign w:val="bottom"/>
            <w:tcBorders>
              <w:bottom w:val="single" w:sz="8" w:color="auto"/>
            </w:tcBorders>
          </w:tcPr>
          <w:p>
            <w:pPr>
              <w:spacing w:after="0" w:line="20" w:lineRule="exact"/>
              <w:rPr>
                <w:sz w:val="1"/>
                <w:szCs w:val="1"/>
                <w:color w:val="auto"/>
              </w:rPr>
            </w:pPr>
          </w:p>
        </w:tc>
        <w:tc>
          <w:tcPr>
            <w:tcW w:w="8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280"/>
          </w:cols>
          <w:pgMar w:left="980" w:top="214" w:right="980"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Net mineral acres</w:t>
            </w:r>
          </w:p>
        </w:tc>
        <w:tc>
          <w:tcPr>
            <w:tcW w:w="8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The portion of total mineral rights a person or entity owns in a tract of land, calculated by multiplying the gross</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royalty acres in such tract by such person or entity’s fractional ownership interest.</w:t>
            </w:r>
          </w:p>
        </w:tc>
      </w:tr>
      <w:tr>
        <w:trPr>
          <w:trHeight w:val="24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revenue interest</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 owner’s interest in the revenues of a well after deducting proceeds allocated to royalty, overriding interests and</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burdens.</w:t>
            </w:r>
          </w:p>
        </w:tc>
      </w:tr>
      <w:tr>
        <w:trPr>
          <w:trHeight w:val="26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royalty acres</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mineral acres multiplied by the average lease royalty interest and other burdens.</w:t>
            </w:r>
          </w:p>
        </w:tc>
      </w:tr>
      <w:tr>
        <w:trPr>
          <w:trHeight w:val="26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Oil and natural gas</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Tracts of land consisting of properties to be developed for oil and natural gas resource extraction.</w:t>
            </w:r>
          </w:p>
        </w:tc>
      </w:tr>
      <w:tr>
        <w:trPr>
          <w:trHeight w:val="22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properties</w:t>
            </w:r>
          </w:p>
        </w:tc>
        <w:tc>
          <w:tcPr>
            <w:tcW w:w="8460" w:type="dxa"/>
            <w:vAlign w:val="bottom"/>
          </w:tcPr>
          <w:p>
            <w:pPr>
              <w:spacing w:after="0"/>
              <w:rPr>
                <w:sz w:val="19"/>
                <w:szCs w:val="19"/>
                <w:color w:val="auto"/>
              </w:rPr>
            </w:pPr>
          </w:p>
        </w:tc>
      </w:tr>
      <w:tr>
        <w:trPr>
          <w:trHeight w:val="267"/>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Operator</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individual or company responsible for the exploration and/or production of an oil or natural gas well or lease.</w:t>
            </w:r>
          </w:p>
        </w:tc>
      </w:tr>
      <w:tr>
        <w:trPr>
          <w:trHeight w:val="26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Plugging and</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Refers to the sealing off of fluids in the reservoir penetrated by a well so that the fluids from one reservoir will not</w:t>
            </w:r>
          </w:p>
        </w:tc>
      </w:tr>
      <w:tr>
        <w:trPr>
          <w:trHeight w:val="22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abandonment</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escape into another or to the surface. Regulations of all states require plugging of abandoned wells.</w:t>
            </w:r>
          </w:p>
        </w:tc>
      </w:tr>
      <w:tr>
        <w:trPr>
          <w:trHeight w:val="24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Productive well</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well that is found to be mechanically capable of producing hydrocarbons in sufficient quantities such that</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the sale of the production exceed production expenses and taxes.</w:t>
            </w:r>
          </w:p>
        </w:tc>
      </w:tr>
      <w:tr>
        <w:trPr>
          <w:trHeight w:val="251"/>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Prospect</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specific geographic area which, based on supporting geological, geophysical or other data and also preliminary</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economic analysis using reasonably anticipated prices and costs, is deemed to have potential for the discovery of</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commercially recoverable hydrocarbons.</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Proved developed</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Reserves that can be expected to be recovered through existing wells with existing equipment and operating</w:t>
            </w:r>
          </w:p>
        </w:tc>
      </w:tr>
      <w:tr>
        <w:trPr>
          <w:trHeight w:val="22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reserves</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methods.</w:t>
            </w:r>
          </w:p>
        </w:tc>
      </w:tr>
      <w:tr>
        <w:trPr>
          <w:trHeight w:val="24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Proved reserves</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estimated  quantities  of  oil,  natural  gas  and  natural  gas  liquids  which  geological  and  engineering  data</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demonstrate with reasonable certainty to be commercially recoverable in future years from known reservoirs under</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existing economic and operating conditions.</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Proved undeveloped</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Proved reserves that are expected to be recovered from new wells on undrilled acreage or from existing wells where</w:t>
            </w:r>
          </w:p>
        </w:tc>
      </w:tr>
      <w:tr>
        <w:trPr>
          <w:trHeight w:val="22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reserves or PUDs</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relatively major expenditure is required for recompletion.</w:t>
            </w:r>
          </w:p>
        </w:tc>
      </w:tr>
      <w:tr>
        <w:trPr>
          <w:trHeight w:val="251"/>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Recompletion</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process of re-entering an existing wellbore that is either producing or not producing and completing new</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reservoirs in an attempt to establish or increase existing production.</w:t>
            </w:r>
          </w:p>
        </w:tc>
      </w:tr>
      <w:tr>
        <w:trPr>
          <w:trHeight w:val="24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Reserves</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Reserves are estimated remaining quantities of oil and natural gas and related  substances anticipated to be</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economically producible, as of a given date, by application of development projects to known accumulations. In</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 there must exist, or there must be a reasonable expectation that there will exist, the legal right to produce or</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revenue interest in the production, installed means of delivering oil and natural gas or related substances to the</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 and all permits and financing required to implement the project. Reserves should not be assigned to adjacent</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reservoirs isolated by major, potentially sealing, faults until those reservoirs are penetrated and evaluated as</w:t>
            </w:r>
          </w:p>
        </w:tc>
      </w:tr>
      <w:tr>
        <w:trPr>
          <w:trHeight w:val="206"/>
        </w:trPr>
        <w:tc>
          <w:tcPr>
            <w:tcW w:w="1800" w:type="dxa"/>
            <w:vAlign w:val="bottom"/>
          </w:tcPr>
          <w:p>
            <w:pPr>
              <w:spacing w:after="0"/>
              <w:rPr>
                <w:sz w:val="17"/>
                <w:szCs w:val="17"/>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economically producible. Reserves should not be assigned to areas that are clearly separated from a known</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accumulation by a non-productive reservoir (i.e., absence of reservoir, structurally low reservoir or negative test</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results). Such areas may contain prospective resources (i.e., potentially recoverable resources from undiscovered</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accumulations).</w:t>
            </w:r>
          </w:p>
        </w:tc>
      </w:tr>
      <w:tr>
        <w:trPr>
          <w:trHeight w:val="25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Reservoir</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porous and permeable underground formation containing a natural accumulation of producible natural gas and/or</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crude oil that is confined by impermeable rock or water barriers and is separate from other reservoirs.</w:t>
            </w:r>
          </w:p>
        </w:tc>
      </w:tr>
      <w:tr>
        <w:trPr>
          <w:trHeight w:val="251"/>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Resource play</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set of discovered or prospective oil and/or natural gas accumulations sharing similar geologic, geographic and</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temporal properties, such as source rock, reservoir structure, timing, trapping mechanism and hydrocarbon type.</w:t>
            </w:r>
          </w:p>
        </w:tc>
      </w:tr>
      <w:tr>
        <w:trPr>
          <w:trHeight w:val="24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Royalty interest</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 interest that gives an owner the right to receive a portion of the resources or revenues without having to carry any</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costs of development, which may be subject to expiration.</w:t>
            </w:r>
          </w:p>
        </w:tc>
      </w:tr>
      <w:tr>
        <w:trPr>
          <w:trHeight w:val="251"/>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Spacing</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distance between wells producing from the same reservoir. Spacing is often expressed in terms of acres (e.g.,</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40-acre spacing) and is often established by regulatory agencies.</w:t>
            </w:r>
          </w:p>
        </w:tc>
      </w:tr>
      <w:tr>
        <w:trPr>
          <w:trHeight w:val="26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Spud</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Commencement of actual drilling operations.</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Standardized measure</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present value of estimated future net revenue to be generated from the production of proved reserves,</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determined in accordance with the rules and regulations of the SEC (using prices and costs in effect as of the date of</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estimation), less future development, production and income tax expenses, and discounted at 10% per annum to</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reflect the timing of future net revenue.</w:t>
            </w:r>
          </w:p>
        </w:tc>
      </w:tr>
      <w:tr>
        <w:trPr>
          <w:trHeight w:val="26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Tight formation</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formation with low permeability that produces natural gas with very low flow rates for long periods of time.</w:t>
            </w:r>
          </w:p>
        </w:tc>
      </w:tr>
      <w:tr>
        <w:trPr>
          <w:trHeight w:val="26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Undeveloped acreage</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acreage on which wells have not been drilled or completed to a point that would permit the production of</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economic quantities of oil and natural gas regardless of whether such acreage contains proved reserves.</w:t>
            </w:r>
          </w:p>
        </w:tc>
      </w:tr>
      <w:tr>
        <w:trPr>
          <w:trHeight w:val="270"/>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Waha Hub</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Natural gas gathering point that serves as a benchmark price for natural gas at western Texas and New Mexico.</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Wellbore</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hole drilled by the bit that is equipped for oil or natural gas production on a completed well.</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Working interest</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 operating interest that gives the owner the right to drill, produce and conduct operating activities on the property</w:t>
            </w:r>
          </w:p>
        </w:tc>
      </w:tr>
      <w:tr>
        <w:trPr>
          <w:trHeight w:val="209"/>
        </w:trPr>
        <w:tc>
          <w:tcPr>
            <w:tcW w:w="180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receive a share of production and requires the owner to pay a share of the costs of drilling and production</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operations.</w:t>
            </w:r>
          </w:p>
        </w:tc>
      </w:tr>
      <w:tr>
        <w:trPr>
          <w:trHeight w:val="263"/>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WTI</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West Texas Intermediate, a light sweet blend of oil produced from fields in western Texas and is a grade of oil that</w:t>
            </w:r>
          </w:p>
        </w:tc>
      </w:tr>
      <w:tr>
        <w:trPr>
          <w:trHeight w:val="229"/>
        </w:trPr>
        <w:tc>
          <w:tcPr>
            <w:tcW w:w="180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serves as a benchmark for oil on the NYMEX.</w:t>
            </w:r>
          </w:p>
        </w:tc>
      </w:tr>
      <w:tr>
        <w:trPr>
          <w:trHeight w:val="26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WTI Cushing</w:t>
            </w:r>
          </w:p>
        </w:tc>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Grade of oil that serves as a benchmark price for oil at Cushing, Oklahoma.</w:t>
            </w: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iii</w:t>
      </w:r>
    </w:p>
    <w:p>
      <w:pPr>
        <w:sectPr>
          <w:pgSz w:w="12240" w:h="15840" w:orient="portrait"/>
          <w:cols w:equalWidth="0" w:num="1">
            <w:col w:w="10280"/>
          </w:cols>
          <w:pgMar w:left="980" w:top="214" w:right="980"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4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4"/>
          <w:szCs w:val="24"/>
          <w:b w:val="1"/>
          <w:bCs w:val="1"/>
          <w:color w:val="auto"/>
        </w:rPr>
        <w:t>GLOSSARY OF CERTAIN OTHER TERMS</w:t>
      </w: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is a glossary of certain other terms used in this report:</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Adjusted EBITDA</w:t>
            </w:r>
          </w:p>
        </w:tc>
        <w:tc>
          <w:tcPr>
            <w:tcW w:w="8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Consolidated Adjusted EBITDA, a non-GAAP measure, generally equals net income (loss) attributable to Viper</w:t>
            </w:r>
          </w:p>
        </w:tc>
      </w:tr>
      <w:tr>
        <w:trPr>
          <w:trHeight w:val="206"/>
        </w:trPr>
        <w:tc>
          <w:tcPr>
            <w:tcW w:w="1800" w:type="dxa"/>
            <w:vAlign w:val="bottom"/>
          </w:tcPr>
          <w:p>
            <w:pPr>
              <w:spacing w:after="0"/>
              <w:rPr>
                <w:sz w:val="17"/>
                <w:szCs w:val="17"/>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Inc. plus net income (loss) attributable to non-controlling interest before interest expense, net, non-cash share-</w:t>
            </w:r>
          </w:p>
        </w:tc>
      </w:tr>
      <w:tr>
        <w:trPr>
          <w:trHeight w:val="209"/>
        </w:trPr>
        <w:tc>
          <w:tcPr>
            <w:tcW w:w="180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based compensation expense, depletion, impairment, non-cash (gain) loss on derivative instruments, (gain) loss on</w:t>
            </w:r>
          </w:p>
        </w:tc>
      </w:tr>
      <w:tr>
        <w:trPr>
          <w:trHeight w:val="209"/>
        </w:trPr>
        <w:tc>
          <w:tcPr>
            <w:tcW w:w="180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extinguishment of debt, other non-cash operating expenses, other non-recurring expenses, if any, and provision for</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(benefit from) income taxes.</w:t>
            </w:r>
          </w:p>
        </w:tc>
      </w:tr>
      <w:tr>
        <w:trPr>
          <w:trHeight w:val="257"/>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ASU</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Accounting Standards Update.</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Class A Common Stock</w:t>
            </w:r>
          </w:p>
        </w:tc>
        <w:tc>
          <w:tcPr>
            <w:tcW w:w="8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After August 19, 2025, Class A common stock, $0.000001 par value per share of New Viper (as defined below), and</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before August 19, 2025, Class A common stock, $0.000001 par value per share of Former Viper (as defined below).</w:t>
            </w:r>
          </w:p>
        </w:tc>
      </w:tr>
      <w:tr>
        <w:trPr>
          <w:trHeight w:val="23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Class B Common Stock</w:t>
            </w:r>
          </w:p>
        </w:tc>
        <w:tc>
          <w:tcPr>
            <w:tcW w:w="8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After August 19, 2025, Class B common stock, $0.000001 par value per share of New Viper, and before August 19,</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2025, Class B common stock, $0.000001 par value per share of Former Viper.</w:t>
            </w:r>
          </w:p>
        </w:tc>
      </w:tr>
      <w:tr>
        <w:trPr>
          <w:trHeight w:val="252"/>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Common Stock</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Collectively, Class A Common Stock and Class B Common Stock.</w:t>
            </w:r>
          </w:p>
        </w:tc>
      </w:tr>
      <w:tr>
        <w:trPr>
          <w:trHeight w:val="26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Conversion</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transaction,  effective  November  13,  2023,  whereby  the  Partnership  converted  from  a  Delaware  limited</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partnership to a Delaware corporation known as “Viper Energy, Inc.”</w:t>
            </w:r>
          </w:p>
        </w:tc>
      </w:tr>
      <w:tr>
        <w:trPr>
          <w:trHeight w:val="252"/>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Diamondback</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Diamondback Energy, Inc., a Delaware corporation.</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Diamondback E&amp;P LLC</w:t>
            </w:r>
          </w:p>
        </w:tc>
        <w:tc>
          <w:tcPr>
            <w:tcW w:w="8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 subsidiary of Diamondback.</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EPA</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United States Environmental Protection Agency.</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Exchange Act</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Securities Exchange Act of 1934, as amended.</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FASB</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Financial Accounting Standards Board.</w:t>
            </w:r>
          </w:p>
        </w:tc>
      </w:tr>
      <w:tr>
        <w:trPr>
          <w:trHeight w:val="27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FERC</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Federal Energy Regulatory Commission.</w:t>
            </w:r>
          </w:p>
        </w:tc>
      </w:tr>
      <w:tr>
        <w:trPr>
          <w:trHeight w:val="288"/>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GAAP</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Accounting principles generally accepted in the United States.</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General Partner</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Viper Energy Partners GP LLC, a Delaware limited liability company; the general partner of the Partnership and a</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wholly owned subsidiary of Diamondback prior to the Conversion.</w:t>
            </w: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Guaranteed Senior</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outstanding senior notes of Viper Energy Partners LP (f/k/a Viper Energy Partners LLC), issued under indentures</w:t>
            </w:r>
          </w:p>
        </w:tc>
      </w:tr>
      <w:tr>
        <w:trPr>
          <w:trHeight w:val="20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Notes</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where Viper Energy, Inc. and VNOM Sub, Inc., a wholly owned subsidiary of Viper Energy, Inc., are the guarantors,</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consisting of the 4.900% Senior Notes due 2030 and the 5.700% Senior Notes due 2035.</w:t>
            </w:r>
          </w:p>
        </w:tc>
      </w:tr>
      <w:tr>
        <w:trPr>
          <w:trHeight w:val="23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LTIP</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Viper Energy, Inc. Amended and Restated 2014 Long-Term Incentive Plan, as amended and restated by Viper</w:t>
            </w:r>
          </w:p>
        </w:tc>
      </w:tr>
      <w:tr>
        <w:trPr>
          <w:trHeight w:val="209"/>
        </w:trPr>
        <w:tc>
          <w:tcPr>
            <w:tcW w:w="180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Inc. 2024 Amended and Restated Long-Term Incentive Plan, and as may be further amended or restated from</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time to time.</w:t>
            </w:r>
          </w:p>
        </w:tc>
      </w:tr>
      <w:tr>
        <w:trPr>
          <w:trHeight w:val="25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Nasdaq</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Nasdaq Global Select Market.</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debt</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debt, a non-GAAP measure, is debt (excluding debt issuance costs, discounts and premiums) less cash and cash</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equivalents.</w:t>
            </w: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Notes</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Those senior notes of Viper Energy, Inc. that were issued under indentures where Viper Energy Partners LLC and</w:t>
            </w:r>
          </w:p>
        </w:tc>
      </w:tr>
      <w:tr>
        <w:trPr>
          <w:trHeight w:val="209"/>
        </w:trPr>
        <w:tc>
          <w:tcPr>
            <w:tcW w:w="180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subsidiaries were guarantors, consisting of the 5.375% Senior Notes due 2027 and the 7.375% Senior Notes due</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2031, and which were redeemed on November 1, 2025 and July 23, 2025, respectively.</w:t>
            </w:r>
          </w:p>
        </w:tc>
      </w:tr>
      <w:tr>
        <w:trPr>
          <w:trHeight w:val="254"/>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NYMEX</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New York Mercantile Exchange.</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OPEC</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Organization of the Petroleum Exporting Countries.</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Company or</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Prior to December 23, 2025, Viper Energy Partners LLC, a Delaware limited liability company and a consolidated</w:t>
            </w:r>
          </w:p>
        </w:tc>
      </w:tr>
      <w:tr>
        <w:trPr>
          <w:trHeight w:val="209"/>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OpCo</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subsidiary of Viper Energy, Inc. and after December 23, 2025, VNOM Holding Company LLC, a Delaware limited</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liability company and a consolidated subsidiary of Viper Energy, Inc.</w:t>
            </w:r>
          </w:p>
        </w:tc>
      </w:tr>
      <w:tr>
        <w:trPr>
          <w:trHeight w:val="254"/>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OpCo Unit</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Limited liability company membership interest in the Operating Company.</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Partnership</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Viper Energy Partners LP, the predecessor of the Company (as defined below), which converted into the Company in</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Conversion.</w:t>
            </w:r>
          </w:p>
        </w:tc>
      </w:tr>
      <w:tr>
        <w:trPr>
          <w:trHeight w:val="23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Partnership Agreement</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second amended and restated agreement of limited partnership of the Partnership, dated as of May 9, 2018, as</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amended as of May 10, 2018, and further amended on November 2, 2023.</w:t>
            </w:r>
          </w:p>
        </w:tc>
      </w:tr>
      <w:tr>
        <w:trPr>
          <w:trHeight w:val="252"/>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Ryder Scott</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Ryder Scott Company, L.P.</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United States Securities and Exchange Commission.</w:t>
            </w: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 Prices</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Unweighted arithmetic average of the first-day-of-the-month price for each month during the 12-month period prior to</w:t>
            </w:r>
          </w:p>
        </w:tc>
      </w:tr>
      <w:tr>
        <w:trPr>
          <w:trHeight w:val="229"/>
        </w:trPr>
        <w:tc>
          <w:tcPr>
            <w:tcW w:w="180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ending date of the period covered by this report.</w:t>
            </w:r>
          </w:p>
        </w:tc>
      </w:tr>
      <w:tr>
        <w:trPr>
          <w:trHeight w:val="254"/>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Securities Act</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Securities Act of 1933, as amended.</w:t>
            </w:r>
          </w:p>
        </w:tc>
      </w:tr>
      <w:tr>
        <w:trPr>
          <w:trHeight w:val="286"/>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SOFR</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secured overnight financing rate.</w:t>
            </w:r>
          </w:p>
        </w:tc>
      </w:tr>
      <w:tr>
        <w:trPr>
          <w:trHeight w:val="281"/>
        </w:trPr>
        <w:tc>
          <w:tcPr>
            <w:tcW w:w="1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Wells Fargo</w:t>
            </w:r>
          </w:p>
        </w:tc>
        <w:tc>
          <w:tcPr>
            <w:tcW w:w="8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Wells Fargo Bank, National Association.</w:t>
            </w:r>
          </w:p>
        </w:tc>
      </w:tr>
      <w:tr>
        <w:trPr>
          <w:trHeight w:val="25"/>
        </w:trPr>
        <w:tc>
          <w:tcPr>
            <w:tcW w:w="1800" w:type="dxa"/>
            <w:vAlign w:val="bottom"/>
            <w:tcBorders>
              <w:bottom w:val="single" w:sz="8" w:color="auto"/>
            </w:tcBorders>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10280"/>
          </w:cols>
          <w:pgMar w:left="980" w:top="214" w:right="980"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b w:val="1"/>
          <w:bCs w:val="1"/>
          <w:color w:val="auto"/>
        </w:rPr>
        <w:t>CAUTIONARY STATEMENT REGARDING FORWARD-LOOKING STATEMENTS</w:t>
      </w:r>
    </w:p>
    <w:p>
      <w:pPr>
        <w:spacing w:after="0" w:line="274"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our cash dividend policy and repurchases of our Common Stock, OpCo Units or Guaranteed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 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and the actual outcomes could differ materially from what we expressed in our forward-looking statements.</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Factors that could cause the outcomes to differ materially include (but are not limited to) the following:</w:t>
      </w:r>
    </w:p>
    <w:p>
      <w:pPr>
        <w:spacing w:after="0" w:line="252" w:lineRule="exact"/>
        <w:rPr>
          <w:sz w:val="20"/>
          <w:szCs w:val="20"/>
          <w:color w:val="auto"/>
        </w:rPr>
      </w:pPr>
    </w:p>
    <w:p>
      <w:pPr>
        <w:ind w:left="1360" w:hanging="360"/>
        <w:spacing w:after="0" w:line="269"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supply and demand levels for oil, natural gas and natural gas liquids and the resulting impact on the price for those commodities;</w:t>
      </w:r>
    </w:p>
    <w:p>
      <w:pPr>
        <w:spacing w:after="0" w:line="48" w:lineRule="exact"/>
        <w:rPr>
          <w:rFonts w:ascii="Times New Roman" w:cs="Times New Roman" w:eastAsia="Times New Roman" w:hAnsi="Times New Roman"/>
          <w:sz w:val="20"/>
          <w:szCs w:val="20"/>
          <w:color w:val="auto"/>
        </w:rPr>
      </w:pPr>
    </w:p>
    <w:p>
      <w:pPr>
        <w:ind w:left="1360" w:hanging="360"/>
        <w:spacing w:after="0" w:line="274"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public health crises, including epidemic or pandemic diseases and any related company or government policies or actions;</w:t>
      </w:r>
    </w:p>
    <w:p>
      <w:pPr>
        <w:spacing w:after="0" w:line="43"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taken by the members of OPEC and its non-OPEC allies (“OPEC+”) affecting the production and pricing of oil, as well as other domestic and global political, economic, or diplomatic developments;</w:t>
      </w:r>
    </w:p>
    <w:p>
      <w:pPr>
        <w:spacing w:after="0" w:line="46"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general economic, business or industry conditions, including changes in foreign currency exchange rates, interest rates, inflation rates, or instability in the financial sector;</w:t>
      </w:r>
    </w:p>
    <w:p>
      <w:pPr>
        <w:spacing w:after="0" w:line="46" w:lineRule="exact"/>
        <w:rPr>
          <w:rFonts w:ascii="Times New Roman" w:cs="Times New Roman" w:eastAsia="Times New Roman" w:hAnsi="Times New Roman"/>
          <w:sz w:val="20"/>
          <w:szCs w:val="20"/>
          <w:color w:val="auto"/>
        </w:rPr>
      </w:pPr>
    </w:p>
    <w:p>
      <w:pPr>
        <w:jc w:val="both"/>
        <w:ind w:left="1360" w:hanging="360"/>
        <w:spacing w:after="0" w:line="250"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70"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and state legislative and regulatory initiatives relating to hydraulic fracturing, including the effect of existing and future laws and governmental regulations;</w:t>
      </w:r>
    </w:p>
    <w:p>
      <w:pPr>
        <w:spacing w:after="0" w:line="46" w:lineRule="exact"/>
        <w:rPr>
          <w:rFonts w:ascii="Times New Roman" w:cs="Times New Roman" w:eastAsia="Times New Roman" w:hAnsi="Times New Roman"/>
          <w:sz w:val="20"/>
          <w:szCs w:val="20"/>
          <w:color w:val="auto"/>
        </w:rPr>
      </w:pPr>
    </w:p>
    <w:p>
      <w:pPr>
        <w:ind w:left="1360" w:hanging="361"/>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and transition risks relating to climate change and changing political and social perspectives on climate change and other ESG (as defined below) factors;</w:t>
      </w:r>
    </w:p>
    <w:p>
      <w:pPr>
        <w:spacing w:after="0" w:line="46" w:lineRule="exact"/>
        <w:rPr>
          <w:rFonts w:ascii="Times New Roman" w:cs="Times New Roman" w:eastAsia="Times New Roman" w:hAnsi="Times New Roman"/>
          <w:sz w:val="20"/>
          <w:szCs w:val="20"/>
          <w:color w:val="auto"/>
        </w:rPr>
      </w:pPr>
    </w:p>
    <w:p>
      <w:pPr>
        <w:ind w:left="1360" w:hanging="361"/>
        <w:spacing w:after="0"/>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from our cash dividend policy and uncertainties over our future dividends;</w:t>
      </w:r>
    </w:p>
    <w:p>
      <w:pPr>
        <w:spacing w:after="0" w:line="113" w:lineRule="exact"/>
        <w:rPr>
          <w:rFonts w:ascii="Times New Roman" w:cs="Times New Roman" w:eastAsia="Times New Roman" w:hAnsi="Times New Roman"/>
          <w:sz w:val="20"/>
          <w:szCs w:val="20"/>
          <w:color w:val="auto"/>
        </w:rPr>
      </w:pPr>
    </w:p>
    <w:p>
      <w:pPr>
        <w:jc w:val="both"/>
        <w:ind w:left="1360" w:hanging="360"/>
        <w:spacing w:after="0" w:line="252"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20"/>
          <w:szCs w:val="20"/>
          <w:color w:val="auto"/>
        </w:rPr>
      </w:pPr>
    </w:p>
    <w:p>
      <w:pPr>
        <w:ind w:left="1360" w:hanging="360"/>
        <w:spacing w:after="0" w:line="269"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declines in prices for oil, natural gas, or natural gas liquids, which could require recognition of significant impairment charges;</w:t>
      </w:r>
    </w:p>
    <w:p>
      <w:pPr>
        <w:spacing w:after="0" w:line="48"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energy, environmental, monetary and trade policies, including with respect to tariffs or other trade barriers and any resulting trade tensions;</w:t>
      </w:r>
    </w:p>
    <w:p>
      <w:pPr>
        <w:spacing w:after="0" w:line="46" w:lineRule="exact"/>
        <w:rPr>
          <w:rFonts w:ascii="Times New Roman" w:cs="Times New Roman" w:eastAsia="Times New Roman" w:hAnsi="Times New Roman"/>
          <w:sz w:val="20"/>
          <w:szCs w:val="20"/>
          <w:color w:val="auto"/>
        </w:rPr>
      </w:pPr>
    </w:p>
    <w:p>
      <w:pPr>
        <w:jc w:val="both"/>
        <w:ind w:left="1360" w:hanging="360"/>
        <w:spacing w:after="0" w:line="252"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in the capital, financial and credit markets, including the availability and pricing of capital for drilling and development by our limited number of operators and our ability to replace operators in time of bankruptcy or default;</w:t>
      </w:r>
    </w:p>
    <w:p>
      <w:pPr>
        <w:spacing w:after="0" w:line="64" w:lineRule="exact"/>
        <w:rPr>
          <w:rFonts w:ascii="Times New Roman" w:cs="Times New Roman" w:eastAsia="Times New Roman" w:hAnsi="Times New Roman"/>
          <w:sz w:val="20"/>
          <w:szCs w:val="20"/>
          <w:color w:val="auto"/>
        </w:rPr>
      </w:pPr>
    </w:p>
    <w:p>
      <w:pPr>
        <w:ind w:left="1360" w:right="2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availability or cost of rigs, equipment, raw materials, supplies and oilfield services impacting our operators;</w:t>
      </w:r>
    </w:p>
    <w:p>
      <w:pPr>
        <w:spacing w:after="0" w:line="46"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inherent uncertainties over our estimated reserves, the development of our proved undeveloped reserves or the yield from project areas on our properties;</w:t>
      </w:r>
    </w:p>
    <w:p>
      <w:pPr>
        <w:spacing w:after="0" w:line="46"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geographical concentration of our producing properties and reserves in the Permian Basin and in a small number of producing horizons;</w:t>
      </w:r>
    </w:p>
    <w:p>
      <w:pPr>
        <w:spacing w:after="0" w:line="200" w:lineRule="exact"/>
        <w:rPr>
          <w:sz w:val="20"/>
          <w:szCs w:val="20"/>
          <w:color w:val="auto"/>
        </w:rPr>
      </w:pPr>
    </w:p>
    <w:p>
      <w:pPr>
        <w:spacing w:after="0" w:line="3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10280"/>
          </w:cols>
          <w:pgMar w:left="980" w:top="214" w:right="980"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1360" w:hanging="360"/>
        <w:spacing w:after="0" w:line="250" w:lineRule="auto"/>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safety, health, environmental, tax and other regulations or requirements impacting us or our operators (including those addressing air emissions, water management, or the impact of global climate change);</w:t>
      </w:r>
    </w:p>
    <w:p>
      <w:pPr>
        <w:spacing w:after="0" w:line="70" w:lineRule="exact"/>
        <w:rPr>
          <w:rFonts w:ascii="Times New Roman" w:cs="Times New Roman" w:eastAsia="Times New Roman" w:hAnsi="Times New Roman"/>
          <w:sz w:val="20"/>
          <w:szCs w:val="20"/>
          <w:color w:val="auto"/>
        </w:rPr>
      </w:pPr>
    </w:p>
    <w:p>
      <w:pPr>
        <w:jc w:val="both"/>
        <w:ind w:left="1360" w:hanging="360"/>
        <w:spacing w:after="0" w:line="250" w:lineRule="auto"/>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68" w:lineRule="exact"/>
        <w:rPr>
          <w:rFonts w:ascii="Times New Roman" w:cs="Times New Roman" w:eastAsia="Times New Roman" w:hAnsi="Times New Roman"/>
          <w:sz w:val="20"/>
          <w:szCs w:val="20"/>
          <w:color w:val="auto"/>
        </w:rPr>
      </w:pPr>
    </w:p>
    <w:p>
      <w:pPr>
        <w:jc w:val="both"/>
        <w:ind w:left="1360" w:hanging="360"/>
        <w:spacing w:after="0" w:line="252" w:lineRule="auto"/>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or disruption in, access to adequate and reliable electrical power, internet and telecommunication infrastructure, information and computer systems, transportation, processing, storage and other facilities impacting our operators;</w:t>
      </w:r>
    </w:p>
    <w:p>
      <w:pPr>
        <w:spacing w:after="0" w:line="64" w:lineRule="exact"/>
        <w:rPr>
          <w:rFonts w:ascii="Times New Roman" w:cs="Times New Roman" w:eastAsia="Times New Roman" w:hAnsi="Times New Roman"/>
          <w:sz w:val="20"/>
          <w:szCs w:val="20"/>
          <w:color w:val="auto"/>
        </w:rPr>
      </w:pPr>
    </w:p>
    <w:p>
      <w:pPr>
        <w:ind w:left="1360" w:hanging="360"/>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 weather conditions and natural disasters;</w:t>
      </w:r>
    </w:p>
    <w:p>
      <w:pPr>
        <w:spacing w:after="0" w:line="113" w:lineRule="exact"/>
        <w:rPr>
          <w:rFonts w:ascii="Times New Roman" w:cs="Times New Roman" w:eastAsia="Times New Roman" w:hAnsi="Times New Roman"/>
          <w:sz w:val="20"/>
          <w:szCs w:val="20"/>
          <w:color w:val="auto"/>
        </w:rPr>
      </w:pPr>
    </w:p>
    <w:p>
      <w:pPr>
        <w:ind w:left="1360" w:hanging="360"/>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geopolitics, regional conflicts, acts of war or terrorist acts and the governmental or military response thereto;</w:t>
      </w:r>
    </w:p>
    <w:p>
      <w:pPr>
        <w:spacing w:after="0" w:line="115" w:lineRule="exact"/>
        <w:rPr>
          <w:rFonts w:ascii="Times New Roman" w:cs="Times New Roman" w:eastAsia="Times New Roman" w:hAnsi="Times New Roman"/>
          <w:sz w:val="20"/>
          <w:szCs w:val="20"/>
          <w:color w:val="auto"/>
        </w:rPr>
      </w:pPr>
    </w:p>
    <w:p>
      <w:pPr>
        <w:ind w:left="1360" w:hanging="360"/>
        <w:spacing w:after="0" w:line="271" w:lineRule="auto"/>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financial strength of counterparties to the credit facility and hedging contracts of our operating subsidiary;</w:t>
      </w:r>
    </w:p>
    <w:p>
      <w:pPr>
        <w:spacing w:after="0" w:line="46" w:lineRule="exact"/>
        <w:rPr>
          <w:rFonts w:ascii="Times New Roman" w:cs="Times New Roman" w:eastAsia="Times New Roman" w:hAnsi="Times New Roman"/>
          <w:sz w:val="20"/>
          <w:szCs w:val="20"/>
          <w:color w:val="auto"/>
        </w:rPr>
      </w:pPr>
    </w:p>
    <w:p>
      <w:pPr>
        <w:ind w:left="1360" w:hanging="360"/>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substantial indebtedness and changes in our credit rating;</w:t>
      </w:r>
    </w:p>
    <w:p>
      <w:pPr>
        <w:spacing w:after="0" w:line="113" w:lineRule="exact"/>
        <w:rPr>
          <w:rFonts w:ascii="Times New Roman" w:cs="Times New Roman" w:eastAsia="Times New Roman" w:hAnsi="Times New Roman"/>
          <w:sz w:val="20"/>
          <w:szCs w:val="20"/>
          <w:color w:val="auto"/>
        </w:rPr>
      </w:pPr>
    </w:p>
    <w:p>
      <w:pPr>
        <w:ind w:left="1360" w:hanging="360"/>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develop or acquire additional reserves and identify, complete or integrate acquisitions;</w:t>
      </w:r>
    </w:p>
    <w:p>
      <w:pPr>
        <w:spacing w:after="0" w:line="113" w:lineRule="exact"/>
        <w:rPr>
          <w:rFonts w:ascii="Times New Roman" w:cs="Times New Roman" w:eastAsia="Times New Roman" w:hAnsi="Times New Roman"/>
          <w:sz w:val="20"/>
          <w:szCs w:val="20"/>
          <w:color w:val="auto"/>
        </w:rPr>
      </w:pPr>
    </w:p>
    <w:p>
      <w:pPr>
        <w:ind w:left="1360" w:hanging="360"/>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operational dependence on, and control by, Diamondback and potential conflicts of interest thereof; and</w:t>
      </w:r>
    </w:p>
    <w:p>
      <w:pPr>
        <w:spacing w:after="0" w:line="115" w:lineRule="exact"/>
        <w:rPr>
          <w:rFonts w:ascii="Times New Roman" w:cs="Times New Roman" w:eastAsia="Times New Roman" w:hAnsi="Times New Roman"/>
          <w:sz w:val="20"/>
          <w:szCs w:val="20"/>
          <w:color w:val="auto"/>
        </w:rPr>
      </w:pPr>
    </w:p>
    <w:p>
      <w:pPr>
        <w:ind w:left="1360" w:hanging="360"/>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factors disclosed in this report.</w:t>
      </w:r>
    </w:p>
    <w:p>
      <w:pPr>
        <w:spacing w:after="0" w:line="23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 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vi</w:t>
      </w:r>
    </w:p>
    <w:p>
      <w:pPr>
        <w:sectPr>
          <w:pgSz w:w="12240" w:h="15840" w:orient="portrait"/>
          <w:cols w:equalWidth="0" w:num="1">
            <w:col w:w="10280"/>
          </w:cols>
          <w:pgMar w:left="980" w:top="214" w:right="980"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9" w:lineRule="exact"/>
        <w:rPr>
          <w:sz w:val="20"/>
          <w:szCs w:val="20"/>
          <w:color w:val="auto"/>
        </w:rPr>
      </w:pPr>
    </w:p>
    <w:p>
      <w:pPr>
        <w:jc w:val="both"/>
        <w:ind w:left="20" w:firstLine="720"/>
        <w:spacing w:after="0" w:line="275" w:lineRule="auto"/>
        <w:rPr>
          <w:sz w:val="20"/>
          <w:szCs w:val="20"/>
          <w:color w:val="auto"/>
        </w:rPr>
      </w:pPr>
      <w:r>
        <w:rPr>
          <w:rFonts w:ascii="Times New Roman" w:cs="Times New Roman" w:eastAsia="Times New Roman" w:hAnsi="Times New Roman"/>
          <w:sz w:val="20"/>
          <w:szCs w:val="20"/>
          <w:i w:val="1"/>
          <w:iCs w:val="1"/>
          <w:color w:val="auto"/>
        </w:rPr>
        <w:t>On November 13, 2023, Viper Energy Partners LP converted from a Delaware limited partnership to a Delaware corporation named “Viper Energy, Inc.” (the “Conversion”).</w:t>
      </w:r>
    </w:p>
    <w:p>
      <w:pPr>
        <w:spacing w:after="0" w:line="174" w:lineRule="exact"/>
        <w:rPr>
          <w:sz w:val="20"/>
          <w:szCs w:val="20"/>
          <w:color w:val="auto"/>
        </w:rPr>
      </w:pPr>
    </w:p>
    <w:p>
      <w:pPr>
        <w:jc w:val="both"/>
        <w:ind w:left="20" w:firstLine="720"/>
        <w:spacing w:after="0" w:line="260" w:lineRule="auto"/>
        <w:rPr>
          <w:sz w:val="20"/>
          <w:szCs w:val="20"/>
          <w:color w:val="auto"/>
        </w:rPr>
      </w:pPr>
      <w:r>
        <w:rPr>
          <w:rFonts w:ascii="Times New Roman" w:cs="Times New Roman" w:eastAsia="Times New Roman" w:hAnsi="Times New Roman"/>
          <w:sz w:val="20"/>
          <w:szCs w:val="20"/>
          <w:i w:val="1"/>
          <w:iCs w:val="1"/>
          <w:color w:val="auto"/>
        </w:rPr>
        <w:t>On August 19, 2025, upon completion of the Sitio Acquisition (as defined and discussed below), Viper Energy, Inc. changed its name to VNOM Sub, Inc. (“Former Viper”) and became a wholly owned subsidiary of New Cobra Pubco, Inc., which subsequently changed its name to Viper Energy, Inc., (“New Viper”), as a result of a merger contemplated by the documents governing the Sitio Acquisition (such merger, the “Viper PubCo Merger”).</w:t>
      </w:r>
    </w:p>
    <w:p>
      <w:pPr>
        <w:spacing w:after="0" w:line="204" w:lineRule="exact"/>
        <w:rPr>
          <w:sz w:val="20"/>
          <w:szCs w:val="20"/>
          <w:color w:val="auto"/>
        </w:rPr>
      </w:pPr>
    </w:p>
    <w:p>
      <w:pPr>
        <w:jc w:val="both"/>
        <w:ind w:left="20" w:firstLine="720"/>
        <w:spacing w:after="0" w:line="260" w:lineRule="auto"/>
        <w:rPr>
          <w:sz w:val="20"/>
          <w:szCs w:val="20"/>
          <w:color w:val="auto"/>
        </w:rPr>
      </w:pPr>
      <w:r>
        <w:rPr>
          <w:rFonts w:ascii="Times New Roman" w:cs="Times New Roman" w:eastAsia="Times New Roman" w:hAnsi="Times New Roman"/>
          <w:sz w:val="20"/>
          <w:szCs w:val="20"/>
          <w:i w:val="1"/>
          <w:iCs w:val="1"/>
          <w:color w:val="auto"/>
        </w:rPr>
        <w:t>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w:t>
      </w:r>
    </w:p>
    <w:p>
      <w:pPr>
        <w:spacing w:after="0" w:line="199"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i w:val="1"/>
          <w:iCs w:val="1"/>
          <w:color w:val="auto"/>
        </w:rPr>
        <w:t>References in this Annual Report to “Viper” refer to (A) New Viper following the Viper PubCo Merger (B) Former Viper prior to the Viper PubCo Merger but after the Conversion, and (C) Viper Energy Partners LP prior to the Conversion. References to the “Company,” “our company,” “we,” “our,” “us” or like terms refer collectively to Viper and its consolidated subsidiaries. References to “shares” or per share amounts prior to the Conversion refer to common units and Class B units or per unit amounts of Viper Energy Partners LP. References to shares or per share amounts following the Conversion refer to (A) Class A common stock, par value $0.000001 per share and Class B common stock, par value $0.000001 per share of New Viper following the Viper PubCo Merger and (B) Class A common stock, par value $0.000001 per share and Class B common stock, par value $0.000001 per share of Former Viper prior to the Viper PubCo Merger.</w:t>
      </w:r>
    </w:p>
    <w:p>
      <w:pPr>
        <w:spacing w:after="0" w:line="208"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i w:val="1"/>
          <w:iCs w:val="1"/>
          <w:color w:val="auto"/>
        </w:rPr>
        <w:t>References to the “Operating Company” or “OpCo” refer to (A) New OpCo following the Reorganization and (B) Old OpCo prior to the Reorganization. References to “OpCo Units” refer to the units representing limited liability company interests in the Operating Company.</w:t>
      </w:r>
    </w:p>
    <w:p>
      <w:pPr>
        <w:spacing w:after="0" w:line="190" w:lineRule="exact"/>
        <w:rPr>
          <w:sz w:val="20"/>
          <w:szCs w:val="20"/>
          <w:color w:val="auto"/>
        </w:rPr>
      </w:pPr>
    </w:p>
    <w:p>
      <w:pPr>
        <w:jc w:val="both"/>
        <w:ind w:left="20" w:firstLine="720"/>
        <w:spacing w:after="0" w:line="266" w:lineRule="auto"/>
        <w:rPr>
          <w:sz w:val="20"/>
          <w:szCs w:val="20"/>
          <w:color w:val="auto"/>
        </w:rPr>
      </w:pPr>
      <w:r>
        <w:rPr>
          <w:rFonts w:ascii="Times New Roman" w:cs="Times New Roman" w:eastAsia="Times New Roman" w:hAnsi="Times New Roman"/>
          <w:sz w:val="20"/>
          <w:szCs w:val="20"/>
          <w:i w:val="1"/>
          <w:iCs w:val="1"/>
          <w:color w:val="auto"/>
        </w:rPr>
        <w:t>References to “Diamondback” refer collectively to Diamondback Energy, Inc. and its subsidiaries other than the Company. References to the “General Partner” refer to Viper Energy Partners GP LLC, our general partner prior to the Conversion. All references to dividends prior to the Conversion refer to distributions.</w:t>
      </w:r>
    </w:p>
    <w:p>
      <w:pPr>
        <w:spacing w:after="0" w:line="193" w:lineRule="exact"/>
        <w:rPr>
          <w:sz w:val="20"/>
          <w:szCs w:val="20"/>
          <w:color w:val="auto"/>
        </w:rPr>
      </w:pPr>
    </w:p>
    <w:p>
      <w:pPr>
        <w:jc w:val="both"/>
        <w:ind w:left="20" w:firstLine="720"/>
        <w:spacing w:after="0" w:line="285" w:lineRule="auto"/>
        <w:rPr>
          <w:sz w:val="20"/>
          <w:szCs w:val="20"/>
          <w:color w:val="auto"/>
        </w:rPr>
      </w:pPr>
      <w:r>
        <w:rPr>
          <w:rFonts w:ascii="Times New Roman" w:cs="Times New Roman" w:eastAsia="Times New Roman" w:hAnsi="Times New Roman"/>
          <w:sz w:val="20"/>
          <w:szCs w:val="20"/>
          <w:i w:val="1"/>
          <w:iCs w:val="1"/>
          <w:color w:val="auto"/>
        </w:rPr>
        <w:t>See Note 1—Organization and Basis of Presentation in Item 8. Financial Statements and Supplementary Data of this report for additional discussion of the Conversion.</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ITEMS 1 and 2. BUSINESS AND PROPERTIES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We are a publicly traded Delaware corporation focused on owning and acquiring mineral and royalty interests in oil and natural gas properties primarily in the Permian Basin. We operate in one reportable segment. Effective November 13, 2023, we converted our legal status from a Delaware limited partnership into a Delaware corporation. Our primary business objective is to provide an attractive return to our stockholders by focusing on business results, generating robust free cash flow, reducing debt and protecting our balance sheet, while maintaining what we believe is a best-in- class cost structure. Our assets consist of mineral and royalty interests in oil and natural gas properties primarily in the Permian Basin in West Texas, substantially all of which are leased to working interest owners who bear the costs of operation and development.</w:t>
      </w:r>
    </w:p>
    <w:p>
      <w:pPr>
        <w:spacing w:after="0" w:line="207"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We are currently focused on oil and natural gas properties primarily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formations of oil and natural gas bearing rock throughout.</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Non-Permian Divestiture and Significant Acquisitions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Divestiture of Non-Permian Assets</w:t>
      </w:r>
    </w:p>
    <w:p>
      <w:pPr>
        <w:spacing w:after="0" w:line="253"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19"/>
          <w:szCs w:val="19"/>
          <w:color w:val="auto"/>
        </w:rPr>
        <w:t>On February 9, 2026, we divested all of our non-Permian assets, including those acquired from Sitio Royalties Corp. (“Sitio”), to an affiliate of GRP Energy Capital LLC and Warwick Capital Partners LLP for net cash proceeds of approximately $617 million, subject to customary post-closing adjustments (the “Non-Permian Divestiture”). The divested properties consisted</w:t>
      </w:r>
    </w:p>
    <w:p>
      <w:pPr>
        <w:spacing w:after="0" w:line="3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80"/>
          </w:cols>
          <w:pgMar w:left="980" w:top="214" w:right="980"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ind w:left="20" w:right="220"/>
        <w:spacing w:after="0" w:line="286" w:lineRule="auto"/>
        <w:rPr>
          <w:sz w:val="20"/>
          <w:szCs w:val="20"/>
          <w:color w:val="auto"/>
        </w:rPr>
      </w:pPr>
      <w:r>
        <w:rPr>
          <w:rFonts w:ascii="Times New Roman" w:cs="Times New Roman" w:eastAsia="Times New Roman" w:hAnsi="Times New Roman"/>
          <w:sz w:val="20"/>
          <w:szCs w:val="20"/>
          <w:color w:val="auto"/>
        </w:rPr>
        <w:t>of approximately 9,400 net royalty acres in the Denver-Julesburg, Eagle Ford and Williston basins with current production of approximately 4,750 BO/d.</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Sitio Acquisition</w:t>
      </w:r>
    </w:p>
    <w:p>
      <w:pPr>
        <w:spacing w:after="0" w:line="25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On August 19, 2025, we completed a series of transactions in which New Viper acquired Sitio, Sitio Royalties Operating Partnership, LP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including customary transaction costs and post-closing adjustments and the partial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2025 Drop Down</w:t>
      </w:r>
    </w:p>
    <w:p>
      <w:pPr>
        <w:spacing w:after="0" w:line="251" w:lineRule="exact"/>
        <w:rPr>
          <w:sz w:val="20"/>
          <w:szCs w:val="20"/>
          <w:color w:val="auto"/>
        </w:rPr>
      </w:pPr>
    </w:p>
    <w:p>
      <w:pPr>
        <w:jc w:val="both"/>
        <w:ind w:left="20" w:firstLine="720"/>
        <w:spacing w:after="0" w:line="257" w:lineRule="auto"/>
        <w:rPr>
          <w:sz w:val="20"/>
          <w:szCs w:val="20"/>
          <w:color w:val="auto"/>
        </w:rPr>
      </w:pPr>
      <w:r>
        <w:rPr>
          <w:rFonts w:ascii="Times New Roman" w:cs="Times New Roman" w:eastAsia="Times New Roman" w:hAnsi="Times New Roman"/>
          <w:sz w:val="20"/>
          <w:szCs w:val="20"/>
          <w:color w:val="auto"/>
        </w:rPr>
        <w:t>On May 1, 2025, we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$873 million in cash including customary post-closing adjustments, and (ii) the issuance of 69,626,640 OpCo Units and an equivalent number of shares of our Class B Common Stock (the “2025 Drop Down”). The mineral and royalty interests acquired in the 2025 Drop Down represent approximately 24,446 net royalty acres in the Permian Basin, 69% of which are operated by Diamondback.</w:t>
      </w:r>
    </w:p>
    <w:p>
      <w:pPr>
        <w:spacing w:after="0" w:line="200"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See Note 4—Acquisitions and Divestitures in Item 8. Financial Statements and Supplementary Data of this report for further information.</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Our Properties</w:t>
      </w:r>
    </w:p>
    <w:p>
      <w:pPr>
        <w:spacing w:after="0" w:line="25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our assets consisted of mineral interests and royalty interests underlying approximately 4,462,119 gross royalty acres and 96,003 net royalty acres primarily in the Permian Basin, and Diamondback was the operator of approximately 35% of our net royalty acreage. As of December 31, 2025, there were 43,355 gross productive wells on this acreage, 6,524 of which were operated by Diamondback. Net production during the fourth quarter of 2025 was approximately 134,000 BOE/d and net production for the year ended December 31, 2025, averaged 95,126 BOE/d. For the years ended December 31, 2025, 2024 and 2023, royalty income generated from these mineral and royalty interests was $1.3 billion, $854 million and $717 million, respectively.</w:t>
      </w:r>
    </w:p>
    <w:p>
      <w:pPr>
        <w:spacing w:after="0" w:line="20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At December 31, 2025, our estimated proved oil and natural gas reserves totaled 406,035 MBOE based on reserve estimates prepared by our internal reservoir engineers and audited by Ryder Scott, an independent petroleum engineering firm. As of December 31, 2025, approximately 78% of our proved reserves were classified as proved developed producing reserves. PUD included in this estimate were from 1,653 gross horizontal well locations. As of December 31, 2025, our proved reserves were approximately 48% oil, 26% natural gas and 26% natural gas liquids.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Our Relationship with Diamondback</w:t>
      </w:r>
    </w:p>
    <w:p>
      <w:pPr>
        <w:spacing w:after="0" w:line="25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Diamondback beneficially owned 155,058,093 shares of our outstanding Class B Common Stock, representing approximately 42.1% of the then outstanding voting power of our capital stock on a fully diluted basis, after giving effect to the outstanding TWR Class B Option (as defined and discussed in Note 4—Acquisitions and Divestitures in Item 8. Financial Statements and Supplementary Data of this report). We believe Diamondback’s significant ownership in us may motivate it to offer additional mineral and other interests in oil and natural gas properties to us in the future, although Diamondback has no obligation to do so and may elect to hold or dispose of mineral and other interests in such properties without offering us the opportunities to acquire them.</w:t>
      </w:r>
    </w:p>
    <w:p>
      <w:pPr>
        <w:spacing w:after="0" w:line="207"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We believe Diamondback views our company as part of its business strategy and that Diamondback may be incentivized to pursue additional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80"/>
          </w:cols>
          <w:pgMar w:left="980" w:top="214" w:right="980"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firstLine="720"/>
        <w:spacing w:after="0" w:line="249" w:lineRule="auto"/>
        <w:rPr>
          <w:sz w:val="20"/>
          <w:szCs w:val="20"/>
          <w:color w:val="auto"/>
        </w:rPr>
      </w:pPr>
      <w:r>
        <w:rPr>
          <w:rFonts w:ascii="Times New Roman" w:cs="Times New Roman" w:eastAsia="Times New Roman" w:hAnsi="Times New Roman"/>
          <w:sz w:val="20"/>
          <w:szCs w:val="20"/>
          <w:color w:val="auto"/>
        </w:rPr>
        <w:t>In addition, neither we nor our Operating Company have any employees. Diamondback provides management, operating and administrative services to us under the services and secondment agreement (the “Services and Secondment Agreement”), including the services of the executive officers and other employees. For additional information, please read Item</w:t>
      </w:r>
    </w:p>
    <w:p>
      <w:pPr>
        <w:spacing w:after="0" w:line="2" w:lineRule="exact"/>
        <w:rPr>
          <w:sz w:val="20"/>
          <w:szCs w:val="20"/>
          <w:color w:val="auto"/>
        </w:rPr>
      </w:pPr>
    </w:p>
    <w:p>
      <w:pPr>
        <w:ind w:left="20" w:hanging="9"/>
        <w:spacing w:after="0" w:line="286" w:lineRule="auto"/>
        <w:tabs>
          <w:tab w:leader="none" w:pos="25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and the consolidated financial statements and related notes in Item 8. Financial Statements and Supplementary Data of this report.</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Business Strategies</w:t>
      </w:r>
    </w:p>
    <w:p>
      <w:pPr>
        <w:spacing w:after="0" w:line="256"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Our primary business objective is to generate the highest value proposition for our stockholders through a focus on increasing long-term per share growth and returns by generating robust free cash flow, managing our capital structure, including reducing debt, and protecting our balance sheet. We intend to accomplish this objective by executing the following strategies:</w:t>
      </w:r>
    </w:p>
    <w:p>
      <w:pPr>
        <w:spacing w:after="0" w:line="194" w:lineRule="exact"/>
        <w:rPr>
          <w:sz w:val="20"/>
          <w:szCs w:val="20"/>
          <w:color w:val="auto"/>
        </w:rPr>
      </w:pPr>
    </w:p>
    <w:p>
      <w:pPr>
        <w:jc w:val="both"/>
        <w:ind w:left="740" w:hanging="368"/>
        <w:spacing w:after="0" w:line="258"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Capitalize on the development of the properties underlying our mineral interests to grow our cash flow</w:t>
      </w:r>
      <w:r>
        <w:rPr>
          <w:rFonts w:ascii="Times New Roman" w:cs="Times New Roman" w:eastAsia="Times New Roman" w:hAnsi="Times New Roman"/>
          <w:sz w:val="20"/>
          <w:szCs w:val="20"/>
          <w:color w:val="auto"/>
        </w:rPr>
        <w:t>. We expect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production from our mineral interests will increase as Diamondback and our other operators continue to develop our acreage by drilling and completing wells. We expect to capitalize on this development, which requires no capital expenditure funding from us, and believe the anticipated increase in our aggregate royalty payment receipts will enable us to grow our cash flows.</w:t>
      </w:r>
    </w:p>
    <w:p>
      <w:pPr>
        <w:spacing w:after="0" w:line="203" w:lineRule="exact"/>
        <w:rPr>
          <w:rFonts w:ascii="Times New Roman" w:cs="Times New Roman" w:eastAsia="Times New Roman" w:hAnsi="Times New Roman"/>
          <w:sz w:val="20"/>
          <w:szCs w:val="20"/>
          <w:color w:val="auto"/>
        </w:rPr>
      </w:pPr>
    </w:p>
    <w:p>
      <w:pPr>
        <w:jc w:val="both"/>
        <w:ind w:left="740" w:hanging="368"/>
        <w:spacing w:after="0" w:line="253"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Leverage our relationship with Diamondback to participate with it in acquisitions of mineral or other interests in producing properties from third parties and to increase the size and scope of our potential third-party acquisition targets</w:t>
      </w:r>
      <w:r>
        <w:rPr>
          <w:rFonts w:ascii="Times New Roman" w:cs="Times New Roman" w:eastAsia="Times New Roman" w:hAnsi="Times New Roman"/>
          <w:sz w:val="20"/>
          <w:szCs w:val="20"/>
          <w:color w:val="auto"/>
        </w:rPr>
        <w:t>. We have in the past and intend to continue to make opportunistic acquisitions of mineral and other interests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have substantial oil-weighted resource potential and organic growth potential. Through our relationships with Diamondback and its affiliates, we have access to their significant pool of management talent and industry relationships, which we believe provide us with a competitive advantage in pursuing potential third-party acquisition opportunities. For example, we and Diamondback may pursue an acquisition where Diamondback acquires working and revenue interests in properties and we acquire mineral, royalty or overriding royalty interests in such properties either in the same or subsequent transactions.</w:t>
      </w:r>
    </w:p>
    <w:p>
      <w:pPr>
        <w:spacing w:after="0" w:line="213" w:lineRule="exact"/>
        <w:rPr>
          <w:rFonts w:ascii="Times New Roman" w:cs="Times New Roman" w:eastAsia="Times New Roman" w:hAnsi="Times New Roman"/>
          <w:sz w:val="20"/>
          <w:szCs w:val="20"/>
          <w:color w:val="auto"/>
        </w:rPr>
      </w:pPr>
    </w:p>
    <w:p>
      <w:pPr>
        <w:jc w:val="both"/>
        <w:ind w:left="740" w:hanging="368"/>
        <w:spacing w:after="0" w:line="253"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Seek to acquire from Diamondback or unaffiliated third parties, from time to time, mineral or other interests in producing oil and natural gas properties that meet our acquisition criteria</w:t>
      </w:r>
      <w:r>
        <w:rPr>
          <w:rFonts w:ascii="Times New Roman" w:cs="Times New Roman" w:eastAsia="Times New Roman" w:hAnsi="Times New Roman"/>
          <w:sz w:val="20"/>
          <w:szCs w:val="20"/>
          <w:color w:val="auto"/>
        </w:rPr>
        <w:t>. Since our formation, we have acquired,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may have additional opportunities from time to time in the future to acquire, mineral or other interests in producing oil and natural gas properties directly from Diamondback as well as from unaffiliated third parties. We believe Diamondback may continue to be incentivized to sell properties to us, as doing so may enhance Diamondback’s economic returns by monetizing long-lived producing properties while potentially retaining a portion of the resulting cash flow through dividends on Diamondback’s controlling interests in us. However, neither Diamondback nor any of its affiliates are contractually or otherwise obligated to offer or sell any interests in properties to us. We also may seek to acquire mineral or other interests in producing oil and natural gas properties from unaffiliated third parties, such as our August 2025 acquisition of Sitio.</w:t>
      </w:r>
    </w:p>
    <w:p>
      <w:pPr>
        <w:spacing w:after="0" w:line="209" w:lineRule="exact"/>
        <w:rPr>
          <w:rFonts w:ascii="Times New Roman" w:cs="Times New Roman" w:eastAsia="Times New Roman" w:hAnsi="Times New Roman"/>
          <w:sz w:val="20"/>
          <w:szCs w:val="20"/>
          <w:color w:val="auto"/>
        </w:rPr>
      </w:pPr>
    </w:p>
    <w:p>
      <w:pPr>
        <w:jc w:val="both"/>
        <w:ind w:left="740" w:hanging="368"/>
        <w:spacing w:after="0" w:line="267"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High-grade our asset base. </w:t>
      </w:r>
      <w:r>
        <w:rPr>
          <w:rFonts w:ascii="Times New Roman" w:cs="Times New Roman" w:eastAsia="Times New Roman" w:hAnsi="Times New Roman"/>
          <w:sz w:val="20"/>
          <w:szCs w:val="20"/>
          <w:color w:val="auto"/>
        </w:rPr>
        <w:t>We intend to continue to high-grade our asset base and opportunistically divest non-core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mineral interests, such as the Non-Permian Divestiture on February 9, 2026, and then redeploy proceeds into our core areas of focus.</w:t>
      </w:r>
    </w:p>
    <w:p>
      <w:pPr>
        <w:spacing w:after="0" w:line="190" w:lineRule="exact"/>
        <w:rPr>
          <w:rFonts w:ascii="Times New Roman" w:cs="Times New Roman" w:eastAsia="Times New Roman" w:hAnsi="Times New Roman"/>
          <w:sz w:val="20"/>
          <w:szCs w:val="20"/>
          <w:color w:val="auto"/>
        </w:rPr>
      </w:pPr>
    </w:p>
    <w:p>
      <w:pPr>
        <w:jc w:val="both"/>
        <w:ind w:left="740" w:hanging="369"/>
        <w:spacing w:after="0" w:line="255"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Maintain a conservative capital structure to allow financial flexibility. </w:t>
      </w:r>
      <w:r>
        <w:rPr>
          <w:rFonts w:ascii="Times New Roman" w:cs="Times New Roman" w:eastAsia="Times New Roman" w:hAnsi="Times New Roman"/>
          <w:sz w:val="20"/>
          <w:szCs w:val="20"/>
          <w:color w:val="auto"/>
        </w:rPr>
        <w:t>Since our formation, we have maintained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conservative capital structure that has allowed us to opportunistically purchase accretive mineral and other interests. We are committed to maintaining a conservative leverage profile and will continue to seek to opportunistically fund accretive acquisitions. In addition to returning capital to our stockholders through base and variable dividends in accordance with our dividend policy and share repurchases under our repurchase program, we intend to continue to manage our balance sheet and debt obligations to ensure our ability to successfully operate in challenging business and commodity price environments.</w:t>
      </w:r>
    </w:p>
    <w:p>
      <w:pPr>
        <w:spacing w:after="0" w:line="205" w:lineRule="exact"/>
        <w:rPr>
          <w:rFonts w:ascii="Times New Roman" w:cs="Times New Roman" w:eastAsia="Times New Roman" w:hAnsi="Times New Roman"/>
          <w:sz w:val="20"/>
          <w:szCs w:val="20"/>
          <w:color w:val="auto"/>
        </w:rPr>
      </w:pPr>
    </w:p>
    <w:p>
      <w:pPr>
        <w:jc w:val="both"/>
        <w:ind w:left="740" w:hanging="369"/>
        <w:spacing w:after="0" w:line="268"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Hedge to manage commodity price risk and to protect our balance sheet and cash flow</w:t>
      </w:r>
      <w:r>
        <w:rPr>
          <w:rFonts w:ascii="Times New Roman" w:cs="Times New Roman" w:eastAsia="Times New Roman" w:hAnsi="Times New Roman"/>
          <w:sz w:val="20"/>
          <w:szCs w:val="20"/>
          <w:color w:val="auto"/>
        </w:rPr>
        <w:t>. We use a combination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 instruments to economically hedge exposure to changes in commodity prices and maintain financial and balance sheet flexibility.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80"/>
          </w:cols>
          <w:pgMar w:left="980" w:top="214" w:right="980"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258" w:lineRule="exact"/>
        <w:rPr>
          <w:sz w:val="20"/>
          <w:szCs w:val="20"/>
          <w:color w:val="auto"/>
        </w:rPr>
      </w:pPr>
    </w:p>
    <w:p>
      <w:pPr>
        <w:ind w:left="20" w:firstLine="720"/>
        <w:spacing w:after="0" w:line="286" w:lineRule="auto"/>
        <w:rPr>
          <w:sz w:val="20"/>
          <w:szCs w:val="20"/>
          <w:color w:val="auto"/>
        </w:rPr>
      </w:pPr>
      <w:r>
        <w:rPr>
          <w:rFonts w:ascii="Times New Roman" w:cs="Times New Roman" w:eastAsia="Times New Roman" w:hAnsi="Times New Roman"/>
          <w:sz w:val="20"/>
          <w:szCs w:val="20"/>
          <w:color w:val="auto"/>
        </w:rPr>
        <w:t>We believe the following competitive strengths will allow us to successfully execute our business strategies and achieve our primary business objective:</w:t>
      </w:r>
    </w:p>
    <w:p>
      <w:pPr>
        <w:spacing w:after="0" w:line="170" w:lineRule="exact"/>
        <w:rPr>
          <w:sz w:val="20"/>
          <w:szCs w:val="20"/>
          <w:color w:val="auto"/>
        </w:rPr>
      </w:pPr>
    </w:p>
    <w:p>
      <w:pPr>
        <w:jc w:val="both"/>
        <w:ind w:left="740" w:hanging="369"/>
        <w:spacing w:after="0" w:line="258"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Oil rich resource base in one of North America’s leading resource plays</w:t>
      </w:r>
      <w:r>
        <w:rPr>
          <w:rFonts w:ascii="Times New Roman" w:cs="Times New Roman" w:eastAsia="Times New Roman" w:hAnsi="Times New Roman"/>
          <w:sz w:val="20"/>
          <w:szCs w:val="20"/>
          <w:color w:val="auto"/>
        </w:rPr>
        <w:t>. As of December 31, 2025, 244 horizontal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drilling rigs were operating in the Permian Basin, representing 46% of the total U.S. onshore horizontal rig activity. The majority of our mineral and royalty acreage is positioned in the core of both the Midland and Delaware Basins in the Permian Basin. Production on our mineral and royalty acreage for the year ended December 31, 2025, and our estimated net proved reserves are heavily oil-weighted.</w:t>
      </w:r>
    </w:p>
    <w:p>
      <w:pPr>
        <w:spacing w:after="0" w:line="201" w:lineRule="exact"/>
        <w:rPr>
          <w:rFonts w:ascii="Times New Roman" w:cs="Times New Roman" w:eastAsia="Times New Roman" w:hAnsi="Times New Roman"/>
          <w:sz w:val="20"/>
          <w:szCs w:val="20"/>
          <w:color w:val="auto"/>
        </w:rPr>
      </w:pPr>
    </w:p>
    <w:p>
      <w:pPr>
        <w:jc w:val="both"/>
        <w:ind w:left="740" w:hanging="369"/>
        <w:spacing w:after="0" w:line="261"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Sustainable, high margin business unburdened by capital expenses with minimal operating expenses. </w:t>
      </w:r>
      <w:r>
        <w:rPr>
          <w:rFonts w:ascii="Times New Roman" w:cs="Times New Roman" w:eastAsia="Times New Roman" w:hAnsi="Times New Roman"/>
          <w:sz w:val="20"/>
          <w:szCs w:val="20"/>
          <w:color w:val="auto"/>
        </w:rPr>
        <w:t>Our mineral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royalty interests provide us with cash flows without the requirement to fund drilling and completion costs or lease operating expenses. Our operating margins generate free cash flow growth in a stable or rising price environment as the </w:t>
      </w:r>
      <w:r>
        <w:rPr>
          <w:rFonts w:ascii="Times New Roman" w:cs="Times New Roman" w:eastAsia="Times New Roman" w:hAnsi="Times New Roman"/>
          <w:sz w:val="20"/>
          <w:szCs w:val="20"/>
          <w:color w:val="221F1F"/>
        </w:rPr>
        <w:t>underlying production associated with our royalty interests continues to grow.</w:t>
      </w:r>
    </w:p>
    <w:p>
      <w:pPr>
        <w:spacing w:after="0" w:line="197" w:lineRule="exact"/>
        <w:rPr>
          <w:rFonts w:ascii="Times New Roman" w:cs="Times New Roman" w:eastAsia="Times New Roman" w:hAnsi="Times New Roman"/>
          <w:sz w:val="20"/>
          <w:szCs w:val="20"/>
          <w:color w:val="auto"/>
        </w:rPr>
      </w:pPr>
    </w:p>
    <w:p>
      <w:pPr>
        <w:jc w:val="both"/>
        <w:ind w:left="740" w:hanging="369"/>
        <w:spacing w:after="0" w:line="253"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221F1F"/>
        </w:rPr>
        <w:t>Experienced and proven management team</w:t>
      </w:r>
      <w:r>
        <w:rPr>
          <w:rFonts w:ascii="Times New Roman" w:cs="Times New Roman" w:eastAsia="Times New Roman" w:hAnsi="Times New Roman"/>
          <w:sz w:val="20"/>
          <w:szCs w:val="20"/>
          <w:color w:val="221F1F"/>
        </w:rPr>
        <w:t>. Diamondback provides us with personnel and general and administrative</w:t>
      </w:r>
      <w:r>
        <w:rPr>
          <w:rFonts w:ascii="Times New Roman" w:cs="Times New Roman" w:eastAsia="Times New Roman" w:hAnsi="Times New Roman"/>
          <w:sz w:val="20"/>
          <w:szCs w:val="20"/>
          <w:b w:val="1"/>
          <w:bCs w:val="1"/>
          <w:i w:val="1"/>
          <w:iCs w:val="1"/>
          <w:color w:val="221F1F"/>
        </w:rPr>
        <w:t xml:space="preserve"> </w:t>
      </w:r>
      <w:r>
        <w:rPr>
          <w:rFonts w:ascii="Times New Roman" w:cs="Times New Roman" w:eastAsia="Times New Roman" w:hAnsi="Times New Roman"/>
          <w:sz w:val="20"/>
          <w:szCs w:val="20"/>
          <w:color w:val="221F1F"/>
        </w:rPr>
        <w:t xml:space="preserve">services, including the services of the executive officers, senior management and other employees, pursuant to the Services and Secondment Agreement. The members of our executive team have significant industry experience, most of which has been focused on resource play development primarily in the Permian Basin, and Diamondback, which currently operates approximately </w:t>
      </w:r>
      <w:r>
        <w:rPr>
          <w:rFonts w:ascii="Times New Roman" w:cs="Times New Roman" w:eastAsia="Times New Roman" w:hAnsi="Times New Roman"/>
          <w:sz w:val="20"/>
          <w:szCs w:val="20"/>
          <w:color w:val="000000"/>
        </w:rPr>
        <w:t>35%</w:t>
      </w:r>
      <w:r>
        <w:rPr>
          <w:rFonts w:ascii="Times New Roman" w:cs="Times New Roman" w:eastAsia="Times New Roman" w:hAnsi="Times New Roman"/>
          <w:sz w:val="20"/>
          <w:szCs w:val="20"/>
          <w:color w:val="221F1F"/>
        </w:rPr>
        <w:t xml:space="preserve"> of our mineral and royalty acreage, has a proven track record of executing on multi-rig development drilling programs and extensive experience primarily in the Permian Basin. In addition, our executive team has significant experience with acquisition of properties and businesses in the oil and natural gas industry. We believe the industry relationships and experience of our management team are essential for the execution of our business strategy.</w:t>
      </w:r>
    </w:p>
    <w:p>
      <w:pPr>
        <w:spacing w:after="0" w:line="213" w:lineRule="exact"/>
        <w:rPr>
          <w:rFonts w:ascii="Times New Roman" w:cs="Times New Roman" w:eastAsia="Times New Roman" w:hAnsi="Times New Roman"/>
          <w:sz w:val="20"/>
          <w:szCs w:val="20"/>
          <w:color w:val="auto"/>
        </w:rPr>
      </w:pPr>
    </w:p>
    <w:p>
      <w:pPr>
        <w:jc w:val="both"/>
        <w:ind w:left="740" w:hanging="369"/>
        <w:spacing w:after="0" w:line="255"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221F1F"/>
        </w:rPr>
        <w:t xml:space="preserve">Favorable and stable business environment. </w:t>
      </w:r>
      <w:r>
        <w:rPr>
          <w:rFonts w:ascii="Times New Roman" w:cs="Times New Roman" w:eastAsia="Times New Roman" w:hAnsi="Times New Roman"/>
          <w:sz w:val="20"/>
          <w:szCs w:val="20"/>
          <w:color w:val="221F1F"/>
        </w:rPr>
        <w:t>We primarily focus our growth in the Permian Basin, one of the oldest,</w:t>
      </w:r>
      <w:r>
        <w:rPr>
          <w:rFonts w:ascii="Times New Roman" w:cs="Times New Roman" w:eastAsia="Times New Roman" w:hAnsi="Times New Roman"/>
          <w:sz w:val="20"/>
          <w:szCs w:val="20"/>
          <w:b w:val="1"/>
          <w:bCs w:val="1"/>
          <w:i w:val="1"/>
          <w:iCs w:val="1"/>
          <w:color w:val="221F1F"/>
        </w:rPr>
        <w:t xml:space="preserve"> </w:t>
      </w:r>
      <w:r>
        <w:rPr>
          <w:rFonts w:ascii="Times New Roman" w:cs="Times New Roman" w:eastAsia="Times New Roman" w:hAnsi="Times New Roman"/>
          <w:sz w:val="20"/>
          <w:szCs w:val="20"/>
          <w:color w:val="221F1F"/>
        </w:rPr>
        <w:t>most prolific hydrocarbon basins in the United States, with a long and well-established production history and developed infrastructure. We believe that the geological and regulatory environment is more stable and predictable, and that we are faced with fewer operational risks in the Permian Basin as compared to other unconventional hydrocarbon basins. We believe that the impact of the proven application of new technology, combined with the substantial geological information available about the Permian Basin, also reduces the risk of development and exploration activities on our mineral and royalty acreage as compared to other unconventional hydrocarbon basins.</w:t>
      </w:r>
    </w:p>
    <w:p>
      <w:pPr>
        <w:spacing w:after="0" w:line="206" w:lineRule="exact"/>
        <w:rPr>
          <w:rFonts w:ascii="Times New Roman" w:cs="Times New Roman" w:eastAsia="Times New Roman" w:hAnsi="Times New Roman"/>
          <w:sz w:val="20"/>
          <w:szCs w:val="20"/>
          <w:color w:val="auto"/>
        </w:rPr>
      </w:pPr>
    </w:p>
    <w:p>
      <w:pPr>
        <w:jc w:val="both"/>
        <w:ind w:left="740" w:hanging="369"/>
        <w:spacing w:after="0" w:line="256" w:lineRule="auto"/>
        <w:tabs>
          <w:tab w:leader="none" w:pos="740" w:val="left"/>
        </w:tabs>
        <w:numPr>
          <w:ilvl w:val="0"/>
          <w:numId w:val="6"/>
        </w:numPr>
        <w:rPr>
          <w:rFonts w:ascii="Times New Roman" w:cs="Times New Roman" w:eastAsia="Times New Roman" w:hAnsi="Times New Roman"/>
          <w:sz w:val="20"/>
          <w:szCs w:val="20"/>
          <w:color w:val="221F1F"/>
        </w:rPr>
      </w:pPr>
      <w:r>
        <w:rPr>
          <w:rFonts w:ascii="Times New Roman" w:cs="Times New Roman" w:eastAsia="Times New Roman" w:hAnsi="Times New Roman"/>
          <w:sz w:val="20"/>
          <w:szCs w:val="20"/>
          <w:b w:val="1"/>
          <w:bCs w:val="1"/>
          <w:i w:val="1"/>
          <w:iCs w:val="1"/>
          <w:color w:val="221F1F"/>
        </w:rPr>
        <w:t xml:space="preserve">Enhanced Permian Basin footprint facilitating the pursuit of disciplined transactions in highly fragmented minerals market. </w:t>
      </w:r>
      <w:r>
        <w:rPr>
          <w:rFonts w:ascii="Times New Roman" w:cs="Times New Roman" w:eastAsia="Times New Roman" w:hAnsi="Times New Roman"/>
          <w:sz w:val="20"/>
          <w:szCs w:val="20"/>
          <w:color w:val="000000"/>
        </w:rPr>
        <w:t>On August 19, 2025, we completed the Sitio Acquisition, which has significantly expanded our</w:t>
      </w:r>
      <w:r>
        <w:rPr>
          <w:rFonts w:ascii="Times New Roman" w:cs="Times New Roman" w:eastAsia="Times New Roman" w:hAnsi="Times New Roman"/>
          <w:sz w:val="20"/>
          <w:szCs w:val="20"/>
          <w:b w:val="1"/>
          <w:bCs w:val="1"/>
          <w:i w:val="1"/>
          <w:iCs w:val="1"/>
          <w:color w:val="221F1F"/>
        </w:rPr>
        <w:t xml:space="preserve"> </w:t>
      </w:r>
      <w:r>
        <w:rPr>
          <w:rFonts w:ascii="Times New Roman" w:cs="Times New Roman" w:eastAsia="Times New Roman" w:hAnsi="Times New Roman"/>
          <w:sz w:val="20"/>
          <w:szCs w:val="20"/>
          <w:color w:val="000000"/>
        </w:rPr>
        <w:t>footprint across the core of the Permian Basin and increased our exposure to high quality development activity. We believe that completion and integration of the Sitio Acquisition further enhances our ability to pursue disciplined transactions in what continues to be a highly fragmented minerals market, apply superior land and data capabilities to source and evaluate opportunities and integrate assets efficiently.</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Oil and Natural Gas Data</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Proved Reserves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Evaluation and Review of Reserves</w:t>
      </w:r>
    </w:p>
    <w:p>
      <w:pPr>
        <w:spacing w:after="0" w:line="247"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estimated reserves as of December 31, 2025, 2024 and 2023 are based on reserve estimates prepared by our internal reservoir engineers and audited by Ryder Scott, an independent petroleum engineering firm.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audits was to provide additional assurance on the reasonableness of internally prepared reserve estimates for 2025, 2024 and 2023. The proved reserve audits performed by Ryder Scott for 2025, 2024 and 2023 covered 100% of our total proved reserves for each respective year. A copy of the summary audit report prepared by Ryder Scott is included as Exhibit 99.1 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80"/>
          </w:cols>
          <w:pgMar w:left="980" w:top="214" w:right="980"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Under SEC rules, proved reserves are those quantities of oil and natural gas, which,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2025, were estimated using a deterministic method.</w:t>
      </w:r>
    </w:p>
    <w:p>
      <w:pPr>
        <w:spacing w:after="0" w:line="205"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 (ii) volumetric-based methods, and (iii)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included, but were not limited to, decline curve analysis, which utilized extrapolations of available historical production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All proved undeveloped reserves were estimated by the analogy method.</w:t>
      </w:r>
    </w:p>
    <w:p>
      <w:pPr>
        <w:spacing w:after="0" w:line="216"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SEC pricing requirements and forecasts of future production rates. To establish reasonable certainty with respect to our estimated proved reserves, the technologies and economic data used in the estimation of our proved reserves included, but were not limited to, production data, downhole completion information, geologic data and historical well cost and operating expense data.</w:t>
      </w:r>
    </w:p>
    <w:p>
      <w:pPr>
        <w:spacing w:after="0" w:line="206"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color w:val="auto"/>
        </w:rPr>
        <w:t>The process of estimating oil, natural gas and natural gas liquids reserves is complex and requires significant judgment, as discussed in Item 1A. Risk Factors and Item 7. Management’s Discussion and Analysis of Financial Condition and Results of Operations—Critical Accounting Estimates of this report. As a result, our petroleum engineers and geoscience professionals have an internal controls process to ensure the integrity, accuracy and timeliness of the data used to calculate proved reserves relating to our assets. Our internal technical staff met with our independent reserve auditors periodically during their audit of the December 31, 2025 reserve report to discuss the assumptions and methods used in our proved reserve estimation process. As part of the audit process, we provide historical information to the independent reserve auditors for our properties such as ownership interest, oil and gas production, commodity prices and operating and development costs. Our Executive Vice President and Chief Engineer is primarily responsible for overseeing the preparation of all of our reserve estimates and overseeing communications with our independent reserve auditor. Our Executive Vice President and Chief Engineer is a petroleum engineer with over 22 years of reservoir and operations experience and our geoscience staff has an average of approximately 17 years of industry experience per person. Our technical staff uses historical information for our properties such as ownership interest, oil and natural gas production, commodity prices and operating and development costs to estimate economic lives of our properties. Ryder Scott performed an independent analysis during its audit of our estimated reserves for 2025 and any differences were reviewed with our Executive Vice President and Chief Engineer. For 2025, our reserve auditor’s estimates of our proved reserves did not differ materially from our estimates by more than the established audit tolerance guidelines of ten percent.</w:t>
      </w:r>
    </w:p>
    <w:p>
      <w:pPr>
        <w:spacing w:after="0" w:line="222"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The internal control procedures utilized in the preparation of our proved reserve estimates are intended to ensure reliability of reserve estimations, and include, but are not limited to the following:</w:t>
      </w:r>
    </w:p>
    <w:p>
      <w:pPr>
        <w:spacing w:after="0" w:line="170" w:lineRule="exact"/>
        <w:rPr>
          <w:sz w:val="20"/>
          <w:szCs w:val="20"/>
          <w:color w:val="auto"/>
        </w:rPr>
      </w:pPr>
    </w:p>
    <w:p>
      <w:pPr>
        <w:ind w:left="720" w:hanging="349"/>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verification of historical production data, which is based on actual production as reported by our operators;</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reserve estimates by the primary reserve engineers or under their direct supervision;</w:t>
      </w:r>
    </w:p>
    <w:p>
      <w:pPr>
        <w:spacing w:after="0" w:line="10" w:lineRule="exact"/>
        <w:rPr>
          <w:rFonts w:ascii="Times New Roman" w:cs="Times New Roman" w:eastAsia="Times New Roman" w:hAnsi="Times New Roman"/>
          <w:sz w:val="20"/>
          <w:szCs w:val="20"/>
          <w:color w:val="auto"/>
        </w:rPr>
      </w:pPr>
    </w:p>
    <w:p>
      <w:pPr>
        <w:ind w:left="740" w:right="260" w:hanging="369"/>
        <w:spacing w:after="0" w:line="250"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by the primary reserve engineers of all of our reported proved reserves at the close of each quarter, including the review of all significant reserve changes and all new proved undeveloped reserves additions;</w:t>
      </w:r>
    </w:p>
    <w:p>
      <w:pPr>
        <w:ind w:left="740" w:right="60" w:hanging="369"/>
        <w:spacing w:after="0" w:line="249"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historical realized commodity prices and differentials from index prices compared to the differentials used in the reserves database;</w:t>
      </w:r>
    </w:p>
    <w:p>
      <w:pPr>
        <w:ind w:left="740" w:right="320" w:hanging="369"/>
        <w:spacing w:after="0" w:line="289"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reporting responsibilities by our Executive Vice President and Chief Engineer to our Chief Executive Officer and by the current primary reserve engineer to our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80"/>
          </w:cols>
          <w:pgMar w:left="980" w:top="214" w:right="980"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740" w:hanging="369"/>
        <w:spacing w:after="0" w:line="249"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finalizing the reserve report, a review of our preliminary proved reserve estimates by our Chief Executive Officer, Diamondback’s Executive Vice President and Chief Operating Officer, our Executive Vice President and Chief Engineer and our primary reserves engineers takes place on an annual basis;</w:t>
      </w:r>
    </w:p>
    <w:p>
      <w:pPr>
        <w:spacing w:after="0" w:line="1" w:lineRule="exact"/>
        <w:rPr>
          <w:rFonts w:ascii="Times New Roman" w:cs="Times New Roman" w:eastAsia="Times New Roman" w:hAnsi="Times New Roman"/>
          <w:sz w:val="20"/>
          <w:szCs w:val="20"/>
          <w:color w:val="auto"/>
        </w:rPr>
      </w:pPr>
    </w:p>
    <w:p>
      <w:pPr>
        <w:ind w:left="740" w:hanging="369"/>
        <w:spacing w:after="0" w:line="249"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our proved reserve estimates by our Audit Committee with our executive team and Ryder Scott on an annual basis;</w:t>
      </w:r>
    </w:p>
    <w:p>
      <w:pPr>
        <w:ind w:left="720" w:hanging="349"/>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verification of property ownership by our land department; and</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employee’s compensation is tied to the amount of reserves booked.</w:t>
      </w:r>
    </w:p>
    <w:p>
      <w:pPr>
        <w:spacing w:after="0" w:line="250"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For estimates and further discussion of our proved developed and proved undeveloped reserves, see Note 15— Supplemental Information on Oil and Natural Gas Operations (Unaudited) in Item 8. Financial Statements and Supplementary Data of this report.</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Oil and Natural Gas Production Prices and Production Costs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Production and Price History</w:t>
      </w:r>
    </w:p>
    <w:p>
      <w:pPr>
        <w:spacing w:after="0" w:line="253" w:lineRule="exact"/>
        <w:rPr>
          <w:sz w:val="20"/>
          <w:szCs w:val="20"/>
          <w:color w:val="auto"/>
        </w:rPr>
      </w:pPr>
    </w:p>
    <w:p>
      <w:pPr>
        <w:jc w:val="both"/>
        <w:ind w:left="20" w:firstLine="720"/>
        <w:spacing w:after="0" w:line="278" w:lineRule="auto"/>
        <w:rPr>
          <w:sz w:val="20"/>
          <w:szCs w:val="20"/>
          <w:color w:val="auto"/>
        </w:rPr>
      </w:pPr>
      <w:r>
        <w:rPr>
          <w:rFonts w:ascii="Times New Roman" w:cs="Times New Roman" w:eastAsia="Times New Roman" w:hAnsi="Times New Roman"/>
          <w:sz w:val="20"/>
          <w:szCs w:val="20"/>
          <w:color w:val="auto"/>
        </w:rPr>
        <w:t>Our properties are located primarily in the Midland and Delaware Basins of the Permian Basin in Texas. At December 31, 2025, 2024 and 2023, the Midland Basin and the Delaware Basin each contained 15% or more of our total proved reserves.</w:t>
      </w:r>
    </w:p>
    <w:p>
      <w:pPr>
        <w:spacing w:after="0" w:line="200" w:lineRule="exact"/>
        <w:rPr>
          <w:sz w:val="20"/>
          <w:szCs w:val="20"/>
          <w:color w:val="auto"/>
        </w:rPr>
      </w:pPr>
    </w:p>
    <w:p>
      <w:pPr>
        <w:spacing w:after="0" w:line="225"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420" w:type="dxa"/>
            <w:vAlign w:val="bottom"/>
          </w:tcPr>
          <w:p>
            <w:pPr>
              <w:spacing w:after="0"/>
              <w:rPr>
                <w:sz w:val="21"/>
                <w:szCs w:val="21"/>
                <w:color w:val="auto"/>
              </w:rPr>
            </w:pPr>
          </w:p>
        </w:tc>
        <w:tc>
          <w:tcPr>
            <w:tcW w:w="15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Midland</w:t>
            </w:r>
          </w:p>
        </w:tc>
        <w:tc>
          <w:tcPr>
            <w:tcW w:w="15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2"/>
                <w:szCs w:val="22"/>
                <w:b w:val="1"/>
                <w:bCs w:val="1"/>
                <w:color w:val="auto"/>
                <w:vertAlign w:val="superscript"/>
              </w:rPr>
              <w:t>(2)</w:t>
            </w:r>
          </w:p>
        </w:tc>
        <w:tc>
          <w:tcPr>
            <w:tcW w:w="12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4"/>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(MBbls)</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14,000</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3,579</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296</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17,875</w:t>
            </w:r>
          </w:p>
        </w:tc>
      </w:tr>
      <w:tr>
        <w:trPr>
          <w:trHeight w:val="300"/>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36,364</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13,208</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2,104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51,676</w:t>
            </w:r>
          </w:p>
        </w:tc>
      </w:tr>
      <w:tr>
        <w:trPr>
          <w:trHeight w:val="300"/>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(MBbls)</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5,757</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1,243</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1,233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8,233</w:t>
            </w:r>
          </w:p>
        </w:tc>
      </w:tr>
      <w:tr>
        <w:trPr>
          <w:trHeight w:val="283"/>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volumes (MBOE)</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25,818</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7,023</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1,880</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34,721</w:t>
            </w:r>
          </w:p>
        </w:tc>
      </w:tr>
      <w:tr>
        <w:trPr>
          <w:trHeight w:val="60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6"/>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(MBbls)</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7,105</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2,766</w:t>
            </w:r>
          </w:p>
        </w:tc>
        <w:tc>
          <w:tcPr>
            <w:tcW w:w="15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68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9,939</w:t>
            </w:r>
          </w:p>
        </w:tc>
      </w:tr>
      <w:tr>
        <w:trPr>
          <w:trHeight w:val="300"/>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16,802</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7,482</w:t>
            </w:r>
          </w:p>
        </w:tc>
        <w:tc>
          <w:tcPr>
            <w:tcW w:w="15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322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24,606</w:t>
            </w:r>
          </w:p>
        </w:tc>
      </w:tr>
      <w:tr>
        <w:trPr>
          <w:trHeight w:val="300"/>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(MBbls)</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2,976</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1,174</w:t>
            </w:r>
          </w:p>
        </w:tc>
        <w:tc>
          <w:tcPr>
            <w:tcW w:w="15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4,181</w:t>
            </w:r>
          </w:p>
        </w:tc>
      </w:tr>
      <w:tr>
        <w:trPr>
          <w:trHeight w:val="283"/>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volumes (MBOE)</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12,881</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5,187</w:t>
            </w:r>
          </w:p>
        </w:tc>
        <w:tc>
          <w:tcPr>
            <w:tcW w:w="15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153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18,221</w:t>
            </w:r>
          </w:p>
        </w:tc>
      </w:tr>
      <w:tr>
        <w:trPr>
          <w:trHeight w:val="60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6"/>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(MBbls)</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5,789</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2,210</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29</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8,028</w:t>
            </w:r>
          </w:p>
        </w:tc>
      </w:tr>
      <w:tr>
        <w:trPr>
          <w:trHeight w:val="298"/>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13,088</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5,984</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58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19,130</w:t>
            </w:r>
          </w:p>
        </w:tc>
      </w:tr>
      <w:tr>
        <w:trPr>
          <w:trHeight w:val="300"/>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(MBbls)</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2,323</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782</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w:t>
            </w:r>
          </w:p>
        </w:tc>
      </w:tr>
      <w:tr>
        <w:trPr>
          <w:trHeight w:val="283"/>
        </w:trPr>
        <w:tc>
          <w:tcPr>
            <w:tcW w:w="4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volumes (MBOE)</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10,293</w:t>
            </w: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3,989</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42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14,324</w:t>
            </w:r>
          </w:p>
        </w:tc>
      </w:tr>
    </w:tbl>
    <w:p>
      <w:pPr>
        <w:spacing w:after="0" w:line="64" w:lineRule="exact"/>
        <w:rPr>
          <w:sz w:val="20"/>
          <w:szCs w:val="20"/>
          <w:color w:val="auto"/>
        </w:rPr>
      </w:pPr>
    </w:p>
    <w:p>
      <w:pPr>
        <w:ind w:left="360" w:hanging="349"/>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Bbl equivalents are calculated using a conversion rate of six Mcf per one Bbl.</w:t>
      </w:r>
    </w:p>
    <w:p>
      <w:pPr>
        <w:spacing w:after="0" w:line="10" w:lineRule="exact"/>
        <w:rPr>
          <w:rFonts w:ascii="Times New Roman" w:cs="Times New Roman" w:eastAsia="Times New Roman" w:hAnsi="Times New Roman"/>
          <w:sz w:val="20"/>
          <w:szCs w:val="20"/>
          <w:color w:val="auto"/>
        </w:rPr>
      </w:pPr>
    </w:p>
    <w:p>
      <w:pPr>
        <w:ind w:left="380" w:right="180" w:hanging="368"/>
        <w:spacing w:after="0" w:line="286" w:lineRule="auto"/>
        <w:tabs>
          <w:tab w:leader="none" w:pos="3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data includes the Denver-Julesburg, Eagle Ford and Williston basins beginning August 19, 2025, the effective date on which the properties were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80"/>
          </w:cols>
          <w:pgMar w:left="980" w:top="214" w:right="980"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sets forth certain average sales price information for each of the periods indicated:</w:t>
      </w:r>
    </w:p>
    <w:p>
      <w:pPr>
        <w:spacing w:after="0" w:line="34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2"/>
                <w:szCs w:val="22"/>
                <w:color w:val="auto"/>
              </w:rPr>
            </w:pPr>
          </w:p>
        </w:tc>
      </w:tr>
      <w:tr>
        <w:trPr>
          <w:trHeight w:val="249"/>
        </w:trPr>
        <w:tc>
          <w:tcPr>
            <w:tcW w:w="5860" w:type="dxa"/>
            <w:vAlign w:val="bottom"/>
          </w:tcPr>
          <w:p>
            <w:pPr>
              <w:jc w:val="right"/>
              <w:ind w:right="4141"/>
              <w:spacing w:after="0"/>
              <w:rPr>
                <w:sz w:val="20"/>
                <w:szCs w:val="20"/>
                <w:color w:val="auto"/>
              </w:rPr>
            </w:pPr>
            <w:r>
              <w:rPr>
                <w:rFonts w:ascii="Times New Roman" w:cs="Times New Roman" w:eastAsia="Times New Roman" w:hAnsi="Times New Roman"/>
                <w:sz w:val="18"/>
                <w:szCs w:val="18"/>
                <w:b w:val="1"/>
                <w:bCs w:val="1"/>
                <w:color w:val="auto"/>
                <w:w w:val="96"/>
              </w:rPr>
              <w:t>Average Sales Prices: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16"/>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Oil ($/Bbl) </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75.48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77.13</w:t>
            </w:r>
          </w:p>
        </w:tc>
        <w:tc>
          <w:tcPr>
            <w:tcW w:w="20" w:type="dxa"/>
            <w:vAlign w:val="bottom"/>
          </w:tcPr>
          <w:p>
            <w:pPr>
              <w:spacing w:after="0"/>
              <w:rPr>
                <w:sz w:val="24"/>
                <w:szCs w:val="24"/>
                <w:color w:val="auto"/>
              </w:rPr>
            </w:pPr>
          </w:p>
        </w:tc>
      </w:tr>
      <w:tr>
        <w:trPr>
          <w:trHeight w:val="300"/>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Natural gas ($/Mcf) </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tcPr>
          <w:p>
            <w:pPr>
              <w:spacing w:after="0"/>
              <w:rPr>
                <w:sz w:val="24"/>
                <w:szCs w:val="24"/>
                <w:color w:val="auto"/>
              </w:rPr>
            </w:pPr>
          </w:p>
        </w:tc>
      </w:tr>
      <w:tr>
        <w:trPr>
          <w:trHeight w:val="300"/>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Natural gas liquids ($/Bbl) </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w:t>
            </w:r>
          </w:p>
        </w:tc>
        <w:tc>
          <w:tcPr>
            <w:tcW w:w="20" w:type="dxa"/>
            <w:vAlign w:val="bottom"/>
          </w:tcPr>
          <w:p>
            <w:pPr>
              <w:spacing w:after="0"/>
              <w:rPr>
                <w:sz w:val="24"/>
                <w:szCs w:val="24"/>
                <w:color w:val="auto"/>
              </w:rPr>
            </w:pPr>
          </w:p>
        </w:tc>
      </w:tr>
      <w:tr>
        <w:trPr>
          <w:trHeight w:val="300"/>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($/BOE)</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46.85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50.06</w:t>
            </w:r>
          </w:p>
        </w:tc>
        <w:tc>
          <w:tcPr>
            <w:tcW w:w="20" w:type="dxa"/>
            <w:vAlign w:val="bottom"/>
          </w:tcPr>
          <w:p>
            <w:pPr>
              <w:spacing w:after="0"/>
              <w:rPr>
                <w:sz w:val="24"/>
                <w:szCs w:val="24"/>
                <w:color w:val="auto"/>
              </w:rPr>
            </w:pPr>
          </w:p>
        </w:tc>
      </w:tr>
      <w:tr>
        <w:trPr>
          <w:trHeight w:val="614"/>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hedged ($/Bbl)</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74.57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76.05</w:t>
            </w:r>
          </w:p>
        </w:tc>
        <w:tc>
          <w:tcPr>
            <w:tcW w:w="20" w:type="dxa"/>
            <w:vAlign w:val="bottom"/>
          </w:tcPr>
          <w:p>
            <w:pPr>
              <w:spacing w:after="0"/>
              <w:rPr>
                <w:sz w:val="24"/>
                <w:szCs w:val="24"/>
                <w:color w:val="auto"/>
              </w:rPr>
            </w:pPr>
          </w:p>
        </w:tc>
      </w:tr>
      <w:tr>
        <w:trPr>
          <w:trHeight w:val="298"/>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hedged ($/Mcf)</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0.85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4"/>
                <w:szCs w:val="24"/>
                <w:color w:val="auto"/>
              </w:rPr>
            </w:pPr>
          </w:p>
        </w:tc>
      </w:tr>
      <w:tr>
        <w:trPr>
          <w:trHeight w:val="300"/>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($/Bbl)</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w:t>
            </w:r>
          </w:p>
        </w:tc>
        <w:tc>
          <w:tcPr>
            <w:tcW w:w="20" w:type="dxa"/>
            <w:vAlign w:val="bottom"/>
          </w:tcPr>
          <w:p>
            <w:pPr>
              <w:spacing w:after="0"/>
              <w:rPr>
                <w:sz w:val="24"/>
                <w:szCs w:val="24"/>
                <w:color w:val="auto"/>
              </w:rPr>
            </w:pPr>
          </w:p>
        </w:tc>
      </w:tr>
      <w:tr>
        <w:trPr>
          <w:trHeight w:val="283"/>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price, hedged ($/BOE)</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46.68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49.13</w:t>
            </w:r>
          </w:p>
        </w:tc>
        <w:tc>
          <w:tcPr>
            <w:tcW w:w="20" w:type="dxa"/>
            <w:vAlign w:val="bottom"/>
          </w:tcPr>
          <w:p>
            <w:pPr>
              <w:spacing w:after="0"/>
              <w:rPr>
                <w:sz w:val="24"/>
                <w:szCs w:val="24"/>
                <w:color w:val="auto"/>
              </w:rPr>
            </w:pPr>
          </w:p>
        </w:tc>
      </w:tr>
    </w:tbl>
    <w:p>
      <w:pPr>
        <w:spacing w:after="0" w:line="66" w:lineRule="exact"/>
        <w:rPr>
          <w:sz w:val="20"/>
          <w:szCs w:val="20"/>
          <w:color w:val="auto"/>
        </w:rPr>
      </w:pPr>
    </w:p>
    <w:p>
      <w:pPr>
        <w:jc w:val="both"/>
        <w:ind w:left="380" w:right="20" w:hanging="369"/>
        <w:spacing w:after="0" w:line="267"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Hedged prices reflect the effect of our commodity derivative transactions on our average sales prices. Our calculation of such effects includes realized gains and losses on cash settlements for matured commodity derivatives, which we do not designate for hedge accounting.</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Productive Wells</w:t>
      </w:r>
    </w:p>
    <w:p>
      <w:pPr>
        <w:spacing w:after="0" w:line="253"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we owned an average 2.2% net revenue interest in 43,355 gross productive wells, including an average 2.2% net revenue interest in 39,434 gross oil productive wells and an average 1.3% net revenue interest in 3,921 gross natural gas productive wells. As of December 31, 2025, we had 14 gross wells with an average 10.1% net revenue interest in process of being drilled by Diamondback. The expected timing of our wells is based primarily on permitting by third-party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spacing w:after="0" w:line="2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Acreage</w:t>
      </w:r>
    </w:p>
    <w:p>
      <w:pPr>
        <w:spacing w:after="0" w:line="253" w:lineRule="exact"/>
        <w:rPr>
          <w:sz w:val="20"/>
          <w:szCs w:val="20"/>
          <w:color w:val="auto"/>
        </w:rPr>
      </w:pPr>
    </w:p>
    <w:p>
      <w:pPr>
        <w:jc w:val="both"/>
        <w:ind w:left="20" w:right="20" w:firstLine="721"/>
        <w:spacing w:after="0" w:line="286" w:lineRule="auto"/>
        <w:rPr>
          <w:sz w:val="20"/>
          <w:szCs w:val="20"/>
          <w:color w:val="auto"/>
        </w:rPr>
      </w:pPr>
      <w:r>
        <w:rPr>
          <w:rFonts w:ascii="Times New Roman" w:cs="Times New Roman" w:eastAsia="Times New Roman" w:hAnsi="Times New Roman"/>
          <w:sz w:val="20"/>
          <w:szCs w:val="20"/>
          <w:color w:val="auto"/>
        </w:rPr>
        <w:t>The following table sets forth information as of December 31, 2025, relating to the gross and net royalty acreage of our mineral interests:</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2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Gross Royalty Acreage</w:t>
            </w:r>
          </w:p>
        </w:tc>
        <w:tc>
          <w:tcPr>
            <w:tcW w:w="1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Net Royalty Acreage</w:t>
            </w:r>
          </w:p>
        </w:tc>
      </w:tr>
      <w:tr>
        <w:trPr>
          <w:trHeight w:val="266"/>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Delaware</w:t>
            </w:r>
          </w:p>
        </w:tc>
        <w:tc>
          <w:tcPr>
            <w:tcW w:w="20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1,986,216</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36,004</w:t>
            </w:r>
          </w:p>
        </w:tc>
      </w:tr>
      <w:tr>
        <w:trPr>
          <w:trHeight w:val="296"/>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Midland</w:t>
            </w:r>
            <w:r>
              <w:rPr>
                <w:rFonts w:ascii="Times New Roman" w:cs="Times New Roman" w:eastAsia="Times New Roman" w:hAnsi="Times New Roman"/>
                <w:sz w:val="20"/>
                <w:szCs w:val="20"/>
                <w:color w:val="B3B3B3"/>
              </w:rPr>
              <w:t>............................................................................................................</w:t>
            </w:r>
          </w:p>
        </w:tc>
        <w:tc>
          <w:tcPr>
            <w:tcW w:w="20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1,891,742</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50,595</w:t>
            </w:r>
          </w:p>
        </w:tc>
      </w:tr>
      <w:tr>
        <w:trPr>
          <w:trHeight w:val="316"/>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3B3B3"/>
              </w:rPr>
              <w:t>................................................................................................................</w:t>
            </w:r>
          </w:p>
        </w:tc>
        <w:tc>
          <w:tcPr>
            <w:tcW w:w="2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584,161</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9,404</w:t>
            </w:r>
          </w:p>
        </w:tc>
      </w:tr>
      <w:tr>
        <w:trPr>
          <w:trHeight w:val="264"/>
        </w:trPr>
        <w:tc>
          <w:tcPr>
            <w:tcW w:w="61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Totalacreage</w:t>
            </w:r>
          </w:p>
        </w:tc>
        <w:tc>
          <w:tcPr>
            <w:tcW w:w="20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4,462,119</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96,003</w:t>
            </w: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left="20" w:right="20" w:firstLine="720"/>
        <w:spacing w:after="0" w:line="261" w:lineRule="auto"/>
        <w:rPr>
          <w:sz w:val="20"/>
          <w:szCs w:val="20"/>
          <w:color w:val="auto"/>
        </w:rPr>
      </w:pPr>
      <w:r>
        <w:rPr>
          <w:rFonts w:ascii="Times New Roman" w:cs="Times New Roman" w:eastAsia="Times New Roman" w:hAnsi="Times New Roman"/>
          <w:sz w:val="20"/>
          <w:szCs w:val="20"/>
          <w:color w:val="auto"/>
        </w:rPr>
        <w:t>Our net interest in production from our mineral interests is based on lease royalty terms which vary from property to property. Our interest in the majority of these properties is perpetual in nature; however, a portion of our net royalty acreage consists of overriding royalty interests which may be subject to expiration. Net royalty acres are defined as net mineral acres multiplied by the average lease royalty interest and other burdens.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Title to Properties</w:t>
      </w:r>
    </w:p>
    <w:p>
      <w:pPr>
        <w:spacing w:after="0" w:line="258"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Prior to the drilling of an oil or natural gas well, it is typical in our industry for the well operator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to increase production and reserves in the future. Additionally, undeveloped acreage has greater risk of title defects than developed acreage. If there are any title defects or defects in the assignment of leasehold rights in properties in which we hold an interest, our business and cash available for dividends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300"/>
          </w:cols>
          <w:pgMar w:left="980" w:top="214" w:right="960"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oil and natural gas industry is intensely competitive, and we compete with other companies that may have greater resources. Many of these companies explore for and produce oil and natural gas, carry on midstream and refining operations and market petroleum and other products on a regional, national or worldwide basis. These companies may be able to pay more for productive oil and natural gas properties, mineral interests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than operators of our mineral and royalty acreage. Our larger or more integrated competitors may be able to absorb the burden of existing, and any changes to, federal, state and local laws and regulations more easily than we can, which would adversely affect our competitive position.</w:t>
      </w:r>
    </w:p>
    <w:p>
      <w:pPr>
        <w:spacing w:after="0" w:line="21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These alternate forms of energy include electricity, coal, fuel oils and nuclear energy.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Seasonal Nature of Business</w:t>
      </w:r>
    </w:p>
    <w:p>
      <w:pPr>
        <w:spacing w:after="0" w:line="25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Generally, demand for oil increases during the summer months and decreases during the winter months while demand for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61"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i w:val="1"/>
          <w:iCs w:val="1"/>
          <w:color w:val="auto"/>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Inc., to the extent the Company were to acquire working interests in the future as well as to any operators of our properties, including our current operators.</w:t>
      </w:r>
    </w:p>
    <w:p>
      <w:pPr>
        <w:spacing w:after="0" w:line="200"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Oil and natural gas operations are subject to various types of legislation, regulation and other legal requirements enacted by governmental authorities. Federal and state legislation and regulation affecting the oil and natural gas industry is evolving. Some of these requirements carry substantial penalties for failure to comply. The regulatory burden on the oil and natural gas industry increases the cost of doing business.</w:t>
      </w:r>
    </w:p>
    <w:p>
      <w:pPr>
        <w:spacing w:after="0" w:line="194"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Environmental Matters. </w:t>
      </w:r>
      <w:r>
        <w:rPr>
          <w:rFonts w:ascii="Times New Roman" w:cs="Times New Roman" w:eastAsia="Times New Roman" w:hAnsi="Times New Roman"/>
          <w:sz w:val="20"/>
          <w:szCs w:val="20"/>
          <w:color w:val="auto"/>
        </w:rPr>
        <w:t>Oil and natural gas exploration, development and production operations are 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 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w:t>
      </w:r>
    </w:p>
    <w:p>
      <w:pPr>
        <w:spacing w:after="0" w:line="3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80"/>
          </w:cols>
          <w:pgMar w:left="980" w:top="214" w:right="980"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regulations occur frequently, and may result in more stringent and costly pollution control or waste handling, storage, transport, disposal or cleanup requirements that could materially and adversely affect our business and prospects. Further, on January 20, 2025, President Trump issued a series of executive orders and memoranda signaling a shift in environmental and energy policy in the United States, including the revocation of several Biden administration-era executive orders related to public health, the environment, climate change and climate-related financial risks. President Trump also declared a “national energy emergency,” directing agencies to expedite conventional energy projects. While the Trump Administration’s changes to the environmental regulatory landscape in the United States continue to develop, it is possible that additional changes in the future could impact our results of operations and those of our customers.</w:t>
      </w:r>
    </w:p>
    <w:p>
      <w:pPr>
        <w:spacing w:after="0" w:line="208"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Waste Handling. </w:t>
      </w:r>
      <w:r>
        <w:rPr>
          <w:rFonts w:ascii="Times New Roman" w:cs="Times New Roman" w:eastAsia="Times New Roman" w:hAnsi="Times New Roman"/>
          <w:sz w:val="20"/>
          <w:szCs w:val="20"/>
          <w:color w:val="auto"/>
        </w:rPr>
        <w:t>The Resource Conservation and Recovery Act, or the RCRA, as amended, and comparable state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 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 categorize certain oil and natural gas exploration, development and production wastes as “hazardous wastes.” Any changes in such laws and regulations could have a material adverse effect on our capital expenditures and operating expenses.</w:t>
      </w:r>
    </w:p>
    <w:p>
      <w:pPr>
        <w:spacing w:after="0" w:line="216"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Administrative, civil and criminal penalties can be imposed for failure to comply with waste handling requirements. Any legislative or regulatory reclassification of oil and natural gas exploration and production wastes could increase our costs to manage and dispose of such wastes.</w:t>
      </w:r>
    </w:p>
    <w:p>
      <w:pPr>
        <w:spacing w:after="0" w:line="187"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Remediation of Hazardous Substances. </w:t>
      </w:r>
      <w:r>
        <w:rPr>
          <w:rFonts w:ascii="Times New Roman" w:cs="Times New Roman" w:eastAsia="Times New Roman" w:hAnsi="Times New Roman"/>
          <w:sz w:val="20"/>
          <w:szCs w:val="20"/>
          <w:color w:val="auto"/>
        </w:rPr>
        <w:t>The Comprehensive Environmental Response, Compensation and Liability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Additionally, emerging contaminants, like per- and polyfluoroalkyl substances (“PFAS”) such as perfluorooctanesulfonic acid and perfluorooctanoic acid compounds, have become subject to CERCLA regulation in addition to existing federal and state chemicals regulation, and PFAS have recently been regulated under the Toxic Substances Control Act (“TSCA”). Other emerging contaminants could also become subject to regulation under CERCLA, TSCA or comparable state laws. Governmental agencies or third parties may seek to hold us responsible under CERCLA and comparable state statutes for all or part of the costs to clean up sites at which such “hazardous substances” have been released. We cannot provide any assurance that the costs and liabilities associated with the future imposition of such remedial or regulatory compliance obligations upon our operators would not have a material adverse effect on our operations or financial position.</w:t>
      </w:r>
    </w:p>
    <w:p>
      <w:pPr>
        <w:spacing w:after="0" w:line="218"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Water Discharges. </w:t>
      </w:r>
      <w:r>
        <w:rPr>
          <w:rFonts w:ascii="Times New Roman" w:cs="Times New Roman" w:eastAsia="Times New Roman" w:hAnsi="Times New Roman"/>
          <w:sz w:val="20"/>
          <w:szCs w:val="20"/>
          <w:color w:val="auto"/>
        </w:rPr>
        <w:t>The Federal Water Pollution Control Act of 1972, as amended, also known as the “Clean Water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 or the CWA, the Safe Drinking Water Act, the Oil Pollution Act of 1990,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05" w:lineRule="exact"/>
        <w:rPr>
          <w:sz w:val="20"/>
          <w:szCs w:val="20"/>
          <w:color w:val="auto"/>
        </w:rPr>
      </w:pPr>
    </w:p>
    <w:p>
      <w:pPr>
        <w:jc w:val="both"/>
        <w:ind w:left="20" w:right="20" w:firstLine="720"/>
        <w:spacing w:after="0" w:line="289" w:lineRule="auto"/>
        <w:rPr>
          <w:sz w:val="20"/>
          <w:szCs w:val="20"/>
          <w:color w:val="auto"/>
        </w:rPr>
      </w:pPr>
      <w:r>
        <w:rPr>
          <w:rFonts w:ascii="Times New Roman" w:cs="Times New Roman" w:eastAsia="Times New Roman" w:hAnsi="Times New Roman"/>
          <w:sz w:val="20"/>
          <w:szCs w:val="20"/>
          <w:color w:val="auto"/>
        </w:rPr>
        <w:t>The scope of waters regulated under the CWA has fluctuated in recent years due to notable rulemaking efforts and judicial challenges. On January 18, 2023, the EPA and the U.S. Army Corps of Engineers, or the Corps, jointly promulgated</w:t>
      </w:r>
    </w:p>
    <w:p>
      <w:pPr>
        <w:spacing w:after="0" w:line="3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80"/>
          </w:cols>
          <w:pgMar w:left="980" w:top="214" w:right="980"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final rules expanding the scope of waters protected under the CWA. However, on May 25, 2023, the United States Supreme Court issued an opinion substantially narrowing the scope of “waters of the United States” protected by the CWA. On September 8, 2023, the EPA and the Corps published a final rule conforming their regulations to the decision. Later, on March 12, 2025, the EPA issued guidance narrowing the definition of “wetland” from the Biden-era definition in order to align that definition with the Supreme Court’s May 25, 2023 decision. These recent actions have provided some clarity. However, to the extent the EPA and the Corps broadly interpret their jurisdiction and expand the range of properties subject to the CWA’s jurisdiction, we or third -party operators could face increased costs and delays with respect to obtaining permits for dredge and fill activities in wetland areas.</w:t>
      </w:r>
    </w:p>
    <w:p>
      <w:pPr>
        <w:spacing w:after="0" w:line="20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On March 12, 2025, the EPA announced that it is re-evaluating the existing regulations on oil and gas wastewater, including exploring opportunities for discharge from centralized wastewater treatment facilities.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4"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05"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Non-compliance with the CWA or the OPA may result in substantial administrative, civil and criminal penalties, as well as injunctive obligations.</w:t>
      </w:r>
    </w:p>
    <w:p>
      <w:pPr>
        <w:spacing w:after="0" w:line="172"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Air Emissions. </w:t>
      </w:r>
      <w:r>
        <w:rPr>
          <w:rFonts w:ascii="Times New Roman" w:cs="Times New Roman" w:eastAsia="Times New Roman" w:hAnsi="Times New Roman"/>
          <w:sz w:val="20"/>
          <w:szCs w:val="20"/>
          <w:color w:val="auto"/>
        </w:rPr>
        <w:t>The federal Clean Air Act, or the CAA, as amended, and comparable state laws and regulations,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if they are under common control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spacing w:after="0" w:line="224"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Climate Change. </w:t>
      </w:r>
      <w:r>
        <w:rPr>
          <w:rFonts w:ascii="Times New Roman" w:cs="Times New Roman" w:eastAsia="Times New Roman" w:hAnsi="Times New Roman"/>
          <w:sz w:val="20"/>
          <w:szCs w:val="20"/>
          <w:color w:val="auto"/>
        </w:rPr>
        <w:t>In recent years, federal, state and local governments have taken steps to reduce emissions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greenhouse gases (including carbon dioxide, methane and other gases). Such rules and regulations have been proposed, amended and challenged, and finalized, and compliance deadlines have been extended or regulations rescinded. For example, the Infrastructure Investment and Jobs Act of 2021 and the Inflation Reduction Act of 2022, or the IRA, include billions of dollars in incentives for the development of renewable energy and supporting infrastructure. In March 2024, the EPA published a final rule in the Federal Register to establish comprehensive standards of performance and emission guidelines for methane and volatile organic compound emissions from new and existing operations in the oil and gas sector, including the exploration and production, transmission, processing, and storage segments. On November 26, 2025, the EPA issued an interim final rule to extend certain compliance deadlines from the March 2024 final rule. These incentives and regulations, if implemented, may encourage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“waste emissions charge” on the emission of methane that exceeds an applicable waste emissions threshold from sources required to report their greenhouse gas emissions to the EPA,</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80"/>
          </w:cols>
          <w:pgMar w:left="980" w:top="214" w:right="980"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20"/>
          <w:szCs w:val="20"/>
          <w:color w:val="auto"/>
        </w:rPr>
        <w:t>including those sources in offshore and onshore petroleum and natural gas production and gathering and boosting source categories. On November 18, 2024, the EPA published a final rule on the methane emissions charge, which became effective on January 17, 2025. Twenty-three states filed a lawsuit challenging the CAA amendment, and the One Big Beautiful Bill Act, passed July 4, 2025, suspends the “waste emissions charge” from future implementation. The current U.S. presidential administration has also expressed an intention to scale back various other climate regulations launched under previous administrations. On February 12, 2026, the EPA issued a final rule eliminating the 2009 greenhouse gas endangerment finding, which underpins U.S. federal regulation of greenhouses gas emissions under the Clean Air Act. The final rule is expected to be subject to extensive litigation and the impact of such scaling back is difficult to predict at this time. Despite this shift, numerous proposals have been and continue to be made at the international, regional and state levels of government that are intended to limit emissions of greenhouse gases by enforceable requirements and voluntary measures.</w:t>
      </w:r>
    </w:p>
    <w:p>
      <w:pPr>
        <w:spacing w:after="0" w:line="209"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The EPA has also finalized a series of greenhouse gas monitoring, reporting and emissions control rules for the oil and natural gas industry. On November 26, 2025, the EPA issued an interim final rule to extend certain compliance deadlines from the March 2024 final rule. Additionally, several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0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In addition to domestic regulation of greenhouse gases, there continues to be international interest in a global framework for greenhouse gas reductions. However, on January 20, 2025, President Trump issued an executive order directing the United States Ambassador to the United Nations to immediately withdraw from the Paris Agreement and revoke the U.S. International Climate Finance Plan, and on January 27, 2025, the United States’ Acting Ambassador to the United Nations submitted a notification of withdrawal from the Paris Agreement. The withdrawal became effective on January 27, 2026.</w:t>
      </w:r>
    </w:p>
    <w:p>
      <w:pPr>
        <w:spacing w:after="0" w:line="199"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94"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Regulation of Hydraulic Fracturing. </w:t>
      </w:r>
      <w:r>
        <w:rPr>
          <w:rFonts w:ascii="Times New Roman" w:cs="Times New Roman" w:eastAsia="Times New Roman" w:hAnsi="Times New Roman"/>
          <w:sz w:val="20"/>
          <w:szCs w:val="20"/>
          <w:color w:val="auto"/>
        </w:rPr>
        <w:t>Hydraulic fracturing is an important common practice that is used to stimulate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11"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On March 8, 2024, the EPA published a final rule to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On December 1, 2025, the EPA published a final rule extending several compliance deadlines in the March 2024 final rule. This final rule was promptly challenged in federal court by environmental groups. While there is uncertainty regarding the scope and extent of EPA’s regulation of air emissions from hydraulic fracturing operations, any future laws and their implementing regulations may require us to obtain pre-approval for the expansion or modification of existing facilities or the construction of new facilities expected to produce air emissions. Additionally, in the future, the EPA may impose more stringent air permit requirements, or mandate the use of specific equipment or technologies to control emissions, which may increase our compliance or operating costs.</w:t>
      </w:r>
    </w:p>
    <w:p>
      <w:pPr>
        <w:spacing w:after="0" w:line="211"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80"/>
          </w:cols>
          <w:pgMar w:left="980" w:top="214" w:right="980"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0"/>
          <w:szCs w:val="20"/>
          <w:color w:val="auto"/>
        </w:rPr>
        <w:t>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the disposal of produced water, a moratorium on new produced water wells, and additional monitoring and reporting requirements could result in increased operating costs, forcing our operators or their vendors to truck produced water, recycle it or pump it through the pipeline network or other means, all of which could be costly. Our operators or their vendors may also limit disposal well volumes, disposal rates and pressures or locations, or require them to shut down or curtail the injection of produced water into disposal wells. These factors may make drilling activity in the affected parts of the Permian Basin less economical and adversely impact our business.</w:t>
      </w:r>
    </w:p>
    <w:p>
      <w:pPr>
        <w:spacing w:after="0" w:line="236" w:lineRule="exact"/>
        <w:rPr>
          <w:sz w:val="20"/>
          <w:szCs w:val="20"/>
          <w:color w:val="auto"/>
        </w:rPr>
      </w:pPr>
    </w:p>
    <w:p>
      <w:pPr>
        <w:jc w:val="both"/>
        <w:ind w:left="20" w:firstLine="720"/>
        <w:spacing w:after="0" w:line="257" w:lineRule="auto"/>
        <w:rPr>
          <w:sz w:val="20"/>
          <w:szCs w:val="20"/>
          <w:color w:val="auto"/>
        </w:rPr>
      </w:pPr>
      <w:r>
        <w:rPr>
          <w:rFonts w:ascii="Times New Roman" w:cs="Times New Roman" w:eastAsia="Times New Roman" w:hAnsi="Times New Roman"/>
          <w:sz w:val="20"/>
          <w:szCs w:val="20"/>
          <w:color w:val="auto"/>
        </w:rPr>
        <w:t>On December 17, 2024, the Texas Railroad Commission adopted a significant overhaul of its rules regulating oil and gas waste management facilities in Texas. The new rules went into effect on July 1, 2025. The new rules, found in 16 TAC Chapter 4, cover waste from oil and gas operations, such as rock and other material pulled up from the ground during drilling, as well as waste from other operations. The rules impose requirements related to waste management practices and production methods, such as recycling produced water. The rules also update requirements on the design, construction, operation, monitoring, and closure of waste management units.</w:t>
      </w:r>
    </w:p>
    <w:p>
      <w:pPr>
        <w:spacing w:after="0" w:line="200"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226"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Endangered Species. </w:t>
      </w:r>
      <w:r>
        <w:rPr>
          <w:rFonts w:ascii="Times New Roman" w:cs="Times New Roman" w:eastAsia="Times New Roman" w:hAnsi="Times New Roman"/>
          <w:sz w:val="20"/>
          <w:szCs w:val="20"/>
          <w:color w:val="auto"/>
        </w:rPr>
        <w:t>The federal Endangered Species Act, or ESA, and analogous state laws restrict activities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affect listed endangered or threatened species or their habitats. If endangered species, such as the lesser prairie chicken or dunes sagebrush lizard, are located in areas where our operators or their vendors operate, their operations or any work performed related to their operations could be prohibited or delayed, or expensive mitigation could be required. The designation of previously unprotected species as threatened or endangered in areas where our operators or their vendors operate could result in the imposition of restrictions on our operators’ or their vendors’ operations or any work related to their operations.</w:t>
      </w:r>
    </w:p>
    <w:p>
      <w:pPr>
        <w:spacing w:after="0" w:line="204"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Regulation of the Oil and Natural Gas Industry. </w:t>
      </w:r>
      <w:r>
        <w:rPr>
          <w:rFonts w:ascii="Times New Roman" w:cs="Times New Roman" w:eastAsia="Times New Roman" w:hAnsi="Times New Roman"/>
          <w:sz w:val="20"/>
          <w:szCs w:val="20"/>
          <w:color w:val="auto"/>
        </w:rPr>
        <w:t>The oil and natural gas industry is extensively regulated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80"/>
          </w:cols>
          <w:pgMar w:left="980" w:top="214" w:right="980"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availability, terms and cost of transportation of oil and natural gas significantly affect its marketability and sale. The interstate transportation and sale for resale of natural gas, and the interstate transportation of oil, is subject to federal regulation, including regulation of the terms, conditions and rates for interstate transportation, storage and various other matters, primarily by FERC. Oil and natural gas pipelines are also subject to extensive safety regulation by the Pipeline and Hazardous Materials Safety Administration, a part of the U.S. Department of Transportation, and state regulatory agencies. Federal and state regulations govern the price and terms for access to oil and natural gas pipeline transportation. FERC regulation of interstate oil and natural gas transmission in some circumstances may also affect the intrastate transportation of oil and natural gas, which is predominantly state-regulated.</w:t>
      </w:r>
    </w:p>
    <w:p>
      <w:pPr>
        <w:spacing w:after="0" w:line="208"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02"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Drilling and Production. </w:t>
      </w:r>
      <w:r>
        <w:rPr>
          <w:rFonts w:ascii="Times New Roman" w:cs="Times New Roman" w:eastAsia="Times New Roman" w:hAnsi="Times New Roman"/>
          <w:sz w:val="20"/>
          <w:szCs w:val="20"/>
          <w:color w:val="auto"/>
        </w:rPr>
        <w:t>The operations of our operators are subject to various types of regulation at the federal, state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local 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205"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they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stockholders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16"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Federal, state and local regulations provide detailed requirements for the plugging and abandonment of wells, closure or decommissioning of production facilities and pipelines and for site restoration. Although the Corps does not require bonds or other financial assurances, some state agencies and municipalities do have such requirements.</w:t>
      </w:r>
    </w:p>
    <w:p>
      <w:pPr>
        <w:spacing w:after="0" w:line="187"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Natural Gas Sales. </w:t>
      </w:r>
      <w:r>
        <w:rPr>
          <w:rFonts w:ascii="Times New Roman" w:cs="Times New Roman" w:eastAsia="Times New Roman" w:hAnsi="Times New Roman"/>
          <w:sz w:val="20"/>
          <w:szCs w:val="20"/>
          <w:color w:val="auto"/>
        </w:rPr>
        <w:t>Historically, federal legislation and regulatory controls have affected the price and marketing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natural gas. FERC has jurisdiction over the transportation and sale for resale of natural gas in interstate commerce under the Natural Gas Act of 1938 and the Natural Gas Policy Act of 1978. Beginning with that legislation in 1978 and continuing with the Wellhead Decontrol Act of 1989,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 for violations.</w:t>
      </w:r>
    </w:p>
    <w:p>
      <w:pPr>
        <w:spacing w:after="0" w:line="207"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Oil Sales and Transportation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Sales of crude oil, condensate and natural gas liquids are not currently regulated and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made at negotiated prices. Nevertheless, the U.S. Congress could reenact price controls in the future.</w:t>
      </w:r>
    </w:p>
    <w:p>
      <w:pPr>
        <w:spacing w:after="0" w:line="170"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Crude oil sales are affected by the availability, terms and cost of transportation. The transportation of oil (including other liquid hydrocarbons) in common carrier pipelines is also subject to rate regulation. FERC regulates interstate oil pipeline transportation rates under the Interstate Commerce Act.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80"/>
          </w:cols>
          <w:pgMar w:left="980" w:top="214" w:right="980"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spacing w:after="0" w:line="199"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State Regulation. </w:t>
      </w:r>
      <w:r>
        <w:rPr>
          <w:rFonts w:ascii="Times New Roman" w:cs="Times New Roman" w:eastAsia="Times New Roman" w:hAnsi="Times New Roman"/>
          <w:sz w:val="20"/>
          <w:szCs w:val="20"/>
          <w:color w:val="auto"/>
        </w:rPr>
        <w:t>Texas regulates the drilling for, and the production, gathering and sale of, oil and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imposing severance taxes and requirements for obtaining drilling permits.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our operators can drill.</w:t>
      </w:r>
    </w:p>
    <w:p>
      <w:pPr>
        <w:spacing w:after="0" w:line="211"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58"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We do not have any employees. Since the Conversion, our business and affairs are overseen by our board of directors, and Diamondback continues to provide personnel and general and administrative services to us, including the services of the executive officers and other employees, pursuant to the Services and Secondment Agreement. Please see Item 7. Management’s Discussion and Analysis of Financial Condition and Results of Operations and the consolidated financial statements and related notes in Item 8. Financial Statements and Supplementary Data of this report. All of the individuals that conduct our business, including our executive officers, are employed by Diamondback.</w:t>
      </w:r>
    </w:p>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56"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Our principal executive offices are located in Midland, Texas and are owned by Diamondback. We believe that these facilities are adequate for our current operations.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Availability of Company Reports</w:t>
      </w:r>
    </w:p>
    <w:p>
      <w:pPr>
        <w:spacing w:after="0" w:line="258"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all amendments to those reports are available free of charge on the Investors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9"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i w:val="1"/>
          <w:iCs w:val="1"/>
          <w:color w:val="auto"/>
        </w:rPr>
        <w:t>The nature of our business activities subjects us to certain hazards and risks. The following is a summary of the material risks relating to our business activities.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55"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Geopolitics and market conditions for oil and natural gas, and particularly volatility in prices for oil and natural gas, have in the past adversely affected, and may in the future adversely affect, our revenue, cash flows, profitability, growth and production.</w:t>
      </w:r>
    </w:p>
    <w:p>
      <w:pPr>
        <w:spacing w:after="0" w:line="193"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From the beginning of 2023 through the end of 2025, WTI has ranged from $55.27 to $93.68 per Bbl, and the Henry Hub price of natural gas has ranged from $1.58 to $5.29 per MMBtu. Regional and worldwide economic activity, changes in trade or other government policies or regulations, including with respect to U.S. energy and monetary policies, tariffs or other</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80"/>
          </w:cols>
          <w:pgMar w:left="980" w:top="214" w:right="980"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20"/>
          <w:szCs w:val="20"/>
          <w:color w:val="auto"/>
        </w:rPr>
        <w:t>trade barriers and any resulting trade tensions, regional conflicts and political instability, extreme weather conditions, and actions taken by OPEC+, continued to contribute to economic and pricing volatility. These factors and the volatility of the energy markets make it extremely difficult to predict future oil and natural gas price movements with any certainty. If the prices of oil and natural gas decline, our operations and financial condition may be materially and adversely affected. Our business may be also adversely impacted by any future government rule, regulation or order that may impose production limits, as well as pipeline capacity and storage constraints in the Permian Basin where we have mineral and royalty interests.</w:t>
      </w:r>
    </w:p>
    <w:p>
      <w:pPr>
        <w:spacing w:after="0" w:line="204"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Diamondback and certain of our other operators increased production on our acreage during 2025, but Diamondback continued to exercise capital discipline by using the majority of their excess cash flow for debt repayment and/or return to their stockholders rather than expanding its drilling programs. We cannot reasonably predict whether production levels will remain at current levels or the full extent of the impact of the events above may have on our industry and our business.</w:t>
      </w:r>
    </w:p>
    <w:p>
      <w:pPr>
        <w:spacing w:after="0" w:line="197"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Based on the current commodity pricing environment and industry conditions, we recorded non -cash ceiling test impairments of $768 million in 2025. If SEC Prices decline further as compared to commodity prices used in prior periods, we may be required to record additional impairments in future periods and such impairments could be material. Further, if commodity prices decrease, our production, proved reserves and cash flows will be adversely impacted. Lower oil and natural gas prices may also result in a reduction in the borrowing base under our revolving credit facility, which may be determined at the discretion of our lenders.</w:t>
      </w:r>
    </w:p>
    <w:p>
      <w:pPr>
        <w:spacing w:after="0" w:line="203"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spacing w:after="0" w:line="193"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We use commodity price derivatives, which have historically included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WTI pricing (WTI Cushing and Argus WTI Midland) and with natural gas derivative settlements based on the Henry Hub and Waha Hub pricing. By using derivative instruments to economically hedge exposure to changes in commodity prices, we expose ourselves to credit risk and market risk. 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Our counterparties have been determined to have an acceptable credit risk; therefore, we do not require collateral from our counterparties. By using derivative instruments, we may be prevented from fully realizing the benefits of increases in the prices of oil, natural gas and natural gas liquids above the price levels of the commodity price derivatives used to manage price risk.</w:t>
      </w:r>
    </w:p>
    <w:p>
      <w:pPr>
        <w:spacing w:after="0" w:line="214"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For additional information regarding our use of commodity price derivatives and our outstanding derivative contracts as of December 31, 2025, see Note 10—Derivatives in Item 8. Financial Statements and Supplementary Data, Item 7. Management’s Discussion and Analysis of Financial Condition and Results of Operations and Item 7A. Quantitative and Qualitative Disclosures About Market Risk—Commodity Price Risk of this report.</w:t>
      </w:r>
    </w:p>
    <w:p>
      <w:pPr>
        <w:spacing w:after="0" w:line="194"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risks relating to the transition to a low carbon economy could impose new costs on our operations that may have a material and adverse effect on us.</w:t>
      </w:r>
    </w:p>
    <w:p>
      <w:pPr>
        <w:spacing w:after="0" w:line="171"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Governmental and regulatory bodies, investors, consumers, industry and other stakeholders have evolving and varied views on climate change matters in recent years. Such views, together with changes in consumer and industrial/commercial behavior, preferences and attitudes with respect to the generation and consumption of energy, the use of hydrocarbons, and the use of products manufactured with, or powered by, hydrocarbons, may result in: (i) the enactment of new or evolving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battery technology), (iii) variability in demand from consumers and industry for energy sources other than oil and natural gas (including wind, solar, nuclear, and geothermal sources as well as electric vehicles), and (iv) development of, and variable demand from consumers and industry for, lower-emission products and services (including electric vehicles and renewable residential and commercial power supplies) as well as more efficient products and services.</w:t>
      </w:r>
    </w:p>
    <w:p>
      <w:pPr>
        <w:spacing w:after="0" w:line="209"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Any of these developments may reduce the demand for products manufactured with (or powered by) hydrocarbons and the demand for, and in turn the prices of, oil and natural gas, which would likely have a material adverse impact on our</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80"/>
          </w:cols>
          <w:pgMar w:left="980" w:top="214" w:right="980"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20"/>
          <w:szCs w:val="20"/>
          <w:color w:val="auto"/>
        </w:rPr>
        <w:t>investments. The enactment of climate change-related regulations, policies and initiatives may also result in increases in our compliance costs and other operating costs and have other adverse effects, such as a greater potential for governmental investigations or litigation. For further discussion regarding the risks to us of climate change-related regulations, policies and initiatives, see Items 1 and 2. Business and Properties—Regulation—Climate Change of this report.</w:t>
      </w:r>
    </w:p>
    <w:p>
      <w:pPr>
        <w:spacing w:after="0" w:line="195" w:lineRule="exact"/>
        <w:rPr>
          <w:sz w:val="20"/>
          <w:szCs w:val="20"/>
          <w:color w:val="auto"/>
        </w:rPr>
      </w:pPr>
    </w:p>
    <w:p>
      <w:pPr>
        <w:jc w:val="both"/>
        <w:ind w:left="20" w:firstLine="720"/>
        <w:spacing w:after="0" w:line="257" w:lineRule="auto"/>
        <w:rPr>
          <w:sz w:val="20"/>
          <w:szCs w:val="20"/>
          <w:color w:val="auto"/>
        </w:rPr>
      </w:pPr>
      <w:r>
        <w:rPr>
          <w:rFonts w:ascii="Times New Roman" w:cs="Times New Roman" w:eastAsia="Times New Roman" w:hAnsi="Times New Roman"/>
          <w:sz w:val="20"/>
          <w:szCs w:val="20"/>
          <w:color w:val="auto"/>
        </w:rPr>
        <w:t>In addition to potentially reducing demand for oil and natural gas, and the availability of oilfield services and midstream and downstream customers, further regulatory or other climate change initiatives, to the extent they continue, may create investment and reputational risks associated with the exploration for, and production of, hydrocarbons, which may adversely affect the availability and cost to us of capital. Certain stakeholders and capital providers may seek to restrict or seek to impose more stringent conditions with respect to their investment in or financing of certain carbon intensive sectors, which could result in capital being unavailable to us, or only at a significantly increased cost.</w:t>
      </w:r>
    </w:p>
    <w:p>
      <w:pPr>
        <w:spacing w:after="0" w:line="199" w:lineRule="exact"/>
        <w:rPr>
          <w:sz w:val="20"/>
          <w:szCs w:val="20"/>
          <w:color w:val="auto"/>
        </w:rPr>
      </w:pPr>
    </w:p>
    <w:p>
      <w:pPr>
        <w:jc w:val="both"/>
        <w:ind w:lef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Changing political and social perspectives on climate change and other environmental, social and governance factors may create risks and uncertainties impacting our business.</w:t>
      </w:r>
    </w:p>
    <w:p>
      <w:pPr>
        <w:spacing w:after="0" w:line="175"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We may not be able to meet evolving expectations of stakeholders, including governmental officials, standard setters, investors, employees, and customers, relating to climate change, human capital, and other environmental, social and governance (“ESG”) issues. There is conflicting and evolving pressures from proponents and opponents of ESG, and a failure to adapt to changing views could negatively impact our reputation. Proponents and opponents of these issues are increasingly resorting to activism, including litigation, to advance their positions. Such activism also includes attempts to effect changes to public companies’ businesses or governance to deal with climate change-related issues through shareholder proposals, public campaigns, proxy solicitations or other actions. Any such future actions may result in significant management distraction and potentially significant expense.</w:t>
      </w:r>
    </w:p>
    <w:p>
      <w:pPr>
        <w:spacing w:after="0" w:line="208"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whether due to our activities or the activities of the acquired entities or operations prior to their acquisition by us, we could incur substantial legal defense costs and, if any such litigation were adversely determined, we could incur substantial damages. 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Increased costs of capital could adversely affect our business.</w:t>
      </w:r>
    </w:p>
    <w:p>
      <w:pPr>
        <w:spacing w:after="0" w:line="251"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spacing w:after="0" w:line="203"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may not have sufficient available cash to pay any quarterly dividend on our Common Stock, our cash available for dividends may vary significantly from quarter to quarter and our board of directors may in the future modify or revoke our cash dividend policy at any time at its discretion. Our dividend policy could limit our ability to grow and make acquisitions.</w:t>
      </w:r>
    </w:p>
    <w:p>
      <w:pPr>
        <w:spacing w:after="0" w:line="193" w:lineRule="exact"/>
        <w:rPr>
          <w:sz w:val="20"/>
          <w:szCs w:val="20"/>
          <w:color w:val="auto"/>
        </w:rPr>
      </w:pPr>
    </w:p>
    <w:p>
      <w:pPr>
        <w:jc w:val="both"/>
        <w:ind w:left="20" w:firstLine="721"/>
        <w:spacing w:after="0" w:line="252" w:lineRule="auto"/>
        <w:rPr>
          <w:sz w:val="20"/>
          <w:szCs w:val="20"/>
          <w:color w:val="auto"/>
        </w:rPr>
      </w:pPr>
      <w:r>
        <w:rPr>
          <w:rFonts w:ascii="Times New Roman" w:cs="Times New Roman" w:eastAsia="Times New Roman" w:hAnsi="Times New Roman"/>
          <w:sz w:val="20"/>
          <w:szCs w:val="20"/>
          <w:color w:val="auto"/>
        </w:rPr>
        <w:t>We may not have sufficient cash available to pay base or variable dividends to our common stockholders each quarter. Furthermore, our cash dividend policy does not require us to pay dividends on a quarterly basis or otherwise. The amount of cash we have to distribute each quarter principally depends upon the amount of royalty income we generate, which is dependent upon the volumes of production sold and the prices that our operators realize from the sale of such production. In addition, the actual amount of cash we will have to distribute each quarter under our cash dividend policy will be reduced by payments in respect of income taxes, debt service and other contractual obligations and fixed charges, increases in reserves for future operating or capital needs that the board of directors may determine is appropriate, lease bonus income, dividend equivalent rights payments and preferred dividends, if any, and any common share repurchases. The board of directors may further modify or revoke our dividend policy at any time in the future at its discretion. For information regarding our dividend policy and the recent modifications, see Item 5. Market for Registrant’s Common Equity, Related Stockholder Matters and Issuer Purchases of Equity Securities—Dividend Policy and Item 7. Management’s Discussion and Analysis of Financial Condition and Results of Operations of this report. As a result, quarterly dividends paid to our stockholders may vary significantly from quarter to quarter and may be zero.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80"/>
          </w:cols>
          <w:pgMar w:left="980" w:top="214" w:right="980"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As a result of our cash dividend policy, we have limited cash available to reinvest in our business or to fund acquisitions. We expect that we will continue to fund a portion of our capital expenditures and other needs with borrowings under the revolving credit facility and from the proceeds of debt and equity offerings.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204"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To the extent we issue additional shares in connection with any acquisitions or growth capital expenditures or as in-kind dividends, the payment of dividends on those additional shares may increase the risk that we will be unable to maintain or increase our per share dividend level.</w:t>
      </w:r>
    </w:p>
    <w:p>
      <w:pPr>
        <w:spacing w:after="0" w:line="18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depend on a small number of operators for a substantial portion of the development and production on our mineral and royalty acreage. A reduction in the expected number of wells to be drilled on our acreage by these operators or the failure of an operator to adequately and efficiently develop and operate our acreage could have an adverse effect on our expected growth and our results of operations.</w:t>
      </w:r>
    </w:p>
    <w:p>
      <w:pPr>
        <w:spacing w:after="0" w:line="201"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The failure of our operators to adequately or efficiently perform operations or an operator’s failure to act in ways that are in our best interests could reduce production and revenues.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high cost or shortages of rigs and other suitable drilling equipment, raw materials, supplies and oilfield services; the availability of production and transportation infrastructure and qualified operating personnel; regulatory restrictions;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spacing w:after="0" w:line="21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operators may elect not to undertake development activities, or may undertake such activities in an unanticipated fashion, which may result in significant fluctuations in our royalty income and cash available for dividends to our stockholders.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spacing w:after="0" w:line="199" w:lineRule="exact"/>
        <w:rPr>
          <w:sz w:val="20"/>
          <w:szCs w:val="20"/>
          <w:color w:val="auto"/>
        </w:rPr>
      </w:pPr>
    </w:p>
    <w:p>
      <w:pPr>
        <w:jc w:val="both"/>
        <w:ind w:left="20"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development of our proved undeveloped reserves may take longer and may require higher levels of capital expenditures by operators than we currently anticipate.</w:t>
      </w:r>
    </w:p>
    <w:p>
      <w:pPr>
        <w:spacing w:after="0" w:line="17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Approximately 22% of our total estimated proved reserves as of December 31, 2025, were proved undeveloped reserves and may not be ultimately developed or produced. Recovery of proved undeveloped reserves requires significant capital expenditures and successful drilling operations by the operators on our mineral and royalty acreage. The reserve data included in our reserve reports assumes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complete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04" w:lineRule="exact"/>
        <w:rPr>
          <w:sz w:val="20"/>
          <w:szCs w:val="20"/>
          <w:color w:val="auto"/>
        </w:rPr>
      </w:pPr>
    </w:p>
    <w:p>
      <w:pPr>
        <w:jc w:val="both"/>
        <w:ind w:lef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terminate our leases if any of our operators declare bankruptcy, and we may experience delays and be unable to replace operators that do not make royalty payments.</w:t>
      </w:r>
    </w:p>
    <w:p>
      <w:pPr>
        <w:spacing w:after="0" w:line="175"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Under many of the leases that cover our mineral and royalty interests, a failure on the part of our operators to make royalty payments to us gives us the right to terminate the applicable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80"/>
          </w:cols>
          <w:pgMar w:left="980" w:top="214" w:right="980"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However, many of our mineral and royalty interests are covered by leases that do not provide us with the contractual right to terminate the lease or repossess the property if an operator fails to timely make royalty payments to us. In such instances, we may be forced to resort to litigation to seek payment of past due royalties and statutory interest, without the ability to replace the operator.</w:t>
      </w:r>
    </w:p>
    <w:p>
      <w:pPr>
        <w:spacing w:after="0" w:line="194" w:lineRule="exact"/>
        <w:rPr>
          <w:sz w:val="20"/>
          <w:szCs w:val="20"/>
          <w:color w:val="auto"/>
        </w:rPr>
      </w:pPr>
    </w:p>
    <w:p>
      <w:pPr>
        <w:jc w:val="both"/>
        <w:ind w:left="20" w:firstLine="1"/>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The producing properties in which we have mineral and royalty interests are primarily concentrated in the Permian Basin of West Texas, making us vulnerable to risks (including weather- related risks) associated with a single geographic area. In addition, a large amount of our proved reserves is attributable to a small number of producing horizons within this area.</w:t>
      </w:r>
    </w:p>
    <w:p>
      <w:pPr>
        <w:spacing w:after="0" w:line="193"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producing properties in which we have mineral and royalty interests are currently geographically primarily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faced by our operators or their customers, availability of equipment, facilities, personnel or services market limitations or interruption of the processing or transportation of crude oil, natural gas or natural gas liquids on our mineral and royalty acreage, and extreme weather conditions and their adverse impact on production volumes, availability of electrical power, road accessibility and transportation facilities on our mineral and royalty acreage.</w:t>
      </w:r>
    </w:p>
    <w:p>
      <w:pPr>
        <w:spacing w:after="0" w:line="208"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Extreme regional weather events may occur that can affect our operators’ suppliers or customers, which could adversely affect us. Climate changes may also increase the frequency and severity of significant weather events over time. Further, any increase in flaring of natural gas production on our mineral and royalty acreage due to weather-related events, or otherwise, could expose us to reputational risks and adversely impact our or our operators’ contractual and other business relationships. Any of the above-referenced events could have a material adverse effect on us. Likewise, a weather event could reduce the availability of electrical power, road accessibility, and transportation facilities, which could have an adverse impact on production volumes on our mineral and royalty acreage (and therefore on our financial condition and results of operations).</w:t>
      </w:r>
    </w:p>
    <w:p>
      <w:pPr>
        <w:spacing w:after="0" w:line="205"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mineral and royalty acreage, we could experience any of these conditions at the same time, resulting in a relatively greater impact on us than they might have on other companies that have a more diversified portfolio of assets. Such delays or interruptions could have a material adverse effect on our business, financial condition and cash flow.</w:t>
      </w:r>
    </w:p>
    <w:p>
      <w:pPr>
        <w:spacing w:after="0" w:line="206"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In addition to the geographic concentration of our mineral and royalty acreage, as of December 31, 2025, most of our proved reserves are concentrated in the Wolfberry resource play in the Midland Basin. This concentration of assets within a small number of producing horizons exposes us to additional risks, such as changes in field-wide rules and regulations that could cause our operators to permanently or temporarily shut-in all of the wells on our mineral and royalty acreage.</w:t>
      </w:r>
    </w:p>
    <w:p>
      <w:pPr>
        <w:spacing w:after="0" w:line="19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the development or acquisition of additional reserves, and our failure to successfully identify, complete and integrate acquisitions of properties or businesses could slow our growth and adversely affect our results of operations and cash available for dividends.</w:t>
      </w:r>
    </w:p>
    <w:p>
      <w:pPr>
        <w:spacing w:after="0" w:line="193"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Our future success depends upon the development or acquisition of additional oil and natural gas reserves that are economically recoverable, as our proved reserves will generally decline as reserves are depleted. To increase reserves and production, we would need to undertake replacement activities or use our operators to undertake development, exploration and other replacement activities, requiring substantial capital expenditures. We may not have sufficient resources to acquire additional reserves and our operators may not have sufficient resources to undertake exploration, development, production or other replacement activities. Such activities by our operators may not result in significant additional reserves and efforts to drill productive wells at low finding costs may be unsuccessful. In addition, we do not expect to retain cash from our operations for replacement capital expenditures. Furthermore, although our revenues and cash available for dividends may increase if prevailing oil and natural gas prices increase significantly, finding costs for additional reserves could also increase.</w:t>
      </w:r>
    </w:p>
    <w:p>
      <w:pPr>
        <w:spacing w:after="0" w:line="205"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which, if material, can render an interest worthless, nor will it permit us to become sufficiently familiar with the properties to assess fully their</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80"/>
          </w:cols>
          <w:pgMar w:left="980" w:top="214" w:right="980"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20"/>
          <w:szCs w:val="20"/>
          <w:color w:val="auto"/>
        </w:rPr>
        <w:t>deficiencies and capabilities. Inspections may not always be performed on every well, and environmental problems, such as groundwater contamination, are not necessarily observable even when an inspection is undertaken. Environmental or other regulatory issues may arise with respect to acquired entities or operations years after the acquisitions, any of which can adversely affect our results of operations, financial condition and cash available for dividends. Even when problems are identified, the seller may be unwilling or unable to provide effective contractual protection against all or part of the problems. Significant acquisitions and other strategic transactions may involve other risks that may cause our business to be adversely impacted, including diversion of our management’s attention to evaluating and negotiating such transactions and our failure to realize the full benefit that we expect in estimated proved reserves, production volume or other benefits anticipated therefrom, or to realize these benefits within the expected time frame.</w:t>
      </w:r>
    </w:p>
    <w:p>
      <w:pPr>
        <w:spacing w:after="0" w:line="211"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We may not be able to complete acquisitions or do so on commercially acceptable terms, as our ability to complete acquisitions is dependent upon, among other things, our ability to obtain debt and equity financing and, in some cases, regulatory approvals. Further, our future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effectively integrate the acquired business into our existing operations, the process of which may involve unforeseen difficulties and may require a disproportionate amount of our managerial and financial resources. In addition, possible future acquisitions may be larger and for purchase prices significantly higher than those paid for earlier acquisitions. Any of the unfavorable circumstances mentioned above could have a material adverse effect on our financial condition, results of operations and cash available for dividends. The inability to effectively manage the integration of acquisitions could reduce our focus on subsequent acquisitions and current operations, which, in turn, could negatively impact our growth, results of operations and cash available for dividends.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We may not realize the anticipated benefits from our acquisitions, including the Sitio Acquisition and the 2025 Drop Down.</w:t>
      </w:r>
    </w:p>
    <w:p>
      <w:pPr>
        <w:spacing w:after="0" w:line="251"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We have recently completed several significant acquisitions, including the Sitio Acquisition and the 2025 Drop Down, and expect to pursue additional acquisitions as part of our growth strategy. Realizing anticipated benefits from these acquisitions depends in part on integrating acquired assets efficiently and effectively, which we may not accomplish due to, among other things:</w:t>
      </w:r>
    </w:p>
    <w:p>
      <w:pPr>
        <w:spacing w:after="0" w:line="197" w:lineRule="exact"/>
        <w:rPr>
          <w:sz w:val="20"/>
          <w:szCs w:val="20"/>
          <w:color w:val="auto"/>
        </w:rPr>
      </w:pPr>
    </w:p>
    <w:p>
      <w:pPr>
        <w:ind w:left="720" w:hanging="349"/>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associated with operating a larger organization and managing geographically dispersed assets;</w:t>
      </w:r>
    </w:p>
    <w:p>
      <w:pPr>
        <w:spacing w:after="0" w:line="10" w:lineRule="exact"/>
        <w:rPr>
          <w:rFonts w:ascii="Times New Roman" w:cs="Times New Roman" w:eastAsia="Times New Roman" w:hAnsi="Times New Roman"/>
          <w:sz w:val="20"/>
          <w:szCs w:val="20"/>
          <w:color w:val="auto"/>
        </w:rPr>
      </w:pPr>
    </w:p>
    <w:p>
      <w:pPr>
        <w:ind w:left="740" w:right="220" w:hanging="369"/>
        <w:spacing w:after="0" w:line="262" w:lineRule="auto"/>
        <w:tabs>
          <w:tab w:leader="none" w:pos="74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difficulty of integrating corporate, technological and administrative functions and complex systems, technology and networks, and addressing inconsistencies in standards, controls, operational philosophies and corporate cultures;</w:t>
      </w:r>
    </w:p>
    <w:p>
      <w:pPr>
        <w:ind w:left="720" w:hanging="349"/>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attention and resources from regular business operations;</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indebtedness and the complexity of our capital structure;</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incurring environmental or regulatory liabilities and encountering title defects;</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relationships with operators, customers, suppliers, landowners and other business partners;</w:t>
      </w:r>
    </w:p>
    <w:p>
      <w:pPr>
        <w:spacing w:after="0" w:line="10" w:lineRule="exact"/>
        <w:rPr>
          <w:rFonts w:ascii="Times New Roman" w:cs="Times New Roman" w:eastAsia="Times New Roman" w:hAnsi="Times New Roman"/>
          <w:sz w:val="20"/>
          <w:szCs w:val="20"/>
          <w:color w:val="auto"/>
        </w:rPr>
      </w:pPr>
    </w:p>
    <w:p>
      <w:pPr>
        <w:ind w:left="720" w:hanging="348"/>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hiring, training, retaining or integrating qualified personnel;</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unknown or contingent liabilities and incurring unforeseen expenses; and</w:t>
      </w:r>
    </w:p>
    <w:p>
      <w:pPr>
        <w:spacing w:after="0" w:line="10" w:lineRule="exact"/>
        <w:rPr>
          <w:rFonts w:ascii="Times New Roman" w:cs="Times New Roman" w:eastAsia="Times New Roman" w:hAnsi="Times New Roman"/>
          <w:sz w:val="20"/>
          <w:szCs w:val="20"/>
          <w:color w:val="auto"/>
        </w:rPr>
      </w:pPr>
    </w:p>
    <w:p>
      <w:pPr>
        <w:ind w:left="720" w:hanging="348"/>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inaccuracies in assumptions regarding estimated proved reserves, future production, prices, revenues and costs.</w:t>
      </w:r>
    </w:p>
    <w:p>
      <w:pPr>
        <w:spacing w:after="0" w:line="252"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If we are unable to effectively manage the integration of our current or future acquisitions, or if our business activities are interrupted as a result, our business, results of operations and financial condition could be adversely affected.</w:t>
      </w:r>
    </w:p>
    <w:p>
      <w:pPr>
        <w:spacing w:after="0" w:line="169" w:lineRule="exact"/>
        <w:rPr>
          <w:sz w:val="20"/>
          <w:szCs w:val="20"/>
          <w:color w:val="auto"/>
        </w:rPr>
      </w:pPr>
    </w:p>
    <w:p>
      <w:pPr>
        <w:jc w:val="both"/>
        <w:ind w:lef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Project areas on our properties, which are in various stages of development, may not yield oil or natural gas in commercially viable quantities.</w:t>
      </w:r>
    </w:p>
    <w:p>
      <w:pPr>
        <w:spacing w:after="0" w:line="172"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dividends may be materially affected.</w:t>
      </w:r>
    </w:p>
    <w:p>
      <w:pPr>
        <w:spacing w:after="0" w:line="191" w:lineRule="exact"/>
        <w:rPr>
          <w:sz w:val="20"/>
          <w:szCs w:val="20"/>
          <w:color w:val="auto"/>
        </w:rPr>
      </w:pPr>
    </w:p>
    <w:p>
      <w:pPr>
        <w:jc w:val="both"/>
        <w:ind w:left="20"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171"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Oil and natural gas reserve engineering is not an exact science and requires subjective estimates of underground accumulations of oil and natural gas and assumptions concerning future oil and natural gas prices, production levels, ultimate</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80"/>
          </w:cols>
          <w:pgMar w:left="980" w:top="214" w:right="980"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0"/>
          <w:szCs w:val="20"/>
          <w:color w:val="auto"/>
        </w:rPr>
        <w:t>recoveries and operating and development costs, if any. As a result, estimated quantities of proved reserves and projections of future production rates may be incorrect. Over time, we may make material changes to reserve estimates taking into account the results of actual drilling, testing and production. Also, certain assumptions regarding future oil and natural gas prices and production levels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portion of our reserve estimates are made without the benefit of a lengthy production history and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spacing w:after="0" w:line="216" w:lineRule="exact"/>
        <w:rPr>
          <w:sz w:val="20"/>
          <w:szCs w:val="20"/>
          <w:color w:val="auto"/>
        </w:rPr>
      </w:pPr>
    </w:p>
    <w:p>
      <w:pPr>
        <w:jc w:val="both"/>
        <w:ind w:lef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electrical power, internet and telecommunication infrastructure and information and computer systems. If any of these systems are compromised or unavailable, our business could be adversely affected.</w:t>
      </w:r>
    </w:p>
    <w:p>
      <w:pPr>
        <w:spacing w:after="0" w:line="175"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We are dependent on electric power, internet and telecommunication infrastructure and Diamondback’s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spacing w:after="0" w:line="104" w:lineRule="exact"/>
        <w:rPr>
          <w:sz w:val="20"/>
          <w:szCs w:val="20"/>
          <w:color w:val="auto"/>
        </w:rPr>
      </w:pPr>
    </w:p>
    <w:p>
      <w:pPr>
        <w:jc w:val="both"/>
        <w:ind w:left="20" w:firstLine="720"/>
        <w:spacing w:after="0" w:line="266" w:lineRule="auto"/>
        <w:rPr>
          <w:sz w:val="20"/>
          <w:szCs w:val="20"/>
          <w:color w:val="auto"/>
        </w:rPr>
      </w:pPr>
      <w:r>
        <w:rPr>
          <w:rFonts w:ascii="Times New Roman" w:cs="Times New Roman" w:eastAsia="Times New Roman" w:hAnsi="Times New Roman"/>
          <w:sz w:val="20"/>
          <w:szCs w:val="20"/>
          <w:color w:val="auto"/>
        </w:rPr>
        <w:t>Rapid growth in artificial intelligence (“AI”) related data centers and other high</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intensity computing is materially increasing regional electricity demand and straining grids, which—together with extreme weather conditions, intermittent renewable generation, and other market constraints—can reduce power availability, increase prices (including scarcity pricing), and cause outages. Reduced power reliability could disrupt our operators’ drilling, completion, and production activities; impair midstream operations; hinder remote monitoring and data integrity; and force suspensions or shutdowns or unplanned spending on backup power and communications, any of which could have a material adverse effect on our business and results of operations.</w:t>
      </w:r>
    </w:p>
    <w:p>
      <w:pPr>
        <w:spacing w:after="0" w:line="182" w:lineRule="exact"/>
        <w:rPr>
          <w:sz w:val="20"/>
          <w:szCs w:val="20"/>
          <w:color w:val="auto"/>
        </w:rPr>
      </w:pPr>
    </w:p>
    <w:p>
      <w:pPr>
        <w:jc w:val="both"/>
        <w:ind w:left="20"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cybersecurity and data privacy risks. A cyber incident could occur and result in information theft, data corruption, operational disruption and/or financial loss.</w:t>
      </w:r>
    </w:p>
    <w:p>
      <w:pPr>
        <w:spacing w:after="0" w:line="17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We rely extensively on Diamondback’s information technology systems and infrastructure, including but not limited to data hosting platforms, real-time data acquisition systems, internally developed and third-party software, cloud services and other internally or externally hosted hardware and software platforms (collectively, “IT Systems”) for operational and other purposes, such as to (i) estimate our oil and natural gas reserves, (ii) process and record financial and operating data, and (iii) communicate with our management and board of directors, as well as, our vendors, suppliers and other third parties. Diamondback owns and manages certain IT Systems but also relies on third parties for a range of IT Systems and other products or services. Diamondback and certain third-party providers also collect, maintain and/or process proprietary data about our business, such as trade secrets, as well as personally identifiable information about our employees, business partners and others (collectively, “Confidential Information”).</w:t>
      </w:r>
    </w:p>
    <w:p>
      <w:pPr>
        <w:spacing w:after="0" w:line="205"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We regularly experience attempted cyberattacks and other incidents, including phishing attacks and attacks on certain of our third-party providers, and we expect future cyberattacks and incidents to occur in varying degrees. To date, no incidents have materially affected our company, including our business strategy, results of operations or financial condition, but we cannot guarantee that material incidents will not occur in the future.</w:t>
      </w:r>
    </w:p>
    <w:p>
      <w:pPr>
        <w:spacing w:after="0" w:line="194"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Diamondback’s IT Systems and our Confidential Information, and those of our vendors, service providers and other third-party providers and business partners, are vulnerable to evolving cybersecurity threats, including, without limitation, denial-of-service attacks; malicious software (e.g., ransomware); the exploitation of known and unknown misconfigurations, “bugs,” and other hardware or software vulnerabilities; data privacy breaches by insiders or others with authorized access; social engineering (e.g., phishing) attacks; attempts to gain unauthorized access to our data and Diamondback’s systems; and other electronic or physical security breaches. More recently, advancements in AI pose serious risks for many of the traditional tools used to identify individuals, including voice recognition (whether by machine or the human ear), facial recognition or screening questions to confirm identities. In addition, generative AI systems are increasingly used by malicious actors to create more sophisticated cyber-attacks (i.e., more realistic phishing or other attacks) and to circumvent controls, evade detection and even remove forensic evidence, rendering incident detection and remediation more challenging. These and other threat-related advancements expose us and Diamondback to increasing costs, including costs associated with additional personnel, protection technologies and policies and procedures and third-party experts and consultants. There can be no assurance that Diamondback’s cybersecurity risk management program, including its controls or processes, will be fully implemented,</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80"/>
          </w:cols>
          <w:pgMar w:left="980" w:top="214" w:right="980"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20"/>
          <w:szCs w:val="20"/>
          <w:color w:val="auto"/>
        </w:rPr>
        <w:t>complied with or effective in protecting IT Systems and Confidential Information. Moreover, neither we nor Diamondback manage the security controls or processes deployed by our third-party providers, such as cloud services that support our operations, and therefore, successful cyberattacks that disrupt or result in unauthorized access to third- party IT Systems could materially impact our and Diamondback’s operations and financial results. Similarly, we have acquired and continue to acquire companies that may have cybersecurity vulnerabilities or unsophisticated measures, which exposes us to significant risk. A significant cybersecurity attack or incident could compromise our Confidential Information or disrupt our operations, normal business functions and other aspects of our business.</w:t>
      </w:r>
    </w:p>
    <w:p>
      <w:pPr>
        <w:spacing w:after="0" w:line="205"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Diamondback provides personnel and general and administrative services to us, including personnel and infrastructure that underlie our cybersecurity risk management program. As cyber incidents continue to evolve, Diamondback may be required to expend additional resources (for which we may be partially responsible) to continue to modify or enhance protective measures or to investigate and remediate any vulnerability to cyber incidents. Diamondback maintains specialized insurance for possible liability resulting from a cyberattack on its assets; however, we cannot assure you that the insurance coverage will be adequate to cover claims that may arise, or that Diamondback will be able to maintain adequate insurance at rates we consider reasonable. A loss not fully covered by insurance could have a material adverse effect on our business, financial condition and cash flows. See Item 1C. Cybersecurity below for additional information.</w:t>
      </w:r>
    </w:p>
    <w:p>
      <w:pPr>
        <w:spacing w:after="0" w:line="20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A variety of U.S. federal, state and international laws and regulations govern the collection, use, retention, sharing and security of personal data. All 50 states have enacted legislation on data breach notification requirements and many states continue to enact laws on matters of privacy, data protection and cybersecurity. The existing privacy- related laws and regulations are evolving and subject to potentially differing interpretations. In addition, various U.S. federal, state and foreign legislative and regulatory bodies continue to enact new laws regarding privacy and data protection, as well as expand the scope of existing laws. We cannot predict the impact of any such evolving privacy-related laws on our business, results of operations or financial condition, but may find it necessary to enhance the existing systems and procedures, which may involve substantial expense or distraction from other aspects of our business. In addition, any violations of applicable privacy-related laws or regulations may require us to address legal claims, sustain monetary penalties or incur other liabilities, as well as cause reputational damage, any of which could adversely impact our business, results of operations or financial condition.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55"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substantial indebtedness could adversely affect our results of operations, business flexibility and our ability to service our debt.</w:t>
      </w:r>
    </w:p>
    <w:p>
      <w:pPr>
        <w:spacing w:after="0" w:line="171"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We have incurred a substantial amount of debt to finance our recent acquisitions and for other corporate purposes. Our ability to make scheduled payments of principal, to pay interest on or to refinance our indebtedness depends on our future performance, which is subject to economic, financial, competitive and other factors beyond our control. We are dependent on cash flow generated by the Operating Company to repay the Guaranteed Senior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alternative financing plans would be consummated on desirable terms or would be adequate to meet any debt service obligations then due.</w:t>
      </w:r>
    </w:p>
    <w:p>
      <w:pPr>
        <w:spacing w:after="0" w:line="214"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Our revolving credit facility and the indentures governing the Guaranteed Senior Notes outstanding contain, and the terms of any future indebtedness may contain, restrictive covenants that limit our ability to, among other things: incur or guarantee additional indebtedness; make certain investments; create additional liens; sell or transfer assets; merge or consolidate with another entity; pay or declare dividends; designate certain of our subsidiaries as unrestricted subsidiaries; create unrestricted subsidiaries; and engage in transactions with affiliates.</w:t>
      </w:r>
    </w:p>
    <w:p>
      <w:pPr>
        <w:spacing w:after="0" w:line="202"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In addition, the revolving credit facility requires us to maintain a certain net debt to capitalization ratio.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9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Our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80"/>
          </w:cols>
          <w:pgMar w:left="980" w:top="214" w:right="980"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20"/>
          <w:szCs w:val="20"/>
          <w:color w:val="auto"/>
        </w:rPr>
        <w:t>would result in an event of default under the indentures governing the Guaranteed Senior Notes. The lenders will also have the right in these circumstances to terminate any commitments they have to provide further borrowings. If the indebtedness under the revolving credit facility and the Guaranteed Senior Notes were to be accelerated, we cannot assure you that our assets would be sufficient to repay in full that indebtedness.</w:t>
      </w:r>
    </w:p>
    <w:p>
      <w:pPr>
        <w:spacing w:after="0" w:line="195"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Additionally, any significant reduction in the borrowing base under our revolving credit facility as a result of borrowing base redeterminations, following a decline in commodity prices or otherwise, may negatively impact our liquidity and our ability to fund our operations and, as a result, may have a material adverse effect on our financial position, results of operations and cash flow. Further, if the outstanding borrowings under the revolving credit facility were to exceed the borrowing base as a result of any such redetermination, we would be required to repay the excess. 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spacing w:after="0" w:line="211"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Lastly, our earnings are exposed to interest rate risk associated with borrowings under our revolving credit facility. The terms of our revolving credit facility provide for interest on borrowings at a floating rate equal to an alternative base rate tied to SOFR. SOFR tends to fluctuate based on multiple factors, including general short-term interest rates, rates set by the U.S. Federal Reserve, and other central banks and general economic conditions. We have not hedged our interest rate exposure with respect to our floating rate debt. If interest rates increase, so will our interest costs, which may have a material adverse effect on our results of operations and financial condition.</w:t>
      </w:r>
    </w:p>
    <w:p>
      <w:pPr>
        <w:spacing w:after="0" w:line="203" w:lineRule="exact"/>
        <w:rPr>
          <w:sz w:val="20"/>
          <w:szCs w:val="20"/>
          <w:color w:val="auto"/>
        </w:rPr>
      </w:pPr>
    </w:p>
    <w:p>
      <w:pPr>
        <w:jc w:val="both"/>
        <w:ind w:left="2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A downgrade in our debt ratings could restrict our access to, and negatively impact the terms of, current or future financings or trade credit.</w:t>
      </w:r>
    </w:p>
    <w:p>
      <w:pPr>
        <w:spacing w:after="0" w:line="175"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Inherent in an Investment in Us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Diamondback controls us and its interests may conflict with ours or yours in the future.</w:t>
      </w:r>
    </w:p>
    <w:p>
      <w:pPr>
        <w:spacing w:after="0" w:line="25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Diamondback beneficially owns approximately 42.1% of the voting power of our capital stock, on a fully diluted basis. For so long as Diamondback continues to have voting power over a significant percentage of our capital stock, even at times when such amount is less than 50%, it will be able to significantly influence the composition of our board of directors and the approval of actions requiring stockholder approval. Although the holders of our Common Stock are entitled to vote on all matters on which stockholders of a corporation are generally entitled to vote on under the General Corporation Law of the State of Delaware (the “DGCL”), including the election of our board of directors, pursuant to our certificate of incorporation, for so long as Diamondback and any of its subsidiaries collectively beneficially own at least 25% of our outstanding Common Stock</w:t>
      </w:r>
    </w:p>
    <w:p>
      <w:pPr>
        <w:spacing w:after="0" w:line="5" w:lineRule="exact"/>
        <w:rPr>
          <w:sz w:val="20"/>
          <w:szCs w:val="20"/>
          <w:color w:val="auto"/>
        </w:rPr>
      </w:pPr>
    </w:p>
    <w:p>
      <w:pPr>
        <w:jc w:val="both"/>
        <w:ind w:firstLine="9"/>
        <w:spacing w:after="0" w:line="252" w:lineRule="auto"/>
        <w:tabs>
          <w:tab w:leader="none" w:pos="2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Diamondback has the right to designate up to three persons to serve as members of our board of directors, and (ii) our board of directors may not appoint any person other than a Diamondback seconded employee as an executive officer of our company unless such appointment is approved, in advance, by either (x) Diamondback (which approval may not be unreasonably withheld or conditioned), or (y) the affirmative vote of the holders of at least 80% of the voting power of our capital stock. Currently, there are two Diamondback designees to our board of directors—Travis Stice and Kaes Van’t Hof. Pursuant to the Services and Secondment Agreement, Diamondback continues to provide personnel and general and administrative services to us and OpCo, including the services of the executive officers and other employees. Accordingly, Diamondback will have significant influence with respect to our board of directors, management, business plans and policies, including the appointment and removal of our officers. In particular, for so long as Diamondback continues to beneficially own a significant percentage of our capital stock, it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80"/>
          </w:cols>
          <w:pgMar w:left="980" w:top="214" w:right="980"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1"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do not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193"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We do not have any employees and we rely solely on Diamondback to provide us with personnel and general and administrative services, including the services of the executive officers, senior management and other employees, under the terms and conditions of the Services and Secondment Agreement. Because Diamondback provides services to us that are similar to those it performs for itself and its affiliates, it may not have sufficient human, technical and other resources to provide those services at a level that it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Diamondback does not devote sufficient attention to the management and operation of our business or otherwise breaches the provisions of the services and secondment agreement, our financial results may suffer and our ability to pay dividends to our stockholders may be reduced. Many key responsibilities within our business have been assigned to a small number of individuals. The loss of their services could adversely affect our business. In particular, the loss of the services of one or more members of the executive team could disrupt our business. Further, we do not maintain “key person” life insurance policies on any of our executive team or other key personnel. As a result, we are not insured against any losses resulting from the death of these key individuals.</w:t>
      </w:r>
    </w:p>
    <w:p>
      <w:pPr>
        <w:spacing w:after="0" w:line="210"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shares of Class A Common Stock could be adversely affected by sales of substantial amounts of our Class A Common Stock in the public or private markets.</w:t>
      </w:r>
    </w:p>
    <w:p>
      <w:pPr>
        <w:spacing w:after="0" w:line="17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We have provided registration rights to Diamondback and other parties collectively owning a substantial portion of our outstanding shares of Class A Common Stock on an as-converted basis. Pursuant to these registration rights, we have registered, under the Securities Act, all of the Class A Common Stock owned by Diamondback and those other parties for resale (including Class A Common Stock issuable in respect of the Class B Common Stock under the related exchange agreement or under the exchange provisions of the Operating Company’s limited liability company agreement). Sales by holders of a substantial number of our Class A Common Stock in the public markets, or the perception that such sales might occur, could have a material adverse effect on the price of our Class A Common Stock or could impair our ability to obtain capital through an offering of equity securities.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U.S. tax legislation may adversely affect our business, results of operations, financial condition and cash flow.</w:t>
      </w:r>
    </w:p>
    <w:p>
      <w:pPr>
        <w:spacing w:after="0" w:line="251"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From time to time, legislation has been proposed that, if enacted into law, would make significant changes to U.S. federal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214"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In 2022, the IRA enacted a 15% corporate alternative minimum tax (“CAMT”) on the “adjusted financial statement income” of certain large corporations (generally, corporations reporting more than $1 billion average adjusted pre-tax net income on their consolidated financial statements) for tax years beginning after December 31, 2022. If we are or become subject to CAMT including as a result of our affiliation with Diamondback, our cash tax obligations for U.S. federal income taxes could be significantly accelerated.</w:t>
      </w:r>
    </w:p>
    <w:p>
      <w:pPr>
        <w:spacing w:after="0" w:line="202"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On July 4, 2025, the One Big Beautiful Bill Act (the “OBBB”) was signed into law. Among other provisions, the OBBB provides for immediate expensing of research or experimental expenses, bonus depreciation for qualified tangible property, deductible intangible drilling costs for purposes of the CAMT, and enhancements to limits on business interest expense deductions. The OBBB also imposes limits on deductibility of charitable contributions by corporations. To the extent the timing or amount of our tax deductions are affected by the applicable provisions of the OBBB, our cash tax obligations may be impacted.</w:t>
      </w:r>
    </w:p>
    <w:p>
      <w:pPr>
        <w:spacing w:after="0" w:line="204"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The U.S. Treasury Department, the Internal Revenue Service and other standard -setting bodies are expected to issue additional guidance on how the CAMT and other provisions of the IRA and OBBB will be applied or otherwise administered,</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80"/>
          </w:cols>
          <w:pgMar w:left="980" w:top="214" w:right="980"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20"/>
          <w:szCs w:val="20"/>
          <w:color w:val="auto"/>
        </w:rPr>
        <w:t>and such guidance may differ from our interpretations. We continue to evaluate the IRA and OBBB and their effect on our financial results and operating cash flow.</w:t>
      </w:r>
    </w:p>
    <w:p>
      <w:pPr>
        <w:spacing w:after="0" w:line="169"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The provision of our certificate of incorporation requiring exclusive venue in the Court of Chancery in the State of Delaware for certain types of lawsuits may have the effect of discouraging lawsuits against us and our directors, officers and stockholders.</w:t>
      </w:r>
    </w:p>
    <w:p>
      <w:pPr>
        <w:spacing w:after="0" w:line="19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 the Court of Chancery of the State of Delaware generally shall be the sole and exclusive forum for (i) any derivative action or proceeding brought on behalf of the Company, (ii) any action asserting a claim of breach of a fiduciary duty owed by any director, officer, employee or stockholder of the Company to the Company or its stockholders, (iii) any action asserting a claim arising pursuant to any provision of the DGCL, our certificate of incorporation or bylaws or (iv) any other action asserting a claim against the Company governed by the internal affairs doctrine. This choice of forum provision does not waive our compliance with our obligations under the federal securities laws and the rules and regulations thereunder. Moreover, the provision does not apply to suits brought to enforce a duty or liability created by the Exchange Act or by the Securities Act.</w:t>
      </w:r>
    </w:p>
    <w:p>
      <w:pPr>
        <w:spacing w:after="0" w:line="211"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This choice of forum provision may increase costs to bring a claim, discourage claims or limit a stockholder’s ability to bring a claim in a judicial forum that the stockholder finds favorable for disputes with the Company or our directors, officers or employees, which may discourage such lawsuits against the Company and its directors, officers and employees, even though an action, if successful, might benefit our stockholders. Alternatively, if a court were to find the choice of forum provision to be inapplicable or unenforceable in an action, we may incur additional costs associated with resolving such matters in other jurisdictions, which could increase our costs of litigation and adversely affect our business and financial condition.</w:t>
      </w:r>
    </w:p>
    <w:p>
      <w:pPr>
        <w:spacing w:after="0" w:line="200" w:lineRule="exact"/>
        <w:rPr>
          <w:sz w:val="20"/>
          <w:szCs w:val="20"/>
          <w:color w:val="auto"/>
        </w:rPr>
      </w:pPr>
    </w:p>
    <w:p>
      <w:pPr>
        <w:jc w:val="both"/>
        <w:ind w:left="20"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does not limit the ability of Diamondback and certain of its directors, principals, officers, employees and their respective affiliates to compete with us.</w:t>
      </w:r>
    </w:p>
    <w:p>
      <w:pPr>
        <w:spacing w:after="0" w:line="171"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Our certificate of incorporation provides that none of Diamondback, any of its directors, principals, officers, employees or respective affiliates will have any duty to refrain from engaging, directly or indirectly, in the same business activities or similar business activities or lines of business in which we operate. In the ordinary course of their business activities, these persons may engage in activities where their interests conflict with our interests or those of our other stockholders.</w:t>
      </w:r>
    </w:p>
    <w:p>
      <w:pPr>
        <w:spacing w:after="0" w:line="202"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These persons also may pursue acquisition opportunities that may be complementary to our business, and, as a result, those acquisition opportunities may not be available to us. In addition, these persons may have an interest in our pursuing acquisitions, divestitures and other transactions that, in their judgment, could enhance their investment, even though such transactions might involve risks to our common stockholders.</w:t>
      </w:r>
    </w:p>
    <w:p>
      <w:pPr>
        <w:spacing w:after="0" w:line="193"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and Delaware law might discourage or delay acquisition attempts for us that you might consider favorable.</w:t>
      </w:r>
    </w:p>
    <w:p>
      <w:pPr>
        <w:spacing w:after="0" w:line="171"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Our certificate of incorporation and bylaws contain provisions that may make the merger or acquisition of our company more difficult without the approval of our board of directors. Among other things, these provisions 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 prohibit stockholder action by written consent unless such action is consented to by the board of directors; provide for certain limitations on convening special stockholder meetings; provide (i) that the board of directors is expressly authorized to make, alter, or repeal our bylaws, and (ii) that our stockholders may only amend our bylaws with the approval of at least a majority of all of the outstanding shares of our capital stock entitled to vote; and establish advance notice requirements for nominations for elections to our board or for proposing matters that can be acted upon by stockholders at stockholder meetings.</w:t>
      </w:r>
    </w:p>
    <w:p>
      <w:pPr>
        <w:spacing w:after="0" w:line="217"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These anti- takeover provisions could discourage, delay or prevent a transaction involving a change in control of our company, including actions that our stockholders may deem advantageous, or could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80"/>
          </w:cols>
          <w:pgMar w:left="980" w:top="214" w:right="980"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1"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ability to pay base and variable dividends to the holders of our Class A Common Stock or make repurchases under our repurchase program may be limited by requirements under our certificate of incorporation, our holding company structure, applicable provisions of Delaware law and contractual restrictions.</w:t>
      </w:r>
    </w:p>
    <w:p>
      <w:pPr>
        <w:spacing w:after="0" w:line="193"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Under our current dividend policy, we pay quarterly base plus variable cash dividends on our Class A Common Stock. The outstanding shares of Class B Common Stock are entitled to an aggregate quarterly preferred dividend of $20,000 in cash. Other than the insignificant preferred dividend requirement, we are not required to pay dividends to our stockholders on a quarterly or other basis, and declaration of any other dividends in the future will be solely in the discretion of our board of directors, which may change our dividend policy at any time. Our ability to pay cash dividends to holders of our Class A Common Stock depends on a number of factors, including among other things, general economic and business conditions, our strategic plans and prospects, our businesses and investment opportunities, our financial condition and operating results, capital requirements and other anticipated cash needs, contractual restrictions and obligations, legal, tax and regulatory restrictions and other factors.</w:t>
      </w:r>
    </w:p>
    <w:p>
      <w:pPr>
        <w:spacing w:after="0" w:line="214"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Additionally, as a holding company, our ability to pay dividends or repurchase shares of our Common Stock or OpCo Units is subject to the ability of OpCo and any future subsidiaries to provide cash to us. Viper Energy, Inc. has no material assets other than its membership interest in OpCo, which along with OpCo’s subsidiaries, holds all of the mineral and royalty interests and other assets consolidated on our balance sheet.</w:t>
      </w:r>
    </w:p>
    <w:p>
      <w:pPr>
        <w:spacing w:after="0" w:line="19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Under the DGCL we may only pay dividends to our stockholders out of (i) our surplus, as defined and computed under the provisions of the DGCL, or (ii) our net profits for the fiscal year in which the dividend is declared and/or the preceding fiscal year. If we do not have sufficient surplus or net profits, we will be prohibited by law from paying any such dividend. In addition, the terms of our revolving credit facility include, and any other debt instruments or financing arrangements may from time to time include covenants or other restrictions that could constrain our ability to pay dividends, make other distributions or repurchase shares of our Common Stock or OpCo Units. Our certificate of incorporation contains provisions authorizing us to issue series of preferred stock that may have designations, preferences, rights, powers and duties that are different from, and may be senior to, those applicable to our Class A Common Stock.</w:t>
      </w:r>
    </w:p>
    <w:p>
      <w:pPr>
        <w:spacing w:after="0" w:line="208"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For additional information regarding stockholders’ equity and our repurchase program, see Note 7—Stockholders’ Equity in Item 8. Financial Statements and Supplementary Data of this report.</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Cybersecurity Risk Management Strategy</w:t>
      </w:r>
    </w:p>
    <w:p>
      <w:pPr>
        <w:spacing w:after="0" w:line="25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Diamondback provides us with personnel and general and administrative services pursuant to the Services and Secondment Agreement, including the personnel and infrastructure that underlie our cybersecurity risk management program. In connection therewith, Diamondback has implemented and invested in, and will continue to implement and invest in, controls, procedures and protections (including internal and external personnel) that are designed to protect Diamondback’s systems, identify and remediate on a regular basis vulnerabilities in Diamondback’s systems and related infrastructure and monitor and mitigate the risk of data loss and other cybersecurity threats. Diamondback has also engaged third-party consultants to conduct penetration testing and risk assessments. Diamondback’s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spacing w:after="0" w:line="211"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Diamondback’s cybersecurity risk management program is integrated into its overall enterprise risk management program, which integrates our enterprise risk management program, and shares common methodologies, reporting channels and governance processes that apply across the enterprise risk management program to other legal, compliance, strategic, operational, and financial risk areas that apply to us.</w:t>
      </w:r>
    </w:p>
    <w:p>
      <w:pPr>
        <w:spacing w:after="0" w:line="197"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Diamondback’s cybersecurity risk management program, which it provides to us under the Services and Secondment Agreement, includes:</w:t>
      </w:r>
    </w:p>
    <w:p>
      <w:pPr>
        <w:spacing w:after="0" w:line="166" w:lineRule="exact"/>
        <w:rPr>
          <w:sz w:val="20"/>
          <w:szCs w:val="20"/>
          <w:color w:val="auto"/>
        </w:rPr>
      </w:pPr>
    </w:p>
    <w:p>
      <w:pPr>
        <w:ind w:left="740" w:right="60" w:hanging="368"/>
        <w:spacing w:after="0" w:line="286" w:lineRule="auto"/>
        <w:tabs>
          <w:tab w:leader="none" w:pos="73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assessments designed to help identify material cybersecurity risks to critical systems, information, products, services, and the broader enterprise IT and operational technology (“OT”) environments;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80"/>
          </w:cols>
          <w:pgMar w:left="980" w:top="214" w:right="980"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ind w:left="740" w:right="100" w:hanging="369"/>
        <w:spacing w:after="0" w:line="249" w:lineRule="auto"/>
        <w:tabs>
          <w:tab w:leader="none" w:pos="7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team principally responsible for managing (i) cybersecurity risk assessment processes, (ii) security controls, and (iii) its response to cybersecurity incidents;</w:t>
      </w:r>
    </w:p>
    <w:p>
      <w:pPr>
        <w:ind w:left="720" w:right="60" w:hanging="349"/>
        <w:spacing w:after="0" w:line="249" w:lineRule="auto"/>
        <w:tabs>
          <w:tab w:leader="none" w:pos="72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external service providers, where appropriate, to assess, test, train or otherwise assist with aspects of its security controls;</w:t>
      </w:r>
    </w:p>
    <w:p>
      <w:pPr>
        <w:ind w:left="720" w:hanging="35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tools deployed in the IT and OT environments for protection against and monitoring for suspicious activity;</w:t>
      </w:r>
    </w:p>
    <w:p>
      <w:pPr>
        <w:spacing w:after="0" w:line="10" w:lineRule="exact"/>
        <w:rPr>
          <w:rFonts w:ascii="Times New Roman" w:cs="Times New Roman" w:eastAsia="Times New Roman" w:hAnsi="Times New Roman"/>
          <w:sz w:val="20"/>
          <w:szCs w:val="20"/>
          <w:color w:val="auto"/>
        </w:rPr>
      </w:pPr>
    </w:p>
    <w:p>
      <w:pPr>
        <w:ind w:left="740" w:right="60" w:hanging="370"/>
        <w:spacing w:after="0" w:line="250" w:lineRule="auto"/>
        <w:tabs>
          <w:tab w:leader="none" w:pos="73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awareness training of its employees, including incident response personnel and senior management, including those who provide these services for us;</w:t>
      </w:r>
    </w:p>
    <w:p>
      <w:pPr>
        <w:ind w:left="720" w:hanging="349"/>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tabletop exercises for members of its cybersecurity incident response team and legal department;</w:t>
      </w:r>
    </w:p>
    <w:p>
      <w:pPr>
        <w:spacing w:after="0" w:line="10" w:lineRule="exact"/>
        <w:rPr>
          <w:rFonts w:ascii="Times New Roman" w:cs="Times New Roman" w:eastAsia="Times New Roman" w:hAnsi="Times New Roman"/>
          <w:sz w:val="20"/>
          <w:szCs w:val="20"/>
          <w:color w:val="auto"/>
        </w:rPr>
      </w:pPr>
    </w:p>
    <w:p>
      <w:pPr>
        <w:ind w:left="720" w:hanging="349"/>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cybersecurity incident response plan that includes procedures for responding to cybersecurity incidents; and</w:t>
      </w:r>
    </w:p>
    <w:p>
      <w:pPr>
        <w:spacing w:after="0" w:line="10" w:lineRule="exact"/>
        <w:rPr>
          <w:rFonts w:ascii="Times New Roman" w:cs="Times New Roman" w:eastAsia="Times New Roman" w:hAnsi="Times New Roman"/>
          <w:sz w:val="20"/>
          <w:szCs w:val="20"/>
          <w:color w:val="auto"/>
        </w:rPr>
      </w:pPr>
    </w:p>
    <w:p>
      <w:pPr>
        <w:ind w:left="740" w:right="220" w:hanging="369"/>
        <w:spacing w:after="0" w:line="289" w:lineRule="auto"/>
        <w:tabs>
          <w:tab w:leader="none" w:pos="7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third-party risk management process for service providers, which may include diligence, assessments and/or contractual requirements, depending on each service provider’s operational criticality and relative risk profile.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58"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color w:val="auto"/>
        </w:rPr>
        <w:t>Diamondback’s cybersecurity governance program is led by its Senior Vice President and Chief Information Officer, with support from the internal information technology department. Diamondback’s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Diamondback’s Senior Vice President and Chief Information Officer and his team, which consists of individuals who hold designations as Certified Information Systems Security Professional (CISSP), Certified Information Systems Auditor (CISA), and CompTIASecurity+, are responsible for leading enterprise-wide cybersecurity strategy, policy, standards, architecture and processes. In addition, Diamondback’s cybersecurity incident response team is responsible for responding to cybersecurity incidents and is guided by its Computer Security Incident Response Plan. Progress and developments in Diamondback’s cybersecurity governance program are communicated to members of its and our executive team. Diamondback’s and our management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Diamondback; alerts and reports produced by security tools deployed in the enterprise IT and OT environments; and through reporting by employees and service providers.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the risk management strategy and continues to be an area of increasing focus for our board, the audit committee and management.</w:t>
      </w:r>
    </w:p>
    <w:p>
      <w:pPr>
        <w:spacing w:after="0" w:line="219"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The audit committee of the board of directors receives quarterly updates from Diamondback’s Senior Vice President and Chief Information Officer on the status of Diamondback’s cybersecurity governance program, including as related to new or developing initiatives and any significant security incidents that may occur, to the extent relevant to our program. Board members also receive presentations on cybersecurity topics from Diamondback’s Senior Vice President and Chief Information Officer as part of the board’s continuing education on topics that impact public companies. Diamondback’s cybersecurity governance program also includes processes to assess cybersecurity risks related to third-party service providers, suppliers and vendors.</w:t>
      </w:r>
    </w:p>
    <w:p>
      <w:pPr>
        <w:spacing w:after="0" w:line="205"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Risks from identified cybersecurity threats have not materially affected, and are not currently anticipated to materially affect, our Company, including our business strategy, results of operations or financial condition. See, however, Item 1A. Risk Factors of this report for additional information regarding cybersecurity risks we face and their potentially material impact on our business strategy, results of operations and financial condition.</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6"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12—Commitments and Contingencies in Item 8. Financial Statements and Supplementary Data of this report.</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80"/>
          </w:cols>
          <w:pgMar w:left="980" w:top="214" w:right="980"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20" w:right="120"/>
        <w:spacing w:after="0" w:line="29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Listing and Holders of Record</w:t>
      </w:r>
    </w:p>
    <w:p>
      <w:pPr>
        <w:spacing w:after="0" w:line="258"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Shares of our Class A Common Stock are listed on Nasdaq under the symbol “VNOM.” There were 63 holders of record of our Class A Common Stock on February 20, 2026. There is no trading market for our Class B Common Stock; however, shares of our Class B Common Stock or the TWR Class B Option (as defined in Note 4—Acquisitions and Divestitures in Item 8. Financial Statements and Supplementary Data of this report), together with an equal number of OpCo Units, are exchangeable for the same number of shares of our Class A Common Stock at the discretion of the holders under the terms and conditions of OpCo’s limited liability company agreement or the applicable exchange agreement with such holders. There were 31 holders of record of our Class B Common Stock on February 20, 2026.</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7" w:lineRule="exact"/>
        <w:rPr>
          <w:sz w:val="20"/>
          <w:szCs w:val="20"/>
          <w:color w:val="auto"/>
        </w:rPr>
      </w:pPr>
    </w:p>
    <w:p>
      <w:pPr>
        <w:jc w:val="both"/>
        <w:ind w:left="20" w:right="20" w:firstLine="720"/>
        <w:spacing w:after="0" w:line="262" w:lineRule="auto"/>
        <w:rPr>
          <w:sz w:val="20"/>
          <w:szCs w:val="20"/>
          <w:color w:val="auto"/>
        </w:rPr>
      </w:pPr>
      <w:r>
        <w:rPr>
          <w:rFonts w:ascii="Times New Roman" w:cs="Times New Roman" w:eastAsia="Times New Roman" w:hAnsi="Times New Roman"/>
          <w:sz w:val="20"/>
          <w:szCs w:val="20"/>
          <w:color w:val="auto"/>
        </w:rPr>
        <w:t>Under our current dividend policy, we intend to pay a base dividend, as well as a variable dividend that takes into account capital returned to stockholders via our repurchase program. We currently intend to pay quarterly variable dividends of at least 75% of our available cash less the base dividend declared and the amount paid for repurchases of our Common Stock and OpCo Units as part of our repurchase program for the applicable quarter.</w:t>
      </w:r>
    </w:p>
    <w:p>
      <w:pPr>
        <w:spacing w:after="0" w:line="194" w:lineRule="exact"/>
        <w:rPr>
          <w:sz w:val="20"/>
          <w:szCs w:val="20"/>
          <w:color w:val="auto"/>
        </w:rPr>
      </w:pPr>
    </w:p>
    <w:p>
      <w:pPr>
        <w:jc w:val="both"/>
        <w:ind w:left="20" w:right="20" w:firstLine="720"/>
        <w:spacing w:after="0" w:line="256" w:lineRule="auto"/>
        <w:rPr>
          <w:sz w:val="20"/>
          <w:szCs w:val="20"/>
          <w:color w:val="auto"/>
        </w:rPr>
      </w:pPr>
      <w:r>
        <w:rPr>
          <w:rFonts w:ascii="Times New Roman" w:cs="Times New Roman" w:eastAsia="Times New Roman" w:hAnsi="Times New Roman"/>
          <w:sz w:val="20"/>
          <w:szCs w:val="20"/>
          <w:color w:val="auto"/>
        </w:rPr>
        <w:t>Our available cash and the available cash of the Operating Company for each quarter is determined by our board of directors following the end of such quarter. We expect that our available cash will generally equal the Adjusted EBITDA attributable to us for the applicable quarter, less cash needed for income taxes payable, debt service, contractual obligations, fixed charges and reserves for future operating or capital needs that our board of directors deems necessary or appropriate, lease bonus income (net of applicable taxes), and other insignificant expenses including dividend equivalent rights payments and preferred distributions.</w:t>
      </w:r>
    </w:p>
    <w:p>
      <w:pPr>
        <w:spacing w:after="0" w:line="206"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The percentage of cash available for distribution by the Operating Company to us pursuant to the distribution policy may change quarterly to enable the Operating Company to retain cash flow to help strengthen our balance sheet while also expanding the return of capital program through our repurchase program.</w:t>
      </w:r>
    </w:p>
    <w:p>
      <w:pPr>
        <w:spacing w:after="0" w:line="187" w:lineRule="exact"/>
        <w:rPr>
          <w:sz w:val="20"/>
          <w:szCs w:val="20"/>
          <w:color w:val="auto"/>
        </w:rPr>
      </w:pPr>
    </w:p>
    <w:p>
      <w:pPr>
        <w:jc w:val="both"/>
        <w:ind w:left="20" w:right="20" w:firstLine="720"/>
        <w:spacing w:after="0" w:line="261" w:lineRule="auto"/>
        <w:rPr>
          <w:sz w:val="20"/>
          <w:szCs w:val="20"/>
          <w:color w:val="auto"/>
        </w:rPr>
      </w:pPr>
      <w:r>
        <w:rPr>
          <w:rFonts w:ascii="Times New Roman" w:cs="Times New Roman" w:eastAsia="Times New Roman" w:hAnsi="Times New Roman"/>
          <w:sz w:val="20"/>
          <w:szCs w:val="20"/>
          <w:color w:val="auto"/>
        </w:rPr>
        <w:t>We are also required to pay a quarterly preferred dividend in respect of our Class B Common Stock in the aggregate amount of $ 20,000 per quarter. Other than the preferred dividend requirement, we are not required to pay dividends to our stockholders on a quarterly or other basis, and declaration of any other dividends in the future will be solely in the discretion of our board of directors.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Our Class A Common Stock repurchase activity for the three months ended December 31, 2025, was as follows: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center"/>
              <w:ind w:right="164"/>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of Shares that May</w:t>
            </w:r>
          </w:p>
        </w:tc>
      </w:tr>
      <w:tr>
        <w:trPr>
          <w:trHeight w:val="214"/>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Yet Be Purchased Under</w:t>
            </w:r>
          </w:p>
        </w:tc>
      </w:tr>
      <w:tr>
        <w:trPr>
          <w:trHeight w:val="224"/>
        </w:trPr>
        <w:tc>
          <w:tcPr>
            <w:tcW w:w="3500" w:type="dxa"/>
            <w:vAlign w:val="bottom"/>
            <w:tcBorders>
              <w:bottom w:val="single" w:sz="8" w:color="auto"/>
            </w:tcBorders>
          </w:tcPr>
          <w:p>
            <w:pPr>
              <w:jc w:val="right"/>
              <w:ind w:right="1402"/>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gridSpan w:val="2"/>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w:t>
            </w:r>
            <w:r>
              <w:rPr>
                <w:rFonts w:ascii="Times New Roman" w:cs="Times New Roman" w:eastAsia="Times New Roman" w:hAnsi="Times New Roman"/>
                <w:sz w:val="11"/>
                <w:szCs w:val="11"/>
                <w:b w:val="1"/>
                <w:bCs w:val="1"/>
                <w:color w:val="auto"/>
                <w:w w:val="97"/>
              </w:rPr>
              <w:t>(1)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r>
              <w:rPr>
                <w:rFonts w:ascii="Times New Roman" w:cs="Times New Roman" w:eastAsia="Times New Roman" w:hAnsi="Times New Roman"/>
                <w:sz w:val="11"/>
                <w:szCs w:val="11"/>
                <w:b w:val="1"/>
                <w:bCs w:val="1"/>
                <w:color w:val="auto"/>
              </w:rPr>
              <w:t>(2)</w:t>
            </w:r>
          </w:p>
        </w:tc>
        <w:tc>
          <w:tcPr>
            <w:tcW w:w="80" w:type="dxa"/>
            <w:vAlign w:val="bottom"/>
            <w:gridSpan w:val="3"/>
          </w:tcPr>
          <w:p>
            <w:pPr>
              <w:spacing w:after="0"/>
              <w:rPr>
                <w:sz w:val="19"/>
                <w:szCs w:val="19"/>
                <w:color w:val="auto"/>
              </w:rPr>
            </w:pPr>
          </w:p>
        </w:tc>
        <w:tc>
          <w:tcPr>
            <w:tcW w:w="20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Publicly Announced Plan</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rPr>
              <w:t>the Plan</w:t>
            </w:r>
            <w:r>
              <w:rPr>
                <w:rFonts w:ascii="Times New Roman" w:cs="Times New Roman" w:eastAsia="Times New Roman" w:hAnsi="Times New Roman"/>
                <w:sz w:val="11"/>
                <w:szCs w:val="11"/>
                <w:b w:val="1"/>
                <w:bCs w:val="1"/>
                <w:color w:val="auto"/>
              </w:rPr>
              <w:t>(1)(3)</w:t>
            </w:r>
          </w:p>
        </w:tc>
      </w:tr>
      <w:tr>
        <w:trPr>
          <w:trHeight w:val="289"/>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4"/>
          </w:tcPr>
          <w:p>
            <w:pPr>
              <w:jc w:val="right"/>
              <w:ind w:right="1084"/>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and shares in ones)</w:t>
            </w:r>
          </w:p>
        </w:tc>
      </w:tr>
      <w:tr>
        <w:trPr>
          <w:trHeight w:val="297"/>
        </w:trPr>
        <w:tc>
          <w:tcPr>
            <w:tcW w:w="3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xml:space="preserve">October 1, 2025 - October 31, 2025 </w:t>
            </w:r>
            <w:r>
              <w:rPr>
                <w:rFonts w:ascii="Times New Roman" w:cs="Times New Roman" w:eastAsia="Times New Roman" w:hAnsi="Times New Roman"/>
                <w:sz w:val="20"/>
                <w:szCs w:val="20"/>
                <w:color w:val="B3B3B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861,825</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860,087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302</w:t>
            </w:r>
          </w:p>
        </w:tc>
      </w:tr>
      <w:tr>
        <w:trPr>
          <w:trHeight w:val="300"/>
        </w:trPr>
        <w:tc>
          <w:tcPr>
            <w:tcW w:w="3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xml:space="preserve">November 1, 2025 - November 30, 2025 </w:t>
            </w:r>
            <w:r>
              <w:rPr>
                <w:rFonts w:ascii="Times New Roman" w:cs="Times New Roman" w:eastAsia="Times New Roman" w:hAnsi="Times New Roman"/>
                <w:sz w:val="20"/>
                <w:szCs w:val="20"/>
                <w:color w:val="B3B3B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466,757</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36.97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466,757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284</w:t>
            </w:r>
          </w:p>
        </w:tc>
      </w:tr>
      <w:tr>
        <w:trPr>
          <w:trHeight w:val="302"/>
        </w:trPr>
        <w:tc>
          <w:tcPr>
            <w:tcW w:w="3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December 1, 2025 - December 31, 2025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75,905</w:t>
            </w:r>
          </w:p>
        </w:tc>
        <w:tc>
          <w:tcPr>
            <w:tcW w:w="60" w:type="dxa"/>
            <w:vAlign w:val="bottom"/>
            <w:tcBorders>
              <w:bottom w:val="single" w:sz="8" w:color="auto"/>
            </w:tcBorders>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38.72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75,905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241</w:t>
            </w:r>
          </w:p>
        </w:tc>
      </w:tr>
      <w:tr>
        <w:trPr>
          <w:trHeight w:val="240"/>
        </w:trPr>
        <w:tc>
          <w:tcPr>
            <w:tcW w:w="3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3B3B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1,404,487</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37.29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1,402,749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2"/>
        </w:trPr>
        <w:tc>
          <w:tcPr>
            <w:tcW w:w="3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r>
    </w:tbl>
    <w:p>
      <w:pPr>
        <w:spacing w:after="0" w:line="4" w:lineRule="exact"/>
        <w:rPr>
          <w:sz w:val="20"/>
          <w:szCs w:val="20"/>
          <w:color w:val="auto"/>
        </w:rPr>
      </w:pPr>
    </w:p>
    <w:p>
      <w:pPr>
        <w:jc w:val="both"/>
        <w:ind w:left="380" w:right="20" w:hanging="369"/>
        <w:spacing w:after="0" w:line="268"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1,738 shares of Class A Common Stock repurchased from employees in order to satisfy tax withholding requirements. Such shares are cancelled and retired immediately upon repurchase. On December 10, 2025 our board of directors approved expanding the repurchase program to include repurchases of OpCo Units and shares of Class B</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300"/>
          </w:cols>
          <w:pgMar w:left="980" w:top="214" w:right="960"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Common Stock. The OpCo Units and the Company’s Class B Common Stock are not registered securities pursuant to Section 12 of the Exchange Act and as such repurchases of such unregistered securities are excluded from the shares listed in the table above. During December 2025, the Company, in a privately negotiated transaction, repurchased 1,000,000 OpCo Units for an aggregate purchase price of approximately $41 million, or $40.65 per OpCo Unit, and cancellation of an equal number of shares of the Company’s Class B Common Stock. The approximately $241 million remaining under the repurchase program for future repurchases at December 31, 2025 in the table above gives effect to such repurchase of OpCo Units.</w:t>
      </w:r>
    </w:p>
    <w:p>
      <w:pPr>
        <w:spacing w:after="0" w:line="5" w:lineRule="exact"/>
        <w:rPr>
          <w:sz w:val="20"/>
          <w:szCs w:val="20"/>
          <w:color w:val="auto"/>
        </w:rPr>
      </w:pPr>
    </w:p>
    <w:p>
      <w:pPr>
        <w:ind w:left="360" w:hanging="349"/>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price paid per share includes any commissions paid to repurchase stock.</w:t>
      </w:r>
    </w:p>
    <w:p>
      <w:pPr>
        <w:spacing w:after="0" w:line="10" w:lineRule="exact"/>
        <w:rPr>
          <w:rFonts w:ascii="Times New Roman" w:cs="Times New Roman" w:eastAsia="Times New Roman" w:hAnsi="Times New Roman"/>
          <w:sz w:val="20"/>
          <w:szCs w:val="20"/>
          <w:color w:val="auto"/>
        </w:rPr>
      </w:pPr>
    </w:p>
    <w:p>
      <w:pPr>
        <w:jc w:val="both"/>
        <w:ind w:left="360" w:hanging="349"/>
        <w:spacing w:after="0" w:line="258" w:lineRule="auto"/>
        <w:tabs>
          <w:tab w:leader="none" w:pos="35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26, 2022, our board of directors increased the authorization under our then-in-effect repurchase program from $250 million to $750 million and on February 18, 2026 further increased the authorization to $1.75 billion. This repurchase program has no expiration date and remains subject to market conditions, applicable legal requirements, contractual obligations and other factors and may be suspended, modified or extended, from time to time, or may be discontinued at any time, in each case, by our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1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following performance graph and related information should not be deemed “soliciting material” or to be “filed” with the SEC, nor should such information be incorporated by reference into any future filing under the Securities Act or the Exchange Act, except to the extent that we specifically incorporate such information by reference into such a filing. The performance graph and information are included for historical comparative purposes only and should not be considered indicative of future stock performance.</w:t>
      </w:r>
    </w:p>
    <w:p>
      <w:pPr>
        <w:spacing w:after="0" w:line="202"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performance graph includes a comparison of our cumulative total stockholder return over a five -year period with the cumulative total returns of the Standard &amp; Poor’s 500 Stock Index, or the S&amp;P 500, and the SPDR S&amp;P Oil &amp; Gas Exploration and Production ETF, or XOP. The graph assumes an investment of $100 on December 31, 2020, and that all dividends were reinvested.</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585858"/>
        </w:rPr>
        <w:t>COMPARISON OF 5 YEAR CUMULATIVE TOTAL RETURN</w:t>
      </w: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585858"/>
        </w:rPr>
        <w:t>600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1062990</wp:posOffset>
                </wp:positionH>
                <wp:positionV relativeFrom="paragraph">
                  <wp:posOffset>-54610</wp:posOffset>
                </wp:positionV>
                <wp:extent cx="0" cy="222821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8215"/>
                        </a:xfrm>
                        <a:prstGeom prst="line">
                          <a:avLst/>
                        </a:prstGeom>
                        <a:solidFill>
                          <a:srgbClr val="FFFFFF"/>
                        </a:solidFill>
                        <a:ln w="9525">
                          <a:solidFill>
                            <a:srgbClr val="8A8A8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7pt,-4.2999pt" to="83.7pt,171.15pt" o:allowincell="f" strokecolor="#8A8A8A" strokeweight="0.75pt"/>
            </w:pict>
          </mc:Fallback>
        </mc:AlternateConten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585858"/>
              </w:rPr>
              <w:t>400</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00" w:type="dxa"/>
            <w:vAlign w:val="bottom"/>
            <w:vMerge w:val="restart"/>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280" w:type="dxa"/>
            <w:vAlign w:val="bottom"/>
            <w:tcBorders>
              <w:left w:val="single" w:sz="8" w:color="auto"/>
              <w:right w:val="single" w:sz="8" w:color="auto"/>
            </w:tcBorders>
            <w:vMerge w:val="restart"/>
            <w:textDirection w:val="btLr"/>
          </w:tcPr>
          <w:p>
            <w:pPr>
              <w:ind w:left="30"/>
              <w:spacing w:after="0"/>
              <w:rPr>
                <w:sz w:val="20"/>
                <w:szCs w:val="20"/>
                <w:color w:val="auto"/>
              </w:rPr>
            </w:pPr>
            <w:r>
              <w:rPr>
                <w:rFonts w:ascii="Times New Roman" w:cs="Times New Roman" w:eastAsia="Times New Roman" w:hAnsi="Times New Roman"/>
                <w:sz w:val="20"/>
                <w:szCs w:val="20"/>
                <w:b w:val="1"/>
                <w:bCs w:val="1"/>
                <w:color w:val="585858"/>
                <w:w w:val="99"/>
              </w:rPr>
              <w:t>Dollars</w:t>
            </w: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700" w:type="dxa"/>
            <w:vAlign w:val="bottom"/>
            <w:vMerge w:val="restart"/>
          </w:tcPr>
          <w:p>
            <w:pPr>
              <w:spacing w:after="0"/>
              <w:rPr>
                <w:sz w:val="24"/>
                <w:szCs w:val="24"/>
                <w:color w:val="auto"/>
              </w:rPr>
            </w:pPr>
          </w:p>
        </w:tc>
        <w:tc>
          <w:tcPr>
            <w:tcW w:w="280" w:type="dxa"/>
            <w:vAlign w:val="bottom"/>
            <w:tcBorders>
              <w:left w:val="single" w:sz="8" w:color="auto"/>
              <w:right w:val="single" w:sz="8" w:color="auto"/>
            </w:tcBorders>
            <w:vMerge w:val="continue"/>
          </w:tcPr>
          <w:p>
            <w:pPr>
              <w:spacing w:after="0"/>
              <w:rPr>
                <w:sz w:val="24"/>
                <w:szCs w:val="24"/>
                <w:color w:val="auto"/>
              </w:rPr>
            </w:pPr>
          </w:p>
        </w:tc>
        <w:tc>
          <w:tcPr>
            <w:tcW w:w="1920" w:type="dxa"/>
            <w:vAlign w:val="bottom"/>
            <w:gridSpan w:val="4"/>
            <w:vMerge w:val="restart"/>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00" w:type="dxa"/>
            <w:vAlign w:val="bottom"/>
            <w:vMerge w:val="continue"/>
          </w:tcPr>
          <w:p>
            <w:pPr>
              <w:spacing w:after="0"/>
              <w:rPr>
                <w:sz w:val="9"/>
                <w:szCs w:val="9"/>
                <w:color w:val="auto"/>
              </w:rPr>
            </w:pPr>
          </w:p>
        </w:tc>
        <w:tc>
          <w:tcPr>
            <w:tcW w:w="28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280" w:type="dxa"/>
            <w:vAlign w:val="bottom"/>
            <w:tcBorders>
              <w:left w:val="single" w:sz="8" w:color="auto"/>
              <w:right w:val="single" w:sz="8" w:color="auto"/>
            </w:tcBorders>
            <w:vMerge w:val="continue"/>
          </w:tcPr>
          <w:p>
            <w:pPr>
              <w:spacing w:after="0"/>
              <w:rPr>
                <w:sz w:val="6"/>
                <w:szCs w:val="6"/>
                <w:color w:val="auto"/>
              </w:rPr>
            </w:pPr>
          </w:p>
        </w:tc>
        <w:tc>
          <w:tcPr>
            <w:tcW w:w="19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700" w:type="dxa"/>
            <w:vAlign w:val="bottom"/>
            <w:vMerge w:val="continue"/>
          </w:tcPr>
          <w:p>
            <w:pPr>
              <w:spacing w:after="0"/>
              <w:rPr>
                <w:sz w:val="8"/>
                <w:szCs w:val="8"/>
                <w:color w:val="auto"/>
              </w:rPr>
            </w:pPr>
          </w:p>
        </w:tc>
        <w:tc>
          <w:tcPr>
            <w:tcW w:w="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9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shd w:val="clear" w:color="auto" w:fill="000000"/>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3"/>
        </w:trPr>
        <w:tc>
          <w:tcPr>
            <w:tcW w:w="1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20"/>
                <w:szCs w:val="20"/>
                <w:color w:val="585858"/>
              </w:rPr>
              <w:t>200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Borders>
              <w:bottom w:val="single" w:sz="8" w:color="8A8A8A"/>
            </w:tcBorders>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540" w:type="dxa"/>
            <w:vAlign w:val="bottom"/>
            <w:tcBorders>
              <w:bottom w:val="single" w:sz="8" w:color="8A8A8A"/>
            </w:tcBorders>
          </w:tcPr>
          <w:p>
            <w:pPr>
              <w:spacing w:after="0"/>
              <w:rPr>
                <w:sz w:val="7"/>
                <w:szCs w:val="7"/>
                <w:color w:val="auto"/>
              </w:rPr>
            </w:pPr>
          </w:p>
        </w:tc>
        <w:tc>
          <w:tcPr>
            <w:tcW w:w="300" w:type="dxa"/>
            <w:vAlign w:val="bottom"/>
            <w:tcBorders>
              <w:bottom w:val="single" w:sz="8" w:color="8A8A8A"/>
            </w:tcBorders>
          </w:tcPr>
          <w:p>
            <w:pPr>
              <w:spacing w:after="0"/>
              <w:rPr>
                <w:sz w:val="7"/>
                <w:szCs w:val="7"/>
                <w:color w:val="auto"/>
              </w:rPr>
            </w:pPr>
          </w:p>
        </w:tc>
        <w:tc>
          <w:tcPr>
            <w:tcW w:w="60" w:type="dxa"/>
            <w:vAlign w:val="bottom"/>
            <w:tcBorders>
              <w:bottom w:val="single" w:sz="8" w:color="8A8A8A"/>
            </w:tcBorders>
          </w:tcPr>
          <w:p>
            <w:pPr>
              <w:spacing w:after="0"/>
              <w:rPr>
                <w:sz w:val="7"/>
                <w:szCs w:val="7"/>
                <w:color w:val="auto"/>
              </w:rPr>
            </w:pPr>
          </w:p>
        </w:tc>
        <w:tc>
          <w:tcPr>
            <w:tcW w:w="220" w:type="dxa"/>
            <w:vAlign w:val="bottom"/>
            <w:tcBorders>
              <w:bottom w:val="single" w:sz="8" w:color="8A8A8A"/>
            </w:tcBorders>
          </w:tcPr>
          <w:p>
            <w:pPr>
              <w:spacing w:after="0"/>
              <w:rPr>
                <w:sz w:val="7"/>
                <w:szCs w:val="7"/>
                <w:color w:val="auto"/>
              </w:rPr>
            </w:pPr>
          </w:p>
        </w:tc>
        <w:tc>
          <w:tcPr>
            <w:tcW w:w="180" w:type="dxa"/>
            <w:vAlign w:val="bottom"/>
            <w:tcBorders>
              <w:bottom w:val="single" w:sz="8" w:color="8A8A8A"/>
            </w:tcBorders>
          </w:tcPr>
          <w:p>
            <w:pPr>
              <w:spacing w:after="0"/>
              <w:rPr>
                <w:sz w:val="7"/>
                <w:szCs w:val="7"/>
                <w:color w:val="auto"/>
              </w:rPr>
            </w:pPr>
          </w:p>
        </w:tc>
        <w:tc>
          <w:tcPr>
            <w:tcW w:w="800" w:type="dxa"/>
            <w:vAlign w:val="bottom"/>
            <w:tcBorders>
              <w:bottom w:val="single" w:sz="8" w:color="8A8A8A"/>
            </w:tcBorders>
          </w:tcPr>
          <w:p>
            <w:pPr>
              <w:spacing w:after="0"/>
              <w:rPr>
                <w:sz w:val="7"/>
                <w:szCs w:val="7"/>
                <w:color w:val="auto"/>
              </w:rPr>
            </w:pPr>
          </w:p>
        </w:tc>
        <w:tc>
          <w:tcPr>
            <w:tcW w:w="320" w:type="dxa"/>
            <w:vAlign w:val="bottom"/>
            <w:tcBorders>
              <w:bottom w:val="single" w:sz="8" w:color="8A8A8A"/>
            </w:tcBorders>
          </w:tcPr>
          <w:p>
            <w:pPr>
              <w:spacing w:after="0"/>
              <w:rPr>
                <w:sz w:val="7"/>
                <w:szCs w:val="7"/>
                <w:color w:val="auto"/>
              </w:rPr>
            </w:pPr>
          </w:p>
        </w:tc>
        <w:tc>
          <w:tcPr>
            <w:tcW w:w="180" w:type="dxa"/>
            <w:vAlign w:val="bottom"/>
            <w:tcBorders>
              <w:bottom w:val="single" w:sz="8" w:color="8A8A8A"/>
            </w:tcBorders>
          </w:tcPr>
          <w:p>
            <w:pPr>
              <w:spacing w:after="0"/>
              <w:rPr>
                <w:sz w:val="7"/>
                <w:szCs w:val="7"/>
                <w:color w:val="auto"/>
              </w:rPr>
            </w:pPr>
          </w:p>
        </w:tc>
        <w:tc>
          <w:tcPr>
            <w:tcW w:w="740" w:type="dxa"/>
            <w:vAlign w:val="bottom"/>
            <w:tcBorders>
              <w:bottom w:val="single" w:sz="8" w:color="8A8A8A"/>
            </w:tcBorders>
          </w:tcPr>
          <w:p>
            <w:pPr>
              <w:spacing w:after="0"/>
              <w:rPr>
                <w:sz w:val="7"/>
                <w:szCs w:val="7"/>
                <w:color w:val="auto"/>
              </w:rPr>
            </w:pPr>
          </w:p>
        </w:tc>
        <w:tc>
          <w:tcPr>
            <w:tcW w:w="380" w:type="dxa"/>
            <w:vAlign w:val="bottom"/>
            <w:tcBorders>
              <w:bottom w:val="single" w:sz="8" w:color="8A8A8A"/>
            </w:tcBorders>
          </w:tcPr>
          <w:p>
            <w:pPr>
              <w:spacing w:after="0"/>
              <w:rPr>
                <w:sz w:val="7"/>
                <w:szCs w:val="7"/>
                <w:color w:val="auto"/>
              </w:rPr>
            </w:pPr>
          </w:p>
        </w:tc>
        <w:tc>
          <w:tcPr>
            <w:tcW w:w="180" w:type="dxa"/>
            <w:vAlign w:val="bottom"/>
            <w:tcBorders>
              <w:bottom w:val="single" w:sz="8" w:color="8A8A8A"/>
            </w:tcBorders>
          </w:tcPr>
          <w:p>
            <w:pPr>
              <w:spacing w:after="0"/>
              <w:rPr>
                <w:sz w:val="7"/>
                <w:szCs w:val="7"/>
                <w:color w:val="auto"/>
              </w:rPr>
            </w:pPr>
          </w:p>
        </w:tc>
        <w:tc>
          <w:tcPr>
            <w:tcW w:w="460" w:type="dxa"/>
            <w:vAlign w:val="bottom"/>
            <w:tcBorders>
              <w:bottom w:val="single" w:sz="8" w:color="8A8A8A"/>
            </w:tcBorders>
          </w:tcPr>
          <w:p>
            <w:pPr>
              <w:spacing w:after="0"/>
              <w:rPr>
                <w:sz w:val="7"/>
                <w:szCs w:val="7"/>
                <w:color w:val="auto"/>
              </w:rPr>
            </w:pPr>
          </w:p>
        </w:tc>
        <w:tc>
          <w:tcPr>
            <w:tcW w:w="680" w:type="dxa"/>
            <w:vAlign w:val="bottom"/>
            <w:tcBorders>
              <w:bottom w:val="single" w:sz="8" w:color="8A8A8A"/>
            </w:tcBorders>
          </w:tcPr>
          <w:p>
            <w:pPr>
              <w:spacing w:after="0"/>
              <w:rPr>
                <w:sz w:val="7"/>
                <w:szCs w:val="7"/>
                <w:color w:val="auto"/>
              </w:rPr>
            </w:pPr>
          </w:p>
        </w:tc>
        <w:tc>
          <w:tcPr>
            <w:tcW w:w="180" w:type="dxa"/>
            <w:vAlign w:val="bottom"/>
            <w:tcBorders>
              <w:bottom w:val="single" w:sz="8" w:color="8A8A8A"/>
            </w:tcBorders>
          </w:tcPr>
          <w:p>
            <w:pPr>
              <w:spacing w:after="0"/>
              <w:rPr>
                <w:sz w:val="7"/>
                <w:szCs w:val="7"/>
                <w:color w:val="auto"/>
              </w:rPr>
            </w:pPr>
          </w:p>
        </w:tc>
        <w:tc>
          <w:tcPr>
            <w:tcW w:w="460" w:type="dxa"/>
            <w:vAlign w:val="bottom"/>
            <w:tcBorders>
              <w:bottom w:val="single" w:sz="8" w:color="8A8A8A"/>
            </w:tcBorders>
          </w:tcPr>
          <w:p>
            <w:pPr>
              <w:spacing w:after="0"/>
              <w:rPr>
                <w:sz w:val="7"/>
                <w:szCs w:val="7"/>
                <w:color w:val="auto"/>
              </w:rPr>
            </w:pPr>
          </w:p>
        </w:tc>
        <w:tc>
          <w:tcPr>
            <w:tcW w:w="660" w:type="dxa"/>
            <w:vAlign w:val="bottom"/>
            <w:tcBorders>
              <w:bottom w:val="single" w:sz="8" w:color="8A8A8A"/>
            </w:tcBorders>
          </w:tcPr>
          <w:p>
            <w:pPr>
              <w:spacing w:after="0"/>
              <w:rPr>
                <w:sz w:val="7"/>
                <w:szCs w:val="7"/>
                <w:color w:val="auto"/>
              </w:rPr>
            </w:pPr>
          </w:p>
        </w:tc>
        <w:tc>
          <w:tcPr>
            <w:tcW w:w="180" w:type="dxa"/>
            <w:vAlign w:val="bottom"/>
            <w:tcBorders>
              <w:bottom w:val="single" w:sz="8" w:color="8A8A8A"/>
            </w:tcBorders>
          </w:tcPr>
          <w:p>
            <w:pPr>
              <w:spacing w:after="0"/>
              <w:rPr>
                <w:sz w:val="7"/>
                <w:szCs w:val="7"/>
                <w:color w:val="auto"/>
              </w:rPr>
            </w:pPr>
          </w:p>
        </w:tc>
        <w:tc>
          <w:tcPr>
            <w:tcW w:w="560" w:type="dxa"/>
            <w:vAlign w:val="bottom"/>
            <w:tcBorders>
              <w:bottom w:val="single" w:sz="8" w:color="8A8A8A"/>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gridSpan w:val="3"/>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900" w:type="dxa"/>
            <w:vAlign w:val="bottom"/>
            <w:gridSpan w:val="6"/>
          </w:tcPr>
          <w:p>
            <w:pPr>
              <w:jc w:val="right"/>
              <w:ind w:right="480"/>
              <w:spacing w:after="0"/>
              <w:rPr>
                <w:sz w:val="20"/>
                <w:szCs w:val="20"/>
                <w:color w:val="auto"/>
              </w:rPr>
            </w:pPr>
            <w:r>
              <w:rPr>
                <w:rFonts w:ascii="Times New Roman" w:cs="Times New Roman" w:eastAsia="Times New Roman" w:hAnsi="Times New Roman"/>
                <w:sz w:val="20"/>
                <w:szCs w:val="20"/>
                <w:color w:val="585858"/>
              </w:rPr>
              <w:t>2020</w:t>
            </w:r>
          </w:p>
        </w:tc>
        <w:tc>
          <w:tcPr>
            <w:tcW w:w="1560" w:type="dxa"/>
            <w:vAlign w:val="bottom"/>
            <w:gridSpan w:val="5"/>
          </w:tcPr>
          <w:p>
            <w:pPr>
              <w:jc w:val="right"/>
              <w:ind w:right="720"/>
              <w:spacing w:after="0"/>
              <w:rPr>
                <w:sz w:val="20"/>
                <w:szCs w:val="20"/>
                <w:color w:val="auto"/>
              </w:rPr>
            </w:pPr>
            <w:r>
              <w:rPr>
                <w:rFonts w:ascii="Times New Roman" w:cs="Times New Roman" w:eastAsia="Times New Roman" w:hAnsi="Times New Roman"/>
                <w:sz w:val="20"/>
                <w:szCs w:val="20"/>
                <w:color w:val="585858"/>
              </w:rPr>
              <w:t>2021</w:t>
            </w: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585858"/>
              </w:rPr>
              <w:t>2022</w:t>
            </w:r>
          </w:p>
        </w:tc>
        <w:tc>
          <w:tcPr>
            <w:tcW w:w="102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585858"/>
              </w:rPr>
              <w:t>2023</w:t>
            </w: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585858"/>
              </w:rPr>
              <w:t>2024</w:t>
            </w: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585858"/>
              </w:rPr>
              <w:t>2025</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6"/>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vMerge w:val="restart"/>
          </w:tcPr>
          <w:p>
            <w:pPr>
              <w:spacing w:after="0"/>
              <w:rPr>
                <w:sz w:val="24"/>
                <w:szCs w:val="24"/>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color w:val="585858"/>
                <w:w w:val="99"/>
              </w:rPr>
              <w:t>Viper Energy, Inc.</w:t>
            </w:r>
          </w:p>
        </w:tc>
        <w:tc>
          <w:tcPr>
            <w:tcW w:w="180" w:type="dxa"/>
            <w:vAlign w:val="bottom"/>
            <w:vMerge w:val="restart"/>
          </w:tcPr>
          <w:p>
            <w:pPr>
              <w:spacing w:after="0"/>
              <w:rPr>
                <w:sz w:val="24"/>
                <w:szCs w:val="24"/>
                <w:color w:val="auto"/>
              </w:rPr>
            </w:pPr>
          </w:p>
        </w:tc>
        <w:tc>
          <w:tcPr>
            <w:tcW w:w="1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20"/>
                <w:szCs w:val="20"/>
                <w:color w:val="585858"/>
              </w:rPr>
              <w:t>S&amp;P 500</w:t>
            </w: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585858"/>
              </w:rPr>
              <w:t>XOP</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0"/>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900" w:type="dxa"/>
            <w:vAlign w:val="bottom"/>
            <w:gridSpan w:val="6"/>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w w:val="97"/>
              </w:rPr>
              <w:t>Calculated Values</w:t>
            </w:r>
          </w:p>
        </w:tc>
        <w:tc>
          <w:tcPr>
            <w:tcW w:w="360" w:type="dxa"/>
            <w:vAlign w:val="bottom"/>
            <w:gridSpan w:val="2"/>
          </w:tcPr>
          <w:p>
            <w:pPr>
              <w:spacing w:after="0"/>
              <w:rPr>
                <w:sz w:val="23"/>
                <w:szCs w:val="23"/>
                <w:color w:val="auto"/>
              </w:rPr>
            </w:pPr>
          </w:p>
        </w:tc>
        <w:tc>
          <w:tcPr>
            <w:tcW w:w="12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6"/>
        </w:trPr>
        <w:tc>
          <w:tcPr>
            <w:tcW w:w="29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w w:val="90"/>
              </w:rPr>
              <w:t>Viper Energy, Inc.</w:t>
            </w:r>
            <w:r>
              <w:rPr>
                <w:rFonts w:ascii="Times New Roman" w:cs="Times New Roman" w:eastAsia="Times New Roman" w:hAnsi="Times New Roman"/>
                <w:sz w:val="20"/>
                <w:szCs w:val="20"/>
                <w:color w:val="B3B3B3"/>
                <w:w w:val="90"/>
              </w:rPr>
              <w:t>..................................</w:t>
            </w:r>
          </w:p>
        </w:tc>
        <w:tc>
          <w:tcPr>
            <w:tcW w:w="156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$100.00</w:t>
            </w:r>
          </w:p>
        </w:tc>
        <w:tc>
          <w:tcPr>
            <w:tcW w:w="3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$194.07</w:t>
            </w:r>
          </w:p>
        </w:tc>
        <w:tc>
          <w:tcPr>
            <w:tcW w:w="1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$314.02</w:t>
            </w: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$328.99</w:t>
            </w: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$544.01</w:t>
            </w: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$454.07</w:t>
            </w:r>
          </w:p>
        </w:tc>
        <w:tc>
          <w:tcPr>
            <w:tcW w:w="0" w:type="dxa"/>
            <w:vAlign w:val="bottom"/>
          </w:tcPr>
          <w:p>
            <w:pPr>
              <w:spacing w:after="0"/>
              <w:rPr>
                <w:sz w:val="1"/>
                <w:szCs w:val="1"/>
                <w:color w:val="auto"/>
              </w:rPr>
            </w:pPr>
          </w:p>
        </w:tc>
      </w:tr>
      <w:tr>
        <w:trPr>
          <w:trHeight w:val="300"/>
        </w:trPr>
        <w:tc>
          <w:tcPr>
            <w:tcW w:w="29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w w:val="89"/>
              </w:rPr>
              <w:t xml:space="preserve">S&amp;P 500 </w:t>
            </w:r>
            <w:r>
              <w:rPr>
                <w:rFonts w:ascii="Times New Roman" w:cs="Times New Roman" w:eastAsia="Times New Roman" w:hAnsi="Times New Roman"/>
                <w:sz w:val="20"/>
                <w:szCs w:val="20"/>
                <w:color w:val="B3B3B3"/>
                <w:w w:val="89"/>
              </w:rPr>
              <w:t>.................................................</w:t>
            </w:r>
          </w:p>
        </w:tc>
        <w:tc>
          <w:tcPr>
            <w:tcW w:w="156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$100.00</w:t>
            </w:r>
          </w:p>
        </w:tc>
        <w:tc>
          <w:tcPr>
            <w:tcW w:w="3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$128.68</w:t>
            </w:r>
          </w:p>
        </w:tc>
        <w:tc>
          <w:tcPr>
            <w:tcW w:w="1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$105.36</w:t>
            </w: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$133.03</w:t>
            </w: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$166.28</w:t>
            </w: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$195.98</w:t>
            </w:r>
          </w:p>
        </w:tc>
        <w:tc>
          <w:tcPr>
            <w:tcW w:w="0" w:type="dxa"/>
            <w:vAlign w:val="bottom"/>
          </w:tcPr>
          <w:p>
            <w:pPr>
              <w:spacing w:after="0"/>
              <w:rPr>
                <w:sz w:val="1"/>
                <w:szCs w:val="1"/>
                <w:color w:val="auto"/>
              </w:rPr>
            </w:pPr>
          </w:p>
        </w:tc>
      </w:tr>
      <w:tr>
        <w:trPr>
          <w:trHeight w:val="300"/>
        </w:trPr>
        <w:tc>
          <w:tcPr>
            <w:tcW w:w="29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w w:val="89"/>
              </w:rPr>
              <w:t>XOP</w:t>
            </w:r>
            <w:r>
              <w:rPr>
                <w:rFonts w:ascii="Times New Roman" w:cs="Times New Roman" w:eastAsia="Times New Roman" w:hAnsi="Times New Roman"/>
                <w:sz w:val="20"/>
                <w:szCs w:val="20"/>
                <w:color w:val="B3B3B3"/>
                <w:w w:val="89"/>
              </w:rPr>
              <w:t>........................................................</w:t>
            </w:r>
          </w:p>
        </w:tc>
        <w:tc>
          <w:tcPr>
            <w:tcW w:w="156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$100.00</w:t>
            </w:r>
          </w:p>
        </w:tc>
        <w:tc>
          <w:tcPr>
            <w:tcW w:w="3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$166.76</w:t>
            </w:r>
          </w:p>
        </w:tc>
        <w:tc>
          <w:tcPr>
            <w:tcW w:w="10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$242.36</w:t>
            </w: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$250.96</w:t>
            </w: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$248.37</w:t>
            </w: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$243.04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-1430020</wp:posOffset>
            </wp:positionV>
            <wp:extent cx="11430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-1429385</wp:posOffset>
            </wp:positionV>
            <wp:extent cx="189230" cy="113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189230" cy="11366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-1430020</wp:posOffset>
            </wp:positionV>
            <wp:extent cx="1905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190500" cy="11430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-3860800</wp:posOffset>
            </wp:positionV>
            <wp:extent cx="4333875" cy="2104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4333875" cy="210439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80"/>
          </w:cols>
          <w:pgMar w:left="980" w:top="214" w:right="980"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right="80"/>
        <w:spacing w:after="0" w:line="29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62"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our consolidated financial statements and notes thereto presented in Item 8. Financial Statements and Supplementary Data of this report. The following discussion contains “forward-looking statements” that reflect our future plans, estimates, beliefs, and expected performance. Actual results and the timing of events may differ materially from those contained in these forward -looking statements due to a number of factors discussed further in Item 1A. Risk Factors and Cautionary Statement Regarding Forward-Looking Statements of this report.</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8"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We are a publicly traded Delaware corporation focused on owning and acquiring mineral and royalty interests in oil and natural gas properties primarily in the Permian Basin. We operate in one reportable segment.</w:t>
      </w:r>
    </w:p>
    <w:p>
      <w:pPr>
        <w:spacing w:after="0" w:line="170"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The following discussion includes a comparison of our results of operations, including changes in our operating income, and liquidity and capital resources for fiscal year 2025 and fiscal year 2024. A discussion of changes in our results of operations from fiscal year 2024 compared to fiscal year 2023 has been omitted from this report, but may be found in Part II. Item 7. Management’s Discussion and Analysis of Financial Condition and Results of Operations in our Annual Report on Form 10-K for the year ended December 31, 2024, filed with the SEC on February 26, 2025, and is incorporated by reference in this report from such prior Annual Report on Form 10-K.</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2026 Activity</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Increase in Repurchase Program Authorization</w:t>
      </w:r>
    </w:p>
    <w:p>
      <w:pPr>
        <w:spacing w:after="0" w:line="247"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On February 18, 2026, our board of directors approved an increase in authorization under our existing repurchase program from $750 million to $ 1.75 billion, excluding excise tax. As of February 20, 2026, approximately $1.2 billion remains available for future repurchases under our repurchase program, excluding excise tax.</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Cash Dividends</w:t>
      </w:r>
    </w:p>
    <w:p>
      <w:pPr>
        <w:spacing w:after="0" w:line="247"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19"/>
          <w:szCs w:val="19"/>
          <w:color w:val="auto"/>
        </w:rPr>
        <w:t>On February 18, 2026, our board of directors approved (i) an increase to our annual base dividend to $1.52 per share of Class A Common Stock beginning with the dividend payable for the fourth quarter of 2025, and (ii) a combined quarterly base and variable cash dividend of $0.52 per share of Class A Common Stock and $0.65 per OpCo Unit payable on March 12, 2026.</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Divestiture of Non-Permian Assets</w:t>
      </w:r>
    </w:p>
    <w:p>
      <w:pPr>
        <w:spacing w:after="0" w:line="24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On February 9, 2026, we completed the Non-Permian Divestiture for net cash proceeds of approximately $617 million, subject to customary post-closing adjustments. The divested properties consisted of approximately 9,400 net royalty acres in the Denver-Julesburg, Eagle Ford and Williston basins with current production of approximately 4,750 BO/d. Proceeds from the Non- Permian Divestiture were used to repay the Term Loan (as defined below) and to reduce borrowings outstanding on the 2025 Revolving Credit Facility (as defined below).</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2025 Activity</w:t>
      </w:r>
    </w:p>
    <w:p>
      <w:pPr>
        <w:spacing w:after="0" w:line="2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Acquisitions Update</w:t>
      </w:r>
    </w:p>
    <w:p>
      <w:pPr>
        <w:spacing w:after="0" w:line="2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i w:val="1"/>
          <w:iCs w:val="1"/>
          <w:color w:val="auto"/>
        </w:rPr>
        <w:t>Sitio Acquisition</w:t>
      </w:r>
    </w:p>
    <w:p>
      <w:pPr>
        <w:spacing w:after="0" w:line="24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On August 19, 2025, we completed the Sitio Acquisition in an all-equity transaction valued at approximately $4.0 billion, including customary transaction costs and post-closing adjustments and the partial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80"/>
          </w:cols>
          <w:pgMar w:left="980" w:top="214" w:right="980" w:bottom="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i w:val="1"/>
          <w:iCs w:val="1"/>
          <w:color w:val="auto"/>
        </w:rPr>
        <w:t>2025 Drop Down</w:t>
      </w:r>
    </w:p>
    <w:p>
      <w:pPr>
        <w:spacing w:after="0" w:line="249"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On May 1, 2025, we completed the 2025 Drop Down for consideration consisting of (i) $873 million in cash including customary post-closing adjustments, and (ii) the issuance of 69,626,640 OpCo Units and an equivalent number of shares of our Class B Common Stock (collectively, the “Drop Down Equity Issuance”). The mineral and royalty interests acquired in the 2025 Drop Down represent approximately 24,446 net royalty acres in the Permian Basin, 69% of which are operated by Diamondback.</w:t>
      </w:r>
    </w:p>
    <w:p>
      <w:pPr>
        <w:spacing w:after="0" w:line="2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i w:val="1"/>
          <w:iCs w:val="1"/>
          <w:color w:val="auto"/>
        </w:rPr>
        <w:t>Other Acquisitions</w:t>
      </w:r>
    </w:p>
    <w:p>
      <w:pPr>
        <w:spacing w:after="0" w:line="247"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2025, we acquired, in individually insignificant transactions from unrelated third-party sellers, mineral and royalty interests representing 515 net royalty acres in the Permian Basin for an aggregate net purchase price of approximately $140 million, including customary closing adjustments. Additionally, during the year ended December 31, 2025, we acquired from Morita Ranches Minerals, LLC, mineral and royalty interests representing 1,691 net royalty acres in the Permian Basin for consideration consisting of $208 million in cash and 2,400,297 OpCo Units together with an equal number of shares of our Class B Common Stock, including customary transaction costs and post-closing adjustments.</w:t>
      </w:r>
    </w:p>
    <w:p>
      <w:pPr>
        <w:spacing w:after="0" w:line="206"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At December 31, 2025, our footprint of mineral and royalty interests totaled approximately 96,003 net royalty acres, approximately 35% of which are operated by Diamondback.</w:t>
      </w:r>
    </w:p>
    <w:p>
      <w:pPr>
        <w:spacing w:after="0" w:line="172"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See Note 4—Acquisitions and Divestitures in Item 8. Financial Statements and Supplementary Data of this report for further information.</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Debt Transactions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N</w:t>
      </w:r>
      <w:r>
        <w:rPr>
          <w:rFonts w:ascii="Times New Roman" w:cs="Times New Roman" w:eastAsia="Times New Roman" w:hAnsi="Times New Roman"/>
          <w:sz w:val="20"/>
          <w:szCs w:val="20"/>
          <w:i w:val="1"/>
          <w:iCs w:val="1"/>
          <w:color w:val="auto"/>
        </w:rPr>
        <w:t>otes Offering and Retirement of Notes</w:t>
      </w:r>
    </w:p>
    <w:p>
      <w:pPr>
        <w:spacing w:after="0" w:line="249"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On July 23, 2025, the Operating Company issued the Guaranteed Senior Notes for an aggregate principal amount of $1.6 billion. Using approximately $824 million of the net proceeds from the issuance of the Guaranteed Senior Notes, we redeemed all of our 7.375% Senior Notes maturing on November 1, 2031 (the “2031 Notes”) and on November 1, 2025 we redeemed our 5.375% Senior Notes due 2027 (the “2027 Notes”), including accrued and unpaid interest through the date of redemption and any redemption premiums. We used the remaining net proceeds to partially retire Sitio’s net debt of approximately $1.2 billion including any fees, costs and expenses related to the redemption or repayment of such debt, and for general corporate purposes.</w:t>
      </w:r>
    </w:p>
    <w:p>
      <w:pPr>
        <w:spacing w:after="0" w:line="207"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Additionally, in the second quarter of 2025, prior to redemption, we opportunistically repurchased principal amounts of $50 million of the 2027 Notes in open market transactions for total cash consideration of $50 million, at an average of 99.7% of par value.</w:t>
      </w:r>
    </w:p>
    <w:p>
      <w:pPr>
        <w:spacing w:after="0" w:line="187"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On December 23, 2025, Old OpCo converted its legal form (the “OpCo Conversion”), in accordance with the applicable laws of the State of Delaware, to a Delaware limited partnership named Viper Energy Partners LP (“Viper LP”), which is now the issuer with respect to the Guaranteed Senior Notes.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Term Loan</w:t>
      </w:r>
    </w:p>
    <w:p>
      <w:pPr>
        <w:spacing w:after="0" w:line="24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On July 23, 2025, Former Viper, as guarantor, the Operating Company, as borrower, and Goldman Sachs Bank USA, as administrative agent, entered into a $500 million term loan credit agreement (the “Term Loan”), which was fully drawn to partially fund the retirement of Sitio’s net debt. Following the closing of the Sitio Acquisition, New Viper became an additional guarantor of the borrower’s obligations under the Term Loan. Following the OpCo Conversion, Viper LP became the borrower under the Term Loan.</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2025 Revolving Credit Facility</w:t>
      </w:r>
    </w:p>
    <w:p>
      <w:pPr>
        <w:spacing w:after="0" w:line="24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On June 12, 2025, Former Viper, as guarantor, entered into a credit agreement with the Operating Company, as borrower, and Wells Fargo, as the administrative agent providing for a senior unsecured revolving credit facility with a commitment amount of $1.5 billion (the “2025 Revolving Credit Facility”). The 2025 Revolving Credit Facility was previously guaranteed by certain subsidiaries of the Operating Company, and upon completion of the Sitio Acquisition, those subsidiary guarantees were released and New Viper and Former Viper became co-guarantors. The 2025 Revolving Credit Facility replaced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80"/>
          </w:cols>
          <w:pgMar w:left="980" w:top="214" w:right="980"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ind w:left="20" w:right="60"/>
        <w:spacing w:after="0" w:line="286" w:lineRule="auto"/>
        <w:rPr>
          <w:sz w:val="20"/>
          <w:szCs w:val="20"/>
          <w:color w:val="auto"/>
        </w:rPr>
      </w:pPr>
      <w:r>
        <w:rPr>
          <w:rFonts w:ascii="Times New Roman" w:cs="Times New Roman" w:eastAsia="Times New Roman" w:hAnsi="Times New Roman"/>
          <w:sz w:val="20"/>
          <w:szCs w:val="20"/>
          <w:color w:val="auto"/>
        </w:rPr>
        <w:t>the borrower’s previous revolving credit facility, and will mature on June 12, 2030, unless extended in accordance with its terms. Following the OpCo Conversion, Viper LP became the borrower under the 2025 Revolving Credit Facility.</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See Note 6—Debt in Item 8. Financial Statements and Supplementary Data of this report for additional discussion of</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our debt.</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2025 Equity Offering</w:t>
      </w:r>
    </w:p>
    <w:p>
      <w:pPr>
        <w:spacing w:after="0" w:line="251"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On February 3, 2025, we completed an underwritten public offering of 28,336,000 shares of our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 We used the net proceeds from the 2025 Equity Offering to fund (i) a portion of the cash consideration for the 2025 Drop Down, (ii) the cash consideration for various individually insignificant acquisitions, and (iii) for general corporate purposes.</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Commodity Prices and Certain Other Market Considerations</w:t>
      </w:r>
    </w:p>
    <w:p>
      <w:pPr>
        <w:spacing w:after="0" w:line="253"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Prices for oil, natural gas and natural gas liquids are determined primarily by prevailing market conditions. Regional and worldwide economic activity, changes in trade or other government policies or regulations, including with respect to U.S. energy and monetary policies, tariffs or other trade barriers and any resulting trade tensions, regional conflicts and political instability, extreme weather conditions and other substantially variable factors influence market conditions for these products. These factors are beyond our control and are difficult to predict. OPEC+ continues to meet regularly to evaluate the state of global oil supply, demand and inventory levels and can heavily influence volatility in oil prices. During 2025, 2024 and 2023, WTI prices averaged $64.73, $75.76 and $77.60 per Bbl, respectively, and Henry Hub prices averaged $3.62, $2.41 and $ 2.66 per MMBtu, respectively. For additional information around risks related to commodity prices, see Item 7A. Quantitative and Qualitative Disclosures About Market Risk—Commodity Price Risk.</w:t>
      </w:r>
    </w:p>
    <w:p>
      <w:pPr>
        <w:spacing w:after="0" w:line="211"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Based on 2025 commodity prices, industry conditions and the results of the quarterly ceiling tests, we were required to record aggregate non- cash impairments of $768 million on our proved oil and natural gas interests during the year ended December 31, 2025.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80"/>
          </w:cols>
          <w:pgMar w:left="980" w:top="214" w:right="980"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Production and Operational Update</w:t>
      </w:r>
    </w:p>
    <w:p>
      <w:pPr>
        <w:spacing w:after="0" w:line="258"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there were 98 gross rigs operating on our mineral and royalty acreage, eight of which are operated by Diamondback. During 2025, we completed the Sitio Acquisition and the 2025 Drop Down, which reinforced the durability of our growth outlook and leveraged our leading position in the minerals and royalty sector to advance our differentiated acquisition strategy. Currently, we estimate full year production levels in 2026 to range between approximately 120 MBOE/d to 132 MBOE/d.</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summarizes our gross well information excluding the recently divested non-Permian assets as of</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December 31, 2025, unless otherwise specified:</w:t>
      </w:r>
    </w:p>
    <w:p>
      <w:pPr>
        <w:spacing w:after="0" w:line="339" w:lineRule="exact"/>
        <w:rPr>
          <w:sz w:val="20"/>
          <w:szCs w:val="20"/>
          <w:color w:val="auto"/>
        </w:rPr>
      </w:pPr>
    </w:p>
    <w:p>
      <w:pPr>
        <w:ind w:left="6580"/>
        <w:spacing w:after="0"/>
        <w:tabs>
          <w:tab w:leader="none" w:pos="7900" w:val="left"/>
        </w:tabs>
        <w:rPr>
          <w:sz w:val="20"/>
          <w:szCs w:val="20"/>
          <w:color w:val="auto"/>
        </w:rPr>
      </w:pPr>
      <w:r>
        <w:rPr>
          <w:rFonts w:ascii="Times New Roman" w:cs="Times New Roman" w:eastAsia="Times New Roman" w:hAnsi="Times New Roman"/>
          <w:sz w:val="18"/>
          <w:szCs w:val="18"/>
          <w:b w:val="1"/>
          <w:bCs w:val="1"/>
          <w:color w:val="auto"/>
        </w:rPr>
        <w:t>Diamondback</w:t>
        <w:tab/>
        <w:t>Third-Party</w:t>
      </w:r>
    </w:p>
    <w:p>
      <w:pPr>
        <w:spacing w:after="0" w:line="7" w:lineRule="exact"/>
        <w:rPr>
          <w:sz w:val="20"/>
          <w:szCs w:val="20"/>
          <w:color w:val="auto"/>
        </w:rPr>
      </w:pPr>
    </w:p>
    <w:p>
      <w:pPr>
        <w:ind w:left="6760"/>
        <w:spacing w:after="0"/>
        <w:tabs>
          <w:tab w:leader="none" w:pos="8000" w:val="left"/>
          <w:tab w:leader="none" w:pos="9440" w:val="left"/>
        </w:tabs>
        <w:rPr>
          <w:sz w:val="20"/>
          <w:szCs w:val="20"/>
          <w:color w:val="auto"/>
        </w:rPr>
      </w:pPr>
      <w:r>
        <w:rPr>
          <w:rFonts w:ascii="Times New Roman" w:cs="Times New Roman" w:eastAsia="Times New Roman" w:hAnsi="Times New Roman"/>
          <w:sz w:val="18"/>
          <w:szCs w:val="18"/>
          <w:b w:val="1"/>
          <w:bCs w:val="1"/>
          <w:color w:val="auto"/>
        </w:rPr>
        <w:t>Operated</w:t>
      </w:r>
      <w:r>
        <w:rPr>
          <w:sz w:val="20"/>
          <w:szCs w:val="20"/>
          <w:color w:val="auto"/>
        </w:rPr>
        <w:tab/>
      </w:r>
      <w:r>
        <w:rPr>
          <w:rFonts w:ascii="Times New Roman" w:cs="Times New Roman" w:eastAsia="Times New Roman" w:hAnsi="Times New Roman"/>
          <w:sz w:val="18"/>
          <w:szCs w:val="18"/>
          <w:b w:val="1"/>
          <w:bCs w:val="1"/>
          <w:color w:val="auto"/>
        </w:rPr>
        <w:t>Operated</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4958080</wp:posOffset>
                </wp:positionH>
                <wp:positionV relativeFrom="paragraph">
                  <wp:posOffset>31115</wp:posOffset>
                </wp:positionV>
                <wp:extent cx="762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4pt,2.45pt" to="450.4pt,2.4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5770880</wp:posOffset>
                </wp:positionH>
                <wp:positionV relativeFrom="paragraph">
                  <wp:posOffset>31115</wp:posOffset>
                </wp:positionV>
                <wp:extent cx="762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4pt,2.45pt" to="514.4pt,2.4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4140200</wp:posOffset>
                </wp:positionH>
                <wp:positionV relativeFrom="paragraph">
                  <wp:posOffset>34290</wp:posOffset>
                </wp:positionV>
                <wp:extent cx="7620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pt,2.7pt" to="386pt,2.7pt" o:allowincell="f" strokecolor="#000000" strokeweight="1pt"/>
            </w:pict>
          </mc:Fallback>
        </mc:AlternateConten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Horizontal wells turned to production (fourth quarter 2025)</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8"/>
          <w:szCs w:val="18"/>
          <w:b w:val="1"/>
          <w:bCs w:val="1"/>
          <w:color w:val="auto"/>
        </w:rPr>
        <w:t>:</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Gross wells</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107</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632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Net 100% royalty interest wells </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5.3</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7.7</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83"/>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Average percent net royalty interest</w:t>
            </w:r>
            <w:r>
              <w:rPr>
                <w:rFonts w:ascii="Times New Roman" w:cs="Times New Roman" w:eastAsia="Times New Roman" w:hAnsi="Times New Roman"/>
                <w:sz w:val="20"/>
                <w:szCs w:val="20"/>
                <w:color w:val="B3B3B3"/>
              </w:rPr>
              <w:t>..................................................................</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5.0 %</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1.2 %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6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Horizontal wells turned to production (year ended December 31, 2025)</w:t>
            </w:r>
            <w:r>
              <w:rPr>
                <w:rFonts w:ascii="Times New Roman" w:cs="Times New Roman" w:eastAsia="Times New Roman" w:hAnsi="Times New Roman"/>
                <w:sz w:val="11"/>
                <w:szCs w:val="11"/>
                <w:b w:val="1"/>
                <w:bCs w:val="1"/>
                <w:color w:val="auto"/>
              </w:rPr>
              <w:t>(2)</w:t>
            </w:r>
            <w:r>
              <w:rPr>
                <w:rFonts w:ascii="Times New Roman" w:cs="Times New Roman" w:eastAsia="Times New Roman" w:hAnsi="Times New Roman"/>
                <w:sz w:val="18"/>
                <w:szCs w:val="18"/>
                <w:b w:val="1"/>
                <w:bCs w:val="1"/>
                <w:color w:val="auto"/>
              </w:rPr>
              <w:t>:</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Gross wells</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415</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1,670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2,085</w:t>
            </w: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Net 100% royalty interest wells </w:t>
            </w:r>
            <w:r>
              <w:rPr>
                <w:rFonts w:ascii="Times New Roman" w:cs="Times New Roman" w:eastAsia="Times New Roman" w:hAnsi="Times New Roman"/>
                <w:sz w:val="20"/>
                <w:szCs w:val="20"/>
                <w:color w:val="B3B3B3"/>
              </w:rPr>
              <w:t>........................................................................</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20.7</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21.3</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r>
      <w:tr>
        <w:trPr>
          <w:trHeight w:val="283"/>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Average percent net royalty interest</w:t>
            </w:r>
            <w:r>
              <w:rPr>
                <w:rFonts w:ascii="Times New Roman" w:cs="Times New Roman" w:eastAsia="Times New Roman" w:hAnsi="Times New Roman"/>
                <w:sz w:val="20"/>
                <w:szCs w:val="20"/>
                <w:color w:val="B3B3B3"/>
              </w:rPr>
              <w:t>..................................................................</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5.0 %</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1.3 %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6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Horizontal producing well count:</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Gross wells</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4,092</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19,942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24,034</w:t>
            </w: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Net 100% royalty interest wells </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258.3</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311.1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569.4</w:t>
            </w:r>
          </w:p>
        </w:tc>
      </w:tr>
      <w:tr>
        <w:trPr>
          <w:trHeight w:val="283"/>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Average percent net royalty interest</w:t>
            </w:r>
            <w:r>
              <w:rPr>
                <w:rFonts w:ascii="Times New Roman" w:cs="Times New Roman" w:eastAsia="Times New Roman" w:hAnsi="Times New Roman"/>
                <w:sz w:val="20"/>
                <w:szCs w:val="20"/>
                <w:color w:val="B3B3B3"/>
              </w:rPr>
              <w:t>..................................................................</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6.3 %</w:t>
            </w: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1.6 %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2.4 %</w:t>
            </w:r>
          </w:p>
        </w:tc>
      </w:tr>
      <w:tr>
        <w:trPr>
          <w:trHeight w:val="6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Horizontal active development well count</w:t>
            </w:r>
            <w:r>
              <w:rPr>
                <w:rFonts w:ascii="Times New Roman" w:cs="Times New Roman" w:eastAsia="Times New Roman" w:hAnsi="Times New Roman"/>
                <w:sz w:val="11"/>
                <w:szCs w:val="11"/>
                <w:b w:val="1"/>
                <w:bCs w:val="1"/>
                <w:color w:val="auto"/>
              </w:rPr>
              <w:t>(3)</w:t>
            </w:r>
            <w:r>
              <w:rPr>
                <w:rFonts w:ascii="Times New Roman" w:cs="Times New Roman" w:eastAsia="Times New Roman" w:hAnsi="Times New Roman"/>
                <w:sz w:val="18"/>
                <w:szCs w:val="18"/>
                <w:b w:val="1"/>
                <w:bCs w:val="1"/>
                <w:color w:val="auto"/>
              </w:rPr>
              <w:t>:</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Gross wells</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263</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1,125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w:t>
            </w: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Net 100% royalty interest wells </w:t>
            </w:r>
            <w:r>
              <w:rPr>
                <w:rFonts w:ascii="Times New Roman" w:cs="Times New Roman" w:eastAsia="Times New Roman" w:hAnsi="Times New Roman"/>
                <w:sz w:val="20"/>
                <w:szCs w:val="20"/>
                <w:color w:val="B3B3B3"/>
              </w:rPr>
              <w:t>........................................................................</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20.9</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17.3</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r>
      <w:tr>
        <w:trPr>
          <w:trHeight w:val="283"/>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Average percent net royalty interest</w:t>
            </w:r>
            <w:r>
              <w:rPr>
                <w:rFonts w:ascii="Times New Roman" w:cs="Times New Roman" w:eastAsia="Times New Roman" w:hAnsi="Times New Roman"/>
                <w:sz w:val="20"/>
                <w:szCs w:val="20"/>
                <w:color w:val="B3B3B3"/>
              </w:rPr>
              <w:t>..................................................................</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7.9 %</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1.5 %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2.8 %</w:t>
            </w:r>
          </w:p>
        </w:tc>
      </w:tr>
      <w:tr>
        <w:trPr>
          <w:trHeight w:val="6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Line of sight wells</w:t>
            </w:r>
            <w:r>
              <w:rPr>
                <w:rFonts w:ascii="Times New Roman" w:cs="Times New Roman" w:eastAsia="Times New Roman" w:hAnsi="Times New Roman"/>
                <w:sz w:val="11"/>
                <w:szCs w:val="11"/>
                <w:b w:val="1"/>
                <w:bCs w:val="1"/>
                <w:color w:val="auto"/>
              </w:rPr>
              <w:t>(4)</w:t>
            </w:r>
            <w:r>
              <w:rPr>
                <w:rFonts w:ascii="Times New Roman" w:cs="Times New Roman" w:eastAsia="Times New Roman" w:hAnsi="Times New Roman"/>
                <w:sz w:val="18"/>
                <w:szCs w:val="18"/>
                <w:b w:val="1"/>
                <w:bCs w:val="1"/>
                <w:color w:val="auto"/>
              </w:rPr>
              <w:t>:</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Gross wells</w:t>
            </w:r>
            <w:r>
              <w:rPr>
                <w:rFonts w:ascii="Times New Roman" w:cs="Times New Roman" w:eastAsia="Times New Roman" w:hAnsi="Times New Roman"/>
                <w:sz w:val="20"/>
                <w:szCs w:val="20"/>
                <w:color w:val="B3B3B3"/>
              </w:rPr>
              <w:t>........................................................................................................</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304</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1,066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w:t>
            </w:r>
          </w:p>
        </w:tc>
      </w:tr>
      <w:tr>
        <w:trPr>
          <w:trHeight w:val="300"/>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Net 100% royalty interest wells </w:t>
            </w:r>
            <w:r>
              <w:rPr>
                <w:rFonts w:ascii="Times New Roman" w:cs="Times New Roman" w:eastAsia="Times New Roman" w:hAnsi="Times New Roman"/>
                <w:sz w:val="20"/>
                <w:szCs w:val="20"/>
                <w:color w:val="B3B3B3"/>
              </w:rPr>
              <w:t>........................................................................</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16.9</w:t>
            </w:r>
          </w:p>
        </w:tc>
        <w:tc>
          <w:tcPr>
            <w:tcW w:w="12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15.1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r>
      <w:tr>
        <w:trPr>
          <w:trHeight w:val="283"/>
        </w:trPr>
        <w:tc>
          <w:tcPr>
            <w:tcW w:w="6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Average percent net royalty interest</w:t>
            </w:r>
            <w:r>
              <w:rPr>
                <w:rFonts w:ascii="Times New Roman" w:cs="Times New Roman" w:eastAsia="Times New Roman" w:hAnsi="Times New Roman"/>
                <w:sz w:val="20"/>
                <w:szCs w:val="20"/>
                <w:color w:val="B3B3B3"/>
              </w:rPr>
              <w:t>..................................................................</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5.6 %</w:t>
            </w:r>
          </w:p>
        </w:tc>
        <w:tc>
          <w:tcPr>
            <w:tcW w:w="12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1.4 %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2.3 %</w:t>
            </w:r>
          </w:p>
        </w:tc>
      </w:tr>
    </w:tbl>
    <w:p>
      <w:pPr>
        <w:spacing w:after="0" w:line="62" w:lineRule="exact"/>
        <w:rPr>
          <w:sz w:val="20"/>
          <w:szCs w:val="20"/>
          <w:color w:val="auto"/>
        </w:rPr>
      </w:pPr>
    </w:p>
    <w:p>
      <w:pPr>
        <w:ind w:left="360" w:hanging="349"/>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lateral length of 11,283 feet.</w:t>
      </w:r>
    </w:p>
    <w:p>
      <w:pPr>
        <w:spacing w:after="0" w:line="10" w:lineRule="exact"/>
        <w:rPr>
          <w:rFonts w:ascii="Times New Roman" w:cs="Times New Roman" w:eastAsia="Times New Roman" w:hAnsi="Times New Roman"/>
          <w:sz w:val="20"/>
          <w:szCs w:val="20"/>
          <w:color w:val="auto"/>
        </w:rPr>
      </w:pPr>
    </w:p>
    <w:p>
      <w:pPr>
        <w:ind w:left="360" w:hanging="349"/>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lateral length of 11,618 feet.</w:t>
      </w:r>
    </w:p>
    <w:p>
      <w:pPr>
        <w:spacing w:after="0" w:line="10" w:lineRule="exact"/>
        <w:rPr>
          <w:rFonts w:ascii="Times New Roman" w:cs="Times New Roman" w:eastAsia="Times New Roman" w:hAnsi="Times New Roman"/>
          <w:sz w:val="20"/>
          <w:szCs w:val="20"/>
          <w:color w:val="auto"/>
        </w:rPr>
      </w:pPr>
    </w:p>
    <w:p>
      <w:pPr>
        <w:ind w:left="380" w:hanging="368"/>
        <w:spacing w:after="0" w:line="250"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1,388 gross wells currently in the process of active development are those wells that have been spud and are expected to be turned to production within approximately the next six to eight months.</w:t>
      </w:r>
    </w:p>
    <w:p>
      <w:pPr>
        <w:jc w:val="both"/>
        <w:ind w:left="380" w:hanging="368"/>
        <w:spacing w:after="0" w:line="258" w:lineRule="auto"/>
        <w:tabs>
          <w:tab w:leader="none" w:pos="38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1,370 line-of-sight wells are those that are not currently in the process of active development, but for which we have reason to believe will be turned to production within approximately the next 15 to 18 months. The expected timing of these line-of-sight wells is based primarily on permitting by third-party operators or Diamondback’s current expected completion schedule. Existing permits or active development of our net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80"/>
          </w:cols>
          <w:pgMar w:left="980" w:top="214" w:right="980"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summarizes our income and expenses for the periods indicated:</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49"/>
        </w:trPr>
        <w:tc>
          <w:tcPr>
            <w:tcW w:w="7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4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3"/>
        </w:trPr>
        <w:tc>
          <w:tcPr>
            <w:tcW w:w="7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00" w:type="dxa"/>
            <w:vAlign w:val="bottom"/>
          </w:tcPr>
          <w:p>
            <w:pPr>
              <w:spacing w:after="0"/>
              <w:rPr>
                <w:sz w:val="22"/>
                <w:szCs w:val="22"/>
                <w:color w:val="auto"/>
              </w:rPr>
            </w:pPr>
          </w:p>
        </w:tc>
      </w:tr>
      <w:tr>
        <w:trPr>
          <w:trHeight w:val="26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16"/>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income</w:t>
            </w:r>
            <w:r>
              <w:rPr>
                <w:rFonts w:ascii="Times New Roman" w:cs="Times New Roman" w:eastAsia="Times New Roman" w:hAnsi="Times New Roman"/>
                <w:sz w:val="20"/>
                <w:szCs w:val="20"/>
                <w:color w:val="B3B3B3"/>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tcPr>
          <w:p>
            <w:pPr>
              <w:jc w:val="right"/>
              <w:ind w:right="2"/>
              <w:spacing w:after="0"/>
              <w:rPr>
                <w:sz w:val="20"/>
                <w:szCs w:val="20"/>
                <w:color w:val="auto"/>
              </w:rPr>
            </w:pPr>
            <w:r>
              <w:rPr>
                <w:rFonts w:ascii="Times New Roman" w:cs="Times New Roman" w:eastAsia="Times New Roman" w:hAnsi="Times New Roman"/>
                <w:sz w:val="20"/>
                <w:szCs w:val="20"/>
                <w:color w:val="auto"/>
              </w:rPr>
              <w:t>1,131</w:t>
            </w:r>
          </w:p>
        </w:tc>
        <w:tc>
          <w:tcPr>
            <w:tcW w:w="60" w:type="dxa"/>
            <w:vAlign w:val="bottom"/>
          </w:tcPr>
          <w:p>
            <w:pPr>
              <w:spacing w:after="0"/>
              <w:rPr>
                <w:sz w:val="24"/>
                <w:szCs w:val="24"/>
                <w:color w:val="auto"/>
              </w:rPr>
            </w:pP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income</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2"/>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income</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76"/>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Royaltyincome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2"/>
              <w:spacing w:after="0"/>
              <w:rPr>
                <w:sz w:val="20"/>
                <w:szCs w:val="20"/>
                <w:color w:val="auto"/>
              </w:rPr>
            </w:pPr>
            <w:r>
              <w:rPr>
                <w:rFonts w:ascii="Times New Roman" w:cs="Times New Roman" w:eastAsia="Times New Roman" w:hAnsi="Times New Roman"/>
                <w:sz w:val="20"/>
                <w:szCs w:val="20"/>
                <w:color w:val="auto"/>
              </w:rPr>
              <w:t>1,346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Lease bonus income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bonus income—related party</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4"/>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operating income</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Totaloperatingincome</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20"/>
                <w:szCs w:val="20"/>
                <w:color w:val="auto"/>
              </w:rPr>
              <w:t>1,395</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w:t>
            </w:r>
          </w:p>
        </w:tc>
      </w:tr>
      <w:tr>
        <w:trPr>
          <w:trHeight w:val="245"/>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16"/>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Production and ad valorem taxes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98"/>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Depletion</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300"/>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Impairment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 expenses</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00"/>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 expenses—related party</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04"/>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Other operating expenses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7400" w:type="dxa"/>
            <w:vAlign w:val="bottom"/>
          </w:tcPr>
          <w:p>
            <w:pPr>
              <w:ind w:left="48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Totalcostsandexpenses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w:t>
            </w:r>
          </w:p>
        </w:tc>
      </w:tr>
      <w:tr>
        <w:trPr>
          <w:trHeight w:val="27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r>
              <w:rPr>
                <w:rFonts w:ascii="Times New Roman" w:cs="Times New Roman" w:eastAsia="Times New Roman" w:hAnsi="Times New Roman"/>
                <w:sz w:val="18"/>
                <w:szCs w:val="18"/>
                <w:b w:val="1"/>
                <w:bCs w:val="1"/>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r>
      <w:tr>
        <w:trPr>
          <w:trHeight w:val="28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expense, net</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00"/>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(loss) on derivative instruments, net</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00"/>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Gain (loss) on early extinguishment of debt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Other income (expense), net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74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 xml:space="preserve">Total other income (expense), net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81"/>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r>
              <w:rPr>
                <w:rFonts w:ascii="Times New Roman" w:cs="Times New Roman" w:eastAsia="Times New Roman" w:hAnsi="Times New Roman"/>
                <w:sz w:val="18"/>
                <w:szCs w:val="18"/>
                <w:b w:val="1"/>
                <w:bCs w:val="1"/>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r>
      <w:tr>
        <w:trPr>
          <w:trHeight w:val="299"/>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Provision for (benefit from) income taxes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7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r>
              <w:rPr>
                <w:rFonts w:ascii="Times New Roman" w:cs="Times New Roman" w:eastAsia="Times New Roman" w:hAnsi="Times New Roman"/>
                <w:sz w:val="18"/>
                <w:szCs w:val="18"/>
                <w:b w:val="1"/>
                <w:bCs w:val="1"/>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r>
      <w:tr>
        <w:trPr>
          <w:trHeight w:val="301"/>
        </w:trPr>
        <w:tc>
          <w:tcPr>
            <w:tcW w:w="7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Net income (loss) attributable to non-controlling interest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62"/>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Viper Energy, Inc</w:t>
            </w: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w:t>
            </w: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80"/>
          </w:cols>
          <w:pgMar w:left="980" w:top="214" w:right="980" w:bottom="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summarizes our production data, average sales prices and average costs for the periods indicated:</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7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4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14"/>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(MBbls)</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17,875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9,939</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51,676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24,606</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(MBbls)</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8,233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4,181</w:t>
            </w:r>
          </w:p>
        </w:tc>
      </w:tr>
      <w:tr>
        <w:trPr>
          <w:trHeight w:val="298"/>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volumes (MBOE)</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34,721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18,221</w:t>
            </w:r>
          </w:p>
        </w:tc>
      </w:tr>
      <w:tr>
        <w:trPr>
          <w:trHeight w:val="617"/>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Average daily oil volumes (BO/d)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48,973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27,156</w:t>
            </w:r>
          </w:p>
        </w:tc>
      </w:tr>
      <w:tr>
        <w:trPr>
          <w:trHeight w:val="281"/>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Average daily combined volumes (BOE/d)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95,126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49,784</w:t>
            </w:r>
          </w:p>
        </w:tc>
      </w:tr>
      <w:tr>
        <w:trPr>
          <w:trHeight w:val="593"/>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Oil ($/Bbl)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63.27</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75.48</w:t>
            </w:r>
          </w:p>
        </w:tc>
      </w:tr>
      <w:tr>
        <w:trPr>
          <w:trHeight w:val="298"/>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($/Mcf)</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1.08</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0.60</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($/Bbl)</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19.31</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21.17</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($/BOE)</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38.77</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46.85</w:t>
            </w:r>
          </w:p>
        </w:tc>
      </w:tr>
      <w:tr>
        <w:trPr>
          <w:trHeight w:val="586"/>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Oil, hedged ($/Bbl)</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62.38</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74.57</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hedged ($/Mcf)</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1.92</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0.85</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liquids ($/Bbl)</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19.31</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21.17</w:t>
            </w:r>
          </w:p>
        </w:tc>
      </w:tr>
      <w:tr>
        <w:trPr>
          <w:trHeight w:val="403"/>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Combined price, hedged ($/BOE)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39.54</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46.68</w:t>
            </w:r>
          </w:p>
        </w:tc>
      </w:tr>
      <w:tr>
        <w:trPr>
          <w:trHeight w:val="47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costs ($/BOE):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9"/>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Production and ad valorem taxes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2.71</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3.34</w:t>
            </w:r>
          </w:p>
        </w:tc>
      </w:tr>
      <w:tr>
        <w:trPr>
          <w:trHeight w:val="29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 cash component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0.81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0.86</w:t>
            </w:r>
          </w:p>
        </w:tc>
      </w:tr>
      <w:tr>
        <w:trPr>
          <w:trHeight w:val="239"/>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operating expense - cash </w:t>
            </w:r>
            <w:r>
              <w:rPr>
                <w:rFonts w:ascii="Times New Roman" w:cs="Times New Roman" w:eastAsia="Times New Roman" w:hAnsi="Times New Roman"/>
                <w:sz w:val="20"/>
                <w:szCs w:val="20"/>
                <w:color w:val="B3B3B3"/>
              </w:rPr>
              <w:t>........................................................................................</w:t>
            </w:r>
          </w:p>
        </w:tc>
        <w:tc>
          <w:tcPr>
            <w:tcW w:w="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3.52</w:t>
            </w:r>
          </w:p>
        </w:tc>
        <w:tc>
          <w:tcPr>
            <w:tcW w:w="4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4.20</w:t>
            </w:r>
          </w:p>
        </w:tc>
      </w:tr>
      <w:tr>
        <w:trPr>
          <w:trHeight w:val="52"/>
        </w:trPr>
        <w:tc>
          <w:tcPr>
            <w:tcW w:w="7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542"/>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 non-cash stock compensation expense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0.20</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0.16</w:t>
            </w:r>
          </w:p>
        </w:tc>
      </w:tr>
      <w:tr>
        <w:trPr>
          <w:trHeight w:val="298"/>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 net</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2.76</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4.05</w:t>
            </w:r>
          </w:p>
        </w:tc>
      </w:tr>
      <w:tr>
        <w:trPr>
          <w:trHeight w:val="300"/>
        </w:trPr>
        <w:tc>
          <w:tcPr>
            <w:tcW w:w="7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Depletion</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17.48</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11.77</w:t>
            </w:r>
          </w:p>
        </w:tc>
      </w:tr>
    </w:tbl>
    <w:p>
      <w:pPr>
        <w:spacing w:after="0" w:line="38" w:lineRule="exact"/>
        <w:rPr>
          <w:sz w:val="20"/>
          <w:szCs w:val="20"/>
          <w:color w:val="auto"/>
        </w:rPr>
      </w:pPr>
    </w:p>
    <w:p>
      <w:pPr>
        <w:ind w:left="380" w:hanging="361"/>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Bbl equivalents are calculated using a conversion rate of six Mcf per one Bbl.</w:t>
      </w:r>
    </w:p>
    <w:p>
      <w:pPr>
        <w:ind w:left="380" w:hanging="36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Realized price net of all deducts for gathering, transportation and processing.</w:t>
      </w:r>
    </w:p>
    <w:p>
      <w:pPr>
        <w:spacing w:after="0" w:line="34" w:lineRule="exact"/>
        <w:rPr>
          <w:rFonts w:ascii="Times New Roman" w:cs="Times New Roman" w:eastAsia="Times New Roman" w:hAnsi="Times New Roman"/>
          <w:sz w:val="20"/>
          <w:szCs w:val="20"/>
          <w:color w:val="auto"/>
        </w:rPr>
      </w:pPr>
    </w:p>
    <w:p>
      <w:pPr>
        <w:ind w:left="380" w:right="60" w:hanging="369"/>
        <w:spacing w:after="0" w:line="286" w:lineRule="auto"/>
        <w:tabs>
          <w:tab w:leader="none" w:pos="37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Hedged prices reflect the impact of cash settlements of our matured commodity derivative transactions on our average sales prices.</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Significant changes in our revenues and expenses for 2025 compared to the same period in 2024 are discussed below.</w:t>
      </w:r>
    </w:p>
    <w:p>
      <w:pPr>
        <w:spacing w:after="0" w:line="250"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Royalty Income. </w:t>
      </w:r>
      <w:r>
        <w:rPr>
          <w:rFonts w:ascii="Times New Roman" w:cs="Times New Roman" w:eastAsia="Times New Roman" w:hAnsi="Times New Roman"/>
          <w:sz w:val="20"/>
          <w:szCs w:val="20"/>
          <w:color w:val="auto"/>
        </w:rPr>
        <w:t>Our royalty income is a function of oil, natural gas and natural gas liquids production volumes sold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average prices received for those volumes.</w:t>
      </w:r>
    </w:p>
    <w:p>
      <w:pPr>
        <w:spacing w:after="0" w:line="166"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Royalty income increased $492 million in 2025 compared to the same period in 2024. This net increase consisted of an additional $701 million in royalty income from the 91% growth in production, partially offset by a net decrease of $ 209 million due primarily to lower average prices received for our oil and natural gas liquids production during 2025 compared to the same period in 2024.</w:t>
      </w:r>
    </w:p>
    <w:p>
      <w:pPr>
        <w:spacing w:after="0" w:line="195" w:lineRule="exact"/>
        <w:rPr>
          <w:sz w:val="20"/>
          <w:szCs w:val="20"/>
          <w:color w:val="auto"/>
        </w:rPr>
      </w:pPr>
    </w:p>
    <w:p>
      <w:pPr>
        <w:jc w:val="both"/>
        <w:ind w:firstLine="721"/>
        <w:spacing w:after="0" w:line="262" w:lineRule="auto"/>
        <w:rPr>
          <w:sz w:val="20"/>
          <w:szCs w:val="20"/>
          <w:color w:val="auto"/>
        </w:rPr>
      </w:pPr>
      <w:r>
        <w:rPr>
          <w:rFonts w:ascii="Times New Roman" w:cs="Times New Roman" w:eastAsia="Times New Roman" w:hAnsi="Times New Roman"/>
          <w:sz w:val="20"/>
          <w:szCs w:val="20"/>
          <w:color w:val="auto"/>
        </w:rPr>
        <w:t>Of the 91% growth in production, approximately 46% is attributable to the 2025 Drop Down and 32% is attributable to the Sitio Acquisition. The remainder of the growth is primarily from new wells added between periods and other individually insignificant acquisitions. See Note 4—Acquisitions and Divestitures in Item 8. Financial Statements and Supplementary Data of this report for further discussion of our acquisitions.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80"/>
          </w:cols>
          <w:pgMar w:left="980" w:top="214" w:right="980"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right="6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Production and Ad Valorem Taxes. </w:t>
      </w:r>
      <w:r>
        <w:rPr>
          <w:rFonts w:ascii="Times New Roman" w:cs="Times New Roman" w:eastAsia="Times New Roman" w:hAnsi="Times New Roman"/>
          <w:sz w:val="20"/>
          <w:szCs w:val="20"/>
          <w:color w:val="auto"/>
        </w:rPr>
        <w:t>The following table presents production and ad valorem taxes for the periods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indicated:</w:t>
      </w:r>
    </w:p>
    <w:p>
      <w:pPr>
        <w:spacing w:after="0" w:line="2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360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6"/>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Royalty</w:t>
            </w:r>
          </w:p>
        </w:tc>
        <w:tc>
          <w:tcPr>
            <w:tcW w:w="200" w:type="dxa"/>
            <w:vAlign w:val="bottom"/>
          </w:tcPr>
          <w:p>
            <w:pPr>
              <w:spacing w:after="0"/>
              <w:rPr>
                <w:sz w:val="19"/>
                <w:szCs w:val="19"/>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Royalty</w:t>
            </w:r>
          </w:p>
        </w:tc>
      </w:tr>
      <w:tr>
        <w:trPr>
          <w:trHeight w:val="249"/>
        </w:trPr>
        <w:tc>
          <w:tcPr>
            <w:tcW w:w="20" w:type="dxa"/>
            <w:vAlign w:val="bottom"/>
          </w:tcPr>
          <w:p>
            <w:pPr>
              <w:spacing w:after="0"/>
              <w:rPr>
                <w:sz w:val="21"/>
                <w:szCs w:val="21"/>
                <w:color w:val="auto"/>
              </w:rPr>
            </w:pPr>
          </w:p>
        </w:tc>
        <w:tc>
          <w:tcPr>
            <w:tcW w:w="3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76"/>
        </w:trPr>
        <w:tc>
          <w:tcPr>
            <w:tcW w:w="20" w:type="dxa"/>
            <w:vAlign w:val="bottom"/>
          </w:tcPr>
          <w:p>
            <w:pPr>
              <w:spacing w:after="0"/>
              <w:rPr>
                <w:sz w:val="24"/>
                <w:szCs w:val="24"/>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Production taxes </w:t>
            </w:r>
            <w:r>
              <w:rPr>
                <w:rFonts w:ascii="Times New Roman" w:cs="Times New Roman" w:eastAsia="Times New Roman" w:hAnsi="Times New Roman"/>
                <w:sz w:val="20"/>
                <w:szCs w:val="20"/>
                <w:color w:val="B3B3B3"/>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124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5.1 %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5.0 %</w:t>
            </w:r>
          </w:p>
        </w:tc>
      </w:tr>
      <w:tr>
        <w:trPr>
          <w:trHeight w:val="304"/>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 valorem taxes</w:t>
            </w:r>
            <w:r>
              <w:rPr>
                <w:rFonts w:ascii="Times New Roman" w:cs="Times New Roman" w:eastAsia="Times New Roman" w:hAnsi="Times New Roman"/>
                <w:sz w:val="20"/>
                <w:szCs w:val="20"/>
                <w:color w:val="B3B3B3"/>
              </w:rPr>
              <w:t>..........................................</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0.72</w:t>
            </w:r>
          </w:p>
        </w:tc>
        <w:tc>
          <w:tcPr>
            <w:tcW w:w="11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1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2.1</w:t>
            </w:r>
          </w:p>
        </w:tc>
        <w:tc>
          <w:tcPr>
            <w:tcW w:w="40" w:type="dxa"/>
            <w:vAlign w:val="bottom"/>
            <w:tcBorders>
              <w:bottom w:val="single" w:sz="8" w:color="auto"/>
            </w:tcBorders>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36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production and ad valorem taxes</w:t>
            </w:r>
            <w:r>
              <w:rPr>
                <w:rFonts w:ascii="Times New Roman" w:cs="Times New Roman" w:eastAsia="Times New Roman" w:hAnsi="Times New Roman"/>
                <w:sz w:val="20"/>
                <w:szCs w:val="20"/>
                <w:color w:val="B3B3B3"/>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7.1 %</w:t>
            </w:r>
          </w:p>
        </w:tc>
      </w:tr>
      <w:tr>
        <w:trPr>
          <w:trHeight w:val="41"/>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pacing w:after="0" w:line="223"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In general, production taxes are directly related to production revenues and are based upon current year commodity prices. Ad valorem taxes are based, among other factors, on property values driven by prior year commodity prices. Production taxes and ad valorem taxes as a percentage of royalty income in 2025 were relatively consistent with the same period in 2024.</w:t>
      </w:r>
    </w:p>
    <w:p>
      <w:pPr>
        <w:spacing w:after="0" w:line="190"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Depletion. </w:t>
      </w:r>
      <w:r>
        <w:rPr>
          <w:rFonts w:ascii="Times New Roman" w:cs="Times New Roman" w:eastAsia="Times New Roman" w:hAnsi="Times New Roman"/>
          <w:sz w:val="20"/>
          <w:szCs w:val="20"/>
          <w:color w:val="auto"/>
        </w:rPr>
        <w:t>The increase in depletion expense of $393 million in 2025 compared to the same period in 2024 consisted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of (i) $198 million due to an increase in the depletion rate to $17.48 per BOE in 2025, resulting primarily from the addition of leasehold costs and reserves from acquisitions completed in 2025, compared to $11.77 per BOE for the same period in 2024, and (ii) $195 million from growth in production volumes.</w:t>
      </w:r>
    </w:p>
    <w:p>
      <w:pPr>
        <w:spacing w:after="0" w:line="19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w:t>
      </w:r>
      <w:r>
        <w:rPr>
          <w:rFonts w:ascii="Times New Roman" w:cs="Times New Roman" w:eastAsia="Times New Roman" w:hAnsi="Times New Roman"/>
          <w:sz w:val="20"/>
          <w:szCs w:val="20"/>
          <w:color w:val="auto"/>
        </w:rPr>
        <w:t>In 2025, we recorded non-cash ceiling test impairment charges of $768 million due to the carrying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our proved reserves exceeding their estimated future net cash flows utilizing the SEC’s methodology and pricing at December 31, 2025. The excess value resulted primarily from recording properties acquired in the 2025 Drop Down at Diamondback’s historical carrying value, which exceeded the value calculated in the third and fourth quarter 2025 ceiling tests, due primarily to declining SEC Prices. No impairment expense was recorded in 2024.</w:t>
      </w:r>
    </w:p>
    <w:p>
      <w:pPr>
        <w:spacing w:after="0" w:line="199"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Impairment charges affect our results of operations but do not reduce our cash flow. In addition to commodity prices, our production rates, levels of proved reserves, transfers of unevaluated properties, income tax rate assumptions and other factors will determine our actual ceiling test calculation and impairment analysis in future periods. Given the overall decline in SEC Prices from the first quarter of 2025 through the first two months of 2026, we believe an additional material non- cash impairment of our assets is reasonably likely to occur in the first quarter of 2026; however, based on the number of factors that may impact our future estimate of proved reserves, we are currently unable to determine an estimate of the amount or range of amounts of any potential impairment charge in the first quarter of 2026.</w:t>
      </w:r>
    </w:p>
    <w:p>
      <w:pPr>
        <w:spacing w:after="0" w:line="207"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Expenses. </w:t>
      </w:r>
      <w:r>
        <w:rPr>
          <w:rFonts w:ascii="Times New Roman" w:cs="Times New Roman" w:eastAsia="Times New Roman" w:hAnsi="Times New Roman"/>
          <w:sz w:val="20"/>
          <w:szCs w:val="20"/>
          <w:color w:val="auto"/>
        </w:rPr>
        <w:t>The following table shows a breakout of our general and administrative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expenses for the periods presented:</w:t>
      </w: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75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65"/>
        </w:trPr>
        <w:tc>
          <w:tcPr>
            <w:tcW w:w="75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millions, except per BOE</w:t>
            </w:r>
          </w:p>
        </w:tc>
        <w:tc>
          <w:tcPr>
            <w:tcW w:w="0" w:type="dxa"/>
            <w:vAlign w:val="bottom"/>
          </w:tcPr>
          <w:p>
            <w:pPr>
              <w:spacing w:after="0"/>
              <w:rPr>
                <w:sz w:val="1"/>
                <w:szCs w:val="1"/>
                <w:color w:val="auto"/>
              </w:rPr>
            </w:pPr>
          </w:p>
        </w:tc>
      </w:tr>
      <w:tr>
        <w:trPr>
          <w:trHeight w:val="252"/>
        </w:trPr>
        <w:tc>
          <w:tcPr>
            <w:tcW w:w="7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Borders>
              <w:bottom w:val="single" w:sz="8" w:color="auto"/>
            </w:tcBorders>
            <w:gridSpan w:val="5"/>
          </w:tcPr>
          <w:p>
            <w:pPr>
              <w:jc w:val="center"/>
              <w:ind w:left="346"/>
              <w:spacing w:after="0"/>
              <w:rPr>
                <w:sz w:val="20"/>
                <w:szCs w:val="20"/>
                <w:color w:val="auto"/>
              </w:rPr>
            </w:pPr>
            <w:r>
              <w:rPr>
                <w:rFonts w:ascii="Times New Roman" w:cs="Times New Roman" w:eastAsia="Times New Roman" w:hAnsi="Times New Roman"/>
                <w:sz w:val="18"/>
                <w:szCs w:val="18"/>
                <w:b w:val="1"/>
                <w:bCs w:val="1"/>
                <w:color w:val="auto"/>
                <w:w w:val="99"/>
              </w:rPr>
              <w:t>amounts in ones)</w:t>
            </w:r>
          </w:p>
        </w:tc>
        <w:tc>
          <w:tcPr>
            <w:tcW w:w="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Generalandadministrativeexpenses</w:t>
            </w:r>
          </w:p>
        </w:tc>
        <w:tc>
          <w:tcPr>
            <w:tcW w:w="840" w:type="dxa"/>
            <w:vAlign w:val="bottom"/>
          </w:tcPr>
          <w:p>
            <w:pPr>
              <w:jc w:val="right"/>
              <w:ind w:right="606"/>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40" w:type="dxa"/>
            <w:vAlign w:val="bottom"/>
          </w:tcPr>
          <w:p>
            <w:pPr>
              <w:spacing w:after="0"/>
              <w:rPr>
                <w:sz w:val="24"/>
                <w:szCs w:val="24"/>
                <w:color w:val="auto"/>
              </w:rPr>
            </w:pP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304"/>
        </w:trPr>
        <w:tc>
          <w:tcPr>
            <w:tcW w:w="7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 xml:space="preserve">General and administrative expenses—related party </w:t>
            </w:r>
            <w:r>
              <w:rPr>
                <w:rFonts w:ascii="Times New Roman" w:cs="Times New Roman" w:eastAsia="Times New Roman" w:hAnsi="Times New Roman"/>
                <w:sz w:val="20"/>
                <w:szCs w:val="20"/>
                <w:color w:val="B3B3B3"/>
                <w:w w:val="99"/>
              </w:rPr>
              <w:t>..................................................................</w:t>
            </w: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21"/>
        </w:trPr>
        <w:tc>
          <w:tcPr>
            <w:tcW w:w="752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Generalandadministrativeexpenses</w:t>
            </w:r>
          </w:p>
        </w:tc>
        <w:tc>
          <w:tcPr>
            <w:tcW w:w="840" w:type="dxa"/>
            <w:vAlign w:val="bottom"/>
            <w:tcBorders>
              <w:bottom w:val="single" w:sz="8" w:color="auto"/>
            </w:tcBorders>
          </w:tcPr>
          <w:p>
            <w:pPr>
              <w:jc w:val="right"/>
              <w:ind w:right="606"/>
              <w:spacing w:after="0" w:line="221"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w:t>
            </w:r>
          </w:p>
        </w:tc>
        <w:tc>
          <w:tcPr>
            <w:tcW w:w="40" w:type="dxa"/>
            <w:vAlign w:val="bottom"/>
            <w:tcBorders>
              <w:bottom w:val="single" w:sz="8" w:color="auto"/>
            </w:tcBorders>
          </w:tcPr>
          <w:p>
            <w:pPr>
              <w:spacing w:after="0"/>
              <w:rPr>
                <w:sz w:val="19"/>
                <w:szCs w:val="19"/>
                <w:color w:val="auto"/>
              </w:rPr>
            </w:pPr>
          </w:p>
        </w:tc>
        <w:tc>
          <w:tcPr>
            <w:tcW w:w="880" w:type="dxa"/>
            <w:vAlign w:val="bottom"/>
            <w:gridSpan w:val="2"/>
          </w:tcPr>
          <w:p>
            <w:pPr>
              <w:jc w:val="right"/>
              <w:ind w:right="610"/>
              <w:spacing w:after="0" w:line="221"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General and administrative expenses (per BOE)...........................................................................</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2"/>
            <w:vMerge w:val="continue"/>
          </w:tcPr>
          <w:p>
            <w:pPr>
              <w:spacing w:after="0" w:line="20" w:lineRule="exact"/>
              <w:rPr>
                <w:sz w:val="1"/>
                <w:szCs w:val="1"/>
                <w:color w:val="auto"/>
              </w:rPr>
            </w:pPr>
          </w:p>
        </w:tc>
        <w:tc>
          <w:tcPr>
            <w:tcW w:w="840" w:type="dxa"/>
            <w:vAlign w:val="bottom"/>
            <w:vMerge w:val="restart"/>
          </w:tcPr>
          <w:p>
            <w:pPr>
              <w:jc w:val="right"/>
              <w:ind w:right="606"/>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752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1.01</w:t>
            </w:r>
          </w:p>
        </w:tc>
        <w:tc>
          <w:tcPr>
            <w:tcW w:w="40" w:type="dxa"/>
            <w:vAlign w:val="bottom"/>
          </w:tcPr>
          <w:p>
            <w:pPr>
              <w:spacing w:after="0"/>
              <w:rPr>
                <w:sz w:val="24"/>
                <w:szCs w:val="24"/>
                <w:color w:val="auto"/>
              </w:rPr>
            </w:pP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Net. </w:t>
      </w:r>
      <w:r>
        <w:rPr>
          <w:rFonts w:ascii="Times New Roman" w:cs="Times New Roman" w:eastAsia="Times New Roman" w:hAnsi="Times New Roman"/>
          <w:sz w:val="20"/>
          <w:szCs w:val="20"/>
          <w:color w:val="auto"/>
        </w:rPr>
        <w:t>The increase in net interest expense of $22 million in 2025 compared to the same period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consisted primarily of (i) $40 million in additional expense on our Guaranteed Senior Notes, which were issued July 23, 2025, (ii) $11 million in additional interest expense incurred on the Term Loan, and (iii) other individually insignificant changes. These increases in net interest expense were partially offset by (i) interest cost savings of approximately $16 million due to the early termination of the Notes, (ii) $8 million in additional interest income, and (iii) a decrease of approximately $5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80"/>
          </w:cols>
          <w:pgMar w:left="980" w:top="214" w:right="980"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20"/>
          <w:szCs w:val="20"/>
          <w:color w:val="auto"/>
        </w:rPr>
        <w:t>million in interest expense on our current and previous revolving credit facility due to lower average borrowings outstanding in 2025.</w:t>
      </w:r>
    </w:p>
    <w:p>
      <w:pPr>
        <w:spacing w:after="0" w:line="170"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Derivative Instruments. </w:t>
      </w:r>
      <w:r>
        <w:rPr>
          <w:rFonts w:ascii="Times New Roman" w:cs="Times New Roman" w:eastAsia="Times New Roman" w:hAnsi="Times New Roman"/>
          <w:sz w:val="20"/>
          <w:szCs w:val="20"/>
          <w:color w:val="auto"/>
        </w:rPr>
        <w:t>The following table shows the net gain (loss) on derivative instruments and the net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receipts (payments) on derivatives for the periods presented:</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7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80" w:type="dxa"/>
            <w:vAlign w:val="bottom"/>
            <w:gridSpan w:val="4"/>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4"/>
        </w:trPr>
        <w:tc>
          <w:tcPr>
            <w:tcW w:w="7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8"/>
                <w:szCs w:val="18"/>
                <w:b w:val="1"/>
                <w:bCs w:val="1"/>
                <w:color w:val="auto"/>
                <w:w w:val="88"/>
              </w:rPr>
              <w:t>2024</w:t>
            </w:r>
          </w:p>
        </w:tc>
      </w:tr>
      <w:tr>
        <w:trPr>
          <w:trHeight w:val="266"/>
        </w:trPr>
        <w:tc>
          <w:tcPr>
            <w:tcW w:w="7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80" w:type="dxa"/>
            <w:vAlign w:val="bottom"/>
          </w:tcPr>
          <w:p>
            <w:pPr>
              <w:spacing w:after="0"/>
              <w:rPr>
                <w:sz w:val="23"/>
                <w:szCs w:val="23"/>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w w:val="99"/>
              </w:rPr>
              <w:t>Gain (loss) on derivative instruments,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44</w:t>
            </w:r>
          </w:p>
        </w:tc>
        <w:tc>
          <w:tcPr>
            <w:tcW w:w="4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1"/>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receipts (payments) on derivatives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30</w:t>
            </w:r>
          </w:p>
        </w:tc>
        <w:tc>
          <w:tcPr>
            <w:tcW w:w="4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bl>
    <w:p>
      <w:pPr>
        <w:spacing w:after="0" w:line="292"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$33 million increase in the gain on derivative instruments, net in 2025 compared to the same period in 2024 consists primarily of (i) an $11 million net gain on our natural gas contracts, which consists of a $30 million net increase in cash receipts on our settled natural gas basis swaps, partially offset by a $19 million decrease in the value of our open natural gas contracts primarily due to changes in the differential between prices for Waha Hub and Henry Hub, (ii) a $13 million decrease in the estimated fair value of our 2026 WTI Contingent Liability based on fluctuations in the final WTI 2025 Average price (each as defined in Note 4—Acquisitions and Divestitures in Item 8. Financial Statements and Supplementary Data of this report), and (iii) other individually insignificant changes. See Note 10—Derivatives in Item 8. Financial Statements and Supplementary Data of this report for additional discussion of our open contracts at December 31, 2025.</w:t>
      </w:r>
    </w:p>
    <w:p>
      <w:pPr>
        <w:spacing w:after="0" w:line="211"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(Loss) on Early Extinguishment of Debt. </w:t>
      </w:r>
      <w:r>
        <w:rPr>
          <w:rFonts w:ascii="Times New Roman" w:cs="Times New Roman" w:eastAsia="Times New Roman" w:hAnsi="Times New Roman"/>
          <w:sz w:val="20"/>
          <w:szCs w:val="20"/>
          <w:color w:val="auto"/>
        </w:rPr>
        <w:t>The $ 32 million loss on early extinguishment of debt in 2025 is due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retirement of the 2031 Notes. See Note 6—Debt in Item 8. Financial Statements and Supplementary Data of this report for additional discussion of our debt at December 31, 2025.</w:t>
      </w:r>
    </w:p>
    <w:p>
      <w:pPr>
        <w:spacing w:after="0" w:line="190"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Provision for (Benefit from) Income Taxes. </w:t>
      </w:r>
      <w:r>
        <w:rPr>
          <w:rFonts w:ascii="Times New Roman" w:cs="Times New Roman" w:eastAsia="Times New Roman" w:hAnsi="Times New Roman"/>
          <w:sz w:val="20"/>
          <w:szCs w:val="20"/>
          <w:color w:val="auto"/>
        </w:rPr>
        <w:t>The $81 million decrease in income tax benefit in 2025 compared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same period in 2024 primarily resulted from recognizing a pre-tax loss attributable to Viper in 2025 compared to pre-tax income attributable to Viper in 2024, driven by the $768 million non-cash ceiling test impairments recorded in 2025. Additionally, the income tax benefit recognized in 2024 reflects the full release of a valuation allowance of $156 million during the fourth quarter of 2024. See Note 9—Income Taxes in Item 8. Financial Statements and Supplementary Data of this report for further discussion of income tax expense.</w:t>
      </w:r>
    </w:p>
    <w:p>
      <w:pPr>
        <w:spacing w:after="0" w:line="204"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Income (Loss) Attributable to Non- Controlling Interest. </w:t>
      </w:r>
      <w:r>
        <w:rPr>
          <w:rFonts w:ascii="Times New Roman" w:cs="Times New Roman" w:eastAsia="Times New Roman" w:hAnsi="Times New Roman"/>
          <w:sz w:val="20"/>
          <w:szCs w:val="20"/>
          <w:color w:val="auto"/>
        </w:rPr>
        <w:t>The change to $138 million in net loss attributable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non-controlling interest in 2025 from $245 million in net income attributable to non-controlling interest in 2024 is primarily due to the non-cash ceiling test impairments recorded in 2025 and changes in the non-controlling interest in the Operating Company resulting from (i) the Drop Down Equity Issuance, (ii) the issuance of OpCo Units to fund the Sitio Acquisition, and (iii) the issuance of OpCo Units to Tumbleweed Royalty IV, LLC in the fourth quarter of 2024, which were partially offset by a dilution of the non-controlling interest following the 2024 Equity Offering (as defined and discussed in Note 7—Stockholders’ Equity in Item 8. Financial Statements and Supplementary Data of this report) and the 2025 Equity Offering.</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Overview of Sources and Uses of Cash</w:t>
      </w:r>
    </w:p>
    <w:p>
      <w:pPr>
        <w:spacing w:after="0" w:line="253" w:lineRule="exact"/>
        <w:rPr>
          <w:sz w:val="20"/>
          <w:szCs w:val="20"/>
          <w:color w:val="auto"/>
        </w:rPr>
      </w:pPr>
    </w:p>
    <w:p>
      <w:pPr>
        <w:ind w:left="20" w:firstLine="720"/>
        <w:spacing w:after="0" w:line="253" w:lineRule="auto"/>
        <w:rPr>
          <w:sz w:val="20"/>
          <w:szCs w:val="20"/>
          <w:color w:val="auto"/>
        </w:rPr>
      </w:pPr>
      <w:r>
        <w:rPr>
          <w:rFonts w:ascii="Times New Roman" w:cs="Times New Roman" w:eastAsia="Times New Roman" w:hAnsi="Times New Roman"/>
          <w:sz w:val="20"/>
          <w:szCs w:val="20"/>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 from operations, equity and debt offerings, borrowings under our revolving credit facility, term loan agreement and proceeds from sales of non- core assets. Our primary uses of cash have been dividends to our stockholders, Operating Company distributions to the holders of OpCo Units, repayments of debt, capital expenditures for the acquisition of our mineral and royalty interests in oil and natural gas properties, including the recently completed Sitio Acquisition, the 2025 Drop Down, and various individually insignificant acquisitions and repurchases of our Common Stock and OpCo Units. At December 31, 2025, we had approximately $1.4 billion of liquidity consisting of $13 million in cash and cash equivalents and $1.4 billion in available borrowings under the 2025 Revolving Credit Facility. See further discussion of changes in our sources of cash in “—Capital Resources”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80"/>
          </w:cols>
          <w:pgMar w:left="980" w:top="214" w:right="980"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Our working capital requirements are supported by our cash and cash equivalents and the 2025 Revolving Credit Facility. We may draw on the 2025 Revolving Credit Facility to meet short-term cash requirements, or issue debt or equity securities as part of our longer-term liquidity and capital management program. Because of the alternatives available to us as discussed above, we believe our short-term and long-term liquidity are adequate to fund not only our current operations, but also our near-term and long-term funding requirements including dividends, debt service obligations, repayment of debt maturities, any repurchases of our Common Stock, OpCo Units or Guaranteed Senior Notes and any amounts that may ultimately be paid in connection with contingencies.</w:t>
      </w:r>
    </w:p>
    <w:p>
      <w:pPr>
        <w:spacing w:after="0" w:line="205"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In order to mitigate volatility in oil and natural gas prices, we have entered into commodity derivative contracts as discussed further in Item 7A. Quantitative and Qualitative Disclosures About Market Risk—Commodity Price Risk of this report.</w:t>
      </w:r>
    </w:p>
    <w:p>
      <w:pPr>
        <w:spacing w:after="0" w:line="187"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Continued prolonged volatility in the capital, financial and/or credit markets due to changing or adverse macroeconomic conditions, including tariffs, higher interest rates, global supply chain disruptions, actions taken by OPEC members and other exporting nations and geopolitical global conflicts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presents our cash flows for the period indicated:</w:t>
      </w:r>
    </w:p>
    <w:p>
      <w:pPr>
        <w:spacing w:after="0" w:line="345"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75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65"/>
        </w:trPr>
        <w:tc>
          <w:tcPr>
            <w:tcW w:w="75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64"/>
        </w:trPr>
        <w:tc>
          <w:tcPr>
            <w:tcW w:w="7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5"/>
          </w:tcPr>
          <w:p>
            <w:pPr>
              <w:jc w:val="center"/>
              <w:ind w:left="465"/>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80" w:type="dxa"/>
            <w:vAlign w:val="bottom"/>
          </w:tcPr>
          <w:p>
            <w:pPr>
              <w:spacing w:after="0"/>
              <w:rPr>
                <w:sz w:val="22"/>
                <w:szCs w:val="22"/>
                <w:color w:val="auto"/>
              </w:rPr>
            </w:pPr>
          </w:p>
        </w:tc>
      </w:tr>
      <w:tr>
        <w:trPr>
          <w:trHeight w:val="300"/>
        </w:trPr>
        <w:tc>
          <w:tcPr>
            <w:tcW w:w="7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 xml:space="preserve">Net cash provided by (used in) operating activities </w:t>
            </w:r>
            <w:r>
              <w:rPr>
                <w:rFonts w:ascii="Times New Roman" w:cs="Times New Roman" w:eastAsia="Times New Roman" w:hAnsi="Times New Roman"/>
                <w:sz w:val="20"/>
                <w:szCs w:val="20"/>
                <w:color w:val="B3B3B3"/>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20" w:type="dxa"/>
            <w:vAlign w:val="bottom"/>
          </w:tcPr>
          <w:p>
            <w:pPr>
              <w:spacing w:after="0"/>
              <w:rPr>
                <w:sz w:val="24"/>
                <w:szCs w:val="24"/>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r>
      <w:tr>
        <w:trPr>
          <w:trHeight w:val="298"/>
        </w:trPr>
        <w:tc>
          <w:tcPr>
            <w:tcW w:w="7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Net cash provided by (used in) investing activities</w:t>
            </w:r>
            <w:r>
              <w:rPr>
                <w:rFonts w:ascii="Times New Roman" w:cs="Times New Roman" w:eastAsia="Times New Roman" w:hAnsi="Times New Roman"/>
                <w:sz w:val="20"/>
                <w:szCs w:val="20"/>
                <w:color w:val="B3B3B3"/>
                <w:w w:val="97"/>
              </w:rPr>
              <w:t>.........................................................................</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w:t>
            </w:r>
          </w:p>
        </w:tc>
      </w:tr>
      <w:tr>
        <w:trPr>
          <w:trHeight w:val="302"/>
        </w:trPr>
        <w:tc>
          <w:tcPr>
            <w:tcW w:w="7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 xml:space="preserve">Net cash provided by (used in) financing activities </w:t>
            </w:r>
            <w:r>
              <w:rPr>
                <w:rFonts w:ascii="Times New Roman" w:cs="Times New Roman" w:eastAsia="Times New Roman" w:hAnsi="Times New Roman"/>
                <w:sz w:val="20"/>
                <w:szCs w:val="20"/>
                <w:color w:val="B3B3B3"/>
                <w:w w:val="97"/>
              </w:rPr>
              <w:t>........................................................................</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40"/>
        </w:trPr>
        <w:tc>
          <w:tcPr>
            <w:tcW w:w="7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r>
              <w:rPr>
                <w:rFonts w:ascii="Times New Roman" w:cs="Times New Roman" w:eastAsia="Times New Roman" w:hAnsi="Times New Roman"/>
                <w:sz w:val="20"/>
                <w:szCs w:val="20"/>
                <w:color w:val="B3B3B3"/>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2"/>
        </w:trPr>
        <w:tc>
          <w:tcPr>
            <w:tcW w:w="75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r>
    </w:tbl>
    <w:p>
      <w:pPr>
        <w:spacing w:after="0" w:line="2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4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Our operating cash flow is sensitive to many variables, the most significant of which are the volatility of prices for oil and natural gas and the volumes of oil and natural gas sold by our operators. The increase in net cash provided by operating activities in 2025, compared to the same period in 2024 was primarily driven by an increase in royalty and lease bonus income and receiving cash payments on our derivatives in 2025 compared to making cash payments to counterparties in 2024. These increases in cash flow were partially offset by an increase in certain cash costs for production and ad valorem taxes, general and administrative expenses, other operating expenses which include severance costs related to the Sitio Acquisition and other changes in our working capital accounts including the timing of when accounts receivable are collected and accounts payable are remitted. See “—Results of Operations” above for further discussion of significant changes in our income and expenses.</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47"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2025, was primarily related to acquisitions of oil and natural gas interests, including the approximately $1.2 billion repayment made for Sitio’s outstanding debt as part of the consideration for the Sitio Acquisition, the 2025 Drop Down, and acquisitions of oil and natural gas interests from other third parties. See Note 4—Acquisitions and Divestitures in Item 8. Financial Statements and Supplementary Data of this report for additional information on these acquisitions.</w:t>
      </w:r>
    </w:p>
    <w:p>
      <w:pPr>
        <w:spacing w:after="0" w:line="202"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2024, primarily related to acquisitions of oil and natural gas interests from third parties, which includes $654 million in cash paid for the Tumbleweed Acquisitions (as defined and discussed in Note 4—Acquisitions and Divestitures in Item 8. Financial Statements and Supplementary Data of this report), partially offset by proceeds of $88 million primarily from the divestiture of non-Permian oil and natural gas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80"/>
          </w:cols>
          <w:pgMar w:left="980" w:top="214" w:right="980"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49" w:lineRule="exact"/>
        <w:rPr>
          <w:sz w:val="20"/>
          <w:szCs w:val="20"/>
          <w:color w:val="auto"/>
        </w:rPr>
      </w:pPr>
    </w:p>
    <w:p>
      <w:pPr>
        <w:jc w:val="both"/>
        <w:ind w:firstLine="721"/>
        <w:spacing w:after="0" w:line="255"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2025, was primarily attributable to (i) net proceeds from the issuance of the Guaranteed Senior Notes of $1.6 billion, (ii) proceeds of $1.2 billion from the 2025 Equity Offering, and (iii) net proceeds from the Term Loan of $500 million. These cash inflows were partially offset by (i) $745 million of dividends paid to holders of our OpCo Units and our Class A Common Stock, (ii) $430 million paid for the retirement of the outstanding principal on our 2027 Notes, (iii) $427 million paid for the retirement of the outstanding principal and the redemption premium on our 2031 Notes, (iv) $194 million of securities repurchases under the Company’s repurchase program, and (v) repayments net of borrowings of $156 million on the 2025 Revolving Credit Facility.</w:t>
      </w:r>
    </w:p>
    <w:p>
      <w:pPr>
        <w:spacing w:after="0" w:line="205" w:lineRule="exact"/>
        <w:rPr>
          <w:sz w:val="20"/>
          <w:szCs w:val="20"/>
          <w:color w:val="auto"/>
        </w:rPr>
      </w:pPr>
    </w:p>
    <w:p>
      <w:pPr>
        <w:jc w:val="both"/>
        <w:ind w:firstLine="721"/>
        <w:spacing w:after="0" w:line="262" w:lineRule="auto"/>
        <w:rPr>
          <w:sz w:val="20"/>
          <w:szCs w:val="20"/>
          <w:color w:val="auto"/>
        </w:rPr>
      </w:pPr>
      <w:r>
        <w:rPr>
          <w:rFonts w:ascii="Times New Roman" w:cs="Times New Roman" w:eastAsia="Times New Roman" w:hAnsi="Times New Roman"/>
          <w:sz w:val="20"/>
          <w:szCs w:val="20"/>
          <w:color w:val="auto"/>
        </w:rPr>
        <w:t>Net cash used in financing activities during the year ended December 31, 2024, was primarily attributable to $481 million of dividends paid to stockholders and the Operating Company’s unitholders, which was largely offset by proceeds of $476 million from the 2024 Equity Offering (as defined and discussed in Note 7—Stockholders’ Equity in Item 8. Financial Statements and Supplementary Data of this report).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The 2025 Revolving Credit Facility and Other Debt Instruments</w:t>
      </w:r>
    </w:p>
    <w:p>
      <w:pPr>
        <w:spacing w:after="0" w:line="247" w:lineRule="exact"/>
        <w:rPr>
          <w:sz w:val="20"/>
          <w:szCs w:val="20"/>
          <w:color w:val="auto"/>
        </w:rPr>
      </w:pPr>
    </w:p>
    <w:p>
      <w:pPr>
        <w:jc w:val="both"/>
        <w:ind w:firstLine="721"/>
        <w:spacing w:after="0" w:line="268" w:lineRule="auto"/>
        <w:rPr>
          <w:sz w:val="20"/>
          <w:szCs w:val="20"/>
          <w:color w:val="auto"/>
        </w:rPr>
      </w:pPr>
      <w:r>
        <w:rPr>
          <w:rFonts w:ascii="Times New Roman" w:cs="Times New Roman" w:eastAsia="Times New Roman" w:hAnsi="Times New Roman"/>
          <w:sz w:val="20"/>
          <w:szCs w:val="20"/>
          <w:color w:val="auto"/>
        </w:rPr>
        <w:t>At December 31, 2025, our credit facility, which matures on June 12, 2030, had a commitment amount of $1.5 billion, with $105 million in outstanding borrowings and $1.4 billion of availability. In the first quarter of 2026, we fully repaid the $105 million of outstanding borrowings under our credit facility.</w:t>
      </w:r>
    </w:p>
    <w:p>
      <w:pPr>
        <w:spacing w:after="0" w:line="190" w:lineRule="exact"/>
        <w:rPr>
          <w:sz w:val="20"/>
          <w:szCs w:val="20"/>
          <w:color w:val="auto"/>
        </w:rPr>
      </w:pPr>
    </w:p>
    <w:p>
      <w:pPr>
        <w:jc w:val="both"/>
        <w:ind w:right="20" w:firstLine="720"/>
        <w:spacing w:after="0" w:line="286" w:lineRule="auto"/>
        <w:rPr>
          <w:sz w:val="20"/>
          <w:szCs w:val="20"/>
          <w:color w:val="auto"/>
        </w:rPr>
      </w:pPr>
      <w:r>
        <w:rPr>
          <w:rFonts w:ascii="Times New Roman" w:cs="Times New Roman" w:eastAsia="Times New Roman" w:hAnsi="Times New Roman"/>
          <w:sz w:val="20"/>
          <w:szCs w:val="20"/>
          <w:color w:val="auto"/>
        </w:rPr>
        <w:t>Additionally, at December 31, 2025, we had $500 million in outstanding borrowings under the Term Loan, which we subsequently repaid in full with proceeds from the Non-Permian Divestiture in February 2026.</w:t>
      </w:r>
    </w:p>
    <w:p>
      <w:pPr>
        <w:spacing w:after="0" w:line="170" w:lineRule="exact"/>
        <w:rPr>
          <w:sz w:val="20"/>
          <w:szCs w:val="20"/>
          <w:color w:val="auto"/>
        </w:rPr>
      </w:pPr>
    </w:p>
    <w:p>
      <w:pPr>
        <w:jc w:val="both"/>
        <w:ind w:right="20" w:firstLine="720"/>
        <w:spacing w:after="0" w:line="289" w:lineRule="auto"/>
        <w:rPr>
          <w:sz w:val="20"/>
          <w:szCs w:val="20"/>
          <w:color w:val="auto"/>
        </w:rPr>
      </w:pPr>
      <w:r>
        <w:rPr>
          <w:rFonts w:ascii="Times New Roman" w:cs="Times New Roman" w:eastAsia="Times New Roman" w:hAnsi="Times New Roman"/>
          <w:sz w:val="20"/>
          <w:szCs w:val="20"/>
          <w:color w:val="auto"/>
        </w:rPr>
        <w:t>See Note 6—Debt in Item 8. Financial Statements and Supplementary Data of this report for additional discussion of our outstanding debt at December 31, 2025.</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Debt Ratings</w:t>
      </w:r>
    </w:p>
    <w:p>
      <w:pPr>
        <w:spacing w:after="0" w:line="2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In May 2025, Fitch Investor Services upgraded our credit rating to investment grade, the second such investment grade credit rating for us. This upgrade granted us access to a broader investor base, lower interest rates and reduced collateral requirements; therefore, enhancing our liquidity. Currently, our credit ratings from the three main credit rating agencies are as follows:</w:t>
      </w:r>
    </w:p>
    <w:p>
      <w:pPr>
        <w:spacing w:after="0" w:line="207" w:lineRule="exact"/>
        <w:rPr>
          <w:sz w:val="20"/>
          <w:szCs w:val="20"/>
          <w:color w:val="auto"/>
        </w:rPr>
      </w:pPr>
    </w:p>
    <w:p>
      <w:pPr>
        <w:ind w:left="720" w:hanging="352"/>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Standard and Poor’s Global Ratings Services (BBB-);</w:t>
      </w:r>
    </w:p>
    <w:p>
      <w:pPr>
        <w:spacing w:after="0" w:line="1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Fitch Investor Services (BBB-); and</w:t>
      </w:r>
    </w:p>
    <w:p>
      <w:pPr>
        <w:spacing w:after="0" w:line="10"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Moody’s Investor Services (Ba1).</w:t>
      </w:r>
    </w:p>
    <w:p>
      <w:pPr>
        <w:spacing w:after="0" w:line="250" w:lineRule="exact"/>
        <w:rPr>
          <w:sz w:val="20"/>
          <w:szCs w:val="20"/>
          <w:color w:val="auto"/>
        </w:rPr>
      </w:pPr>
    </w:p>
    <w:p>
      <w:pPr>
        <w:jc w:val="both"/>
        <w:ind w:right="20" w:firstLine="720"/>
        <w:spacing w:after="0" w:line="286" w:lineRule="auto"/>
        <w:rPr>
          <w:sz w:val="20"/>
          <w:szCs w:val="20"/>
          <w:color w:val="auto"/>
        </w:rPr>
      </w:pPr>
      <w:r>
        <w:rPr>
          <w:rFonts w:ascii="Times New Roman" w:cs="Times New Roman" w:eastAsia="Times New Roman" w:hAnsi="Times New Roman"/>
          <w:sz w:val="20"/>
          <w:szCs w:val="20"/>
          <w:color w:val="auto"/>
        </w:rPr>
        <w:t>Any rating downgrades may result in additional letters of credit or cash collateral being posted under certain contractual arrangements.</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Guaranteed Senior Notes</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At December 31, 2025, we had total principal payments due on our outstanding Guaranteed Senior Notes of $500 million in 2030 and $1.1 billion in 2035. Additionally, we have a remaining aggregate interest expense obligation of $750 million on the Guaranteed Senior Notes with $87 million due in 2026, an aggregate of $174 million due for years 2027 to 2028, an aggregate of $174 million due for years 2029 to 2030, and $315 million due thereafter. The Guaranteed Senior Notes are not subject to any mandatory redemption or sinking fund requirements. See Note 6—Debt in Item 8. Financial Statements and Supplementary Data of this report for further information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80"/>
          </w:cols>
          <w:pgMar w:left="980" w:top="214" w:right="980"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Repurchases of Securities</w:t>
      </w:r>
    </w:p>
    <w:p>
      <w:pPr>
        <w:spacing w:after="0" w:line="249"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On December 10, 2025, our board of directors expanded our repurchase program to include repurchases of our Class B Common Stock and OpCo Units in addition to our previously authorized Class A Common Stock. On February 18, 2026, our board of directors also approved an increase in our repurchase program authorization from $750 million to $1.75 billion, excluding the 1% U.S. federal excise tax on certain repurchases of stock by publicly traded U.S. corporations enacted as part of the IRA. Since the inception of our repurchase program through February 20, 2026, we have repurchased an aggregate of 18,878,469 shares of our Common Stock and OpCo Units for a total cost of $525 million, excluding any applicable excise tax, leaving approximately $1.2 billion for future repurchases under the repurchase program. See Note 7—Stockholders’ Equity in Item 8. Financial Statements and Supplementary Data of this report for further discussion of the repurchase program.</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Cash Dividends and Return of Capital Update</w:t>
      </w:r>
    </w:p>
    <w:p>
      <w:pPr>
        <w:spacing w:after="0" w:line="247"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We paid a total of $745 million and $481 million in dividends, on our Class A Common Stock, OpCo Units and participating securities under the LTIP during 2025 and 2024, respectively.</w:t>
      </w:r>
    </w:p>
    <w:p>
      <w:pPr>
        <w:spacing w:after="0" w:line="170" w:lineRule="exact"/>
        <w:rPr>
          <w:sz w:val="20"/>
          <w:szCs w:val="20"/>
          <w:color w:val="auto"/>
        </w:rPr>
      </w:pPr>
    </w:p>
    <w:p>
      <w:pPr>
        <w:jc w:val="both"/>
        <w:ind w:left="20" w:firstLine="721"/>
        <w:spacing w:after="0" w:line="257" w:lineRule="auto"/>
        <w:rPr>
          <w:sz w:val="20"/>
          <w:szCs w:val="20"/>
          <w:color w:val="auto"/>
        </w:rPr>
      </w:pPr>
      <w:r>
        <w:rPr>
          <w:rFonts w:ascii="Times New Roman" w:cs="Times New Roman" w:eastAsia="Times New Roman" w:hAnsi="Times New Roman"/>
          <w:sz w:val="20"/>
          <w:szCs w:val="20"/>
          <w:color w:val="auto"/>
        </w:rPr>
        <w:t>Because of our high operating and free cash flow margin, strong balance sheet, and the Non-Permian Divestiture closure, we returned 90% of cash available for distribution to stockholders with respect to the fourth quarter of 2025. As a result, in addition to repurchases under our repurchase program, we will pay a cash dividend for the fourth quarter of 2025 of $0.52 per share of Class A Common Stock and $0.65 per OpCo Unit, in each case payable on March 12, 2026, to eligible holders of record at the close of business on March 5, 2026. The dividend to stockholders consists of a base quarterly dividend of $0.38 per share of Class A Common Stock and a variable quarterly dividend of $0.14 per share of Class A Common Stock.</w:t>
      </w:r>
    </w:p>
    <w:p>
      <w:pPr>
        <w:spacing w:after="0" w:line="200"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We moved closer to our net debt target of $1.5 billion following the closure of the Non-Permian Divestiture on February 9, 2026, and are positioned to increase our return of capital upwards of 100% of future cash available for distribution to stockholders, while also delivering sustainable per-share growth.</w:t>
      </w:r>
    </w:p>
    <w:p>
      <w:pPr>
        <w:spacing w:after="0" w:line="19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See Note 7—Stockholders’ Equity in Item 8. Financial Statements and Supplementary Data of this report for further discussion of the repurchase program and dividends. We expect to continue paying quarterly cash dividends in respect of our common shares. Future base and variable dividends are not required and are at the discretion of the board of directors, who may change the dividend policies at any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Guarantor Disclosure</w:t>
      </w:r>
    </w:p>
    <w:p>
      <w:pPr>
        <w:spacing w:after="0" w:line="25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July 9, 2025, New Viper, Former Viper and the Operating Company filed a registration statement on Form S-3 with the SEC registering debt securities of the Operating Company. On July 23, 2025, the Operating Company issued the Guaranteed Senior Notes for an aggregate principal amount of $1.6 billion, which are fully and unconditionally guaranteed by each of Former Viper and New Viper. Following the OpCo Conversion, Viper LP became the issuer of the Guaranteed Senior Notes.</w:t>
      </w:r>
    </w:p>
    <w:p>
      <w:pPr>
        <w:spacing w:after="0" w:line="20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Guaranteed Senior Notes and the guarantees are the issuer’s and each guarantor’s respective senior unsecured obligations and rank equally in right of payment with all of the issuer’s and each guarantor’s respective existing and future senior indebtedness, including all of the issuer’s and each guarantor’s obligations under the 2025 Revolving Credit Facility and the New Loan, and senior in right of payment to any of the issuer’s and each guarantor’s future indebtedness that is expressly subordinated in right of payment to the Guaranteed Senior Notes and the guarantees, respectively.</w:t>
      </w:r>
    </w:p>
    <w:p>
      <w:pPr>
        <w:spacing w:after="0" w:line="20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Guaranteed Senior Notes and the guarantees are effectively subordinated to any of the issuer’s and each guarantor’s existing and future secured indebtedness, if any, to the extent of the value of the collateral securing such indebtedness, and are structurally subordinated to all of the existing and future indebtedness and other liabilities (including trade payables) of each of the issuer’s and each guarantor’s respective subsidiaries that is not an obligor on the Guaranteed Senior Notes.</w:t>
      </w:r>
    </w:p>
    <w:p>
      <w:pPr>
        <w:spacing w:after="0" w:line="199" w:lineRule="exact"/>
        <w:rPr>
          <w:sz w:val="20"/>
          <w:szCs w:val="20"/>
          <w:color w:val="auto"/>
        </w:rPr>
      </w:pPr>
    </w:p>
    <w:p>
      <w:pPr>
        <w:jc w:val="both"/>
        <w:ind w:firstLine="721"/>
        <w:spacing w:after="0" w:line="257" w:lineRule="auto"/>
        <w:rPr>
          <w:sz w:val="20"/>
          <w:szCs w:val="20"/>
          <w:color w:val="auto"/>
        </w:rPr>
      </w:pPr>
      <w:r>
        <w:rPr>
          <w:rFonts w:ascii="Times New Roman" w:cs="Times New Roman" w:eastAsia="Times New Roman" w:hAnsi="Times New Roman"/>
          <w:sz w:val="20"/>
          <w:szCs w:val="20"/>
          <w:color w:val="auto"/>
        </w:rPr>
        <w:t>In the event of bankruptcy, liquidation, reorganization or other winding up of the issuer or a guarantor or upon a default in payment with respect to, or the acceleration of, any senior secured indebtedness of the issuer or a guarantor, the assets of the issuer or such guarantor that secure such senior secured indebtedness will be available to pay obligations on the Guaranteed Senior Notes and the guarantees only after all obligations under such senior secured indebtedness have been repaid in full from such assets. There may not be sufficient assets remaining to pay amounts due on any or all of the Guaranteed Senior Notes then outstanding and the guarantees.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80"/>
          </w:cols>
          <w:pgMar w:left="980" w:top="214" w:right="980"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obligations of the guarantors under the guarantees are limited in a manner designed to prevent the guarantees from constituting a fraudulent conveyance or fraudulent transfer under applicable law, although no assurance can be given that a court would give the holder the benefit of such provision. If a guarantee were rendered voidable, it could be subordinated by a court to all other indebtedness (including contingent liabilities) of such guarantor, and, depending on the amount of such indebtedness, the guarantor’s liability on such guarantee could be reduced to zero.</w:t>
      </w:r>
    </w:p>
    <w:p>
      <w:pPr>
        <w:spacing w:after="0" w:line="199"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In accordance with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except that such guarantee will be released or terminated in certain circumstances set forth in the indentures governing the Guaranteed Senior Notes, and, subject to certain exceptions, the alternative disclosures specified in Rule 13-01 are provided, which include narrative disclosure and summarized financial information. Accordingly, separate consolidated financial statements of the issuer have not been presented. Furthermore, as permitted under Rule 13-01(a)(4)(vi) of Regulation S-X, we have excluded the summarized financial information for the issuer because the assets, liabilities and results of operations of the issuer are not materially different than the corresponding amounts in our consolidated financial statements and management believes such summarized financial information would be repetitive and would not provide incremental value to investors.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8"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are based upon our consolidated financial statements, which have been prepared in accordance with GAAP.</w:t>
      </w:r>
    </w:p>
    <w:p>
      <w:pPr>
        <w:spacing w:after="0" w:line="164"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w:t>
      </w:r>
    </w:p>
    <w:p>
      <w:pPr>
        <w:spacing w:after="0" w:line="209"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We consider the following to be our most critical accounting estimates and have reviewed these critical accounting estimates with the Audit Committee of our Board of Directors.</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Royalty Income and Revenue Recognition</w:t>
      </w:r>
    </w:p>
    <w:p>
      <w:pPr>
        <w:spacing w:after="0" w:line="251"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color w:val="auto"/>
        </w:rPr>
        <w:t>We record revenue in the month production is delivered to the purchaser. However, settlement statements for certain oil, natural gas and natural gas liquids sales from third-party operators other than Diamondback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our royalty interest.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 and such revisions may have a material impact on our results of operations and our royalty income receivables. Pricing estimates are based upon actual prices realized in an area by adjusting the market price for the average basis differential from market on a basin-by-basin basis. We record the differences between our estimates and the actual amounts received for royalties from third parties in the month that payment is received from the operator. We have existing internal controls for our royalty income estimation process and related accruals, but actual third-party royalty income in future periods could differ materially from estimated amounts. At December 31, 2025, our accrual for third- party royalty income was approximately $95 million. Actual revenues received during 2025 for prior years’ production from third parties were not materially different than the amount accrued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80"/>
          </w:cols>
          <w:pgMar w:left="980" w:top="214" w:right="980"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Oil and Natural Gas Accounting and Reserves</w:t>
      </w:r>
    </w:p>
    <w:p>
      <w:pPr>
        <w:spacing w:after="0" w:line="253"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We account for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mineral and royalty interests. As such, we consider the estimation of proved reserves to be a critical accounting estimate.</w:t>
      </w:r>
    </w:p>
    <w:p>
      <w:pPr>
        <w:spacing w:after="0" w:line="199" w:lineRule="exact"/>
        <w:rPr>
          <w:sz w:val="20"/>
          <w:szCs w:val="20"/>
          <w:color w:val="auto"/>
        </w:rPr>
      </w:pPr>
    </w:p>
    <w:p>
      <w:pPr>
        <w:jc w:val="both"/>
        <w:ind w:left="20" w:firstLine="720"/>
        <w:spacing w:after="0" w:line="251" w:lineRule="auto"/>
        <w:rPr>
          <w:sz w:val="20"/>
          <w:szCs w:val="20"/>
          <w:color w:val="auto"/>
        </w:rPr>
      </w:pPr>
      <w:r>
        <w:rPr>
          <w:rFonts w:ascii="Times New Roman" w:cs="Times New Roman" w:eastAsia="Times New Roman" w:hAnsi="Times New Roman"/>
          <w:sz w:val="20"/>
          <w:szCs w:val="20"/>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independent petroleum engineers, as of December 31, 2025, 2024 and 2023. The process of estimating oil and natural gas reserves is complex, requiring significant decisions in the evaluation of available geological, geophysical, engineering and economic data. Significant inputs included in the calculation of future net cash flows include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Aggregate non-cash ceiling test impairments of $768 million were recorded on our proved oil and natural gas properties during the year ended December 31, 2025. No impairments were recorded on our proved oil and natural gas properties during the years ended December 31, 2024 and 2023. Based on SEC Prices for oil and natural gas throughout 2025 and into 2026, we believe an additional impairment is reasonably likely to occur in the first quarter of 2026. Any future impairment could be material to our consolidated financial statements.</w:t>
      </w:r>
    </w:p>
    <w:p>
      <w:pPr>
        <w:spacing w:after="0" w:line="221"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monitoring information available from third-party operators of our acreage for future drilling plans, (ii) the success of operators drilling on our acreage, (iii) the assignment of proved reserves, and (iv) current market prices for mineral acreage within our primary basins. At December 31, 2025, our unevaluated properties totaled $4.9 billion. We did not record any impairment on our unevaluated properties during the year ended December 31, 2025, but any such future impairment could be material to our consolidated financial statements.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Acquisitions of Mineral and Royalty Interests</w:t>
      </w:r>
    </w:p>
    <w:p>
      <w:pPr>
        <w:spacing w:after="0" w:line="253"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Acquisitions of mineral and royalty interests from third parties are accounted for as asset acquisitions, whereby the purchase price and associated transaction costs are typically capitalized and allocated to the acquired mineral and royalty interests. The allocation is determined based on whether the interests acquired relate to proved or unproved oil and natural gas properties, utilizing the estimated fair value of proved reserves as of the date of acquisition. The valuation of proved reserves for acquisitions from unrelated parties is based on a projection of future cash flows using objective future pricing assumptions and a discount rate consistent with our estimated cost of capital at the time of the acquisition.</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1"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amount of income taxes we record requires interpretations of complex rules and regulations of federal and state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us. Negative evidence may include losses in recent years, if any, or the projection of losses in future periods. Estimating future taxable income requires numerous judgments and</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80"/>
          </w:cols>
          <w:pgMar w:left="980" w:top="214" w:right="980"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20"/>
          <w:szCs w:val="20"/>
          <w:color w:val="auto"/>
        </w:rPr>
        <w:t>assumptions, including projections of future operating conditions which may be impacted by volatile future prices for our oil, natural gas and natural gas liquids, the expected timing and quantity of future production volumes, and the impact of our commodity derivative instruments on our income. These assumptions are discussed further in the critical accounting estimates titled “— Royalty Income and Revenue Recognition” and “— Oil and Natural Gas Accounting and Reserves.” Due to the impact these various assumptions and estimates can have on our estimates of taxable income, an estimate of the sensitivity to changes is not practicable.</w:t>
      </w:r>
    </w:p>
    <w:p>
      <w:pPr>
        <w:spacing w:after="0" w:line="204" w:lineRule="exact"/>
        <w:rPr>
          <w:sz w:val="20"/>
          <w:szCs w:val="20"/>
          <w:color w:val="auto"/>
        </w:rPr>
      </w:pPr>
    </w:p>
    <w:p>
      <w:pPr>
        <w:jc w:val="both"/>
        <w:ind w:left="20" w:firstLine="721"/>
        <w:spacing w:after="0" w:line="252" w:lineRule="auto"/>
        <w:rPr>
          <w:sz w:val="20"/>
          <w:szCs w:val="20"/>
          <w:color w:val="auto"/>
        </w:rPr>
      </w:pPr>
      <w:r>
        <w:rPr>
          <w:rFonts w:ascii="Times New Roman" w:cs="Times New Roman" w:eastAsia="Times New Roman" w:hAnsi="Times New Roman"/>
          <w:sz w:val="20"/>
          <w:szCs w:val="20"/>
          <w:color w:val="auto"/>
        </w:rPr>
        <w:t>In 2025, management’s assessment of all available evidence, both positive and negative, supporting realizability of our deferred tax assets as required by applicable accounting standards, supported the conclusion that our deferred tax assets are more likely than not to be realized. A variety of positive evidence was assessed. In recent years, we have sustained cumulative pre-tax income due in part to higher commodity prices resulting from strong and stable market conditions, and the locations in which we operate have experienced a sustained and increasing pattern of development by a wide variety of operators, consistent with a presumption of more readily predictable development patterns for our properties. The significant acquisitions completed by us, including the Sitio Acquisition and the 2025 Drop Down, provide additional production capacity to generate future taxable income for utilization of our deferred tax assets. In addition, the recently closed Non-Permian Divestiture provides positive evidence supporting realizability of our capital loss carryforward against the estimated capital gain to be recognized in 2026. Based on these factors, we determined that no valuation allowance on our deferred tax assets is required as of December 31, 2025. As of December 31, 2025, we had net deferred tax assets of $33 million.</w:t>
      </w:r>
    </w:p>
    <w:p>
      <w:pPr>
        <w:spacing w:after="0" w:line="219"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6" w:lineRule="exact"/>
        <w:rPr>
          <w:sz w:val="20"/>
          <w:szCs w:val="20"/>
          <w:color w:val="auto"/>
        </w:rPr>
      </w:pPr>
    </w:p>
    <w:p>
      <w:pPr>
        <w:jc w:val="both"/>
        <w:ind w:left="20" w:right="20" w:firstLine="720"/>
        <w:spacing w:after="0" w:line="289" w:lineRule="auto"/>
        <w:rPr>
          <w:sz w:val="20"/>
          <w:szCs w:val="20"/>
          <w:color w:val="auto"/>
        </w:rPr>
      </w:pPr>
      <w:r>
        <w:rPr>
          <w:rFonts w:ascii="Times New Roman" w:cs="Times New Roman" w:eastAsia="Times New Roman" w:hAnsi="Times New Roman"/>
          <w:sz w:val="20"/>
          <w:szCs w:val="20"/>
          <w:color w:val="auto"/>
        </w:rPr>
        <w:t>See Note 2—Summary of Significant Accounting Policies in Item 8. Financial Statements and Supplementary Data of this report for discussion of recent accounting pronouncements and a full listing of our significant accounting policies.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We currently have no off-balance sheet arrangements.</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6"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258"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Item 1A. Risk Factors of this report. We cannot predict events that may lead to future price volatility and the near term energy outlook remains subject to heightened levels of uncertainty.</w:t>
      </w:r>
    </w:p>
    <w:p>
      <w:pPr>
        <w:spacing w:after="0" w:line="205"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We historically have used fixed price swap contracts, fixed price basis swap contracts, deferred premium put contracts and costless collars with corresponding put and call options to reduce price volatility associated with certain of our royalty income as discussed in Note 10—Derivatives in Item 8. Financial Statements and Supplementary Data of this report.</w:t>
      </w:r>
    </w:p>
    <w:p>
      <w:pPr>
        <w:spacing w:after="0" w:line="187" w:lineRule="exact"/>
        <w:rPr>
          <w:sz w:val="20"/>
          <w:szCs w:val="20"/>
          <w:color w:val="auto"/>
        </w:rPr>
      </w:pPr>
    </w:p>
    <w:p>
      <w:pPr>
        <w:jc w:val="both"/>
        <w:ind w:left="20" w:firstLine="721"/>
        <w:spacing w:after="0" w:line="262" w:lineRule="auto"/>
        <w:rPr>
          <w:sz w:val="20"/>
          <w:szCs w:val="20"/>
          <w:color w:val="auto"/>
        </w:rPr>
      </w:pPr>
      <w:r>
        <w:rPr>
          <w:rFonts w:ascii="Times New Roman" w:cs="Times New Roman" w:eastAsia="Times New Roman" w:hAnsi="Times New Roman"/>
          <w:sz w:val="20"/>
          <w:szCs w:val="20"/>
          <w:color w:val="auto"/>
        </w:rPr>
        <w:t>At December 31, 2025, we had a net asset derivative position related to our commodity price derivative contracts of $21 million. Utilizing actual derivative contractual volumes under our contracts as of December 31, 2025, a 10% increase in forward curves associated with the underlying commodity would have increased the net asset position by $5 million to approximately $26 million, and a 10% decrease in forward curves associated with the underlying commodity would have</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80"/>
          </w:cols>
          <w:pgMar w:left="980" w:top="214" w:right="980"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color w:val="auto"/>
        </w:rPr>
        <w:t>increased the net asset position by $2 million to approximately $23 million. However, any cash derivative gain or loss may be substantially offset by a decrease or increase, respectively, in the actual sales value of production covered by the derivative instrument.</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5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We are subject to risk resulting from the concentration of royalty income in producing oil and natural gas properties and receivables with a limited number of several significant operators who sell our production to numerous purchasers. For the years ended December 31, 2025 and 2024, two operators each accounted for more than 10% of our income, respectively. For the year ended December 31, 2023, one operator accounted for more than 10% of our income. See Note 2—Summary of Significant Accounting Policies in Item 8. Financial Statements and Supplementary Data of this report for further details. Each of our operators sell to multiple purchasers.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the credit risk from our operators and purchasers.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8"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We are subject to market risk exposure related to changes in interest rates on our indebtedness under the 2025 Revolving Credit Facility and the Term Loan.</w:t>
      </w:r>
    </w:p>
    <w:p>
      <w:pPr>
        <w:spacing w:after="0" w:line="170" w:lineRule="exact"/>
        <w:rPr>
          <w:sz w:val="20"/>
          <w:szCs w:val="20"/>
          <w:color w:val="auto"/>
        </w:rPr>
      </w:pPr>
    </w:p>
    <w:p>
      <w:pPr>
        <w:jc w:val="both"/>
        <w:ind w:left="20" w:firstLine="721"/>
        <w:spacing w:after="0" w:line="254" w:lineRule="auto"/>
        <w:rPr>
          <w:sz w:val="20"/>
          <w:szCs w:val="20"/>
          <w:color w:val="auto"/>
        </w:rPr>
      </w:pPr>
      <w:r>
        <w:rPr>
          <w:rFonts w:ascii="Times New Roman" w:cs="Times New Roman" w:eastAsia="Times New Roman" w:hAnsi="Times New Roman"/>
          <w:sz w:val="20"/>
          <w:szCs w:val="20"/>
          <w:color w:val="auto"/>
        </w:rPr>
        <w:t>The terms of the 2025 Revolving Credit Facility provide for interest on borrowings at a floating rate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based on the pricing level. The pricing level depends on the rating of our long-term senior unsecured debt by certain rating agencies. As of December 31, 2025, we had $105 million in outstanding borrowings under the 2025 Revolving Credit Facility with a weighted average interest rate of 6.02% during the year ended December 31, 2025.</w:t>
      </w:r>
    </w:p>
    <w:p>
      <w:pPr>
        <w:spacing w:after="0" w:line="205"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Borrowings under the Term Loan bear interest at a per annum rate elected by us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 As of December 31, 2025, we had $500 million in outstanding borrowings under the Term Loan with a weighted average interest rate on borrowings of 5.72%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80"/>
          </w:cols>
          <w:pgMar w:left="980" w:top="214" w:right="980"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5" w:lineRule="exact"/>
        <w:rPr>
          <w:sz w:val="20"/>
          <w:szCs w:val="20"/>
          <w:color w:val="auto"/>
        </w:rPr>
      </w:pPr>
    </w:p>
    <w:p>
      <w:pPr>
        <w:ind w:left="420" w:right="6820" w:hanging="358"/>
        <w:spacing w:after="0" w:line="313" w:lineRule="auto"/>
        <w:tabs>
          <w:tab w:leader="none" w:pos="4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Documents included in this report: </w:t>
      </w:r>
      <w:r>
        <w:rPr>
          <w:rFonts w:ascii="Times New Roman" w:cs="Times New Roman" w:eastAsia="Times New Roman" w:hAnsi="Times New Roman"/>
          <w:sz w:val="20"/>
          <w:szCs w:val="20"/>
          <w:i w:val="1"/>
          <w:iCs w:val="1"/>
          <w:color w:val="auto"/>
        </w:rPr>
        <w:t>1. Financial Statements</w:t>
      </w:r>
    </w:p>
    <w:tbl>
      <w:tblPr>
        <w:tblLayout w:type="fixed"/>
        <w:tblInd w:w="660" w:type="dxa"/>
        <w:tblCellMar>
          <w:top w:w="0" w:type="dxa"/>
          <w:left w:w="0" w:type="dxa"/>
          <w:bottom w:w="0" w:type="dxa"/>
          <w:right w:w="0" w:type="dxa"/>
        </w:tblCellMar>
      </w:tblPr>
      <w:tr>
        <w:trPr>
          <w:trHeight w:val="226"/>
        </w:trPr>
        <w:tc>
          <w:tcPr>
            <w:tcW w:w="9140" w:type="dxa"/>
            <w:vAlign w:val="bottom"/>
            <w:gridSpan w:val="5"/>
          </w:tcPr>
          <w:p>
            <w:pPr>
              <w:jc w:val="right"/>
              <w:spacing w:after="0" w:line="227" w:lineRule="exact"/>
              <w:rPr>
                <w:sz w:val="20"/>
                <w:szCs w:val="20"/>
                <w:color w:val="auto"/>
              </w:rPr>
            </w:pPr>
            <w:r>
              <w:rPr>
                <w:rFonts w:ascii="Times New Roman" w:cs="Times New Roman" w:eastAsia="Times New Roman" w:hAnsi="Times New Roman"/>
                <w:sz w:val="20"/>
                <w:szCs w:val="20"/>
                <w:color w:val="auto"/>
                <w:w w:val="99"/>
              </w:rPr>
              <w:t>Report of Independent Registered Public Accounting Firm (PCAOB ID Number 248) .............................................</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89"/>
              </w:rPr>
              <w:t>45</w:t>
            </w:r>
          </w:p>
        </w:tc>
      </w:tr>
      <w:tr>
        <w:trPr>
          <w:trHeight w:val="20"/>
        </w:trPr>
        <w:tc>
          <w:tcPr>
            <w:tcW w:w="648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1"/>
        </w:trPr>
        <w:tc>
          <w:tcPr>
            <w:tcW w:w="9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9"/>
              </w:rPr>
              <w:t>Consolidated Statements of Operations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48</w:t>
            </w:r>
          </w:p>
        </w:tc>
      </w:tr>
      <w:tr>
        <w:trPr>
          <w:trHeight w:val="300"/>
        </w:trPr>
        <w:tc>
          <w:tcPr>
            <w:tcW w:w="9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9"/>
              </w:rPr>
              <w:t>Consolidated Balance Sheets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49</w:t>
            </w:r>
          </w:p>
        </w:tc>
      </w:tr>
      <w:tr>
        <w:trPr>
          <w:trHeight w:val="300"/>
        </w:trPr>
        <w:tc>
          <w:tcPr>
            <w:tcW w:w="9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9"/>
              </w:rPr>
              <w:t>Consolidated Statements of Cash Flows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50</w:t>
            </w:r>
          </w:p>
        </w:tc>
      </w:tr>
      <w:tr>
        <w:trPr>
          <w:trHeight w:val="300"/>
        </w:trPr>
        <w:tc>
          <w:tcPr>
            <w:tcW w:w="9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9"/>
              </w:rPr>
              <w:t>Consolidated Statement of Stockholders’ Equity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51</w:t>
            </w:r>
          </w:p>
        </w:tc>
      </w:tr>
      <w:tr>
        <w:trPr>
          <w:trHeight w:val="300"/>
        </w:trPr>
        <w:tc>
          <w:tcPr>
            <w:tcW w:w="9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9"/>
              </w:rPr>
              <w:t>Notes to Consolidated Financial Statements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53</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Organization and Basis of Presentation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53</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Summary of Significant Accounting Policies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55</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Revenue from Contracts with Customers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60</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4.</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Acquisitions and Divestitures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61</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Oil and Natural Gas Interests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65</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Debt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66</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7.</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Stockholders’ Equity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68</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Earnings Per Common Share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71</w:t>
            </w:r>
          </w:p>
        </w:tc>
      </w:tr>
      <w:tr>
        <w:trPr>
          <w:trHeight w:val="300"/>
        </w:trPr>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w:t>
            </w:r>
          </w:p>
        </w:tc>
        <w:tc>
          <w:tcPr>
            <w:tcW w:w="8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Income Taxes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72</w:t>
            </w:r>
          </w:p>
        </w:tc>
      </w:tr>
      <w:tr>
        <w:trPr>
          <w:trHeight w:val="300"/>
        </w:trPr>
        <w:tc>
          <w:tcPr>
            <w:tcW w:w="5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10.</w:t>
            </w:r>
          </w:p>
        </w:tc>
        <w:tc>
          <w:tcPr>
            <w:tcW w:w="8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Derivatives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74</w:t>
            </w:r>
          </w:p>
        </w:tc>
      </w:tr>
      <w:tr>
        <w:trPr>
          <w:trHeight w:val="300"/>
        </w:trPr>
        <w:tc>
          <w:tcPr>
            <w:tcW w:w="5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11.</w:t>
            </w:r>
          </w:p>
        </w:tc>
        <w:tc>
          <w:tcPr>
            <w:tcW w:w="8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Fair Value Measurements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75</w:t>
            </w:r>
          </w:p>
        </w:tc>
      </w:tr>
      <w:tr>
        <w:trPr>
          <w:trHeight w:val="300"/>
        </w:trPr>
        <w:tc>
          <w:tcPr>
            <w:tcW w:w="5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12.</w:t>
            </w:r>
          </w:p>
        </w:tc>
        <w:tc>
          <w:tcPr>
            <w:tcW w:w="8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Commitments and Contingencies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77</w:t>
            </w:r>
          </w:p>
        </w:tc>
      </w:tr>
      <w:tr>
        <w:trPr>
          <w:trHeight w:val="300"/>
        </w:trPr>
        <w:tc>
          <w:tcPr>
            <w:tcW w:w="5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13.</w:t>
            </w:r>
          </w:p>
        </w:tc>
        <w:tc>
          <w:tcPr>
            <w:tcW w:w="8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Subsequent Events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77</w:t>
            </w:r>
          </w:p>
        </w:tc>
      </w:tr>
      <w:tr>
        <w:trPr>
          <w:trHeight w:val="300"/>
        </w:trPr>
        <w:tc>
          <w:tcPr>
            <w:tcW w:w="5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14.</w:t>
            </w:r>
          </w:p>
        </w:tc>
        <w:tc>
          <w:tcPr>
            <w:tcW w:w="8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Segment Information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78</w:t>
            </w:r>
          </w:p>
        </w:tc>
      </w:tr>
      <w:tr>
        <w:trPr>
          <w:trHeight w:val="300"/>
        </w:trPr>
        <w:tc>
          <w:tcPr>
            <w:tcW w:w="5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15.</w:t>
            </w:r>
          </w:p>
        </w:tc>
        <w:tc>
          <w:tcPr>
            <w:tcW w:w="8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Supplemental Information on Oil and Natural Gas Operations (Unaudited)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78</w:t>
            </w:r>
          </w:p>
        </w:tc>
      </w:tr>
    </w:tbl>
    <w:p>
      <w:pPr>
        <w:spacing w:after="0" w:line="200" w:lineRule="exact"/>
        <w:rPr>
          <w:sz w:val="20"/>
          <w:szCs w:val="20"/>
          <w:color w:val="auto"/>
        </w:rPr>
      </w:pPr>
    </w:p>
    <w:p>
      <w:pPr>
        <w:sectPr>
          <w:pgSz w:w="12240" w:h="15840" w:orient="portrait"/>
          <w:cols w:equalWidth="0" w:num="1">
            <w:col w:w="10000"/>
          </w:cols>
          <w:pgMar w:left="980" w:top="214" w:right="1260" w:bottom="0" w:gutter="0" w:footer="0" w:header="0"/>
        </w:sectPr>
      </w:pP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auto"/>
        </w:rPr>
        <w:t>2. Financial Statement Schedules</w:t>
      </w:r>
    </w:p>
    <w:p>
      <w:pPr>
        <w:spacing w:after="0" w:line="71" w:lineRule="exact"/>
        <w:rPr>
          <w:sz w:val="20"/>
          <w:szCs w:val="20"/>
          <w:color w:val="auto"/>
        </w:rPr>
      </w:pPr>
    </w:p>
    <w:p>
      <w:pPr>
        <w:jc w:val="both"/>
        <w:ind w:left="420"/>
        <w:spacing w:after="0" w:line="231" w:lineRule="auto"/>
        <w:rPr>
          <w:sz w:val="20"/>
          <w:szCs w:val="20"/>
          <w:color w:val="auto"/>
        </w:rPr>
      </w:pPr>
      <w:r>
        <w:rPr>
          <w:rFonts w:ascii="Times New Roman" w:cs="Times New Roman" w:eastAsia="Times New Roman" w:hAnsi="Times New Roman"/>
          <w:sz w:val="20"/>
          <w:szCs w:val="20"/>
          <w:color w:val="auto"/>
        </w:rPr>
        <w:t>Financial statement schedules have been information required to be presented is related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right="640" w:firstLine="10"/>
        <w:spacing w:after="0" w:line="246" w:lineRule="auto"/>
        <w:rPr>
          <w:sz w:val="20"/>
          <w:szCs w:val="20"/>
          <w:color w:val="auto"/>
        </w:rPr>
      </w:pPr>
      <w:r>
        <w:rPr>
          <w:rFonts w:ascii="Times New Roman" w:cs="Times New Roman" w:eastAsia="Times New Roman" w:hAnsi="Times New Roman"/>
          <w:sz w:val="20"/>
          <w:szCs w:val="20"/>
          <w:color w:val="auto"/>
        </w:rPr>
        <w:t>omitted because they are either not required, not applicable or the included in the Company’s consolidated financial statements and</w:t>
      </w:r>
    </w:p>
    <w:p>
      <w:pPr>
        <w:spacing w:after="0" w:line="392" w:lineRule="exact"/>
        <w:rPr>
          <w:sz w:val="20"/>
          <w:szCs w:val="20"/>
          <w:color w:val="auto"/>
        </w:rPr>
      </w:pPr>
    </w:p>
    <w:p>
      <w:pPr>
        <w:sectPr>
          <w:pgSz w:w="12240" w:h="15840" w:orient="portrait"/>
          <w:cols w:equalWidth="0" w:num="2">
            <w:col w:w="3780" w:space="60"/>
            <w:col w:w="6160"/>
          </w:cols>
          <w:pgMar w:left="980" w:top="214"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00"/>
          </w:cols>
          <w:pgMar w:left="980" w:top="214" w:right="12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Viper Energy, Inc.</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Viper Energy, Inc. (a Delaware corporation) and subsidiaries (the “Company”) as of December 31, 2025 and 2024, the related consolidated statements of operations, cash flows, and stockholders’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5"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25, 2026 expressed an unqualified opinion.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6"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6"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jc w:val="both"/>
        <w:ind w:left="20"/>
        <w:spacing w:after="0" w:line="285" w:lineRule="auto"/>
        <w:rPr>
          <w:sz w:val="20"/>
          <w:szCs w:val="20"/>
          <w:color w:val="auto"/>
        </w:rPr>
      </w:pPr>
      <w:r>
        <w:rPr>
          <w:rFonts w:ascii="Times New Roman" w:cs="Times New Roman" w:eastAsia="Times New Roman" w:hAnsi="Times New Roman"/>
          <w:sz w:val="20"/>
          <w:szCs w:val="20"/>
          <w:i w:val="1"/>
          <w:iCs w:val="1"/>
          <w:color w:val="auto"/>
        </w:rPr>
        <w:t>Estimation of proved reserves as it relates to the calculation and recognition of depletion and impairment expense and the valuation of acquired reserves in connection with the mineral and royalty interests acquired in the Sitio Acquisition</w:t>
      </w:r>
    </w:p>
    <w:p>
      <w:pPr>
        <w:spacing w:after="0" w:line="171"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0"/>
          <w:szCs w:val="20"/>
          <w:color w:val="auto"/>
        </w:rPr>
        <w:t>As described further in Note 2 to the consolidated financial statements, the Company accounts for its oil and natural gas properties using the full cost method of accounting, which requires management to make estimates of proved reserve volumes and future revenues to calculate depletion and impairment expense. Additionally, as described further in Note 4 to the consolidated financial statements, the Company acquired significant mineral and royalty interests through the Sitio Acquisition which requires management to make estimates of reserve volumes and future revenues to value the properties. To estimate the volume of proved reserves and future revenues, management makes significant estimates and assumptions, including forecasting the timing and volumetric amounts of production and corresponding decline rate of producing properties associated with the operator’s development plan. In addition, the estimation of reserves is impacted by management’s judgments and estimates regarding the financial performance of wells to determine if wells are expected, with reasonable certainty, to be economical under the appropriate pricing assumptions. For acquired reserves, management utilizes an estimated fair value pricing model in determining the corresponding value of reserves. We identified the estimation of reserves attributable to oil and natural gas interests, including acquired reserves in the Sitio Acquisition, due to its impact on depletion and impairment expense and acquisition accounting,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80"/>
          </w:cols>
          <w:pgMar w:left="980" w:top="214" w:right="980" w:bottom="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20"/>
          <w:szCs w:val="20"/>
          <w:color w:val="auto"/>
        </w:rPr>
        <w:t>The principal considerations for our determination that the estimation of proved reserves is a critical audit matter are that changes in certain inputs and assumptions, which include a high degree of subjectivity, necessary to estimate the volume and future revenues of the Company’s proved reserves, could have a significant impact on the measurement of depletion and impairment expense and the fair value of acquired proved oil and natural gas interests. In turn, auditing those inputs and assumptions required subjective and complex auditor judgment.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Our audit procedures related to the estimation of reserves included the following, among others.</w:t>
      </w:r>
    </w:p>
    <w:p>
      <w:pPr>
        <w:spacing w:after="0" w:line="250" w:lineRule="exact"/>
        <w:rPr>
          <w:sz w:val="20"/>
          <w:szCs w:val="20"/>
          <w:color w:val="auto"/>
        </w:rPr>
      </w:pPr>
    </w:p>
    <w:p>
      <w:pPr>
        <w:jc w:val="both"/>
        <w:ind w:left="740" w:hanging="369"/>
        <w:spacing w:after="0" w:line="268"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design and operating effectiveness of key controls relating to management’s estimation of proved reserves for the purpose of calculating depletion and impairment expense and management’s estimation of the fair value of the acquired oil and natural gas interests in the Sitio Acquisition.</w:t>
      </w:r>
    </w:p>
    <w:p>
      <w:pPr>
        <w:spacing w:after="0" w:line="189" w:lineRule="exact"/>
        <w:rPr>
          <w:rFonts w:ascii="Times New Roman" w:cs="Times New Roman" w:eastAsia="Times New Roman" w:hAnsi="Times New Roman"/>
          <w:sz w:val="20"/>
          <w:szCs w:val="20"/>
          <w:color w:val="auto"/>
        </w:rPr>
      </w:pPr>
    </w:p>
    <w:p>
      <w:pPr>
        <w:jc w:val="both"/>
        <w:ind w:left="740" w:hanging="369"/>
        <w:spacing w:after="0" w:line="261"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level of knowledge, skill, and ability of the Company’s reservoir engineering specialists and independent petroleum engineering specialists, made inquiries of those reservoir engineers regarding the process followed and judgments made to estimate the Company’s reserve volumes, and read the year-end reserve report audited by the independent petroleum engineering specialists.</w:t>
      </w:r>
    </w:p>
    <w:p>
      <w:pPr>
        <w:spacing w:after="0" w:line="197" w:lineRule="exact"/>
        <w:rPr>
          <w:rFonts w:ascii="Times New Roman" w:cs="Times New Roman" w:eastAsia="Times New Roman" w:hAnsi="Times New Roman"/>
          <w:sz w:val="20"/>
          <w:szCs w:val="20"/>
          <w:color w:val="auto"/>
        </w:rPr>
      </w:pPr>
    </w:p>
    <w:p>
      <w:pPr>
        <w:ind w:left="740" w:right="20" w:hanging="369"/>
        <w:spacing w:after="0" w:line="286"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inputs and assumptions that were significant to the period end determination of proved reserve volumes and tested management’s process of determining the significant inputs and assumptions, as follows:</w:t>
      </w:r>
    </w:p>
    <w:p>
      <w:pPr>
        <w:spacing w:after="0" w:line="169" w:lineRule="exact"/>
        <w:rPr>
          <w:rFonts w:ascii="Times New Roman" w:cs="Times New Roman" w:eastAsia="Times New Roman" w:hAnsi="Times New Roman"/>
          <w:sz w:val="20"/>
          <w:szCs w:val="20"/>
          <w:color w:val="auto"/>
        </w:rPr>
      </w:pPr>
    </w:p>
    <w:p>
      <w:pPr>
        <w:ind w:left="1460" w:hanging="368"/>
        <w:spacing w:after="0" w:line="289"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pricing used in the reserve report to relevant pricing benchmarks and realized prices related to revenue transactions recorded in the current year;</w:t>
      </w:r>
    </w:p>
    <w:p>
      <w:pPr>
        <w:spacing w:after="0" w:line="166" w:lineRule="exact"/>
        <w:rPr>
          <w:rFonts w:ascii="Times New Roman" w:cs="Times New Roman" w:eastAsia="Times New Roman" w:hAnsi="Times New Roman"/>
          <w:sz w:val="20"/>
          <w:szCs w:val="20"/>
          <w:color w:val="auto"/>
        </w:rPr>
      </w:pPr>
    </w:p>
    <w:p>
      <w:pPr>
        <w:ind w:left="1460" w:hanging="369"/>
        <w:spacing w:after="0" w:line="286"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Vouched, on a sample basis, the net revenue interests used in the reserve report to underlying land and division order records;</w:t>
      </w:r>
    </w:p>
    <w:p>
      <w:pPr>
        <w:spacing w:after="0" w:line="169" w:lineRule="exact"/>
        <w:rPr>
          <w:rFonts w:ascii="Times New Roman" w:cs="Times New Roman" w:eastAsia="Times New Roman" w:hAnsi="Times New Roman"/>
          <w:sz w:val="20"/>
          <w:szCs w:val="20"/>
          <w:color w:val="auto"/>
        </w:rPr>
      </w:pPr>
    </w:p>
    <w:p>
      <w:pPr>
        <w:jc w:val="both"/>
        <w:ind w:left="1460" w:hanging="369"/>
        <w:spacing w:after="0" w:line="268"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spacing w:after="0" w:line="187" w:lineRule="exact"/>
        <w:rPr>
          <w:rFonts w:ascii="Times New Roman" w:cs="Times New Roman" w:eastAsia="Times New Roman" w:hAnsi="Times New Roman"/>
          <w:sz w:val="20"/>
          <w:szCs w:val="20"/>
          <w:color w:val="auto"/>
        </w:rPr>
      </w:pPr>
    </w:p>
    <w:p>
      <w:pPr>
        <w:jc w:val="both"/>
        <w:ind w:left="1460" w:hanging="369"/>
        <w:spacing w:after="0" w:line="269"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obtained the Company's assessment of operators’ development plans for proved undeveloped properties reflected in the reserve report and evaluated it against the Company’s historical conversion rates to evaluate the likelihood of development related to the proved undeveloped properties; and</w:t>
      </w:r>
    </w:p>
    <w:p>
      <w:pPr>
        <w:spacing w:after="0" w:line="186" w:lineRule="exact"/>
        <w:rPr>
          <w:rFonts w:ascii="Times New Roman" w:cs="Times New Roman" w:eastAsia="Times New Roman" w:hAnsi="Times New Roman"/>
          <w:sz w:val="20"/>
          <w:szCs w:val="20"/>
          <w:color w:val="auto"/>
        </w:rPr>
      </w:pPr>
    </w:p>
    <w:p>
      <w:pPr>
        <w:ind w:left="1460" w:hanging="369"/>
        <w:spacing w:after="0" w:line="286"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Applied analytical procedures on inputs to the reserve report by comparing to historical actual results and to the prior year reserve report.</w:t>
      </w:r>
    </w:p>
    <w:p>
      <w:pPr>
        <w:spacing w:after="0" w:line="171" w:lineRule="exact"/>
        <w:rPr>
          <w:rFonts w:ascii="Times New Roman" w:cs="Times New Roman" w:eastAsia="Times New Roman" w:hAnsi="Times New Roman"/>
          <w:sz w:val="20"/>
          <w:szCs w:val="20"/>
          <w:color w:val="auto"/>
        </w:rPr>
      </w:pPr>
    </w:p>
    <w:p>
      <w:pPr>
        <w:jc w:val="both"/>
        <w:ind w:left="740" w:hanging="369"/>
        <w:spacing w:after="0" w:line="267"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inputs and assumptions that were significant to the estimated fair value of the acquired oil and natural gas interests in the Sitio Acquisition and tested management’s process of determining the significant inputs and assumptions, as follows:</w:t>
      </w:r>
    </w:p>
    <w:p>
      <w:pPr>
        <w:spacing w:after="0" w:line="190" w:lineRule="exact"/>
        <w:rPr>
          <w:rFonts w:ascii="Times New Roman" w:cs="Times New Roman" w:eastAsia="Times New Roman" w:hAnsi="Times New Roman"/>
          <w:sz w:val="20"/>
          <w:szCs w:val="20"/>
          <w:color w:val="auto"/>
        </w:rPr>
      </w:pPr>
    </w:p>
    <w:p>
      <w:pPr>
        <w:jc w:val="both"/>
        <w:ind w:left="1460" w:hanging="369"/>
        <w:spacing w:after="0" w:line="267"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fair value pricing, including pricing differentials, used in the fair value reserve report by comparing the pricing forecast to observable pricing information as of the acquisition closing date and pricing differentials to actual historical realized pricing of the acquired properties;</w:t>
      </w:r>
    </w:p>
    <w:p>
      <w:pPr>
        <w:spacing w:after="0" w:line="190" w:lineRule="exact"/>
        <w:rPr>
          <w:rFonts w:ascii="Times New Roman" w:cs="Times New Roman" w:eastAsia="Times New Roman" w:hAnsi="Times New Roman"/>
          <w:sz w:val="20"/>
          <w:szCs w:val="20"/>
          <w:color w:val="auto"/>
        </w:rPr>
      </w:pPr>
    </w:p>
    <w:p>
      <w:pPr>
        <w:ind w:left="1460" w:hanging="369"/>
        <w:spacing w:after="0" w:line="289"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level of knowledge, skill and ability of the specialist utilized by the Company to assist in the preparation of the estimates of fair value of oil and natural gas properties acquired;</w:t>
      </w:r>
    </w:p>
    <w:p>
      <w:pPr>
        <w:spacing w:after="0" w:line="163" w:lineRule="exact"/>
        <w:rPr>
          <w:rFonts w:ascii="Times New Roman" w:cs="Times New Roman" w:eastAsia="Times New Roman" w:hAnsi="Times New Roman"/>
          <w:sz w:val="20"/>
          <w:szCs w:val="20"/>
          <w:color w:val="auto"/>
        </w:rPr>
      </w:pPr>
    </w:p>
    <w:p>
      <w:pPr>
        <w:jc w:val="both"/>
        <w:ind w:left="1460" w:hanging="369"/>
        <w:spacing w:after="0" w:line="268"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Utilized a valuation specialist to evaluate the reasonableness of the Company’s valuation methodology of the Sitio Acquisition, including testing key inputs and assumptions by understanding and assessing the process used to develop the estimate or through development of an independent expectation;</w:t>
      </w:r>
    </w:p>
    <w:p>
      <w:pPr>
        <w:spacing w:after="0" w:line="189" w:lineRule="exact"/>
        <w:rPr>
          <w:rFonts w:ascii="Times New Roman" w:cs="Times New Roman" w:eastAsia="Times New Roman" w:hAnsi="Times New Roman"/>
          <w:sz w:val="20"/>
          <w:szCs w:val="20"/>
          <w:color w:val="auto"/>
        </w:rPr>
      </w:pPr>
    </w:p>
    <w:p>
      <w:pPr>
        <w:ind w:left="1460" w:hanging="369"/>
        <w:spacing w:after="0" w:line="286"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the discount rate used in the fair value reserve report of proved reserves by comparing to the Company’s actual weighted average cost of capital;</w:t>
      </w:r>
    </w:p>
    <w:p>
      <w:pPr>
        <w:spacing w:after="0" w:line="169" w:lineRule="exact"/>
        <w:rPr>
          <w:rFonts w:ascii="Times New Roman" w:cs="Times New Roman" w:eastAsia="Times New Roman" w:hAnsi="Times New Roman"/>
          <w:sz w:val="20"/>
          <w:szCs w:val="20"/>
          <w:color w:val="auto"/>
        </w:rPr>
      </w:pPr>
    </w:p>
    <w:p>
      <w:pPr>
        <w:ind w:left="1460" w:hanging="369"/>
        <w:spacing w:after="0" w:line="289" w:lineRule="auto"/>
        <w:tabs>
          <w:tab w:leader="none" w:pos="14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on a sample basis, the net revenue interest used in the fair value reserve report to the historical reserve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80"/>
          </w:cols>
          <w:pgMar w:left="980" w:top="214" w:right="980" w:bottom="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74" w:lineRule="exact"/>
        <w:rPr>
          <w:sz w:val="20"/>
          <w:szCs w:val="20"/>
          <w:color w:val="auto"/>
        </w:rPr>
      </w:pPr>
    </w:p>
    <w:p>
      <w:pPr>
        <w:jc w:val="both"/>
        <w:ind w:left="1460" w:hanging="369"/>
        <w:spacing w:after="0" w:line="267" w:lineRule="auto"/>
        <w:tabs>
          <w:tab w:leader="none" w:pos="1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Assessed forecasted production estimates in the fair value reserve report for reasonableness by comparing forecasted production amounts to the actual historical production amounts and to the forecasted production in the year-end reserve report for a sample of individual wells;</w:t>
      </w:r>
    </w:p>
    <w:p>
      <w:pPr>
        <w:spacing w:after="0" w:line="190" w:lineRule="exact"/>
        <w:rPr>
          <w:rFonts w:ascii="Times New Roman" w:cs="Times New Roman" w:eastAsia="Times New Roman" w:hAnsi="Times New Roman"/>
          <w:sz w:val="20"/>
          <w:szCs w:val="20"/>
          <w:color w:val="auto"/>
        </w:rPr>
      </w:pPr>
    </w:p>
    <w:p>
      <w:pPr>
        <w:jc w:val="both"/>
        <w:ind w:left="1460" w:hanging="369"/>
        <w:spacing w:after="0" w:line="268" w:lineRule="auto"/>
        <w:tabs>
          <w:tab w:leader="none" w:pos="1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Applied analytical procedures on the fair value reserve report’s forecasted production by comparing to the prior year reserve report’s forecasted production and to the year-end reserve report’s forecasted production of the acquired proved properties; and</w:t>
      </w:r>
    </w:p>
    <w:p>
      <w:pPr>
        <w:spacing w:after="0" w:line="187" w:lineRule="exact"/>
        <w:rPr>
          <w:rFonts w:ascii="Times New Roman" w:cs="Times New Roman" w:eastAsia="Times New Roman" w:hAnsi="Times New Roman"/>
          <w:sz w:val="20"/>
          <w:szCs w:val="20"/>
          <w:color w:val="auto"/>
        </w:rPr>
      </w:pPr>
    </w:p>
    <w:p>
      <w:pPr>
        <w:ind w:left="20" w:right="240" w:firstLine="1071"/>
        <w:spacing w:after="0" w:line="500" w:lineRule="auto"/>
        <w:tabs>
          <w:tab w:leader="none" w:pos="145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unproved acreage value allocated to other recent acquisitions in the same or similar locations. /s/ GRANT THORNTON LLP</w:t>
      </w:r>
    </w:p>
    <w:p>
      <w:pPr>
        <w:spacing w:after="0" w:line="1"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80"/>
          </w:cols>
          <w:pgMar w:left="980" w:top="214" w:right="980"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6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center"/>
              <w:ind w:left="66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4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440" w:type="dxa"/>
            <w:vAlign w:val="bottom"/>
          </w:tcPr>
          <w:p>
            <w:pPr>
              <w:spacing w:after="0"/>
              <w:rPr>
                <w:sz w:val="23"/>
                <w:szCs w:val="23"/>
                <w:color w:val="auto"/>
              </w:rPr>
            </w:pPr>
          </w:p>
        </w:tc>
        <w:tc>
          <w:tcPr>
            <w:tcW w:w="47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amounts, shares in thousands)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Oil income </w:t>
            </w:r>
            <w:r>
              <w:rPr>
                <w:rFonts w:ascii="Times New Roman" w:cs="Times New Roman" w:eastAsia="Times New Roman" w:hAnsi="Times New Roman"/>
                <w:sz w:val="20"/>
                <w:szCs w:val="20"/>
                <w:color w:val="B3B3B3"/>
              </w:rPr>
              <w:t>....................................................................................</w:t>
            </w:r>
          </w:p>
        </w:tc>
        <w:tc>
          <w:tcPr>
            <w:tcW w:w="3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Natural gas income</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Natural gas liquids income </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Royalty income</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Lease bonus income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Lease bonus income—related party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operating income </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operating income</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1,395</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Production and ad valorem taxes</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Depletion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Impairment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expenses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expenses—related party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operating expenses </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costs and expenses</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Income (loss) from operations</w:t>
            </w:r>
            <w:r>
              <w:rPr>
                <w:rFonts w:ascii="Times New Roman" w:cs="Times New Roman" w:eastAsia="Times New Roman" w:hAnsi="Times New Roman"/>
                <w:sz w:val="18"/>
                <w:szCs w:val="18"/>
                <w:b w:val="1"/>
                <w:bCs w:val="1"/>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Interest expense, net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(loss) on derivative instruments, net</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(loss) on early extinguishment of debt</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(expense), net</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other income (expense), net </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Income (loss) before income taxes</w:t>
            </w:r>
            <w:r>
              <w:rPr>
                <w:rFonts w:ascii="Times New Roman" w:cs="Times New Roman" w:eastAsia="Times New Roman" w:hAnsi="Times New Roman"/>
                <w:sz w:val="18"/>
                <w:szCs w:val="18"/>
                <w:b w:val="1"/>
                <w:bCs w:val="1"/>
                <w:color w:val="B3B3B3"/>
                <w:w w:val="99"/>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(benefit from) income taxes</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Net income (loss)</w:t>
            </w:r>
            <w:r>
              <w:rPr>
                <w:rFonts w:ascii="Times New Roman" w:cs="Times New Roman" w:eastAsia="Times New Roman" w:hAnsi="Times New Roman"/>
                <w:sz w:val="18"/>
                <w:szCs w:val="18"/>
                <w:b w:val="1"/>
                <w:bCs w:val="1"/>
                <w:color w:val="B3B3B3"/>
                <w:w w:val="99"/>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(loss) attributable to non-controlling interest</w:t>
            </w:r>
            <w:r>
              <w:rPr>
                <w:rFonts w:ascii="Times New Roman" w:cs="Times New Roman" w:eastAsia="Times New Roman" w:hAnsi="Times New Roman"/>
                <w:sz w:val="20"/>
                <w:szCs w:val="20"/>
                <w:color w:val="B3B3B3"/>
              </w:rPr>
              <w:t>............</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Net income (loss) attributable to Viper Energy, Inc. </w:t>
            </w:r>
            <w:r>
              <w:rPr>
                <w:rFonts w:ascii="Times New Roman" w:cs="Times New Roman" w:eastAsia="Times New Roman" w:hAnsi="Times New Roman"/>
                <w:sz w:val="18"/>
                <w:szCs w:val="18"/>
                <w:b w:val="1"/>
                <w:bCs w:val="1"/>
                <w:color w:val="B3B3B3"/>
                <w:w w:val="99"/>
              </w:rPr>
              <w:t>...............................</w:t>
            </w:r>
          </w:p>
        </w:tc>
        <w:tc>
          <w:tcPr>
            <w:tcW w:w="3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4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359</w:t>
            </w:r>
          </w:p>
        </w:tc>
        <w:tc>
          <w:tcPr>
            <w:tcW w:w="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3B3B3"/>
              </w:rPr>
              <w:t>.............................................................................................</w:t>
            </w:r>
          </w:p>
        </w:tc>
        <w:tc>
          <w:tcPr>
            <w:tcW w:w="3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3B3B3"/>
              </w:rPr>
              <w:t>..........................................................................................</w:t>
            </w:r>
          </w:p>
        </w:tc>
        <w:tc>
          <w:tcPr>
            <w:tcW w:w="3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93,932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93,932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300"/>
          </w:cols>
          <w:pgMar w:left="980" w:top="214" w:right="960"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6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millions, except par values and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461"/>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7340" w:type="dxa"/>
            <w:vAlign w:val="bottom"/>
            <w:gridSpan w:val="2"/>
          </w:tcPr>
          <w:p>
            <w:pPr>
              <w:ind w:left="3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B3B3B3"/>
              </w:rPr>
              <w:t>..................................................................................................</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Royalty income receivable (net of allowance for credit losses)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Royalty income receivable—related party</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Prepaid expenses and other current assets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Total current assets</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Oil and natural gas properties: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Proved properties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Unproved properties</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Other property, equipment and land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Accumulated depletion and impairment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(2,455)</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Property, net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income taxes (net of allowances)</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assets</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Totalassets</w:t>
            </w:r>
          </w:p>
        </w:tc>
        <w:tc>
          <w:tcPr>
            <w:tcW w:w="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12,671</w:t>
            </w:r>
          </w:p>
        </w:tc>
        <w:tc>
          <w:tcPr>
            <w:tcW w:w="5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4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Accrued liabilities </w:t>
            </w:r>
            <w:r>
              <w:rPr>
                <w:rFonts w:ascii="Times New Roman" w:cs="Times New Roman" w:eastAsia="Times New Roman" w:hAnsi="Times New Roman"/>
                <w:sz w:val="20"/>
                <w:szCs w:val="20"/>
                <w:color w:val="B3B3B3"/>
              </w:rPr>
              <w:t>...............................................................................................................</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Other current liabilities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Total current liabilities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Long-term debt, net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long-term liabilities</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Total liabilities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2,308</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Class A Common Stock, $0.000001 par value: 1,000,000,000 shares authorized;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170,942,687 and 102,977,142 shares issued and outstanding as of December 31, 2025,</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and December 31, 2024, respectively</w:t>
            </w:r>
            <w:r>
              <w:rPr>
                <w:rFonts w:ascii="Times New Roman" w:cs="Times New Roman" w:eastAsia="Times New Roman" w:hAnsi="Times New Roman"/>
                <w:sz w:val="20"/>
                <w:szCs w:val="20"/>
                <w:color w:val="B3B3B3"/>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Class B Common Stock, $0.000001 par value: 1,000,000,000 shares authorized;</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187,023,698 and 85,431,453 shares issued and outstanding as of December 31, 2025,</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and December 31, 2024, respectively</w:t>
            </w:r>
            <w:r>
              <w:rPr>
                <w:rFonts w:ascii="Times New Roman" w:cs="Times New Roman" w:eastAsia="Times New Roman" w:hAnsi="Times New Roman"/>
                <w:sz w:val="20"/>
                <w:szCs w:val="20"/>
                <w:color w:val="B3B3B3"/>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Additional paid-in capital </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Retained earnings (accumulated deficit)</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Total Viper Energy, Inc. stockholders’ equity</w:t>
            </w:r>
            <w:r>
              <w:rPr>
                <w:rFonts w:ascii="Times New Roman" w:cs="Times New Roman" w:eastAsia="Times New Roman" w:hAnsi="Times New Roman"/>
                <w:sz w:val="20"/>
                <w:szCs w:val="20"/>
                <w:color w:val="B3B3B3"/>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Non-controlling interest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5,915</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Total equity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10,363</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Totalliabilitiesandstockholders’equity</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12,671</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300"/>
          </w:cols>
          <w:pgMar w:left="980" w:top="214" w:right="960"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6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00" w:lineRule="exact"/>
        <w:rPr>
          <w:sz w:val="20"/>
          <w:szCs w:val="20"/>
          <w:color w:val="auto"/>
        </w:rPr>
      </w:pP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ind w:left="415"/>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5560" w:type="dxa"/>
            <w:vAlign w:val="bottom"/>
            <w:gridSpan w:val="3"/>
          </w:tcPr>
          <w:p>
            <w:pPr>
              <w:jc w:val="right"/>
              <w:ind w:right="155"/>
              <w:spacing w:after="0"/>
              <w:rPr>
                <w:sz w:val="20"/>
                <w:szCs w:val="20"/>
                <w:color w:val="auto"/>
              </w:rPr>
            </w:pPr>
            <w:r>
              <w:rPr>
                <w:rFonts w:ascii="Times New Roman" w:cs="Times New Roman" w:eastAsia="Times New Roman" w:hAnsi="Times New Roman"/>
                <w:sz w:val="17"/>
                <w:szCs w:val="17"/>
                <w:color w:val="auto"/>
                <w:w w:val="96"/>
              </w:rPr>
              <w:t>(loss)</w:t>
            </w:r>
            <w:r>
              <w:rPr>
                <w:rFonts w:ascii="Times New Roman" w:cs="Times New Roman" w:eastAsia="Times New Roman" w:hAnsi="Times New Roman"/>
                <w:sz w:val="17"/>
                <w:szCs w:val="17"/>
                <w:color w:val="B3B3B3"/>
                <w:w w:val="96"/>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8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ind w:left="480"/>
              <w:spacing w:after="0"/>
              <w:rPr>
                <w:sz w:val="20"/>
                <w:szCs w:val="20"/>
                <w:color w:val="auto"/>
              </w:rPr>
            </w:pPr>
            <w:r>
              <w:rPr>
                <w:rFonts w:ascii="Times New Roman" w:cs="Times New Roman" w:eastAsia="Times New Roman" w:hAnsi="Times New Roman"/>
                <w:sz w:val="17"/>
                <w:szCs w:val="17"/>
                <w:color w:val="auto"/>
              </w:rPr>
              <w:t>Provision for (benefit from) deferred income taxes</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Depletion</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Impairment</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(Gain) loss on derivative instruments, net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Net cash receipts (payments) on derivatives</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(Gain) loss on extinguishment of debt</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4"/>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B3B3B3"/>
                <w:w w:val="72"/>
              </w:rPr>
              <w:t>.....................................................................................................................................</w:t>
            </w:r>
          </w:p>
        </w:tc>
        <w:tc>
          <w:tcPr>
            <w:tcW w:w="5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92"/>
              </w:rPr>
              <w:t>Royalty</w:t>
            </w:r>
          </w:p>
        </w:tc>
        <w:tc>
          <w:tcPr>
            <w:tcW w:w="5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income  receivable</w:t>
            </w:r>
            <w:r>
              <w:rPr>
                <w:rFonts w:ascii="Times New Roman" w:cs="Times New Roman" w:eastAsia="Times New Roman" w:hAnsi="Times New Roman"/>
                <w:sz w:val="17"/>
                <w:szCs w:val="17"/>
                <w:color w:val="B3B3B3"/>
                <w:w w:val="99"/>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Royalty income receivable—related party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Accounts payable and accrued liabilities</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Accounts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payable—related  party</w:t>
            </w:r>
            <w:r>
              <w:rPr>
                <w:rFonts w:ascii="Times New Roman" w:cs="Times New Roman" w:eastAsia="Times New Roman" w:hAnsi="Times New Roman"/>
                <w:sz w:val="17"/>
                <w:szCs w:val="17"/>
                <w:color w:val="B3B3B3"/>
                <w:w w:val="97"/>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B3B3B3"/>
                <w:w w:val="72"/>
              </w:rPr>
              <w:t>.....................................................................................................................................</w:t>
            </w:r>
          </w:p>
        </w:tc>
        <w:tc>
          <w:tcPr>
            <w:tcW w:w="50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Netcashprovidedby(usedin)operatingactivities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1,053</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620</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Acquisitions of oil and natural gas interests</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Acquisitions of oil and natural gas interests—related party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sale of oil and natural gas interests </w:t>
            </w:r>
            <w:r>
              <w:rPr>
                <w:rFonts w:ascii="Times New Roman" w:cs="Times New Roman" w:eastAsia="Times New Roman" w:hAnsi="Times New Roman"/>
                <w:sz w:val="17"/>
                <w:szCs w:val="17"/>
                <w:color w:val="B3B3B3"/>
              </w:rPr>
              <w:t>....................................................................</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Netcashprovidedby(usedin)investingactivities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Proceeds</w:t>
            </w: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w w:val="96"/>
              </w:rPr>
              <w:t>from</w:t>
            </w:r>
          </w:p>
        </w:tc>
        <w:tc>
          <w:tcPr>
            <w:tcW w:w="50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debt</w:t>
            </w:r>
            <w:r>
              <w:rPr>
                <w:rFonts w:ascii="Times New Roman" w:cs="Times New Roman" w:eastAsia="Times New Roman" w:hAnsi="Times New Roman"/>
                <w:sz w:val="17"/>
                <w:szCs w:val="17"/>
                <w:color w:val="B3B3B3"/>
                <w:w w:val="94"/>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3,250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Repayments</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4"/>
              </w:rPr>
              <w:t>of</w:t>
            </w:r>
          </w:p>
        </w:tc>
        <w:tc>
          <w:tcPr>
            <w:tcW w:w="50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5"/>
              </w:rPr>
              <w:t>debt</w:t>
            </w:r>
            <w:r>
              <w:rPr>
                <w:rFonts w:ascii="Times New Roman" w:cs="Times New Roman" w:eastAsia="Times New Roman" w:hAnsi="Times New Roman"/>
                <w:sz w:val="17"/>
                <w:szCs w:val="17"/>
                <w:color w:val="B3B3B3"/>
                <w:w w:val="95"/>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Net proceeds from public offering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public offering to Diamondback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Repurchases of shares of Class A Common Stock as part of the repurchase program</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Repurchases of OpCo Units as part of the repurchase program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4"/>
        </w:trPr>
        <w:tc>
          <w:tcPr>
            <w:tcW w:w="12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Dividends</w:t>
            </w:r>
          </w:p>
        </w:tc>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 xml:space="preserve">stockholders </w:t>
            </w:r>
            <w:r>
              <w:rPr>
                <w:rFonts w:ascii="Times New Roman" w:cs="Times New Roman" w:eastAsia="Times New Roman" w:hAnsi="Times New Roman"/>
                <w:sz w:val="17"/>
                <w:szCs w:val="17"/>
                <w:color w:val="B3B3B3"/>
                <w:w w:val="97"/>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Dividends</w:t>
            </w:r>
          </w:p>
        </w:tc>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 xml:space="preserve">Diamondback  </w:t>
            </w:r>
            <w:r>
              <w:rPr>
                <w:rFonts w:ascii="Times New Roman" w:cs="Times New Roman" w:eastAsia="Times New Roman" w:hAnsi="Times New Roman"/>
                <w:sz w:val="17"/>
                <w:szCs w:val="17"/>
                <w:color w:val="B3B3B3"/>
                <w:w w:val="97"/>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Dividends to other non-controlling interest</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9"/>
        </w:trPr>
        <w:tc>
          <w:tcPr>
            <w:tcW w:w="1460" w:type="dxa"/>
            <w:vAlign w:val="bottom"/>
            <w:gridSpan w:val="2"/>
          </w:tcPr>
          <w:p>
            <w:pPr>
              <w:ind w:left="740"/>
              <w:spacing w:after="0"/>
              <w:rPr>
                <w:sz w:val="20"/>
                <w:szCs w:val="20"/>
                <w:color w:val="auto"/>
              </w:rPr>
            </w:pPr>
            <w:r>
              <w:rPr>
                <w:rFonts w:ascii="Times New Roman" w:cs="Times New Roman" w:eastAsia="Times New Roman" w:hAnsi="Times New Roman"/>
                <w:sz w:val="2"/>
                <w:szCs w:val="2"/>
                <w:color w:val="auto"/>
                <w:w w:val="94"/>
              </w:rPr>
              <w:t>Other</w:t>
            </w:r>
            <w:r>
              <w:rPr>
                <w:rFonts w:ascii="Times New Roman" w:cs="Times New Roman" w:eastAsia="Times New Roman" w:hAnsi="Times New Roman"/>
                <w:sz w:val="2"/>
                <w:szCs w:val="2"/>
                <w:color w:val="B3B3B3"/>
                <w:w w:val="94"/>
              </w:rPr>
              <w:t>...........................................................................................................................................</w:t>
            </w:r>
          </w:p>
        </w:tc>
        <w:tc>
          <w:tcPr>
            <w:tcW w:w="26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Netcashprovidedby(usedin)financingactivities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1,357</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Netincrease(decrease)incashandcashequivalents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Cash and cash equivalents at beginning of period</w:t>
            </w:r>
            <w:r>
              <w:rPr>
                <w:rFonts w:ascii="Times New Roman" w:cs="Times New Roman" w:eastAsia="Times New Roman" w:hAnsi="Times New Roman"/>
                <w:sz w:val="17"/>
                <w:szCs w:val="17"/>
                <w:color w:val="B3B3B3"/>
              </w:rPr>
              <w:t>...........................................................................</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Cashandcashequivalentsatendofperiod</w:t>
            </w: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w:t>
            </w: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7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gridSpan w:val="3"/>
          </w:tcPr>
          <w:p>
            <w:pPr>
              <w:ind w:left="240"/>
              <w:spacing w:after="0"/>
              <w:rPr>
                <w:sz w:val="20"/>
                <w:szCs w:val="20"/>
                <w:color w:val="auto"/>
              </w:rPr>
            </w:pPr>
            <w:r>
              <w:rPr>
                <w:rFonts w:ascii="Times New Roman" w:cs="Times New Roman" w:eastAsia="Times New Roman" w:hAnsi="Times New Roman"/>
                <w:sz w:val="5"/>
                <w:szCs w:val="5"/>
                <w:color w:val="auto"/>
                <w:w w:val="77"/>
              </w:rPr>
              <w:t xml:space="preserve">Interest  paid  </w:t>
            </w:r>
            <w:r>
              <w:rPr>
                <w:rFonts w:ascii="Times New Roman" w:cs="Times New Roman" w:eastAsia="Times New Roman" w:hAnsi="Times New Roman"/>
                <w:sz w:val="5"/>
                <w:szCs w:val="5"/>
                <w:color w:val="B3B3B3"/>
                <w:w w:val="77"/>
              </w:rPr>
              <w:t>................................................................................................................................</w:t>
            </w:r>
          </w:p>
        </w:tc>
        <w:tc>
          <w:tcPr>
            <w:tcW w:w="506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gridSpan w:val="2"/>
          </w:tcPr>
          <w:p>
            <w:pPr>
              <w:ind w:left="480"/>
              <w:spacing w:after="0"/>
              <w:rPr>
                <w:sz w:val="20"/>
                <w:szCs w:val="20"/>
                <w:color w:val="auto"/>
              </w:rPr>
            </w:pPr>
            <w:r>
              <w:rPr>
                <w:rFonts w:ascii="Times New Roman" w:cs="Times New Roman" w:eastAsia="Times New Roman" w:hAnsi="Times New Roman"/>
                <w:sz w:val="3"/>
                <w:szCs w:val="3"/>
                <w:color w:val="auto"/>
                <w:w w:val="89"/>
              </w:rPr>
              <w:t>Federal</w:t>
            </w:r>
            <w:r>
              <w:rPr>
                <w:rFonts w:ascii="Times New Roman" w:cs="Times New Roman" w:eastAsia="Times New Roman" w:hAnsi="Times New Roman"/>
                <w:sz w:val="3"/>
                <w:szCs w:val="3"/>
                <w:color w:val="B3B3B3"/>
                <w:w w:val="89"/>
              </w:rPr>
              <w:t>...................................................................................................................................</w:t>
            </w:r>
          </w:p>
        </w:tc>
        <w:tc>
          <w:tcPr>
            <w:tcW w:w="26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720" w:type="dxa"/>
            <w:vAlign w:val="bottom"/>
            <w:gridSpan w:val="3"/>
          </w:tcPr>
          <w:p>
            <w:pPr>
              <w:jc w:val="right"/>
              <w:spacing w:after="0"/>
              <w:rPr>
                <w:sz w:val="20"/>
                <w:szCs w:val="20"/>
                <w:color w:val="auto"/>
              </w:rPr>
            </w:pPr>
            <w:r>
              <w:rPr>
                <w:rFonts w:ascii="Times New Roman" w:cs="Times New Roman" w:eastAsia="Times New Roman" w:hAnsi="Times New Roman"/>
                <w:sz w:val="6"/>
                <w:szCs w:val="6"/>
                <w:color w:val="auto"/>
                <w:w w:val="79"/>
              </w:rPr>
              <w:t>State</w:t>
            </w:r>
            <w:r>
              <w:rPr>
                <w:rFonts w:ascii="Times New Roman" w:cs="Times New Roman" w:eastAsia="Times New Roman" w:hAnsi="Times New Roman"/>
                <w:sz w:val="6"/>
                <w:szCs w:val="6"/>
                <w:color w:val="B3B3B3"/>
                <w:w w:val="79"/>
              </w:rPr>
              <w:t>.......................................................................................................................................</w:t>
            </w:r>
          </w:p>
        </w:tc>
        <w:tc>
          <w:tcPr>
            <w:tcW w:w="506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7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78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 xml:space="preserve">Class A Common Stock issued for acquisition </w:t>
            </w:r>
            <w:r>
              <w:rPr>
                <w:rFonts w:ascii="Times New Roman" w:cs="Times New Roman" w:eastAsia="Times New Roman" w:hAnsi="Times New Roman"/>
                <w:sz w:val="17"/>
                <w:szCs w:val="17"/>
                <w:color w:val="B3B3B3"/>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OpCo Units issued for acquisitions</w:t>
            </w:r>
            <w:r>
              <w:rPr>
                <w:rFonts w:ascii="Times New Roman" w:cs="Times New Roman" w:eastAsia="Times New Roman" w:hAnsi="Times New Roman"/>
                <w:sz w:val="17"/>
                <w:szCs w:val="17"/>
                <w:color w:val="B3B3B3"/>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OpCo Units issued to related party</w:t>
            </w:r>
            <w:r>
              <w:rPr>
                <w:rFonts w:ascii="Times New Roman" w:cs="Times New Roman" w:eastAsia="Times New Roman" w:hAnsi="Times New Roman"/>
                <w:sz w:val="17"/>
                <w:szCs w:val="17"/>
                <w:color w:val="B3B3B3"/>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300"/>
          </w:cols>
          <w:pgMar w:left="980" w:top="214" w:right="960"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10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200" w:lineRule="exact"/>
        <w:rPr>
          <w:sz w:val="20"/>
          <w:szCs w:val="20"/>
          <w:color w:val="auto"/>
        </w:rPr>
      </w:pP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General</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gridSpan w:val="3"/>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Limited Partners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Partner</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7"/>
                <w:szCs w:val="7"/>
                <w:b w:val="1"/>
                <w:bCs w:val="1"/>
                <w:color w:val="auto"/>
              </w:rPr>
              <w:t>(1)</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restart"/>
          </w:tcPr>
          <w:p>
            <w:pPr>
              <w:jc w:val="center"/>
              <w:ind w:right="18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gridSpan w:val="2"/>
          </w:tcPr>
          <w:p>
            <w:pPr>
              <w:jc w:val="right"/>
              <w:ind w:right="42"/>
              <w:spacing w:after="0" w:line="14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800" w:type="dxa"/>
            <w:vAlign w:val="bottom"/>
          </w:tcPr>
          <w:p>
            <w:pPr>
              <w:jc w:val="center"/>
              <w:ind w:right="143"/>
              <w:spacing w:after="0" w:line="143"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60" w:type="dxa"/>
            <w:vAlign w:val="bottom"/>
          </w:tcPr>
          <w:p>
            <w:pPr>
              <w:spacing w:after="0"/>
              <w:rPr>
                <w:sz w:val="12"/>
                <w:szCs w:val="12"/>
                <w:color w:val="auto"/>
              </w:rPr>
            </w:pPr>
          </w:p>
        </w:tc>
        <w:tc>
          <w:tcPr>
            <w:tcW w:w="700" w:type="dxa"/>
            <w:vAlign w:val="bottom"/>
          </w:tcPr>
          <w:p>
            <w:pPr>
              <w:jc w:val="right"/>
              <w:ind w:right="242"/>
              <w:spacing w:after="0" w:line="143" w:lineRule="exact"/>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3"/>
              <w:spacing w:after="0" w:line="149" w:lineRule="exact"/>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(Accumulated</w:t>
            </w:r>
          </w:p>
        </w:tc>
        <w:tc>
          <w:tcPr>
            <w:tcW w:w="860" w:type="dxa"/>
            <w:vAlign w:val="bottom"/>
            <w:gridSpan w:val="2"/>
          </w:tcPr>
          <w:p>
            <w:pPr>
              <w:jc w:val="right"/>
              <w:ind w:right="42"/>
              <w:spacing w:after="0" w:line="149"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6"/>
                <w:szCs w:val="16"/>
                <w:color w:val="auto"/>
              </w:rPr>
            </w:pPr>
          </w:p>
        </w:tc>
        <w:tc>
          <w:tcPr>
            <w:tcW w:w="800" w:type="dxa"/>
            <w:vAlign w:val="bottom"/>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6"/>
                <w:szCs w:val="16"/>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4"/>
        </w:trPr>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2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Balance at December 31, 2022 </w:t>
            </w:r>
            <w:r>
              <w:rPr>
                <w:rFonts w:ascii="Times New Roman" w:cs="Times New Roman" w:eastAsia="Times New Roman" w:hAnsi="Times New Roman"/>
                <w:sz w:val="13"/>
                <w:szCs w:val="13"/>
                <w:b w:val="1"/>
                <w:bCs w:val="1"/>
                <w:color w:val="B3B3B3"/>
              </w:rPr>
              <w:t>...........</w:t>
            </w:r>
          </w:p>
        </w:tc>
        <w:tc>
          <w:tcPr>
            <w:tcW w:w="8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73,230</w:t>
            </w:r>
          </w:p>
        </w:tc>
        <w:tc>
          <w:tcPr>
            <w:tcW w:w="22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689</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90,710</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Conversion of Viper Energy</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Partners LP Partnership</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Units to Viper Energy Inc.</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7"/>
              </w:rPr>
              <w:t xml:space="preserve">Shares of Common Stock </w:t>
            </w:r>
            <w:r>
              <w:rPr>
                <w:rFonts w:ascii="Times New Roman" w:cs="Times New Roman" w:eastAsia="Times New Roman" w:hAnsi="Times New Roman"/>
                <w:sz w:val="16"/>
                <w:szCs w:val="16"/>
                <w:color w:val="B3B3B3"/>
                <w:w w:val="97"/>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(78,126)</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(90,710)</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78,126</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90,710</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938</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Liquidation of General</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Partner</w:t>
            </w:r>
            <w:r>
              <w:rPr>
                <w:rFonts w:ascii="Times New Roman" w:cs="Times New Roman" w:eastAsia="Times New Roman" w:hAnsi="Times New Roman"/>
                <w:sz w:val="16"/>
                <w:szCs w:val="16"/>
                <w:color w:val="B3B3B3"/>
                <w:w w:val="98"/>
              </w:rPr>
              <w:t>...................................</w:t>
            </w:r>
          </w:p>
        </w:tc>
        <w:tc>
          <w:tcPr>
            <w:tcW w:w="8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shares/units issued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7"/>
              </w:rPr>
              <w:t xml:space="preserve">for acquisition </w:t>
            </w:r>
            <w:r>
              <w:rPr>
                <w:rFonts w:ascii="Times New Roman" w:cs="Times New Roman" w:eastAsia="Times New Roman" w:hAnsi="Times New Roman"/>
                <w:sz w:val="16"/>
                <w:szCs w:val="16"/>
                <w:color w:val="B3B3B3"/>
                <w:w w:val="97"/>
              </w:rPr>
              <w:t>.......................</w:t>
            </w:r>
          </w:p>
        </w:tc>
        <w:tc>
          <w:tcPr>
            <w:tcW w:w="8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9,018</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shares/units issued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7"/>
              </w:rPr>
              <w:t xml:space="preserve">to related party </w:t>
            </w:r>
            <w:r>
              <w:rPr>
                <w:rFonts w:ascii="Times New Roman" w:cs="Times New Roman" w:eastAsia="Times New Roman" w:hAnsi="Times New Roman"/>
                <w:sz w:val="16"/>
                <w:szCs w:val="16"/>
                <w:color w:val="B3B3B3"/>
                <w:w w:val="97"/>
              </w:rPr>
              <w:t>......................</w:t>
            </w:r>
          </w:p>
        </w:tc>
        <w:tc>
          <w:tcPr>
            <w:tcW w:w="8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7,215</w:t>
            </w:r>
          </w:p>
        </w:tc>
        <w:tc>
          <w:tcPr>
            <w:tcW w:w="22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Equity-based compensation</w:t>
            </w:r>
            <w:r>
              <w:rPr>
                <w:rFonts w:ascii="Times New Roman" w:cs="Times New Roman" w:eastAsia="Times New Roman" w:hAnsi="Times New Roman"/>
                <w:sz w:val="16"/>
                <w:szCs w:val="16"/>
                <w:color w:val="B3B3B3"/>
                <w:w w:val="99"/>
              </w:rPr>
              <w:t>..</w:t>
            </w:r>
          </w:p>
        </w:tc>
        <w:tc>
          <w:tcPr>
            <w:tcW w:w="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 xml:space="preserve">shares/units </w:t>
            </w:r>
            <w:r>
              <w:rPr>
                <w:rFonts w:ascii="Times New Roman" w:cs="Times New Roman" w:eastAsia="Times New Roman" w:hAnsi="Times New Roman"/>
                <w:sz w:val="16"/>
                <w:szCs w:val="16"/>
                <w:color w:val="B3B3B3"/>
                <w:w w:val="98"/>
              </w:rPr>
              <w:t>...........................</w:t>
            </w:r>
          </w:p>
        </w:tc>
        <w:tc>
          <w:tcPr>
            <w:tcW w:w="82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Dividends/distributions to</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7"/>
              </w:rPr>
              <w:t xml:space="preserve">shareholders </w:t>
            </w:r>
            <w:r>
              <w:rPr>
                <w:rFonts w:ascii="Times New Roman" w:cs="Times New Roman" w:eastAsia="Times New Roman" w:hAnsi="Times New Roman"/>
                <w:sz w:val="16"/>
                <w:szCs w:val="16"/>
                <w:color w:val="B3B3B3"/>
                <w:w w:val="97"/>
              </w:rPr>
              <w:t>..........................</w:t>
            </w:r>
          </w:p>
        </w:tc>
        <w:tc>
          <w:tcPr>
            <w:tcW w:w="8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Dividends/distributions to</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Diamondback</w:t>
            </w:r>
            <w:r>
              <w:rPr>
                <w:rFonts w:ascii="Times New Roman" w:cs="Times New Roman" w:eastAsia="Times New Roman" w:hAnsi="Times New Roman"/>
                <w:sz w:val="16"/>
                <w:szCs w:val="16"/>
                <w:color w:val="B3B3B3"/>
                <w:w w:val="99"/>
              </w:rPr>
              <w:t>........................</w:t>
            </w:r>
          </w:p>
        </w:tc>
        <w:tc>
          <w:tcPr>
            <w:tcW w:w="8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ownership of</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 xml:space="preserve">net </w:t>
            </w:r>
            <w:r>
              <w:rPr>
                <w:rFonts w:ascii="Times New Roman" w:cs="Times New Roman" w:eastAsia="Times New Roman" w:hAnsi="Times New Roman"/>
                <w:sz w:val="16"/>
                <w:szCs w:val="16"/>
                <w:color w:val="B3B3B3"/>
                <w:w w:val="98"/>
              </w:rPr>
              <w:t>.........................................</w:t>
            </w:r>
          </w:p>
        </w:tc>
        <w:tc>
          <w:tcPr>
            <w:tcW w:w="8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Repurchases as part of share/</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unit buyback</w:t>
            </w:r>
            <w:r>
              <w:rPr>
                <w:rFonts w:ascii="Times New Roman" w:cs="Times New Roman" w:eastAsia="Times New Roman" w:hAnsi="Times New Roman"/>
                <w:sz w:val="16"/>
                <w:szCs w:val="16"/>
                <w:color w:val="B3B3B3"/>
                <w:w w:val="98"/>
              </w:rPr>
              <w:t>..........................</w:t>
            </w:r>
          </w:p>
        </w:tc>
        <w:tc>
          <w:tcPr>
            <w:tcW w:w="82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(2,392)</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Net income (loss)</w:t>
            </w:r>
            <w:r>
              <w:rPr>
                <w:rFonts w:ascii="Times New Roman" w:cs="Times New Roman" w:eastAsia="Times New Roman" w:hAnsi="Times New Roman"/>
                <w:sz w:val="16"/>
                <w:szCs w:val="16"/>
                <w:color w:val="B3B3B3"/>
                <w:w w:val="99"/>
              </w:rPr>
              <w:t>..................</w:t>
            </w:r>
          </w:p>
        </w:tc>
        <w:tc>
          <w:tcPr>
            <w:tcW w:w="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21"/>
                <w:szCs w:val="21"/>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100" w:type="dxa"/>
            <w:vAlign w:val="bottom"/>
            <w:vMerge w:val="continue"/>
          </w:tcPr>
          <w:p>
            <w:pPr>
              <w:ind w:left="1720"/>
              <w:spacing w:after="0" w:line="124" w:lineRule="exact"/>
              <w:rPr>
                <w:sz w:val="20"/>
                <w:szCs w:val="20"/>
                <w:color w:val="auto"/>
              </w:rPr>
            </w:pPr>
            <w:r>
              <w:rPr>
                <w:rFonts w:ascii="Times New Roman" w:cs="Times New Roman" w:eastAsia="Times New Roman" w:hAnsi="Times New Roman"/>
                <w:sz w:val="13"/>
                <w:szCs w:val="13"/>
                <w:b w:val="1"/>
                <w:bCs w:val="1"/>
                <w:color w:val="B3B3B3"/>
              </w:rPr>
              <w:t>...........</w:t>
            </w:r>
          </w:p>
        </w:tc>
        <w:tc>
          <w:tcPr>
            <w:tcW w:w="8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86,144</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90,710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6559550</wp:posOffset>
                </wp:positionH>
                <wp:positionV relativeFrom="paragraph">
                  <wp:posOffset>-4154805</wp:posOffset>
                </wp:positionV>
                <wp:extent cx="0" cy="41935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354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6.5pt,-327.1499pt" to="516.5pt,3.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1377950</wp:posOffset>
                </wp:positionH>
                <wp:positionV relativeFrom="paragraph">
                  <wp:posOffset>-4154805</wp:posOffset>
                </wp:positionV>
                <wp:extent cx="0" cy="419354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354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5pt,-327.1499pt" to="108.5pt,3.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1372870</wp:posOffset>
                </wp:positionH>
                <wp:positionV relativeFrom="paragraph">
                  <wp:posOffset>33655</wp:posOffset>
                </wp:positionV>
                <wp:extent cx="51911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11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1pt,2.65pt" to="516.85pt,2.6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1414780</wp:posOffset>
                </wp:positionH>
                <wp:positionV relativeFrom="paragraph">
                  <wp:posOffset>8255</wp:posOffset>
                </wp:positionV>
                <wp:extent cx="51149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492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4pt,0.65pt" to="514.15pt,0.65pt" o:allowincell="f" strokecolor="#000000" strokeweight="0.959pt"/>
            </w:pict>
          </mc:Fallback>
        </mc:AlternateContent>
      </w:r>
    </w:p>
    <w:p>
      <w:pPr>
        <w:ind w:left="20"/>
        <w:spacing w:after="0"/>
        <w:tabs>
          <w:tab w:leader="none" w:pos="34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6"/>
          <w:szCs w:val="16"/>
          <w:color w:val="auto"/>
        </w:rPr>
        <w:t>The par values of the outstanding shares of Class A Common Stock and Class B Common Stock each round to zero at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1414780</wp:posOffset>
                </wp:positionH>
                <wp:positionV relativeFrom="paragraph">
                  <wp:posOffset>-103505</wp:posOffset>
                </wp:positionV>
                <wp:extent cx="511492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4925" cy="4763"/>
                        </a:xfrm>
                        <a:prstGeom prst="line">
                          <a:avLst/>
                        </a:prstGeom>
                        <a:solidFill>
                          <a:srgbClr val="FFFFFF"/>
                        </a:solidFill>
                        <a:ln w="1523">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4pt,-8.1499pt" to="514.15pt,-8.1499pt" o:allowincell="f" strokecolor="#000000" strokeweight="0.1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340"/>
          </w:cols>
          <w:pgMar w:left="980" w:top="214" w:right="92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6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 (Continued)</w:t>
      </w:r>
    </w:p>
    <w:p>
      <w:pPr>
        <w:spacing w:after="0" w:line="200" w:lineRule="exact"/>
        <w:rPr>
          <w:sz w:val="20"/>
          <w:szCs w:val="20"/>
          <w:color w:val="auto"/>
        </w:rPr>
      </w:pPr>
    </w:p>
    <w:p>
      <w:pPr>
        <w:spacing w:after="0" w:line="330"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1"/>
                <w:szCs w:val="11"/>
                <w:b w:val="1"/>
                <w:bCs w:val="1"/>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Retained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40" w:type="dxa"/>
            <w:vAlign w:val="bottom"/>
          </w:tcPr>
          <w:p>
            <w:pPr>
              <w:spacing w:after="0"/>
              <w:rPr>
                <w:sz w:val="18"/>
                <w:szCs w:val="18"/>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7"/>
                <w:szCs w:val="17"/>
                <w:b w:val="1"/>
                <w:bCs w:val="1"/>
                <w:color w:val="auto"/>
              </w:rPr>
              <w:t>Non-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61"/>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6"/>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(Accumulated</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Controlling</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Deficit)</w:t>
            </w:r>
          </w:p>
        </w:tc>
        <w:tc>
          <w:tcPr>
            <w:tcW w:w="8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w w:val="95"/>
              </w:rPr>
              <w:t>Interest</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3"/>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(In millions, shares in thousands)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 xml:space="preserve">Balance at December 31, 2023 </w:t>
            </w:r>
            <w:r>
              <w:rPr>
                <w:rFonts w:ascii="Times New Roman" w:cs="Times New Roman" w:eastAsia="Times New Roman" w:hAnsi="Times New Roman"/>
                <w:sz w:val="18"/>
                <w:szCs w:val="18"/>
                <w:b w:val="1"/>
                <w:bCs w:val="1"/>
                <w:color w:val="B3B3B3"/>
                <w:w w:val="98"/>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86,144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90,710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Common shares issued for acquisition </w:t>
            </w:r>
            <w:r>
              <w:rPr>
                <w:rFonts w:ascii="Times New Roman" w:cs="Times New Roman" w:eastAsia="Times New Roman" w:hAnsi="Times New Roman"/>
                <w:sz w:val="20"/>
                <w:szCs w:val="20"/>
                <w:color w:val="B3B3B3"/>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5,279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OpCo Units issued for acquisition</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Common shares issued to related party </w:t>
            </w:r>
            <w:r>
              <w:rPr>
                <w:rFonts w:ascii="Times New Roman" w:cs="Times New Roman" w:eastAsia="Times New Roman" w:hAnsi="Times New Roman"/>
                <w:sz w:val="20"/>
                <w:szCs w:val="20"/>
                <w:color w:val="B3B3B3"/>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11,500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Equity-based compensation</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Issuance of shares upon vesting of equity</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awards</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Dividends to stockholders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Dividends to Diamondback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Dividends to other non-controlling interest</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Change in ownership of consolidated</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subsidiaries, net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Net income (loss)</w:t>
            </w:r>
            <w:r>
              <w:rPr>
                <w:rFonts w:ascii="Times New Roman" w:cs="Times New Roman" w:eastAsia="Times New Roman" w:hAnsi="Times New Roman"/>
                <w:sz w:val="20"/>
                <w:szCs w:val="20"/>
                <w:color w:val="B3B3B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 xml:space="preserve">Balance at December 31, 2024 </w:t>
            </w:r>
            <w:r>
              <w:rPr>
                <w:rFonts w:ascii="Times New Roman" w:cs="Times New Roman" w:eastAsia="Times New Roman" w:hAnsi="Times New Roman"/>
                <w:sz w:val="18"/>
                <w:szCs w:val="18"/>
                <w:b w:val="1"/>
                <w:bCs w:val="1"/>
                <w:color w:val="B3B3B3"/>
                <w:w w:val="98"/>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102,977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85,431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Common shares issued for acquisitions </w:t>
            </w:r>
            <w:r>
              <w:rPr>
                <w:rFonts w:ascii="Times New Roman" w:cs="Times New Roman" w:eastAsia="Times New Roman" w:hAnsi="Times New Roman"/>
                <w:sz w:val="20"/>
                <w:szCs w:val="20"/>
                <w:color w:val="B3B3B3"/>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38,536</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Common shares issued to related party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69,627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OpCo Units issued for acquisition</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OpCo Units issued to related party</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proceeds from the issuance of Common</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28,336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Stock</w:t>
            </w:r>
            <w:r>
              <w:rPr>
                <w:rFonts w:ascii="Times New Roman" w:cs="Times New Roman" w:eastAsia="Times New Roman" w:hAnsi="Times New Roman"/>
                <w:sz w:val="20"/>
                <w:szCs w:val="20"/>
                <w:color w:val="B3B3B3"/>
              </w:rPr>
              <w:t>...............................................................</w:t>
            </w:r>
          </w:p>
        </w:tc>
        <w:tc>
          <w:tcPr>
            <w:tcW w:w="9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Repurchases of shares of Class A 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Stock under repurchase program</w:t>
            </w:r>
            <w:r>
              <w:rPr>
                <w:rFonts w:ascii="Times New Roman" w:cs="Times New Roman" w:eastAsia="Times New Roman" w:hAnsi="Times New Roman"/>
                <w:sz w:val="20"/>
                <w:szCs w:val="20"/>
                <w:color w:val="B3B3B3"/>
              </w:rPr>
              <w:t>....................</w:t>
            </w:r>
          </w:p>
        </w:tc>
        <w:tc>
          <w:tcPr>
            <w:tcW w:w="9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Repurchases of OpCo Units and cancellation</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of Class B Common Stock under repurchase</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program</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Conversion of Class B Common Stock to</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5,054</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(5,054)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Class A Common Stock</w:t>
            </w:r>
            <w:r>
              <w:rPr>
                <w:rFonts w:ascii="Times New Roman" w:cs="Times New Roman" w:eastAsia="Times New Roman" w:hAnsi="Times New Roman"/>
                <w:sz w:val="20"/>
                <w:szCs w:val="20"/>
                <w:color w:val="B3B3B3"/>
              </w:rPr>
              <w:t>..................................</w:t>
            </w:r>
          </w:p>
        </w:tc>
        <w:tc>
          <w:tcPr>
            <w:tcW w:w="900" w:type="dxa"/>
            <w:vAlign w:val="bottom"/>
            <w:vMerge w:val="continue"/>
          </w:tcPr>
          <w:p>
            <w:pPr>
              <w:spacing w:after="0"/>
              <w:rPr>
                <w:sz w:val="23"/>
                <w:szCs w:val="23"/>
                <w:color w:val="auto"/>
              </w:rPr>
            </w:pPr>
          </w:p>
        </w:tc>
        <w:tc>
          <w:tcPr>
            <w:tcW w:w="960" w:type="dxa"/>
            <w:vAlign w:val="bottom"/>
            <w:gridSpan w:val="3"/>
            <w:vMerge w:val="continue"/>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Dividends to stockholders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Dividends to Diamondback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Dividends to other non-controlling interest</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Dividend equivalent rights payments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Equity-based compensation</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Issuance of shares upon vesting of equity</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awards</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Change in ownership of consolidated</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subsidiaries, net </w:t>
            </w:r>
            <w:r>
              <w:rPr>
                <w:rFonts w:ascii="Times New Roman" w:cs="Times New Roman" w:eastAsia="Times New Roman" w:hAnsi="Times New Roman"/>
                <w:sz w:val="20"/>
                <w:szCs w:val="20"/>
                <w:color w:val="B3B3B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Net income (loss)</w:t>
            </w:r>
            <w:r>
              <w:rPr>
                <w:rFonts w:ascii="Times New Roman" w:cs="Times New Roman" w:eastAsia="Times New Roman" w:hAnsi="Times New Roman"/>
                <w:sz w:val="20"/>
                <w:szCs w:val="20"/>
                <w:color w:val="B3B3B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 xml:space="preserve">Balance at December 31, 2025 </w:t>
            </w:r>
            <w:r>
              <w:rPr>
                <w:rFonts w:ascii="Times New Roman" w:cs="Times New Roman" w:eastAsia="Times New Roman" w:hAnsi="Times New Roman"/>
                <w:sz w:val="18"/>
                <w:szCs w:val="18"/>
                <w:b w:val="1"/>
                <w:bCs w:val="1"/>
                <w:color w:val="B3B3B3"/>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170,943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187,024</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5,915</w:t>
            </w: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10,363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right="160" w:hanging="369"/>
        <w:spacing w:after="0" w:line="289" w:lineRule="auto"/>
        <w:tabs>
          <w:tab w:leader="none" w:pos="37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 values of the outstanding shares of Class A Common Stock and Class B Common Stock each round to zero during the periods presented.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300"/>
          </w:cols>
          <w:pgMar w:left="980" w:top="214" w:right="960" w:bottom="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4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7" w:lineRule="exact"/>
        <w:rPr>
          <w:sz w:val="20"/>
          <w:szCs w:val="20"/>
          <w:color w:val="auto"/>
        </w:rPr>
      </w:pPr>
    </w:p>
    <w:p>
      <w:pPr>
        <w:ind w:left="20" w:right="4920" w:hanging="8"/>
        <w:spacing w:after="0" w:line="505" w:lineRule="auto"/>
        <w:tabs>
          <w:tab w:leader="none" w:pos="737"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BASIS OF PRESENTATION Organization</w:t>
      </w: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Viper Energy, Inc. is a publicly traded Delaware corporation. Viper (as defined below) and its consolidated subsidiaries are focused on owning and acquiring mineral interests and royalty interests in oil and natural gas properties primarily in the Permian Basin.</w:t>
      </w:r>
    </w:p>
    <w:p>
      <w:pPr>
        <w:spacing w:after="0" w:line="190"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On August 19, 2025, upon completion of the Sitio Acquisition (as defined and discussed in Note 4—Acquisitions and Divestitures), VNOM Sub, Inc. (formerly known as Viper Energy Inc., “Former Viper”) became a wholly owned subsidiary of Viper Energy, Inc. (formerly known as New Cobra Pubco, Inc., “New Viper”), as a result of a merger contemplated by the documents governing the Sitio Acquisition (such merger, the “Viper PubCo Merger”).</w:t>
      </w:r>
    </w:p>
    <w:p>
      <w:pPr>
        <w:spacing w:after="0" w:line="197"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Upon completion of the Viper PubCo Merger, each share of Former Viper’s Class A common stock, par value $0.000001 per share, issued and outstanding immediately prior to the effective time of the Viper PubCo Merger (other than certain excluded shares) was canceled and automatically converted into one share of New Viper Class A common stock, par value $0.000001 per share (“New Viper Class A Common Stock”), and each share of Former Viper’s Class B common stock, par value $0.000001 per share, issued and outstanding immediately prior to the effective time of the Viper PubCo Merger was automatically canceled and converted into one share of New Viper’s Class B common stock, par value $0.000001 per share (“New Viper Class B Common Stock”).</w:t>
      </w:r>
    </w:p>
    <w:p>
      <w:pPr>
        <w:spacing w:after="0" w:line="207"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w:t>
      </w:r>
    </w:p>
    <w:p>
      <w:pPr>
        <w:spacing w:after="0" w:line="195"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As of December 31, 2025, Viper, through its subsidiaries, owned approximately 46.5% of the outstanding OpCo Units and was the managing member of New OpCo.</w:t>
      </w:r>
    </w:p>
    <w:p>
      <w:pPr>
        <w:spacing w:after="0" w:line="166"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Prior to March 8, 2024, the Company was a “controlled company” under the rules of the Nasdaq Stock Market LLC (the “Nasdaq Rules”). On March 8, 2024, the Company’s parent, Diamondback (as defined below), completed an underwritten public offering in which it sold 13,225,000 shares of the Company’s Class A Common Stock (the “Diamondback Offering”). Following the Diamondback Offering, Diamondback’s beneficial ownership was reduced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spacing w:after="0" w:line="214"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the Company, including the services of the executive officers and other employees (the “Services and Secondment Agreement”).</w:t>
      </w:r>
    </w:p>
    <w:p>
      <w:pPr>
        <w:spacing w:after="0" w:line="205"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Subsequent transactions completed in 2025 have resulted in Diamondback temporarily owning more than or less than 50% of the Company’s Common Stock causing changes in the Company’s status as a “controlled company” under the applicable Nasdaq Rules. While the controlled company exemptions were at times again available to the Company, the Company’s board of directors did not avail itself of these exemptions. As of December 31, 2025, Diamondback beneficially owned approximately 42.1% of the outstanding voting power of the Company’s Common Stock, on a fully diluted basis after giving effect to the outstanding TWR Class B Option (as defined and discussed in Note 4—Acquisitions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80"/>
          </w:cols>
          <w:pgMar w:left="980" w:top="214" w:right="980"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Conversion into Corporation</w:t>
      </w:r>
    </w:p>
    <w:p>
      <w:pPr>
        <w:spacing w:after="0" w:line="258"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Effective November 13, 2023, (the “Effective Time”), Viper Energy Partners LP converted from a publicly traded Delaware limited partnership to a Delaware corporation pursuant to a plan of conversion and changed its name from Viper Energy Partners LP to Viper Energy, Inc. Additionally, the certificate of incorporation and the bylaws of Viper Energy, Inc. became effective on the same date. This report includes the results for the Partnership prior to the Conversion and the Company following the Conversion. There are no tax impacts resulting from the Conversion as the Partnership was treated as a corporation for tax purposes.</w:t>
      </w:r>
    </w:p>
    <w:p>
      <w:pPr>
        <w:spacing w:after="0" w:line="204"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At the Effective Time, (i) each common unit representing limited partnership interest in the Partnership issued and outstanding immediately prior to the Effective Time was converted, on a unit- for-unit basis, into one issued and outstanding, fully paid and nonassessable share of Class A Common Stock, (ii) each Class B unit representing limited partnership interest in the Partnership issued and outstanding immediately prior to the Effective Time was converted, on a unit-for-unit basis, into one issued and outstanding, fully paid and nonassessable share of Class B Common Stock, and (iii) the general partner interest issued and outstanding immediately prior to the Effective Time (100% owned by the General Partner) was cancelled.</w:t>
      </w:r>
    </w:p>
    <w:p>
      <w:pPr>
        <w:spacing w:after="0" w:line="20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At the Effective Time, the Company’s certificate of incorporation and bylaws generally provided its stockholders with substantially the same or greater rights and substantially the same or lesser obligations, as those that limited partners had in the Partnership Agreement. Previously, limited partners were not generally entitled to vote with respect to governance of the Partnership, except for those few matters set forth in the Partnership Agreement. Following the Conversion, except as otherwise expressly provided in the Company’s certificate of incorporation, the holders of Common Stock are entitled to vote on all matters on which stockholders of a corporation are generally entitled to vote on under the General Corporation Law of the State of Delaware, including the election of the board of directors of the Company.</w:t>
      </w:r>
    </w:p>
    <w:p>
      <w:pPr>
        <w:spacing w:after="0" w:line="205" w:lineRule="exact"/>
        <w:rPr>
          <w:sz w:val="20"/>
          <w:szCs w:val="20"/>
          <w:color w:val="auto"/>
        </w:rPr>
      </w:pPr>
    </w:p>
    <w:p>
      <w:pPr>
        <w:jc w:val="both"/>
        <w:ind w:left="20" w:firstLine="720"/>
        <w:spacing w:after="0" w:line="249" w:lineRule="auto"/>
        <w:rPr>
          <w:sz w:val="20"/>
          <w:szCs w:val="20"/>
          <w:color w:val="auto"/>
        </w:rPr>
      </w:pPr>
      <w:r>
        <w:rPr>
          <w:rFonts w:ascii="Times New Roman" w:cs="Times New Roman" w:eastAsia="Times New Roman" w:hAnsi="Times New Roman"/>
          <w:sz w:val="20"/>
          <w:szCs w:val="20"/>
          <w:color w:val="auto"/>
        </w:rPr>
        <w:t>Diamondback continues to provide personnel and general and administrative services to the Company, including the services of the executive officers and other employees, pursuant to the Services and Secondment Agreement. In addition, for so long as Diamondback and any of its subsidiaries collectively beneficially own at least 25% of the outstanding Common Stock of the Company, (i) Diamondback will have the right to designate up to three persons to serve as directors of the Company, and</w:t>
      </w:r>
    </w:p>
    <w:p>
      <w:pPr>
        <w:spacing w:after="0" w:line="3" w:lineRule="exact"/>
        <w:rPr>
          <w:sz w:val="20"/>
          <w:szCs w:val="20"/>
          <w:color w:val="auto"/>
        </w:rPr>
      </w:pPr>
    </w:p>
    <w:p>
      <w:pPr>
        <w:ind w:left="20" w:hanging="9"/>
        <w:spacing w:after="0" w:line="259" w:lineRule="auto"/>
        <w:tabs>
          <w:tab w:leader="none" w:pos="33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Company may not appoint any person other than a Diamondback seconded employee as an executive officer of the Company unless such appointment is approved, in advance, by either (x) Diamondback (which approval may not be unreasonably withheld or conditioned), or (y) the affirmative vote of the holders of at least 80% of the voting power of the capital stock of the Company. Currently, there are two Diamondback designees to the board of directors of the Company —Travis Stice and Kaes Van’t Hof.</w:t>
      </w:r>
    </w:p>
    <w:p>
      <w:pPr>
        <w:spacing w:after="0" w:line="197"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References in the accompanying consolidated financial statements and related notes thereto to “Viper” refer to (A) New Viper following the Viper PubCo Merger, (B) Former Viper prior to the Viper PubCo Merger, but after the Conversion, and (C) Viper Energy Partners LP prior to the Conversion. References to the “Company,” “our company,” “we,” “our,” “us” or like terms refer collectively to Viper and its consolidated subsidiaries. References to “shares” or per share amounts prior to the Conversion refer to common units and Class B units or per unit amounts of Viper Energy Partners LP. References to shares or per share amounts following the Conversion refer to (A) Class A common stock, par value $0.000001 per share and Class B common stock, par value $0.000001 per share of New Viper following the Viper PubCo Merger and (B) Class A common stock, par value $0.000001 per share and Class B common stock, par value $0.000001 per share of Former Viper prior to the Viper PubCo Merger.</w:t>
      </w:r>
    </w:p>
    <w:p>
      <w:pPr>
        <w:spacing w:after="0" w:line="214"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References to the “Operating Company” or “OpCo” refer to (A) New OpCo following the Reorganization and (B) Old OpCo prior to the Reorganization. References to “OpCo Units” are to the units representing limited liability company interests in the Operating Company.</w:t>
      </w:r>
    </w:p>
    <w:p>
      <w:pPr>
        <w:spacing w:after="0" w:line="187"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References to “Diamondback” refer collectively to Diamondback Energy, Inc. and its subsidiaries other than the Company. References to the “General Partner” refer to Viper Energy Partners GP LLC, our general partner prior to the Conversion. All references to dividends prior to the Conversion refer to distributions.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56"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The accompanying consolidated financial statements and related notes thereto were prepared in conformity with GAAP. All material intercompany balances and transactions are eliminated in consolidation. The Company reports its operations in one reportable segment.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80"/>
          </w:cols>
          <w:pgMar w:left="980" w:top="214" w:right="980" w:bottom="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258"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spacing w:after="0" w:line="182" w:lineRule="exact"/>
        <w:rPr>
          <w:sz w:val="20"/>
          <w:szCs w:val="20"/>
          <w:color w:val="auto"/>
        </w:rPr>
      </w:pPr>
    </w:p>
    <w:p>
      <w:pPr>
        <w:ind w:left="20" w:right="4380" w:hanging="9"/>
        <w:spacing w:after="0" w:line="505" w:lineRule="auto"/>
        <w:tabs>
          <w:tab w:leader="none" w:pos="737"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Use of Estimates</w:t>
      </w: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199"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Making accurate estimates and assumptions is particularly difficult in the oil and natural gas industry given the challenges resulting from volatility in oil and natural gas prices. For instance, geopolitical global conflicts, higher interest rates, effects of tariffs, actions taken by OPEC and its non-OPEC allies, known collectively as OPEC+, global supply chain disruptions, measures to combat persistent inflation and instability in the financial sector have contributed to recent economic and pricing volatility. The financial results of companies in the oil and natural gas industry have been and may continue to be impacted materially as a result of these events and changing market conditions. Such circumstances generally increase uncertainty in the Company’s accounting estimates, particularly those involving financial forecasts.</w:t>
      </w:r>
    </w:p>
    <w:p>
      <w:pPr>
        <w:spacing w:after="0" w:line="207"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including those acquired by the Company, and related present value estimates of future net cash flows therefrom, the carrying value of oil and natural gas interests, estimates of third-party operated royalty income related to expected sales volumes and prices, the recoverability of costs of unevaluated properties and estimates of income taxes, including deferred tax valuation allowances. Other areas requiring estimation include commodity derivatives and various fair values of non-oil and gas assets and liabilities.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Revenue from Contracts with Customers</w:t>
      </w:r>
    </w:p>
    <w:p>
      <w:pPr>
        <w:spacing w:after="0" w:line="256"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Royalty income represents the right to receive revenues from oil, natural gas and natural gas liquids sales obtained by the operator of the wells in which the Company owns a royalty interest. Royalty income is recognized at the point control of the product is transferred to the purchaser. Virtually all of the pricing provisions in the Company’s contracts are tied to a market index.</w:t>
      </w:r>
    </w:p>
    <w:p>
      <w:pPr>
        <w:spacing w:after="0" w:line="196"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The Company earns lease bonus income by leasing its mineral interests to exploration, development and production companies. The Company recognizes lease bonus income when a lease agreement has been executed and payment is determined to be collectible.</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Royalty Income from Oil, Natural Gas and Natural Gas Liquids Sales</w:t>
      </w:r>
    </w:p>
    <w:p>
      <w:pPr>
        <w:spacing w:after="0" w:line="253"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The Company’s oil, natural gas and natural gas liquids sales contracts are generally structured whereby the operator of the properties in which the Company owns a royalty interest sells the Company’s proportionate share of oil, natural gas and natural gas liquids production to the purchaser and the Company collects its percentage royalty based on the revenue generated. In this scenario, the Company recognizes revenue when control transfers to the purchaser at the wellhead or at the gas processing facility based on the Company’s percentage ownership share of the revenue, net of any deductions for gathering and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80"/>
          </w:cols>
          <w:pgMar w:left="980" w:top="214" w:right="980"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Remaining Performance Obligations</w:t>
      </w:r>
    </w:p>
    <w:p>
      <w:pPr>
        <w:spacing w:after="0" w:line="253"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The Company’s right to royalty income does not originate until production occurs and, therefore, is not considered to exist beyond each day’s production. Therefore, there are no remaining performance obligations under any of the Company’s royalty income contracts.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Contract Balances</w:t>
      </w:r>
    </w:p>
    <w:p>
      <w:pPr>
        <w:spacing w:after="0" w:line="253"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Under the Company’s royalty income contracts, it generally has the right to receive its interest in the gross proceeds collected by the operator from third-party purchasers of the Company’s production once production has occurred, at which point payment is unconditional. Accordingly, the Company’s royalty income contracts do not give rise to contract assets or liabilities under Accounting Standards Codification 606.</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Prior-Period Performance Obligations</w:t>
      </w:r>
    </w:p>
    <w:p>
      <w:pPr>
        <w:spacing w:after="0" w:line="253"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Company records revenue in the month production is delivered to the purchaser. However, settlement statements for certain oil, natural gas and natural gas liquids sales may not be received for 30 to 90 days after the date production is delivered. As a result, the Company is required to estimate the amount of royalty income to be received based upon the Company’s royalty interest. The Company records the differences between its estimates and the actual amounts received for royalties in the month that payment is received from the operator. Any identified differences between its revenue estimates and actual revenue received historically have not been significant.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Oil and Natural Gas Properties</w:t>
      </w:r>
    </w:p>
    <w:p>
      <w:pPr>
        <w:spacing w:after="0" w:line="25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Company uses the full cost method of accounting for its oil and natural gas properties. Under this method, all acquisition costs from third parties are capitalized and amortized on a composite unit of production method based on proved oil, natural gas and natural gas liquids reserves.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gas liquids. Acquisitions of mineral and royalty interests from related parties are typically recorded at the parent’s historical carrying value and related transaction costs are expensed as incurred in accordance with guidance in ASC 805 for transactions between entities under common control. At December 31, 2025, and 2024, the Company’s oil and natural gas properties consisted primarily of mineral interests in oil and natural gas properties.</w:t>
      </w:r>
    </w:p>
    <w:p>
      <w:pPr>
        <w:spacing w:after="0" w:line="211"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Depletion of evaluated oil and natural gas properties is computed on the units of production method, whereby capitalized costs are amortized over total proved reserves. The average depletion rate per barrel equivalent unit of production was $17.48, $11.77 and $10.20 for the years ended December 31, 2025, 2024 and 2023, respectively. Depletion for oil and natural gas properties was $607 million, $214 million and $146 million for the years ended December 31, 2025, 2024 and 2023, respectively.</w:t>
      </w:r>
    </w:p>
    <w:p>
      <w:pPr>
        <w:spacing w:after="0" w:line="202"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interests net of deferred income taxes, or the cost center ceiling. The cost center ceiling is defined as the sum of (i) estimated future net revenues, discounted at 10% per annum, from proved reserves, based on the trailing 12-month unweighted average of the first- day-of-the-month price, adjusted for any contract provisions, (ii) the cost of properties not being amortized, if any, and (iii)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See Note 5—Oil and Natural Gas Interests for additional discussion of the Company’s oil and natural gas properties.</w:t>
      </w:r>
    </w:p>
    <w:p>
      <w:pPr>
        <w:spacing w:after="0" w:line="205"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Costs associated with unevaluated properties are excluded from the full cost pool until the Company has made a determination as to the existence of proved reserves. The Company assesses all items classified as unevaluated property at least annually for possible impairment. The Company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80"/>
          </w:cols>
          <w:pgMar w:left="980" w:top="214" w:right="980" w:bottom="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20"/>
          <w:szCs w:val="20"/>
          <w:color w:val="auto"/>
        </w:rPr>
        <w:t>assignment of proved reserves; and the economic viability of development if proved reserves are assigned. During any period in which these factors indicate an impairment, all or a portion of the associated leasehold costs are transferred to the full cost pool and are then subject to amortization.</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Royalty Income Receivable</w:t>
      </w:r>
    </w:p>
    <w:p>
      <w:pPr>
        <w:spacing w:after="0" w:line="258"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Royalty income receivables consist of receivables for sales of oil, natural gas and natural gas liquids made by the Company’s third-party operators and Diamondback to third-party purchasers. The operators remit payment for production directly to the Company.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pacing w:after="0" w:line="199"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Royalty income receivables are stated at amounts due from purchasers, net of an allowance for expected losses as estimated by the Company when collection is deemed doubtful. Royalty income receivables outstanding longer than the contractual payment terms are considered past due. The Company determines its allowance utilizing the loss-rate method, which considers a number of factors, including the Company’s previous loss history, the debtor’s current ability to pay its obligation to the Company, and the condition of the general economy and the industry as a whole. The Company writes off specific royalty income receivables when they become uncollectible, and payments subsequently received on such receivables are credited to the allowance for expected losses. At December 31, 2025 and 2024, the Company’s allowance for expected losses was immaterial.</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Concentrations</w:t>
      </w:r>
    </w:p>
    <w:p>
      <w:pPr>
        <w:spacing w:after="0" w:line="258"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Company is subject to risk resulting from the concentration of its royalty income in producing oil and natural gas properties and receivables with several significant operators. For the year ended December 31, 2025, two operators each accounted for more than 10% of royalty income: Diamondback (55%) and ExxonMobil Corporation (14%) . For the year ended December 31, 2024, two operators each accounted for more than 10% of royalty income: Diamondback (54%) and Pioneer Natural Resources (11%). For the year ended December 31, 2023, one operator accounted for more than 10% of royalty income: Diamondback (61%). Each of the Company’s operators sell to multiple purchasers. The Company does not require collateral and does not believe the loss of any single purchaser would materially impact the Company’s operating results, as crude oil and natural gas are fungible products with well-established markets and numerous purchasers.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Royalty Income Receivable</w:t>
      </w:r>
    </w:p>
    <w:p>
      <w:pPr>
        <w:spacing w:after="0" w:line="253"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As of December 31, 2025 and 2024, Diamondback, either directly or through its consolidated subsidiaries, owed the Company $88 million and $31 million, respectively, for royalty income received from third parties for the Company’s production, which had not yet been remitted to the Company.</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Lease Bonus Income</w:t>
      </w:r>
    </w:p>
    <w:p>
      <w:pPr>
        <w:spacing w:after="0" w:line="251" w:lineRule="exact"/>
        <w:rPr>
          <w:sz w:val="20"/>
          <w:szCs w:val="20"/>
          <w:color w:val="auto"/>
        </w:rPr>
      </w:pPr>
    </w:p>
    <w:p>
      <w:pPr>
        <w:ind w:left="20" w:firstLine="72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2025, Diamondback and its subsidiaries paid the Operating Company $24 million of lease bonus income for 18 new leases covering 2,356 acres in Dawson, Glasscock, Howard, Martin, Midland and Reagan Counties, Texas. Lease bonus income from Diamondback for the year ended December 31, 2024 was immaterial. During the year ended December 31, 2023, Diamondback and its subsidiaries paid the Operating Company $108 million of lease bonus income, which included (i) one new lease of $ 96 million covering certain acreage in our Spanish Trail prospect in Midland County, Texas, from a lease agreement with a subsidiary of Diamondback on terms substantially identical to the Operating Company’s other lease arrangements with Diamondback and was considered and approved by the conflicts committee of the board of directors, (ii) nine other new leases covering 703 acres in Martin, Midland, Pecos, and Wheeler Counties, Texas, and (iii) two lease extensions covering 25 acres in Martin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80"/>
          </w:cols>
          <w:pgMar w:left="980" w:top="214" w:right="980" w:bottom="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See Note 4—Acquisitions and Divestitures for significant related party acquisitions of oil and natural gas interests.</w:t>
      </w:r>
    </w:p>
    <w:p>
      <w:pPr>
        <w:spacing w:after="0" w:line="2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See Note 7—Stockholders’ Equity for further details regarding equity transactions with related parties.</w:t>
      </w:r>
    </w:p>
    <w:p>
      <w:pPr>
        <w:spacing w:after="0" w:line="250"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All other related party transactions with Diamondback or its affiliates have been stated on the face of the consolidated financial statements or were insignificant for the years ended December 31, 2025, 2024 and 2023, respectively.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256" w:lineRule="exact"/>
        <w:rPr>
          <w:sz w:val="20"/>
          <w:szCs w:val="20"/>
          <w:color w:val="auto"/>
        </w:rPr>
      </w:pPr>
    </w:p>
    <w:p>
      <w:pPr>
        <w:jc w:val="both"/>
        <w:ind w:left="20" w:firstLine="720"/>
        <w:spacing w:after="0" w:line="257" w:lineRule="auto"/>
        <w:rPr>
          <w:sz w:val="20"/>
          <w:szCs w:val="20"/>
          <w:color w:val="auto"/>
        </w:rPr>
      </w:pPr>
      <w:r>
        <w:rPr>
          <w:rFonts w:ascii="Times New Roman" w:cs="Times New Roman" w:eastAsia="Times New Roman" w:hAnsi="Times New Roman"/>
          <w:sz w:val="20"/>
          <w:szCs w:val="20"/>
          <w:color w:val="auto"/>
        </w:rPr>
        <w:t>The Company is required to recognize its derivative instruments on the consolidated balance sheets as assets or liabilities at fair value with such amounts classified as current or long-term based on their anticipated settlement dates. The accounting for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 under the caption “Gain (loss) on derivative instruments, net.”</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5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05"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 matters as interest expense and general and administrative expenses, respectively. During the years ended December 31, 2025, 2024 and 2023, there were no interest or penalties associated with uncertain tax positions recognized in the Company’s consolidated financial statements. See Note 9— Income Taxes for further details.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Non-Controlling Interest</w:t>
      </w:r>
    </w:p>
    <w:p>
      <w:pPr>
        <w:spacing w:after="0" w:line="256"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Non-controlling interest in the accompanying consolidated financial statements represents the ownership interests of Diamondback, former equity holders of Sitio Royalties Operating Partnership, LP (“Sitio OpCo”), Tumbleweed Royalty IV, LLC (“TWR IV”) and the Morita Ranches Equity Recipients (as defined and discussed in Note 4—Acquisitions and Divestitures) in the net assets of the Operating Company. When the non-controlling interests’ relative ownership in the Operating Company changes, adjustments to non-controlling interest and stockholders’ equity, tax effected, will occur. Because these changes in the Company’s ownership interest in the Operating Company did not result in a change of control, the transactions were accounted for as equity transactions under ASC Topic 810, “Consolidation.” This guidance requires that any differences between the carrying value of the Company’s basis in the Operating Company and the fair value of the consideration received are recognized directly in equity and attributed to the controlling interest. See Note 7—Stockholders’ Equity for further discussion of changes in ownership interest.</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58"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Cash and cash equivalents represent unrestricted cash on hand and include all highly liquid investments purchased with a maturity of three months or less and money market funds. The- Company maintains cash and cash equivalents in bank deposit accounts which, at times, may exceed the federally insured limits. The Company has not experienced any significant losses from such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80"/>
          </w:cols>
          <w:pgMar w:left="980" w:top="214" w:right="980"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Prepaid Expenses and Other Current Assets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Prepaid expenses and other current assets consist of the following as of the dates indicated:</w:t>
      </w: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248"/>
        </w:trPr>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7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9"/>
        </w:trPr>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5"/>
        </w:trPr>
        <w:tc>
          <w:tcPr>
            <w:tcW w:w="76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7"/>
              </w:rPr>
              <w:t>Derivative instruments</w:t>
            </w:r>
            <w:r>
              <w:rPr>
                <w:rFonts w:ascii="Times New Roman" w:cs="Times New Roman" w:eastAsia="Times New Roman" w:hAnsi="Times New Roman"/>
                <w:sz w:val="20"/>
                <w:szCs w:val="20"/>
                <w:color w:val="B3B3B3"/>
                <w:w w:val="97"/>
              </w:rPr>
              <w:t>.....................................................................................................................</w:t>
            </w:r>
          </w:p>
        </w:tc>
        <w:tc>
          <w:tcPr>
            <w:tcW w:w="780" w:type="dxa"/>
            <w:vAlign w:val="bottom"/>
            <w:gridSpan w:val="2"/>
          </w:tcPr>
          <w:p>
            <w:pPr>
              <w:jc w:val="right"/>
              <w:ind w:right="53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920" w:type="dxa"/>
            <w:vAlign w:val="bottom"/>
            <w:gridSpan w:val="4"/>
          </w:tcPr>
          <w:p>
            <w:pPr>
              <w:jc w:val="right"/>
              <w:ind w:right="59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4"/>
                <w:szCs w:val="24"/>
                <w:color w:val="auto"/>
              </w:rPr>
            </w:pPr>
          </w:p>
        </w:tc>
      </w:tr>
      <w:tr>
        <w:trPr>
          <w:trHeight w:val="300"/>
        </w:trPr>
        <w:tc>
          <w:tcPr>
            <w:tcW w:w="76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7"/>
              </w:rPr>
              <w:t xml:space="preserve">Prepaid expenses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4"/>
                <w:szCs w:val="24"/>
                <w:color w:val="auto"/>
              </w:rPr>
            </w:pPr>
          </w:p>
        </w:tc>
      </w:tr>
      <w:tr>
        <w:trPr>
          <w:trHeight w:val="303"/>
        </w:trPr>
        <w:tc>
          <w:tcPr>
            <w:tcW w:w="76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6"/>
              </w:rPr>
              <w:t>Other</w:t>
            </w:r>
            <w:r>
              <w:rPr>
                <w:rFonts w:ascii="Times New Roman" w:cs="Times New Roman" w:eastAsia="Times New Roman" w:hAnsi="Times New Roman"/>
                <w:sz w:val="20"/>
                <w:szCs w:val="20"/>
                <w:color w:val="B3B3B3"/>
                <w:w w:val="96"/>
              </w:rPr>
              <w:t>................................................................................................................................................</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r>
      <w:tr>
        <w:trPr>
          <w:trHeight w:val="241"/>
        </w:trPr>
        <w:tc>
          <w:tcPr>
            <w:tcW w:w="7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prepaid expenses and other current assets</w:t>
            </w:r>
            <w:r>
              <w:rPr>
                <w:rFonts w:ascii="Times New Roman" w:cs="Times New Roman" w:eastAsia="Times New Roman" w:hAnsi="Times New Roman"/>
                <w:sz w:val="20"/>
                <w:szCs w:val="20"/>
                <w:color w:val="B3B3B3"/>
              </w:rPr>
              <w:t>.........................................................................</w:t>
            </w:r>
          </w:p>
        </w:tc>
        <w:tc>
          <w:tcPr>
            <w:tcW w:w="780" w:type="dxa"/>
            <w:vAlign w:val="bottom"/>
            <w:gridSpan w:val="2"/>
          </w:tcPr>
          <w:p>
            <w:pPr>
              <w:jc w:val="right"/>
              <w:ind w:right="570"/>
              <w:spacing w:after="0"/>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920" w:type="dxa"/>
            <w:vAlign w:val="bottom"/>
            <w:gridSpan w:val="4"/>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0"/>
                <w:szCs w:val="20"/>
                <w:color w:val="auto"/>
              </w:rPr>
            </w:pPr>
          </w:p>
        </w:tc>
      </w:tr>
      <w:tr>
        <w:trPr>
          <w:trHeight w:val="42"/>
        </w:trPr>
        <w:tc>
          <w:tcPr>
            <w:tcW w:w="76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See “—Derivative Instruments” above for the Company’s accounting policy for derivative instruments.</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Accrued Liabilities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Company’s accrued liabilities are financial instruments for which the carrying value approximates fair value.</w:t>
      </w: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Accrued liabilities consist of the following as of the dates indicated:</w:t>
      </w:r>
    </w:p>
    <w:p>
      <w:pPr>
        <w:spacing w:after="0" w:line="344" w:lineRule="exact"/>
        <w:rPr>
          <w:sz w:val="20"/>
          <w:szCs w:val="20"/>
          <w:color w:val="auto"/>
        </w:rPr>
      </w:pPr>
    </w:p>
    <w:tbl>
      <w:tblPr>
        <w:tblLayout w:type="fixed"/>
        <w:tblInd w:w="280" w:type="dxa"/>
        <w:tblCellMar>
          <w:top w:w="0" w:type="dxa"/>
          <w:left w:w="0" w:type="dxa"/>
          <w:bottom w:w="0" w:type="dxa"/>
          <w:right w:w="0" w:type="dxa"/>
        </w:tblCellMar>
      </w:tblPr>
      <w:tr>
        <w:trPr>
          <w:trHeight w:val="247"/>
        </w:trPr>
        <w:tc>
          <w:tcPr>
            <w:tcW w:w="75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7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8"/>
        </w:trPr>
        <w:tc>
          <w:tcPr>
            <w:tcW w:w="7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7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Interest payable</w:t>
            </w:r>
            <w:r>
              <w:rPr>
                <w:rFonts w:ascii="Times New Roman" w:cs="Times New Roman" w:eastAsia="Times New Roman" w:hAnsi="Times New Roman"/>
                <w:sz w:val="20"/>
                <w:szCs w:val="20"/>
                <w:color w:val="B3B3B3"/>
                <w:w w:val="97"/>
              </w:rPr>
              <w:t>................................................................................................................................</w:t>
            </w:r>
          </w:p>
        </w:tc>
        <w:tc>
          <w:tcPr>
            <w:tcW w:w="780" w:type="dxa"/>
            <w:vAlign w:val="bottom"/>
            <w:gridSpan w:val="2"/>
          </w:tcPr>
          <w:p>
            <w:pPr>
              <w:jc w:val="right"/>
              <w:ind w:right="5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4"/>
                <w:szCs w:val="24"/>
                <w:color w:val="auto"/>
              </w:rPr>
            </w:pPr>
          </w:p>
        </w:tc>
      </w:tr>
      <w:tr>
        <w:trPr>
          <w:trHeight w:val="298"/>
        </w:trPr>
        <w:tc>
          <w:tcPr>
            <w:tcW w:w="7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 xml:space="preserve">Ad valorem taxes payable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4"/>
                <w:szCs w:val="24"/>
                <w:color w:val="auto"/>
              </w:rPr>
            </w:pPr>
          </w:p>
        </w:tc>
      </w:tr>
      <w:tr>
        <w:trPr>
          <w:trHeight w:val="300"/>
        </w:trPr>
        <w:tc>
          <w:tcPr>
            <w:tcW w:w="7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 xml:space="preserve">Acquisition adjustment accrual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4"/>
                <w:szCs w:val="24"/>
                <w:color w:val="auto"/>
              </w:rPr>
            </w:pPr>
          </w:p>
        </w:tc>
      </w:tr>
      <w:tr>
        <w:trPr>
          <w:trHeight w:val="300"/>
        </w:trPr>
        <w:tc>
          <w:tcPr>
            <w:tcW w:w="7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 xml:space="preserve">2026 WTI Contingent Liability </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r>
      <w:tr>
        <w:trPr>
          <w:trHeight w:val="304"/>
        </w:trPr>
        <w:tc>
          <w:tcPr>
            <w:tcW w:w="7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Other</w:t>
            </w:r>
            <w:r>
              <w:rPr>
                <w:rFonts w:ascii="Times New Roman" w:cs="Times New Roman" w:eastAsia="Times New Roman" w:hAnsi="Times New Roman"/>
                <w:sz w:val="20"/>
                <w:szCs w:val="20"/>
                <w:color w:val="B3B3B3"/>
                <w:w w:val="97"/>
              </w:rPr>
              <w:t>................................................................................................................................................</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r>
      <w:tr>
        <w:trPr>
          <w:trHeight w:val="264"/>
        </w:trPr>
        <w:tc>
          <w:tcPr>
            <w:tcW w:w="7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Totalaccruedliabilities</w:t>
            </w:r>
          </w:p>
        </w:tc>
        <w:tc>
          <w:tcPr>
            <w:tcW w:w="780" w:type="dxa"/>
            <w:vAlign w:val="bottom"/>
            <w:gridSpan w:val="2"/>
          </w:tcPr>
          <w:p>
            <w:pPr>
              <w:jc w:val="right"/>
              <w:ind w:right="51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107</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2"/>
                <w:szCs w:val="22"/>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256"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Other assets include capitalized costs related to our current credit facility, the previous credit facility and the Term Loan (as defined and discussed in Note 6—Debt) of $21 million and $18 million, and accumulated amortization of those costs over the term of the respective credit facilities of $13 million and $11 million as of December 31, 2025 and 2024, respectively.</w:t>
      </w:r>
    </w:p>
    <w:p>
      <w:pPr>
        <w:spacing w:after="0" w:line="190" w:lineRule="exact"/>
        <w:rPr>
          <w:sz w:val="20"/>
          <w:szCs w:val="20"/>
          <w:color w:val="auto"/>
        </w:rPr>
      </w:pPr>
    </w:p>
    <w:p>
      <w:pPr>
        <w:jc w:val="both"/>
        <w:ind w:left="20" w:right="20" w:firstLine="720"/>
        <w:spacing w:after="0" w:line="267" w:lineRule="auto"/>
        <w:rPr>
          <w:sz w:val="20"/>
          <w:szCs w:val="20"/>
          <w:color w:val="auto"/>
        </w:rPr>
      </w:pPr>
      <w:r>
        <w:rPr>
          <w:rFonts w:ascii="Times New Roman" w:cs="Times New Roman" w:eastAsia="Times New Roman" w:hAnsi="Times New Roman"/>
          <w:sz w:val="20"/>
          <w:szCs w:val="20"/>
          <w:color w:val="auto"/>
        </w:rPr>
        <w:t>Long-term debt includes capitalized costs related to the Guaranteed Senior Notes. The costs associated with the Guaranteed Senior Notes are netted against the Guaranteed Senior Notes’ balances and amortized over the term of the Guaranteed Senior Notes using the effective interest method. See Note 6—Debt for further details.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Pronouncements</w:t>
      </w:r>
    </w:p>
    <w:p>
      <w:pPr>
        <w:spacing w:after="0" w:line="253"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Company adopted the amendments in 2025 and applied the guidance on a retrospective basis. Adoption of the update resulted in additional disclosures in Note 9—Income Taxes but did not impact the Company’s financial position, results of operations or liquidity.</w:t>
      </w:r>
    </w:p>
    <w:p>
      <w:pPr>
        <w:spacing w:after="0" w:line="202"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In September 2025, the FASB issued ASU 2025- 07, “Derivatives and Hedging (Topic 815) and Revenue from Contracts with Customers (Topic 606) – Derivatives Scope Refinements and Scope Clarification for Share-Based Noncash Consideration from a Customer in a Revenue Contract.” The ASU addresses (i) the application of derivative accounting to</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300"/>
          </w:cols>
          <w:pgMar w:left="980" w:top="214" w:right="960" w:bottom="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20"/>
          <w:szCs w:val="20"/>
          <w:color w:val="auto"/>
        </w:rPr>
        <w:t>contracts that include features based on the operations or activities of one of the parties to the contract and (ii) diversity in practice related to accounting for share-based noncash consideration from a customer. The Company elected to early-adopt this amendment in 2025 and applied the guidance on a prospective basis. Adoption of the update did not impact the Company’s historical financial position, results of operations or liquidity; however, the guidance may affect whether certain new arrangements qualify for derivative accounting.</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Not Yet Adopted</w:t>
      </w:r>
    </w:p>
    <w:p>
      <w:pPr>
        <w:spacing w:after="0" w:line="251"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 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07" w:lineRule="exact"/>
        <w:rPr>
          <w:sz w:val="20"/>
          <w:szCs w:val="20"/>
          <w:color w:val="auto"/>
        </w:rPr>
      </w:pPr>
    </w:p>
    <w:p>
      <w:pPr>
        <w:jc w:val="both"/>
        <w:ind w:left="20" w:right="20" w:firstLine="720"/>
        <w:spacing w:after="0" w:line="286"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ASUs. ASUs not discussed above were assessed and determined to be either not applicable, previously disclosed, or not material upon adoption.</w:t>
      </w:r>
    </w:p>
    <w:p>
      <w:pPr>
        <w:spacing w:after="0" w:line="164" w:lineRule="exact"/>
        <w:rPr>
          <w:sz w:val="20"/>
          <w:szCs w:val="20"/>
          <w:color w:val="auto"/>
        </w:rPr>
      </w:pPr>
    </w:p>
    <w:p>
      <w:pPr>
        <w:ind w:left="720" w:hanging="709"/>
        <w:spacing w:after="0"/>
        <w:tabs>
          <w:tab w:leader="none" w:pos="72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FROM CONTRACTS WITH CUSTOMERS</w:t>
      </w:r>
    </w:p>
    <w:p>
      <w:pPr>
        <w:spacing w:after="0" w:line="256"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spacing w:after="0" w:line="202" w:lineRule="exact"/>
        <w:rPr>
          <w:sz w:val="20"/>
          <w:szCs w:val="20"/>
          <w:color w:val="auto"/>
        </w:rPr>
      </w:pPr>
    </w:p>
    <w:p>
      <w:pPr>
        <w:jc w:val="both"/>
        <w:ind w:left="20" w:right="40" w:firstLine="720"/>
        <w:spacing w:after="0" w:line="289" w:lineRule="auto"/>
        <w:rPr>
          <w:sz w:val="20"/>
          <w:szCs w:val="20"/>
          <w:color w:val="auto"/>
        </w:rPr>
      </w:pPr>
      <w:r>
        <w:rPr>
          <w:rFonts w:ascii="Times New Roman" w:cs="Times New Roman" w:eastAsia="Times New Roman" w:hAnsi="Times New Roman"/>
          <w:sz w:val="20"/>
          <w:szCs w:val="20"/>
          <w:color w:val="auto"/>
        </w:rPr>
        <w:t>For the years ended December 31, 2025, 2024 and 2023, any revenues recognized in the current reporting period for performance obligations satisfied in prior reporting periods were not material.</w:t>
      </w:r>
    </w:p>
    <w:p>
      <w:pPr>
        <w:spacing w:after="0" w:line="164"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The following tables disaggregate the Company’s revenue from oil, natural gas and natural gas liquids by revenue generated from production on properties operated by Diamondback and revenue generated from production on properties operated by third parties:</w:t>
      </w:r>
    </w:p>
    <w:p>
      <w:pPr>
        <w:spacing w:after="0" w:line="282" w:lineRule="exact"/>
        <w:rPr>
          <w:sz w:val="20"/>
          <w:szCs w:val="20"/>
          <w:color w:val="auto"/>
        </w:rPr>
      </w:pPr>
    </w:p>
    <w:tbl>
      <w:tblPr>
        <w:tblLayout w:type="fixed"/>
        <w:tblInd w:w="140" w:type="dxa"/>
        <w:tblCellMar>
          <w:top w:w="0" w:type="dxa"/>
          <w:left w:w="0" w:type="dxa"/>
          <w:bottom w:w="0" w:type="dxa"/>
          <w:right w:w="0" w:type="dxa"/>
        </w:tblCellMar>
      </w:tblPr>
      <w:tr>
        <w:trPr>
          <w:trHeight w:val="259"/>
        </w:trPr>
        <w:tc>
          <w:tcPr>
            <w:tcW w:w="4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8"/>
          </w:tcPr>
          <w:p>
            <w:pPr>
              <w:jc w:val="center"/>
              <w:ind w:left="604"/>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2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Generated</w:t>
            </w:r>
          </w:p>
        </w:tc>
        <w:tc>
          <w:tcPr>
            <w:tcW w:w="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 Generated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from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from Third-Party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4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Operated Properties</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Operated Properties</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2"/>
                <w:szCs w:val="22"/>
                <w:color w:val="auto"/>
              </w:rPr>
            </w:pPr>
          </w:p>
        </w:tc>
      </w:tr>
      <w:tr>
        <w:trPr>
          <w:trHeight w:val="266"/>
        </w:trPr>
        <w:tc>
          <w:tcPr>
            <w:tcW w:w="4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Oil income</w:t>
            </w:r>
            <w:r>
              <w:rPr>
                <w:rFonts w:ascii="Times New Roman" w:cs="Times New Roman" w:eastAsia="Times New Roman" w:hAnsi="Times New Roman"/>
                <w:sz w:val="20"/>
                <w:szCs w:val="20"/>
                <w:color w:val="B3B3B3"/>
                <w:w w:val="9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5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w:t>
            </w:r>
          </w:p>
        </w:tc>
        <w:tc>
          <w:tcPr>
            <w:tcW w:w="20" w:type="dxa"/>
            <w:vAlign w:val="bottom"/>
          </w:tcPr>
          <w:p>
            <w:pPr>
              <w:spacing w:after="0"/>
              <w:rPr>
                <w:sz w:val="24"/>
                <w:szCs w:val="24"/>
                <w:color w:val="auto"/>
              </w:rPr>
            </w:pPr>
          </w:p>
        </w:tc>
      </w:tr>
      <w:tr>
        <w:trPr>
          <w:trHeight w:val="29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Natural gas income</w:t>
            </w:r>
            <w:r>
              <w:rPr>
                <w:rFonts w:ascii="Times New Roman" w:cs="Times New Roman" w:eastAsia="Times New Roman" w:hAnsi="Times New Roman"/>
                <w:sz w:val="20"/>
                <w:szCs w:val="20"/>
                <w:color w:val="B3B3B3"/>
                <w:w w:val="99"/>
              </w:rPr>
              <w:t>...................................................................</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24"/>
                <w:szCs w:val="24"/>
                <w:color w:val="auto"/>
              </w:rPr>
            </w:pPr>
          </w:p>
        </w:tc>
      </w:tr>
      <w:tr>
        <w:trPr>
          <w:trHeight w:val="30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liquids income</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0" w:type="dxa"/>
            <w:vAlign w:val="bottom"/>
          </w:tcPr>
          <w:p>
            <w:pPr>
              <w:spacing w:after="0"/>
              <w:rPr>
                <w:sz w:val="24"/>
                <w:szCs w:val="24"/>
                <w:color w:val="auto"/>
              </w:rPr>
            </w:pPr>
          </w:p>
        </w:tc>
      </w:tr>
      <w:tr>
        <w:trPr>
          <w:trHeight w:val="230"/>
        </w:trPr>
        <w:tc>
          <w:tcPr>
            <w:tcW w:w="49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royalty income</w:t>
            </w:r>
            <w:r>
              <w:rPr>
                <w:rFonts w:ascii="Times New Roman" w:cs="Times New Roman" w:eastAsia="Times New Roman" w:hAnsi="Times New Roman"/>
                <w:sz w:val="20"/>
                <w:szCs w:val="20"/>
                <w:color w:val="B3B3B3"/>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54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1,346</w:t>
            </w:r>
          </w:p>
        </w:tc>
        <w:tc>
          <w:tcPr>
            <w:tcW w:w="20" w:type="dxa"/>
            <w:vAlign w:val="bottom"/>
          </w:tcPr>
          <w:p>
            <w:pPr>
              <w:spacing w:after="0"/>
              <w:rPr>
                <w:sz w:val="20"/>
                <w:szCs w:val="20"/>
                <w:color w:val="auto"/>
              </w:rPr>
            </w:pPr>
          </w:p>
        </w:tc>
      </w:tr>
      <w:tr>
        <w:trPr>
          <w:trHeight w:val="40"/>
        </w:trPr>
        <w:tc>
          <w:tcPr>
            <w:tcW w:w="48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r>
        <w:trPr>
          <w:trHeight w:val="586"/>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center"/>
              <w:ind w:left="604"/>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Generated</w:t>
            </w:r>
          </w:p>
        </w:tc>
        <w:tc>
          <w:tcPr>
            <w:tcW w:w="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 Generated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from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from Third-Party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4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Operated Properties</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Operated Properties</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2"/>
                <w:szCs w:val="22"/>
                <w:color w:val="auto"/>
              </w:rPr>
            </w:pPr>
          </w:p>
        </w:tc>
      </w:tr>
      <w:tr>
        <w:trPr>
          <w:trHeight w:val="264"/>
        </w:trPr>
        <w:tc>
          <w:tcPr>
            <w:tcW w:w="4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Oil income</w:t>
            </w:r>
            <w:r>
              <w:rPr>
                <w:rFonts w:ascii="Times New Roman" w:cs="Times New Roman" w:eastAsia="Times New Roman" w:hAnsi="Times New Roman"/>
                <w:sz w:val="20"/>
                <w:szCs w:val="20"/>
                <w:color w:val="B3B3B3"/>
                <w:w w:val="9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5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0" w:type="dxa"/>
            <w:vAlign w:val="bottom"/>
          </w:tcPr>
          <w:p>
            <w:pPr>
              <w:spacing w:after="0"/>
              <w:rPr>
                <w:sz w:val="24"/>
                <w:szCs w:val="24"/>
                <w:color w:val="auto"/>
              </w:rPr>
            </w:pPr>
          </w:p>
        </w:tc>
      </w:tr>
      <w:tr>
        <w:trPr>
          <w:trHeight w:val="29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Natural gas income</w:t>
            </w:r>
            <w:r>
              <w:rPr>
                <w:rFonts w:ascii="Times New Roman" w:cs="Times New Roman" w:eastAsia="Times New Roman" w:hAnsi="Times New Roman"/>
                <w:sz w:val="20"/>
                <w:szCs w:val="20"/>
                <w:color w:val="B3B3B3"/>
                <w:w w:val="99"/>
              </w:rPr>
              <w:t>...................................................................</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r>
      <w:tr>
        <w:trPr>
          <w:trHeight w:val="304"/>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Natural gas liquids income</w:t>
            </w:r>
            <w:r>
              <w:rPr>
                <w:rFonts w:ascii="Times New Roman" w:cs="Times New Roman" w:eastAsia="Times New Roman" w:hAnsi="Times New Roman"/>
                <w:sz w:val="20"/>
                <w:szCs w:val="20"/>
                <w:color w:val="B3B3B3"/>
                <w:w w:val="99"/>
              </w:rPr>
              <w:t>.......................................................</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20" w:type="dxa"/>
            <w:vAlign w:val="bottom"/>
          </w:tcPr>
          <w:p>
            <w:pPr>
              <w:spacing w:after="0"/>
              <w:rPr>
                <w:sz w:val="24"/>
                <w:szCs w:val="24"/>
                <w:color w:val="auto"/>
              </w:rPr>
            </w:pPr>
          </w:p>
        </w:tc>
      </w:tr>
      <w:tr>
        <w:trPr>
          <w:trHeight w:val="235"/>
        </w:trPr>
        <w:tc>
          <w:tcPr>
            <w:tcW w:w="49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royalty income</w:t>
            </w:r>
            <w:r>
              <w:rPr>
                <w:rFonts w:ascii="Times New Roman" w:cs="Times New Roman" w:eastAsia="Times New Roman" w:hAnsi="Times New Roman"/>
                <w:sz w:val="20"/>
                <w:szCs w:val="20"/>
                <w:color w:val="B3B3B3"/>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5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20" w:type="dxa"/>
            <w:vAlign w:val="bottom"/>
          </w:tcPr>
          <w:p>
            <w:pPr>
              <w:spacing w:after="0"/>
              <w:rPr>
                <w:sz w:val="20"/>
                <w:szCs w:val="20"/>
                <w:color w:val="auto"/>
              </w:rPr>
            </w:pPr>
          </w:p>
        </w:tc>
      </w:tr>
      <w:tr>
        <w:trPr>
          <w:trHeight w:val="28"/>
        </w:trPr>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300"/>
          </w:cols>
          <w:pgMar w:left="980" w:top="214" w:right="960" w:bottom="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49" w:lineRule="exact"/>
        <w:rPr>
          <w:sz w:val="20"/>
          <w:szCs w:val="20"/>
          <w:color w:val="auto"/>
        </w:rPr>
      </w:pPr>
    </w:p>
    <w:tbl>
      <w:tblPr>
        <w:tblLayout w:type="fixed"/>
        <w:tblInd w:w="140" w:type="dxa"/>
        <w:tblCellMar>
          <w:top w:w="0" w:type="dxa"/>
          <w:left w:w="0" w:type="dxa"/>
          <w:bottom w:w="0" w:type="dxa"/>
          <w:right w:w="0" w:type="dxa"/>
        </w:tblCellMar>
      </w:tblPr>
      <w:tr>
        <w:trPr>
          <w:trHeight w:val="248"/>
        </w:trPr>
        <w:tc>
          <w:tcPr>
            <w:tcW w:w="4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6"/>
          </w:tcPr>
          <w:p>
            <w:pPr>
              <w:jc w:val="center"/>
              <w:ind w:left="604"/>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Generated</w:t>
            </w:r>
          </w:p>
        </w:tc>
        <w:tc>
          <w:tcPr>
            <w:tcW w:w="6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Revenue Generated</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from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9"/>
              </w:rPr>
              <w:t>from Third-Party</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4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Operated Properties</w:t>
            </w:r>
          </w:p>
        </w:tc>
        <w:tc>
          <w:tcPr>
            <w:tcW w:w="60" w:type="dxa"/>
            <w:vAlign w:val="bottom"/>
          </w:tcPr>
          <w:p>
            <w:pPr>
              <w:spacing w:after="0"/>
              <w:rPr>
                <w:sz w:val="21"/>
                <w:szCs w:val="21"/>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Operated Properties</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266"/>
        </w:trPr>
        <w:tc>
          <w:tcPr>
            <w:tcW w:w="4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Oil income</w:t>
            </w:r>
            <w:r>
              <w:rPr>
                <w:rFonts w:ascii="Times New Roman" w:cs="Times New Roman" w:eastAsia="Times New Roman" w:hAnsi="Times New Roman"/>
                <w:sz w:val="20"/>
                <w:szCs w:val="20"/>
                <w:color w:val="B3B3B3"/>
                <w:w w:val="98"/>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0" w:type="dxa"/>
            <w:vAlign w:val="bottom"/>
          </w:tcPr>
          <w:p>
            <w:pPr>
              <w:spacing w:after="0"/>
              <w:rPr>
                <w:sz w:val="24"/>
                <w:szCs w:val="24"/>
                <w:color w:val="auto"/>
              </w:rPr>
            </w:pPr>
          </w:p>
        </w:tc>
      </w:tr>
      <w:tr>
        <w:trPr>
          <w:trHeight w:val="29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Natural gas income</w:t>
            </w:r>
            <w:r>
              <w:rPr>
                <w:rFonts w:ascii="Times New Roman" w:cs="Times New Roman" w:eastAsia="Times New Roman" w:hAnsi="Times New Roman"/>
                <w:sz w:val="20"/>
                <w:szCs w:val="20"/>
                <w:color w:val="B3B3B3"/>
                <w:w w:val="99"/>
              </w:rPr>
              <w:t>...................................................................</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r>
      <w:tr>
        <w:trPr>
          <w:trHeight w:val="30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liquids income</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4"/>
                <w:szCs w:val="24"/>
                <w:color w:val="auto"/>
              </w:rPr>
            </w:pPr>
          </w:p>
        </w:tc>
      </w:tr>
      <w:tr>
        <w:trPr>
          <w:trHeight w:val="240"/>
        </w:trPr>
        <w:tc>
          <w:tcPr>
            <w:tcW w:w="49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royalty income</w:t>
            </w:r>
            <w:r>
              <w:rPr>
                <w:rFonts w:ascii="Times New Roman" w:cs="Times New Roman" w:eastAsia="Times New Roman" w:hAnsi="Times New Roman"/>
                <w:sz w:val="20"/>
                <w:szCs w:val="20"/>
                <w:color w:val="B3B3B3"/>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20"/>
                <w:szCs w:val="20"/>
                <w:color w:val="auto"/>
              </w:rPr>
            </w:pPr>
          </w:p>
        </w:tc>
      </w:tr>
      <w:tr>
        <w:trPr>
          <w:trHeight w:val="40"/>
        </w:trPr>
        <w:tc>
          <w:tcPr>
            <w:tcW w:w="48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25" w:lineRule="exact"/>
        <w:rPr>
          <w:sz w:val="20"/>
          <w:szCs w:val="20"/>
          <w:color w:val="auto"/>
        </w:rPr>
      </w:pPr>
    </w:p>
    <w:p>
      <w:pPr>
        <w:ind w:left="20" w:right="6100" w:hanging="9"/>
        <w:spacing w:after="0" w:line="503" w:lineRule="auto"/>
        <w:tabs>
          <w:tab w:leader="none" w:pos="737"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 AND DIVESTITURES 2025 Activity</w:t>
      </w: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Sitio Acquisition</w:t>
      </w:r>
    </w:p>
    <w:p>
      <w:pPr>
        <w:spacing w:after="0" w:line="253" w:lineRule="exact"/>
        <w:rPr>
          <w:sz w:val="20"/>
          <w:szCs w:val="20"/>
          <w:color w:val="auto"/>
        </w:rPr>
      </w:pPr>
    </w:p>
    <w:p>
      <w:pPr>
        <w:jc w:val="both"/>
        <w:ind w:left="20" w:right="20" w:firstLine="720"/>
        <w:spacing w:after="0" w:line="254" w:lineRule="auto"/>
        <w:rPr>
          <w:sz w:val="20"/>
          <w:szCs w:val="20"/>
          <w:color w:val="auto"/>
        </w:rPr>
      </w:pPr>
      <w:r>
        <w:rPr>
          <w:rFonts w:ascii="Times New Roman" w:cs="Times New Roman" w:eastAsia="Times New Roman" w:hAnsi="Times New Roman"/>
          <w:sz w:val="20"/>
          <w:szCs w:val="20"/>
          <w:color w:val="auto"/>
        </w:rPr>
        <w:t>On August 19, 2025, the Company completed a series of transactions in which New Viper acquired Sitio Royalties Corp. (“Sitio”),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including customary transaction costs and post-closing adjustments and the partial retirement of Sitio’s net debt of approximately $1.2 billion. The Company funded the retirement of Sitio’s net debt through a combination of cash on hand, proceeds from the issuance of the Guaranteed Senior Notes and borrowings under the Term Loan (as defined and discussed in Note 6—Debt).</w:t>
      </w:r>
    </w:p>
    <w:p>
      <w:pPr>
        <w:spacing w:after="0" w:line="208" w:lineRule="exact"/>
        <w:rPr>
          <w:sz w:val="20"/>
          <w:szCs w:val="20"/>
          <w:color w:val="auto"/>
        </w:rPr>
      </w:pPr>
    </w:p>
    <w:p>
      <w:pPr>
        <w:jc w:val="both"/>
        <w:ind w:left="20" w:right="20" w:firstLine="720"/>
        <w:spacing w:after="0" w:line="252" w:lineRule="auto"/>
        <w:rPr>
          <w:sz w:val="20"/>
          <w:szCs w:val="20"/>
          <w:color w:val="auto"/>
        </w:rPr>
      </w:pPr>
      <w:r>
        <w:rPr>
          <w:rFonts w:ascii="Times New Roman" w:cs="Times New Roman" w:eastAsia="Times New Roman" w:hAnsi="Times New Roman"/>
          <w:sz w:val="20"/>
          <w:szCs w:val="20"/>
          <w:color w:val="auto"/>
        </w:rPr>
        <w:t>Equity consideration for the Sitio Acquisition consisted of the right for Sitio and Sitio OpCo’s former equity holders to receive (i) 0.4855 shares of New Viper Class A Common Stock, for each share of Sitio Class A common stock, par value $0.0001 per share, and (ii) 0.4855 OpCo Units, along with a corresponding amount of New Viper Class B Common Stock, for each unit representing limited partnership interests of Sitio OpCo, subject to certain exclusions. The OpCo Units and New Viper Class B Common Stock issued in the Sitio Acquisition are exchangeable from time to time for shares of New Viper Class A Common Stock (that is, one OpCo Unit and one share of Class B Common Stock, together, are exchangeable for one share of Class A Common Stock). Each share of Class C common stock, par value $0.0001 per share, of Sitio was automatically canceled in the transaction for no consideration and ceased to exist upon closing of the Sitio Acquisition. The shares of common stock of Former Viper and Sitio were delisted from the Nasdaq and their respective reporting obligations under the Exchange Act were terminated. As part of the Sitio Acquisition, New Viper issued 38,536,236 shares of Class A Common Stock, 35,619,951 shares of Class B Common Stock and 35,619,951 OpCo Units. In addition, at the closing of the Sitio Acquisition, the Company entered into a registration rights agreement with certain of Sitio OpCo’s former equity holders, pursuant to which such equity holders received certain demand registration rights with respect to the shares of the Company’s Class A Common Stock that may be acquired by them in exchange for OpCo Units and shares of the Company’s Class B Common Stock.</w:t>
      </w:r>
    </w:p>
    <w:p>
      <w:pPr>
        <w:spacing w:after="0" w:line="209" w:lineRule="exact"/>
        <w:rPr>
          <w:sz w:val="20"/>
          <w:szCs w:val="20"/>
          <w:color w:val="auto"/>
        </w:rPr>
      </w:pPr>
    </w:p>
    <w:p>
      <w:pPr>
        <w:jc w:val="both"/>
        <w:ind w:left="20" w:right="20" w:firstLine="720"/>
        <w:spacing w:after="0" w:line="262" w:lineRule="auto"/>
        <w:rPr>
          <w:sz w:val="20"/>
          <w:szCs w:val="20"/>
          <w:color w:val="auto"/>
        </w:rPr>
      </w:pPr>
      <w:r>
        <w:rPr>
          <w:rFonts w:ascii="Times New Roman" w:cs="Times New Roman" w:eastAsia="Times New Roman" w:hAnsi="Times New Roman"/>
          <w:sz w:val="20"/>
          <w:szCs w:val="20"/>
          <w:color w:val="auto"/>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See Note 13—Subsequent Events for discussion of divestiture of the non-Permian acreage in 2026.</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Sitio Acquisition was accounted for as an asset acquisition in accordance with ASC 805.</w:t>
      </w:r>
    </w:p>
    <w:p>
      <w:pPr>
        <w:spacing w:after="0" w:line="2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2025 Drop Down</w:t>
      </w:r>
    </w:p>
    <w:p>
      <w:pPr>
        <w:spacing w:after="0" w:line="253" w:lineRule="exact"/>
        <w:rPr>
          <w:sz w:val="20"/>
          <w:szCs w:val="20"/>
          <w:color w:val="auto"/>
        </w:rPr>
      </w:pPr>
    </w:p>
    <w:p>
      <w:pPr>
        <w:jc w:val="both"/>
        <w:ind w:left="20" w:right="20" w:firstLine="720"/>
        <w:spacing w:after="0" w:line="256" w:lineRule="auto"/>
        <w:rPr>
          <w:sz w:val="20"/>
          <w:szCs w:val="20"/>
          <w:color w:val="auto"/>
        </w:rPr>
      </w:pPr>
      <w:r>
        <w:rPr>
          <w:rFonts w:ascii="Times New Roman" w:cs="Times New Roman" w:eastAsia="Times New Roman" w:hAnsi="Times New Roman"/>
          <w:sz w:val="20"/>
          <w:szCs w:val="20"/>
          <w:color w:val="auto"/>
        </w:rPr>
        <w:t>On May 1, 2025, the Company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$873 million in cash including customary post-closing adjustments, and (ii) the issuance of 69,626,640 OpCo Units and an equivalent number of shares of the Company’s Class B Common Stock (the “2025 Drop Down”). The OpCo Units and the Class B Common Stock issued in the 2025 Drop Down, as well as the OpCo Units and Class B Common Stock otherwise beneficially owned by</w:t>
      </w: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300"/>
          </w:cols>
          <w:pgMar w:left="980" w:top="214" w:right="960" w:bottom="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20"/>
          <w:szCs w:val="20"/>
          <w:color w:val="auto"/>
        </w:rPr>
        <w:t>Diamondback, are exchangeable from time to time for shares of the Company’s Class A Common Stock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issued at the closing of the 2025 Drop Down, are subject to the Company’s existing registration rights agreement with Diamondback, dated as of November 13, 2023, previously filed by the Company with the SEC.</w:t>
      </w:r>
    </w:p>
    <w:p>
      <w:pPr>
        <w:spacing w:after="0" w:line="204"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The mineral and royalty interests acquired in the 2025 Drop Down represent approximately 24,446 net royalty acres in the Permian Basin, 69% of which are operated by Diamondback, and have an average net royalty interest of approximately 2.2% and then-current oil production of approximately 17,097 BO/d (the “Endeavor Mineral and Royalty Interests”). The Endeavor Mineral and Royalty Interests include interests in horizontal wells comprised of 5,574 gross proved developed production wells (of which approximately 32% are operated by Diamondback), 116 gross completed wells and 394 gross drilled but uncompleted wells, all of which are principally concentrated in the Midland Basin, with the balance located primarily in the Delaware and Williston Basins.</w:t>
      </w:r>
    </w:p>
    <w:p>
      <w:pPr>
        <w:spacing w:after="0" w:line="205"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The 2025 Drop Down was approved by (i) the Company’s audit committee comprised of all independent directors and the full board of directors, in each case on January 30, 2025, and (ii) the majority of the Company’s stockholders, other than Diamondback and its subsidiaries, at the special meeting of the Company’s stockholders held on May 1, 2025, as required under the Nasdaq Rules.</w:t>
      </w:r>
    </w:p>
    <w:p>
      <w:pPr>
        <w:spacing w:after="0" w:line="196"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Company funded the cash consideration for the 2025 Drop Down with a portion of the proceeds from the 2025 Equity Offering (as defined and discussed in Note 7—Stockholders’ Equity) and borrowings under our previous revolving credit facility. The 2025 Drop Down was accounted for as a transaction between entities under common control, with the Endeavor Mineral and Royalty Interests recorded at Endeavor’s historical carrying value in the Company’s consolidated balance sheet.</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Morita Ranches Acquisition</w:t>
      </w:r>
    </w:p>
    <w:p>
      <w:pPr>
        <w:spacing w:after="0" w:line="251"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On February 14, 2025, the Company completed an acquisition of certain mineral and royalty interests located in Howard County, Texas from Morita Ranches Minerals, LLC (“Morita Ranches”) (the “Morita Ranches Acquisition”) pursuant to a definitive purchase and sale agreement for consideration consisting of approximately (i) $208 million in cash, and (ii) 2,400,297 OpCo Units together with an equal number of shares of the Company’s Class B Common Stock issued to certain affiliate designees of Morita Ranches (the “Morita Ranches Equity Recipients”), including customary transaction costs and post-closing adjustments. At the closing of the Morita Ranches Acquisition, the Morita Ranches Equity Recipients (i) became parties to the Third Amended and Restated Limited Liability Agreement of the Operating Company, dated as of October 1, 2024, as amended, and (ii) entered into an Exchange Agreement with the Company and the Operating Company to provide for the right to exchange the OpCo Units and shares of the Company’s Class B Common Stock acquired by the Morita Ranches Equity Recipients at the closing of the Morita Ranches Acquisition for an equal number of shares of the Company’s Class A Common Stock. In addition, at the closing of the Morita Ranches Acquisition, the Company entered into a registration rights agreement pursuant to which the Morita Ranches Equity Recipients received certain demand and piggyback registration rights with respect to the shares of the Company’s Class A Common Stock that may be acquired by them in exchange for OpCo Units and shares of the Company’s Class B Common Stock.</w:t>
      </w:r>
    </w:p>
    <w:p>
      <w:pPr>
        <w:spacing w:after="0" w:line="213"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mineral and royalty interests included in the Morita Ranches Acquisition represent approximately 1,691 net royalty acres in the Permian Basin, 75% of which are operated by Diamondback, and have an average net royalty interest of approximately 10.9%. The Company funded the cash consideration for the Morita Ranches Acquisition with proceeds from the 2025 Equity Offering. The Morita Ranches Acquisition was accounted for as an asset acquisition in accordance with ASC 805.</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Other Acquisitions</w:t>
      </w:r>
    </w:p>
    <w:p>
      <w:pPr>
        <w:spacing w:after="0" w:line="253"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2025, the Company acquired, in individually insignificant transactions from unrelated third-party sellers, mineral and royalty interests representing 515 net royalty acres in the Permian Basin for an aggregate purchase price of approximately $140 million, including customary closing adjustments. In the second half of 2025, the Company acquired, in individually insignificant transactions from Diamondback E&amp;P LLC, mineral and royalty interests representing 80 net royalty acres in the Permian Basin for an aggregate purchase price of approximately $2 million, including customary closing adjustments. The Company funded these acquisitions with cash on hand and borrowings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80"/>
          </w:cols>
          <w:pgMar w:left="980" w:top="214" w:right="980" w:bottom="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2024 Activity</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Tumbleweed Acquisitions</w:t>
      </w:r>
    </w:p>
    <w:p>
      <w:pPr>
        <w:spacing w:after="0" w:line="249"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In September and October of 2024, the Company completed a series of related acquisitions including the TWR Acquisition, the Q Acquisition and the M Acquisition (collectively the “Tumbleweed Acquisitions”), each as defined and discussed below.</w:t>
      </w:r>
    </w:p>
    <w:p>
      <w:pPr>
        <w:spacing w:after="0" w:line="1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i w:val="1"/>
          <w:iCs w:val="1"/>
          <w:color w:val="auto"/>
        </w:rPr>
        <w:t>TWR Acquisition</w:t>
      </w:r>
    </w:p>
    <w:p>
      <w:pPr>
        <w:spacing w:after="0" w:line="24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On October 1, 2024, the Company acquired all of the issued and outstanding equity interests in TWR IV, LLC and TWR IV SellCo, LLC from TWR IV and TWR IV SellCo Parent, LLC (the “TWR Acquisition”), pursuant to a definitive purchase and sale agreement for consideration consisting of (i) approximately $464 million in cash, including transaction costs and certain customary post-closing adjustments, (ii) 10,093,670 OpCo Units to TWR IV, (iii) an option granted to TWR IV to acquire up to 10,093,670 shares of the Company’s Class B Common Stock (the “TWR Class B Option”), and (iv) contingent cash consideration of $16 million paid in January 2026 (the “TWR Contingent Liability”) based on the average price of WTI sweet crude oil prompt month futures contracts for the calendar year 2025 (the “WTI 2025 Average”), which was between $60.00 and $65.00. Additionally, at the closing of the TWR Acquisition, the Company assumed a royalty income receivable of approximately $24 million.</w:t>
      </w:r>
    </w:p>
    <w:p>
      <w:pPr>
        <w:spacing w:after="0" w:line="205"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TWR IV can exchange some or all of its OpCo Units for an equal number of shares of the Company’s Class A Common Stock and any OpCo Units so exchanged will reduce the number of shares of Class B Common Stock subject to the TWR Class B Option. In addition, at the closing of the TWR Acquisition, the Company entered into a registration rights agreement with TWR IV, pursuant to which TWR IV received certain demand and piggyback registration rights with respect to the shares of the Company’s Class A Common Stock that may be acquired by TWR IV in exchange for OpCo Units. The mineral and royalty interests acquired in the TWR Acquisition represent approximately 3,067 net royalty acres located primarily in the Permian Basin. The Company funded the cash consideration for the TWR Acquisition through a combination of cash on hand, borrowings under our previous revolving credit facility and proceeds from the 2024 Equity Offering (as defined and discussed in Note 7—Stockholders’ Equity).</w:t>
      </w:r>
    </w:p>
    <w:p>
      <w:pPr>
        <w:spacing w:after="0" w:line="2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i w:val="1"/>
          <w:iCs w:val="1"/>
          <w:color w:val="auto"/>
        </w:rPr>
        <w:t>Q Acquisition</w:t>
      </w:r>
    </w:p>
    <w:p>
      <w:pPr>
        <w:spacing w:after="0" w:line="247"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On September 3, 2024, the Company acquired all of the issued and outstanding equity interests in Tumbleweed-Q Royalties, LLC (the “Q Acquisition”), pursuant to a definitive purchase and sale agreement for consideration consisting of (i) approximately $114 million in cash, including transaction costs and certain customary post-closing adjustments, and (ii) contingent cash consideration of $2 million paid in January 2026 (the “Q Contingent Liability”) based on the WTI 2025 Average, which was between $60.00 and $ 65.00. The mineral and royalty interests acquired in the Q Acquisition represent approximately 406 net royalty acres located primarily in the Permian Basin. The cash consideration for the Q Acquisition was funded through a combination of cash on hand and borrowings under our previous revolving credit facility.</w:t>
      </w:r>
    </w:p>
    <w:p>
      <w:pPr>
        <w:spacing w:after="0" w:line="2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i w:val="1"/>
          <w:iCs w:val="1"/>
          <w:color w:val="auto"/>
        </w:rPr>
        <w:t>M Acquisition</w:t>
      </w:r>
    </w:p>
    <w:p>
      <w:pPr>
        <w:spacing w:after="0" w:line="247" w:lineRule="exact"/>
        <w:rPr>
          <w:sz w:val="20"/>
          <w:szCs w:val="20"/>
          <w:color w:val="auto"/>
        </w:rPr>
      </w:pPr>
    </w:p>
    <w:p>
      <w:pPr>
        <w:jc w:val="both"/>
        <w:ind w:left="20" w:firstLine="720"/>
        <w:spacing w:after="0" w:line="270" w:lineRule="auto"/>
        <w:rPr>
          <w:sz w:val="20"/>
          <w:szCs w:val="20"/>
          <w:color w:val="auto"/>
        </w:rPr>
      </w:pPr>
      <w:r>
        <w:rPr>
          <w:rFonts w:ascii="Times New Roman" w:cs="Times New Roman" w:eastAsia="Times New Roman" w:hAnsi="Times New Roman"/>
          <w:sz w:val="19"/>
          <w:szCs w:val="19"/>
          <w:color w:val="auto"/>
        </w:rPr>
        <w:t>On September 3, 2024, the Company acquired all of the issued and outstanding equity interests in MC TWR Royalties, LP and MC TWR Intermediate, LLC (the “M Acquisition”), pursuant to a definitive purchase and sale agreement for consideration consisting of (i) approximately $76 million in cash, including transaction costs and certain customary post-closing adjustments, and (ii) contingent cash consideration of $ 2 million paid in January 2026 (the “M Contingent Liability”) based on the WTI 2025 Average, which was between $60.00 and $65.00. The mineral and royalty interests acquired in the M Acquisition represent approximately 267 net royalty acres located primarily in the Permian Basin. The cash consideration for the M Acquisition was funded through a combination of cash on hand and borrowings under our previous revolving credit facility.</w:t>
      </w:r>
    </w:p>
    <w:p>
      <w:pPr>
        <w:spacing w:after="0" w:line="195"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The Q Contingent Liability, the M Contingent Liability and the TWR Contingent Liability are collectively referred to as the “2026 WTI Contingent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80"/>
          </w:cols>
          <w:pgMar w:left="980" w:top="214" w:right="980" w:bottom="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Other Acquisitions</w:t>
      </w:r>
    </w:p>
    <w:p>
      <w:pPr>
        <w:spacing w:after="0" w:line="253"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In addition to the acquisitions discussed above, during the year ended December 31, 2024, the Company acquired, in individually insignificant transactions from unrelated third-party sellers, mineral and royalty interests representing 261 net royalty acres in the Permian Basin for an aggregate purchase price of approximately $54 million, including customary closing adjustments. The Company funded these acquisitions with cash on hand and borrowings under our previous revolving credit facility.</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Divestiture</w:t>
      </w:r>
    </w:p>
    <w:p>
      <w:pPr>
        <w:spacing w:after="0" w:line="251"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In the second quarter of 2024, the Company divested all of its non-Permian assets for a purchase price of approximately $87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2023 Activity</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GRP Acquisition</w:t>
      </w:r>
    </w:p>
    <w:p>
      <w:pPr>
        <w:spacing w:after="0" w:line="24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On November 1, 2023, the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9,018,760 common units and $747 million in cash, including transaction costs and certain customary post-closing adjustments (the “GRP Acquisition”). The mineral and royalty interests acquired in the GRP Acquisition represent approximately 4,600 net royalty acres in the Permian Basin, and approximately 2,700 additional net royalty acres in other major basins. The cash consideration for the GRP Acquisition was funded through a combination of cash on hand and held in escrow, borrowings under our previous revolving credit facility, proceeds from the 2031 Notes (as defined and discussed in Note 6—Debt) and proceeds from the $200 million common unit issuance to Diamondback discussed further in Note 7—Stockholders’ Equity.</w:t>
      </w:r>
    </w:p>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2023 Drop Down</w:t>
      </w:r>
    </w:p>
    <w:p>
      <w:pPr>
        <w:spacing w:after="0" w:line="24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On March 8, 2023, the Company acquired certain mineral and royalty interests from subsidiaries of Diamondback for approximately $75 million in cash, including customary closing adjustments for net title benefits (the “2023 Drop Down”). The mineral and royalty interests acquired in the 2023 Drop Down represented approximately 660 net royalty acres in Ward County, Texas in the Southern Delaware Basin, 100% of which were operated by Diamondback, and had an average net royalty interest of approximately 7.2% and then-current production of approximately 300 BO/d. The Company funded the 2023 Drop Down through a combination of cash on hand and borrowings under our previous revolving credit facility. The 2023 Drop Down was accounted for as a transaction between entities under common control with the acquired properties recorded at Diamondback’s historical carrying value in the Company’s consolidated balance sheet. The historical carrying value of the properties approximated the 2023 Drop Down purchase price.</w:t>
      </w:r>
    </w:p>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Other Acquisitions</w:t>
      </w:r>
    </w:p>
    <w:p>
      <w:pPr>
        <w:spacing w:after="0" w:line="247"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Additionally during the year ended December 31, 2023, the Company acquired, in individually insignificant transactions from unrelated third -party sellers, mineral and royalty interests representing 286 net royalty acres in the Permian Basin for an aggregate purchase price of approximately $70 million, including customary closing adjustments. The Company funded these acquisitions with cash on hand and borrowings under our previous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80"/>
          </w:cols>
          <w:pgMar w:left="980" w:top="214" w:right="980" w:bottom="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720" w:hanging="709"/>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OIL AND NATURAL GAS INTERESTS</w:t>
      </w:r>
    </w:p>
    <w:p>
      <w:pPr>
        <w:spacing w:after="0" w:line="255"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Oil and natural gas interests include the following for the periods presented:</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44"/>
        </w:trPr>
        <w:tc>
          <w:tcPr>
            <w:tcW w:w="7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r>
      <w:tr>
        <w:trPr>
          <w:trHeight w:val="265"/>
        </w:trPr>
        <w:tc>
          <w:tcPr>
            <w:tcW w:w="7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8"/>
        </w:trPr>
        <w:tc>
          <w:tcPr>
            <w:tcW w:w="7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80" w:type="dxa"/>
            <w:vAlign w:val="bottom"/>
          </w:tcPr>
          <w:p>
            <w:pPr>
              <w:spacing w:after="0"/>
              <w:rPr>
                <w:sz w:val="23"/>
                <w:szCs w:val="23"/>
                <w:color w:val="auto"/>
              </w:rPr>
            </w:pPr>
          </w:p>
        </w:tc>
      </w:tr>
      <w:tr>
        <w:trPr>
          <w:trHeight w:val="297"/>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Oil and natural gas interests: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Proved properties</w:t>
            </w:r>
            <w:r>
              <w:rPr>
                <w:rFonts w:ascii="Times New Roman" w:cs="Times New Roman" w:eastAsia="Times New Roman" w:hAnsi="Times New Roman"/>
                <w:sz w:val="20"/>
                <w:szCs w:val="20"/>
                <w:color w:val="B3B3B3"/>
              </w:rPr>
              <w:t>............................................................................................................</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9,746</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w:t>
            </w:r>
          </w:p>
        </w:tc>
      </w:tr>
      <w:tr>
        <w:trPr>
          <w:trHeight w:val="302"/>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Unproved properties </w:t>
            </w:r>
            <w:r>
              <w:rPr>
                <w:rFonts w:ascii="Times New Roman" w:cs="Times New Roman" w:eastAsia="Times New Roman" w:hAnsi="Times New Roman"/>
                <w:sz w:val="20"/>
                <w:szCs w:val="20"/>
                <w:color w:val="B3B3B3"/>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4,910</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2,180</w:t>
            </w:r>
          </w:p>
        </w:tc>
      </w:tr>
      <w:tr>
        <w:trPr>
          <w:trHeight w:val="278"/>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Gross oil and natural gas interests </w:t>
            </w:r>
            <w:r>
              <w:rPr>
                <w:rFonts w:ascii="Times New Roman" w:cs="Times New Roman" w:eastAsia="Times New Roman" w:hAnsi="Times New Roman"/>
                <w:sz w:val="20"/>
                <w:szCs w:val="20"/>
                <w:color w:val="B3B3B3"/>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5,713</w:t>
            </w:r>
          </w:p>
        </w:tc>
      </w:tr>
      <w:tr>
        <w:trPr>
          <w:trHeight w:val="298"/>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Accumulated depletion </w:t>
            </w:r>
            <w:r>
              <w:rPr>
                <w:rFonts w:ascii="Times New Roman" w:cs="Times New Roman" w:eastAsia="Times New Roman" w:hAnsi="Times New Roman"/>
                <w:sz w:val="20"/>
                <w:szCs w:val="20"/>
                <w:color w:val="B3B3B3"/>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w:t>
            </w:r>
          </w:p>
        </w:tc>
      </w:tr>
      <w:tr>
        <w:trPr>
          <w:trHeight w:val="304"/>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Accumulated impairment</w:t>
            </w:r>
            <w:r>
              <w:rPr>
                <w:rFonts w:ascii="Times New Roman" w:cs="Times New Roman" w:eastAsia="Times New Roman" w:hAnsi="Times New Roman"/>
                <w:sz w:val="20"/>
                <w:szCs w:val="20"/>
                <w:color w:val="B3B3B3"/>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76"/>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Oil and natural gas interests, net </w:t>
            </w:r>
            <w:r>
              <w:rPr>
                <w:rFonts w:ascii="Times New Roman" w:cs="Times New Roman" w:eastAsia="Times New Roman" w:hAnsi="Times New Roman"/>
                <w:sz w:val="20"/>
                <w:szCs w:val="20"/>
                <w:color w:val="B3B3B3"/>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4,632</w:t>
            </w:r>
          </w:p>
        </w:tc>
      </w:tr>
      <w:tr>
        <w:trPr>
          <w:trHeight w:val="302"/>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Other property, equipment and land </w:t>
            </w:r>
            <w:r>
              <w:rPr>
                <w:rFonts w:ascii="Times New Roman" w:cs="Times New Roman" w:eastAsia="Times New Roman" w:hAnsi="Times New Roman"/>
                <w:sz w:val="20"/>
                <w:szCs w:val="20"/>
                <w:color w:val="B3B3B3"/>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64"/>
        </w:trPr>
        <w:tc>
          <w:tcPr>
            <w:tcW w:w="7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Property,netofaccumulateddepletionandimpairment</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12,209</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4,638</w:t>
            </w: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Balance of costs not subject to depletion: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71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Incurred in 2025</w:t>
            </w:r>
            <w:r>
              <w:rPr>
                <w:rFonts w:ascii="Times New Roman" w:cs="Times New Roman" w:eastAsia="Times New Roman" w:hAnsi="Times New Roman"/>
                <w:sz w:val="20"/>
                <w:szCs w:val="20"/>
                <w:color w:val="B3B3B3"/>
              </w:rPr>
              <w:t>..............................................................................................................</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3,614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7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Incurred in 2024</w:t>
            </w:r>
            <w:r>
              <w:rPr>
                <w:rFonts w:ascii="Times New Roman" w:cs="Times New Roman" w:eastAsia="Times New Roman" w:hAnsi="Times New Roman"/>
                <w:sz w:val="20"/>
                <w:szCs w:val="20"/>
                <w:color w:val="B3B3B3"/>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7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Incurred in 2023</w:t>
            </w:r>
            <w:r>
              <w:rPr>
                <w:rFonts w:ascii="Times New Roman" w:cs="Times New Roman" w:eastAsia="Times New Roman" w:hAnsi="Times New Roman"/>
                <w:sz w:val="20"/>
                <w:szCs w:val="20"/>
                <w:color w:val="B3B3B3"/>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71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xml:space="preserve">Prior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716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Total not subject to depletion</w:t>
            </w:r>
            <w:r>
              <w:rPr>
                <w:rFonts w:ascii="Times New Roman" w:cs="Times New Roman" w:eastAsia="Times New Roman" w:hAnsi="Times New Roman"/>
                <w:sz w:val="20"/>
                <w:szCs w:val="20"/>
                <w:color w:val="B3B3B3"/>
              </w:rPr>
              <w:t>.....................................................................................</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4,910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As of December 31, 2025, and 2024, the Company had mineral and royalty interests representing approximately 96,003 and 35,671 net royalty acres, respectively.</w:t>
      </w:r>
    </w:p>
    <w:p>
      <w:pPr>
        <w:spacing w:after="0" w:line="166"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Costs associated with unevaluated properties are excluded from the full cost pool until a determination as to the existence of proved reserves can be made. The inclusion of the Company’s unevaluated costs into the amortization base is expected to be completed within nine to 12 years. All costs incurred not subject to depletion are classified as acquisition costs.</w:t>
      </w:r>
    </w:p>
    <w:p>
      <w:pPr>
        <w:spacing w:after="0" w:line="187" w:lineRule="exact"/>
        <w:rPr>
          <w:sz w:val="20"/>
          <w:szCs w:val="20"/>
          <w:color w:val="auto"/>
        </w:rPr>
      </w:pPr>
    </w:p>
    <w:p>
      <w:pPr>
        <w:jc w:val="both"/>
        <w:ind w:left="20" w:firstLine="721"/>
        <w:spacing w:after="0" w:line="254" w:lineRule="auto"/>
        <w:rPr>
          <w:sz w:val="20"/>
          <w:szCs w:val="20"/>
          <w:color w:val="auto"/>
        </w:rPr>
      </w:pPr>
      <w:r>
        <w:rPr>
          <w:rFonts w:ascii="Times New Roman" w:cs="Times New Roman" w:eastAsia="Times New Roman" w:hAnsi="Times New Roman"/>
          <w:sz w:val="20"/>
          <w:szCs w:val="20"/>
          <w:color w:val="auto"/>
        </w:rPr>
        <w:t>Under the full cost method of accounting, the Company is required to perform a ceiling test each quarter. As a result of its ceiling test, the Company recorded aggregate non-cash ceiling test impairments for the year ended December 31, 2025 of $768 million. No impairment expense was recorded on the Company’s oil and natural gas interests for the years ended December 31, 2024 and 2023, based on the results of the respective quarterly ceiling tests. In addition to commodity prices, the Company’s production rates, levels of proved reserves, transfers of unevaluated properties, income tax rate assumptions and other factors will determine its actual ceiling test limitations and impairment analysis in future periods. If future SEC Prices decline as compared to the commodity prices used in prior quarters, the Company could have further write-downs in subsequent quarters, which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80"/>
          </w:cols>
          <w:pgMar w:left="980" w:top="214" w:right="98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720" w:hanging="709"/>
        <w:spacing w:after="0"/>
        <w:tabs>
          <w:tab w:leader="none" w:pos="72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w:t>
      </w:r>
    </w:p>
    <w:p>
      <w:pPr>
        <w:spacing w:after="0" w:line="255"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Long-term debt consisted of the following as of the dates indicated:</w:t>
      </w:r>
    </w:p>
    <w:p>
      <w:pPr>
        <w:spacing w:after="0" w:line="346"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6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6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2"/>
                <w:szCs w:val="22"/>
                <w:color w:val="auto"/>
              </w:rPr>
            </w:pPr>
          </w:p>
        </w:tc>
      </w:tr>
      <w:tr>
        <w:trPr>
          <w:trHeight w:val="269"/>
        </w:trPr>
        <w:tc>
          <w:tcPr>
            <w:tcW w:w="6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5"/>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 xml:space="preserve">5.375% Senior Notes due 2027 </w:t>
            </w:r>
            <w:r>
              <w:rPr>
                <w:rFonts w:ascii="Times New Roman" w:cs="Times New Roman" w:eastAsia="Times New Roman" w:hAnsi="Times New Roman"/>
                <w:sz w:val="20"/>
                <w:szCs w:val="20"/>
                <w:color w:val="B3B3B3"/>
                <w:w w:val="98"/>
              </w:rPr>
              <w:t>...............................................................................</w:t>
            </w:r>
          </w:p>
        </w:tc>
        <w:tc>
          <w:tcPr>
            <w:tcW w:w="1160" w:type="dxa"/>
            <w:vAlign w:val="bottom"/>
            <w:gridSpan w:val="2"/>
          </w:tcPr>
          <w:p>
            <w:pPr>
              <w:jc w:val="right"/>
              <w:ind w:right="91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20" w:type="dxa"/>
            <w:vAlign w:val="bottom"/>
          </w:tcPr>
          <w:p>
            <w:pPr>
              <w:spacing w:after="0"/>
              <w:rPr>
                <w:sz w:val="24"/>
                <w:szCs w:val="24"/>
                <w:color w:val="auto"/>
              </w:rPr>
            </w:pPr>
          </w:p>
        </w:tc>
      </w:tr>
      <w:tr>
        <w:trPr>
          <w:trHeight w:val="30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 xml:space="preserve">4.900% Senior Notes due 2030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 xml:space="preserve">7.375% Senior Notes due 2031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0" w:type="dxa"/>
            <w:vAlign w:val="bottom"/>
          </w:tcPr>
          <w:p>
            <w:pPr>
              <w:spacing w:after="0"/>
              <w:rPr>
                <w:sz w:val="24"/>
                <w:szCs w:val="24"/>
                <w:color w:val="auto"/>
              </w:rPr>
            </w:pPr>
          </w:p>
        </w:tc>
      </w:tr>
      <w:tr>
        <w:trPr>
          <w:trHeight w:val="30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 xml:space="preserve">5.700% Senior Notes due 2035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8"/>
              </w:rPr>
              <w:t xml:space="preserve">Term Loan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 xml:space="preserve">Revolving credit facility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tcPr>
          <w:p>
            <w:pPr>
              <w:spacing w:after="0"/>
              <w:rPr>
                <w:sz w:val="24"/>
                <w:szCs w:val="24"/>
                <w:color w:val="auto"/>
              </w:rPr>
            </w:pPr>
          </w:p>
        </w:tc>
      </w:tr>
      <w:tr>
        <w:trPr>
          <w:trHeight w:val="30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Unamortized debt issuance costs</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4"/>
                <w:szCs w:val="24"/>
                <w:color w:val="auto"/>
              </w:rPr>
            </w:pPr>
          </w:p>
        </w:tc>
      </w:tr>
      <w:tr>
        <w:trPr>
          <w:trHeight w:val="303"/>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Unamortized discount costs</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r>
      <w:tr>
        <w:trPr>
          <w:trHeight w:val="241"/>
        </w:trPr>
        <w:tc>
          <w:tcPr>
            <w:tcW w:w="6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xml:space="preserve">Total long-term debt </w:t>
            </w:r>
            <w:r>
              <w:rPr>
                <w:rFonts w:ascii="Times New Roman" w:cs="Times New Roman" w:eastAsia="Times New Roman" w:hAnsi="Times New Roman"/>
                <w:sz w:val="20"/>
                <w:szCs w:val="20"/>
                <w:color w:val="B3B3B3"/>
              </w:rPr>
              <w:t>...........................................................................................</w:t>
            </w:r>
          </w:p>
        </w:tc>
        <w:tc>
          <w:tcPr>
            <w:tcW w:w="1160" w:type="dxa"/>
            <w:vAlign w:val="bottom"/>
            <w:gridSpan w:val="2"/>
          </w:tcPr>
          <w:p>
            <w:pPr>
              <w:jc w:val="right"/>
              <w:ind w:right="9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1,083</w:t>
            </w:r>
          </w:p>
        </w:tc>
        <w:tc>
          <w:tcPr>
            <w:tcW w:w="20" w:type="dxa"/>
            <w:vAlign w:val="bottom"/>
          </w:tcPr>
          <w:p>
            <w:pPr>
              <w:spacing w:after="0"/>
              <w:rPr>
                <w:sz w:val="20"/>
                <w:szCs w:val="20"/>
                <w:color w:val="auto"/>
              </w:rPr>
            </w:pPr>
          </w:p>
        </w:tc>
      </w:tr>
      <w:tr>
        <w:trPr>
          <w:trHeight w:val="42"/>
        </w:trPr>
        <w:tc>
          <w:tcPr>
            <w:tcW w:w="64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2025 Revolving Credit Facility</w:t>
      </w:r>
    </w:p>
    <w:p>
      <w:pPr>
        <w:spacing w:after="0" w:line="256" w:lineRule="exact"/>
        <w:rPr>
          <w:sz w:val="20"/>
          <w:szCs w:val="20"/>
          <w:color w:val="auto"/>
        </w:rPr>
      </w:pPr>
    </w:p>
    <w:p>
      <w:pPr>
        <w:jc w:val="both"/>
        <w:ind w:left="20" w:right="20" w:firstLine="720"/>
        <w:spacing w:after="0" w:line="252" w:lineRule="auto"/>
        <w:rPr>
          <w:sz w:val="20"/>
          <w:szCs w:val="20"/>
          <w:color w:val="auto"/>
        </w:rPr>
      </w:pPr>
      <w:r>
        <w:rPr>
          <w:rFonts w:ascii="Times New Roman" w:cs="Times New Roman" w:eastAsia="Times New Roman" w:hAnsi="Times New Roman"/>
          <w:sz w:val="20"/>
          <w:szCs w:val="20"/>
          <w:color w:val="auto"/>
        </w:rPr>
        <w:t>On June 12, 2025, Former Viper, as guarantor, entered into a credit agreement with the Operating Company, as borrower, and Wells Fargo, as the administrative agent (the “2025 Revolving Credit Facility”), which among other things, provides the borrower with a senior unsecured revolving credit facility with a commitment of $1.5 billion, a swingline commitment of up to $50 million and a letter of credit commitment of $5 million. The 2025 Revolving Credit Facility has a maturity date of June 12, 2030, with the ability to request three extensions of the maturity date by one year. The 2025 Revolving Credit Facility was previously guaranteed by certain subsidiaries of the borrower, and upon completion of the Sitio Acquisition, those subsidiary guarantees were released and New Viper and Former Viper became co-guarantors. The 2025 Revolving Credit Facility replaced the borrower’s previous revolving credit facility, dated July 20, 2018, among the Company, the borrower and Wells Fargo as amended, restated, amended and restated, supplemented or otherwise modified prior to June 12, 2025. As of December 31, 2025, there was $105 million in outstanding borrowings and $ 1.4 billion available for future borrowings under the 2025 Revolving Credit Facility. For the years ended December 31, 2025, 2024 and 2023, the weighted average interest rates on borrowings under the borrower’s respective revolving credit facilities were 6.02%, 7.34%, and 7.41%, respectively.</w:t>
      </w:r>
    </w:p>
    <w:p>
      <w:pPr>
        <w:spacing w:after="0" w:line="214"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Borrowings under the 2025 Revolving Credit Facility bear interest at a per annum rate elected by the borrower that is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the Company’s long-term senior unsecured debt by certain ratings agencies.</w:t>
      </w:r>
    </w:p>
    <w:p>
      <w:pPr>
        <w:spacing w:after="0" w:line="207"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The 2025 Revolving Credit Facility contains a financial covenant that requires the Company to maintain a Total Net Debt to Capitalization Ratio (as defined in the 2025 Revolving Credit Facility) of no more than 65%. As of December 31, 2025, the borrower was in compliance with all financial maintenance covenants under the 2025 Revolving Credit Facility.</w:t>
      </w:r>
    </w:p>
    <w:p>
      <w:pPr>
        <w:spacing w:after="0" w:line="187"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On December 23, 2025, Old OpCo converted its legal form (the “OpCo Conversion”), in accordance with the applicable laws of the State of Delaware, to a Delaware limited partnership named Viper Energy Partners LP (“Viper LP”), which thereupon became the borrower with respect to the 2025 Revolving Credit Facility.</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Term Loan</w:t>
      </w:r>
    </w:p>
    <w:p>
      <w:pPr>
        <w:spacing w:after="0" w:line="256"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On July 23, 2025, in connection with the Sitio Acquisition, Former Viper, as guarantor, entered into a term loan credit agreement with the Operating Company, as borrower, and Goldman Sachs Bank USA, as administrative agent, (the “Term Loan”).</w:t>
      </w: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300"/>
          </w:cols>
          <w:pgMar w:left="980" w:top="214" w:right="960"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95"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The Term Loan provided the Company with the ability to borrow up to $500 million on a senior unsecured basis to fund a portion of the retirement of Sitio’s net debt, in connection with the Sitio Acquisition. On August 19, 2025, the date of closing of the Sitio Acquisition, the Term Loan was fully drawn in a single borrowing. Any then-outstanding amounts will mature and be payable in full on the second anniversary of the initial funding date. In connection with the closing of the Sitio Acquisition, New Viper became a co-guarantor of the Term Loan. During the year ended December 31, 2025, the weighted average interest rate on borrowings under the Term Loan was 5.72%.</w:t>
      </w:r>
    </w:p>
    <w:p>
      <w:pPr>
        <w:spacing w:after="0" w:line="204" w:lineRule="exact"/>
        <w:rPr>
          <w:sz w:val="20"/>
          <w:szCs w:val="20"/>
          <w:color w:val="auto"/>
        </w:rPr>
      </w:pPr>
    </w:p>
    <w:p>
      <w:pPr>
        <w:jc w:val="both"/>
        <w:ind w:left="20" w:firstLine="721"/>
        <w:spacing w:after="0" w:line="255" w:lineRule="auto"/>
        <w:rPr>
          <w:sz w:val="20"/>
          <w:szCs w:val="20"/>
          <w:color w:val="auto"/>
        </w:rPr>
      </w:pPr>
      <w:r>
        <w:rPr>
          <w:rFonts w:ascii="Times New Roman" w:cs="Times New Roman" w:eastAsia="Times New Roman" w:hAnsi="Times New Roman"/>
          <w:sz w:val="20"/>
          <w:szCs w:val="20"/>
          <w:color w:val="auto"/>
        </w:rPr>
        <w:t>Borrowings under the Term Loan bear interest at a per annum rate elected by the borrower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the Company’s long-term senior unsecured debt by certain ratings agencies. In addition, the fee on undrawn commitments is equal to 0.20% per annum on the aggregate principal amount of such commitments.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Following the OpCo Conversion, Viper LP became the borrower under the Term Loan.</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Guaranteed Senior Notes Offering</w:t>
      </w:r>
    </w:p>
    <w:p>
      <w:pPr>
        <w:spacing w:after="0" w:line="258"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On July 23, 2025, the Operating Company, as issuer, and Former Viper, as guarantor, issued $1.6 billion in aggregate principal amount of the Guaranteed Senior Notes consisting of (i) $500 million aggregate principal amount of 4.900% Senior Notes due August 1, 2030, (the “2030 Notes”), and (ii) $1.1 billion aggregate principal amount of 5.700% Senior Notes due August 1, 2035, (the “2035 Notes”). The Company received net proceeds of approximately $1.58 billion, after underwriters’ discounts and transaction costs. Interest on the Guaranteed Senior Notes is payable semi-annually in February and August of each year, beginning on February 1, 2026. Concurrently, the Company used approximately $824 million of the proceeds to redeem approximately $780 million in aggregate principal amounts of the Company’s outstanding Notes, including accrued interest due and applicable redemption premiums. Following the closing of the Sitio Acquisition, the Company used the remaining proceeds from the issuance of the Guaranteed Senior Notes to (i) retire Sitio’s 7.875% senior notes due 2028, (ii) partially repay borrowings under Sitio’s revolving credit facility, (iii) pay fees, costs and expenses related to the redemption or repayment of such debt, and (iv) for general corporate purposes.</w:t>
      </w:r>
    </w:p>
    <w:p>
      <w:pPr>
        <w:spacing w:after="0" w:line="217"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Guaranteed Senior Notes (i) are senior unsecured obligations and are fully and unconditionally guaranteed by Former Viper, and, following the closing of the Sitio Acquisition, also by New Viper, (ii) are senior in right of payment to any of the Company’s future subordinated indebtedness, and (iii) rank equal in right of payment with all of the Company’s existing and future senior indebtedness. The Guaranteed Senior Notes have been registered under the Securities Act.</w:t>
      </w:r>
    </w:p>
    <w:p>
      <w:pPr>
        <w:spacing w:after="0" w:line="197" w:lineRule="exact"/>
        <w:rPr>
          <w:sz w:val="20"/>
          <w:szCs w:val="20"/>
          <w:color w:val="auto"/>
        </w:rPr>
      </w:pPr>
    </w:p>
    <w:p>
      <w:pPr>
        <w:ind w:left="20" w:right="1060" w:firstLine="720"/>
        <w:spacing w:after="0" w:line="500" w:lineRule="auto"/>
        <w:rPr>
          <w:sz w:val="20"/>
          <w:szCs w:val="20"/>
          <w:color w:val="auto"/>
        </w:rPr>
      </w:pPr>
      <w:r>
        <w:rPr>
          <w:rFonts w:ascii="Times New Roman" w:cs="Times New Roman" w:eastAsia="Times New Roman" w:hAnsi="Times New Roman"/>
          <w:sz w:val="20"/>
          <w:szCs w:val="20"/>
          <w:color w:val="auto"/>
        </w:rPr>
        <w:t xml:space="preserve">Following the OpCo Conversion, Viper LP became the issuer with respect to the Guaranteed Senior Notes. </w:t>
      </w:r>
      <w:r>
        <w:rPr>
          <w:rFonts w:ascii="Times New Roman" w:cs="Times New Roman" w:eastAsia="Times New Roman" w:hAnsi="Times New Roman"/>
          <w:sz w:val="20"/>
          <w:szCs w:val="20"/>
          <w:b w:val="1"/>
          <w:bCs w:val="1"/>
          <w:color w:val="auto"/>
        </w:rPr>
        <w:t>Retirement of Notes</w:t>
      </w:r>
    </w:p>
    <w:p>
      <w:pPr>
        <w:spacing w:after="0" w:line="2"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During the second quarter of 2025, the Company opportunistically repurchased principal amounts of $50 million of its 5.375% Senior Notes due 2027 (the “2027 Notes”) in open market transactions for total cash consideration of $50 million, at an average of 99.7% of par value, resulting in an immaterial gain on extinguishment of debt for the year ended December 31, 2025.</w:t>
      </w:r>
    </w:p>
    <w:p>
      <w:pPr>
        <w:spacing w:after="0" w:line="19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On July 23, 2025, using proceeds from the issuance of the Guaranteed Senior Notes, the Company (i) redeemed all of its outstanding 7.375% Senior Notes maturing on November 1, 2031 (the “2031 Notes”), which were issued in October 2023 to partially fund the cash portion of the GRP Acquisition, for total cash consideration of approximately $434 million including the applicable redemption premium of 106.767% of par and accrued and unpaid interest up to, but not including, the redemption date, and (ii) deposited approximately $390 million to redeem all of its outstanding 2027 Notes on November 1, 2025, for total cash consideration, including payment of interest due to, but not including, the redemption date at a redemption price equal to 100% of the principal amount of the 2027 Notes. The redemption of the 2031 Notes resulted in a loss on extinguishment of debt of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80"/>
          </w:cols>
          <w:pgMar w:left="980" w:top="214" w:right="980" w:bottom="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amounts have been incurred and charged to interest expense for the years ended December 31, 2025,</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2024 and 2023:</w:t>
      </w:r>
    </w:p>
    <w:p>
      <w:pPr>
        <w:spacing w:after="0" w:line="344"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5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5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2"/>
                <w:szCs w:val="22"/>
                <w:color w:val="auto"/>
              </w:rPr>
            </w:pPr>
          </w:p>
        </w:tc>
      </w:tr>
      <w:tr>
        <w:trPr>
          <w:trHeight w:val="270"/>
        </w:trPr>
        <w:tc>
          <w:tcPr>
            <w:tcW w:w="5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r>
      <w:tr>
        <w:trPr>
          <w:trHeight w:val="295"/>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8"/>
              </w:rPr>
              <w:t>Interest expense</w:t>
            </w:r>
            <w:r>
              <w:rPr>
                <w:rFonts w:ascii="Times New Roman" w:cs="Times New Roman" w:eastAsia="Times New Roman" w:hAnsi="Times New Roman"/>
                <w:sz w:val="20"/>
                <w:szCs w:val="20"/>
                <w:color w:val="B3B3B3"/>
                <w:w w:val="98"/>
              </w:rPr>
              <w:t>..............................................................................................</w:t>
            </w:r>
          </w:p>
        </w:tc>
        <w:tc>
          <w:tcPr>
            <w:tcW w:w="90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24"/>
                <w:szCs w:val="24"/>
                <w:color w:val="auto"/>
              </w:rPr>
            </w:pPr>
          </w:p>
        </w:tc>
      </w:tr>
      <w:tr>
        <w:trPr>
          <w:trHeight w:val="298"/>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Other fees and expenses</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r>
      <w:tr>
        <w:trPr>
          <w:trHeight w:val="303"/>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Less: interest income</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auto"/>
            </w:tcBorders>
          </w:tcPr>
          <w:p>
            <w:pPr>
              <w:spacing w:after="0"/>
              <w:rPr>
                <w:sz w:val="24"/>
                <w:szCs w:val="24"/>
                <w:color w:val="auto"/>
              </w:rPr>
            </w:pPr>
          </w:p>
        </w:tc>
      </w:tr>
      <w:tr>
        <w:trPr>
          <w:trHeight w:val="241"/>
        </w:trPr>
        <w:tc>
          <w:tcPr>
            <w:tcW w:w="5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Interest expense, net</w:t>
            </w:r>
            <w:r>
              <w:rPr>
                <w:rFonts w:ascii="Times New Roman" w:cs="Times New Roman" w:eastAsia="Times New Roman" w:hAnsi="Times New Roman"/>
                <w:sz w:val="20"/>
                <w:szCs w:val="20"/>
                <w:color w:val="B3B3B3"/>
              </w:rPr>
              <w:t>..................................................................................</w:t>
            </w:r>
          </w:p>
        </w:tc>
        <w:tc>
          <w:tcPr>
            <w:tcW w:w="90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96</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6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0"/>
                <w:szCs w:val="20"/>
                <w:color w:val="auto"/>
              </w:rPr>
            </w:pPr>
          </w:p>
        </w:tc>
      </w:tr>
      <w:tr>
        <w:trPr>
          <w:trHeight w:val="43"/>
        </w:trPr>
        <w:tc>
          <w:tcPr>
            <w:tcW w:w="59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28" w:lineRule="exact"/>
        <w:rPr>
          <w:sz w:val="20"/>
          <w:szCs w:val="20"/>
          <w:color w:val="auto"/>
        </w:rPr>
      </w:pPr>
    </w:p>
    <w:p>
      <w:pPr>
        <w:ind w:left="720" w:hanging="709"/>
        <w:spacing w:after="0"/>
        <w:tabs>
          <w:tab w:leader="none" w:pos="7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256"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At December 31, 2025, the Company had a total of 170,942,687 shares of Class A Common Stock issued and outstanding and 187,023,698 shares of Class B Common Stock issued and outstanding. Additionally, at December 31, 2025, TWR IV held the TWR Class B Option to acquire up to 10,093,670 shares of the Company’s Class B Common Stock.</w:t>
      </w:r>
    </w:p>
    <w:p>
      <w:pPr>
        <w:spacing w:after="0" w:line="187"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In connection with the Reorganization, Viper in its position as managing member of New OpCo, along with affiliates of Diamondback, TWR IV and the Morita Ranches Equity Recipients adopted the Amended and Restated Limited Liability Company Agreement of New OpCo (the “New OpCo LLC Agreement”). The New OpCo LLC Agreement provides that members of New OpCo may require the Company to redeem all or a portion of the shares of the Company’s Class B Common Stock held by such member, together with an equal number of OpCo Units (one share of Class B Common Stock together with one OpCo Unit) in exchange for (i) an equivalent number of shares of the Company’s Class A Common Stock, or (ii) cash consideration subject to the terms and conditions included in the New OpCo LLC Agreement.</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presents the beneficial ownership of Common Stock and OpCo Units as of December 31, 2025:</w:t>
      </w:r>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416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2"/>
          </w:tcPr>
          <w:p>
            <w:pPr>
              <w:jc w:val="right"/>
              <w:ind w:right="643"/>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340" w:type="dxa"/>
            <w:vAlign w:val="bottom"/>
            <w:tcBorders>
              <w:bottom w:val="single" w:sz="8" w:color="auto"/>
            </w:tcBorders>
          </w:tcPr>
          <w:p>
            <w:pPr>
              <w:spacing w:after="0"/>
              <w:rPr>
                <w:sz w:val="22"/>
                <w:szCs w:val="22"/>
                <w:color w:val="auto"/>
              </w:rPr>
            </w:pPr>
          </w:p>
        </w:tc>
      </w:tr>
      <w:tr>
        <w:trPr>
          <w:trHeight w:val="215"/>
        </w:trPr>
        <w:tc>
          <w:tcPr>
            <w:tcW w:w="4160" w:type="dxa"/>
            <w:vAlign w:val="bottom"/>
          </w:tcPr>
          <w:p>
            <w:pPr>
              <w:spacing w:after="0"/>
              <w:rPr>
                <w:sz w:val="18"/>
                <w:szCs w:val="18"/>
                <w:color w:val="auto"/>
              </w:rPr>
            </w:pPr>
          </w:p>
        </w:tc>
        <w:tc>
          <w:tcPr>
            <w:tcW w:w="1720" w:type="dxa"/>
            <w:vAlign w:val="bottom"/>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7"/>
              </w:rPr>
              <w:t>Shares of Common</w:t>
            </w:r>
          </w:p>
        </w:tc>
        <w:tc>
          <w:tcPr>
            <w:tcW w:w="1520" w:type="dxa"/>
            <w:vAlign w:val="bottom"/>
          </w:tcPr>
          <w:p>
            <w:pPr>
              <w:spacing w:after="0"/>
              <w:rPr>
                <w:sz w:val="18"/>
                <w:szCs w:val="18"/>
                <w:color w:val="auto"/>
              </w:rPr>
            </w:pPr>
          </w:p>
        </w:tc>
        <w:tc>
          <w:tcPr>
            <w:tcW w:w="1440" w:type="dxa"/>
            <w:vAlign w:val="bottom"/>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8"/>
              </w:rPr>
              <w:t>OpCo Units</w:t>
            </w:r>
          </w:p>
        </w:tc>
        <w:tc>
          <w:tcPr>
            <w:tcW w:w="1340" w:type="dxa"/>
            <w:vAlign w:val="bottom"/>
          </w:tcPr>
          <w:p>
            <w:pPr>
              <w:spacing w:after="0"/>
              <w:rPr>
                <w:sz w:val="18"/>
                <w:szCs w:val="18"/>
                <w:color w:val="auto"/>
              </w:rPr>
            </w:pPr>
          </w:p>
        </w:tc>
      </w:tr>
      <w:tr>
        <w:trPr>
          <w:trHeight w:val="209"/>
        </w:trPr>
        <w:tc>
          <w:tcPr>
            <w:tcW w:w="4160" w:type="dxa"/>
            <w:vAlign w:val="bottom"/>
          </w:tcPr>
          <w:p>
            <w:pPr>
              <w:spacing w:after="0"/>
              <w:rPr>
                <w:sz w:val="18"/>
                <w:szCs w:val="18"/>
                <w:color w:val="auto"/>
              </w:rPr>
            </w:pPr>
          </w:p>
        </w:tc>
        <w:tc>
          <w:tcPr>
            <w:tcW w:w="1720" w:type="dxa"/>
            <w:vAlign w:val="bottom"/>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1520" w:type="dxa"/>
            <w:vAlign w:val="bottom"/>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59"/>
        </w:trPr>
        <w:tc>
          <w:tcPr>
            <w:tcW w:w="4160" w:type="dxa"/>
            <w:vAlign w:val="bottom"/>
          </w:tcPr>
          <w:p>
            <w:pPr>
              <w:spacing w:after="0"/>
              <w:rPr>
                <w:sz w:val="22"/>
                <w:szCs w:val="22"/>
                <w:color w:val="auto"/>
              </w:rPr>
            </w:pPr>
          </w:p>
        </w:tc>
        <w:tc>
          <w:tcPr>
            <w:tcW w:w="17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5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1"/>
                <w:szCs w:val="11"/>
                <w:b w:val="1"/>
                <w:bCs w:val="1"/>
                <w:color w:val="auto"/>
              </w:rPr>
              <w:t>(1)</w:t>
            </w:r>
          </w:p>
        </w:tc>
        <w:tc>
          <w:tcPr>
            <w:tcW w:w="14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78"/>
        </w:trPr>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Public equity holders of Class A Common Stock </w:t>
            </w:r>
            <w:r>
              <w:rPr>
                <w:rFonts w:ascii="Times New Roman" w:cs="Times New Roman" w:eastAsia="Times New Roman" w:hAnsi="Times New Roman"/>
                <w:sz w:val="20"/>
                <w:szCs w:val="20"/>
                <w:color w:val="B3B3B3"/>
                <w:w w:val="98"/>
              </w:rPr>
              <w:t>....</w:t>
            </w: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170,942,687</w:t>
            </w:r>
          </w:p>
        </w:tc>
        <w:tc>
          <w:tcPr>
            <w:tcW w:w="15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46.5 %</w:t>
            </w: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98"/>
        </w:trPr>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Viper and subsidiaries</w:t>
            </w:r>
            <w:r>
              <w:rPr>
                <w:rFonts w:ascii="Times New Roman" w:cs="Times New Roman" w:eastAsia="Times New Roman" w:hAnsi="Times New Roman"/>
                <w:sz w:val="20"/>
                <w:szCs w:val="20"/>
                <w:color w:val="B3B3B3"/>
                <w:w w:val="99"/>
              </w:rPr>
              <w:t>...............................................</w:t>
            </w: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 %</w:t>
            </w: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170,942,687</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46.5 %</w:t>
            </w:r>
          </w:p>
        </w:tc>
      </w:tr>
      <w:tr>
        <w:trPr>
          <w:trHeight w:val="300"/>
        </w:trPr>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Diamondback and subsidiaries </w:t>
            </w:r>
            <w:r>
              <w:rPr>
                <w:rFonts w:ascii="Times New Roman" w:cs="Times New Roman" w:eastAsia="Times New Roman" w:hAnsi="Times New Roman"/>
                <w:sz w:val="20"/>
                <w:szCs w:val="20"/>
                <w:color w:val="B3B3B3"/>
                <w:w w:val="98"/>
              </w:rPr>
              <w:t>.................................</w:t>
            </w: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155,058,093</w:t>
            </w:r>
          </w:p>
        </w:tc>
        <w:tc>
          <w:tcPr>
            <w:tcW w:w="15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42.1 %</w:t>
            </w: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155,058,093</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42.1 %</w:t>
            </w:r>
          </w:p>
        </w:tc>
      </w:tr>
      <w:tr>
        <w:trPr>
          <w:trHeight w:val="298"/>
        </w:trPr>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Sitio OpCo former equity holders</w:t>
            </w:r>
            <w:r>
              <w:rPr>
                <w:rFonts w:ascii="Times New Roman" w:cs="Times New Roman" w:eastAsia="Times New Roman" w:hAnsi="Times New Roman"/>
                <w:sz w:val="20"/>
                <w:szCs w:val="20"/>
                <w:color w:val="B3B3B3"/>
                <w:w w:val="99"/>
              </w:rPr>
              <w:t>.............................</w:t>
            </w: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29,565,308</w:t>
            </w:r>
          </w:p>
        </w:tc>
        <w:tc>
          <w:tcPr>
            <w:tcW w:w="15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8.0 %</w:t>
            </w: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29,565,308</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8.0 %</w:t>
            </w:r>
          </w:p>
        </w:tc>
      </w:tr>
      <w:tr>
        <w:trPr>
          <w:trHeight w:val="300"/>
        </w:trPr>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TWR IV</w:t>
            </w:r>
            <w:r>
              <w:rPr>
                <w:rFonts w:ascii="Times New Roman" w:cs="Times New Roman" w:eastAsia="Times New Roman" w:hAnsi="Times New Roman"/>
                <w:sz w:val="12"/>
                <w:szCs w:val="12"/>
                <w:color w:val="auto"/>
                <w:w w:val="98"/>
              </w:rPr>
              <w:t>(1)</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B3B3B3"/>
                <w:w w:val="98"/>
              </w:rPr>
              <w:t>.................................................................</w:t>
            </w: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10,093,670</w:t>
            </w:r>
          </w:p>
        </w:tc>
        <w:tc>
          <w:tcPr>
            <w:tcW w:w="15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2.7 %</w:t>
            </w: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10,093,670</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2.7 %</w:t>
            </w:r>
          </w:p>
        </w:tc>
      </w:tr>
      <w:tr>
        <w:trPr>
          <w:trHeight w:val="304"/>
        </w:trPr>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Morita Ranches Equity Recipients </w:t>
            </w:r>
            <w:r>
              <w:rPr>
                <w:rFonts w:ascii="Times New Roman" w:cs="Times New Roman" w:eastAsia="Times New Roman" w:hAnsi="Times New Roman"/>
                <w:sz w:val="20"/>
                <w:szCs w:val="20"/>
                <w:color w:val="B3B3B3"/>
                <w:w w:val="98"/>
              </w:rPr>
              <w:t>...........................</w:t>
            </w:r>
          </w:p>
        </w:tc>
        <w:tc>
          <w:tcPr>
            <w:tcW w:w="1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20"/>
                <w:szCs w:val="20"/>
                <w:color w:val="auto"/>
              </w:rPr>
              <w:t>2,400,297</w:t>
            </w:r>
          </w:p>
        </w:tc>
        <w:tc>
          <w:tcPr>
            <w:tcW w:w="15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20"/>
                <w:szCs w:val="20"/>
                <w:color w:val="auto"/>
              </w:rPr>
              <w:t>0.7 %</w:t>
            </w:r>
          </w:p>
        </w:tc>
        <w:tc>
          <w:tcPr>
            <w:tcW w:w="14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color w:val="auto"/>
              </w:rPr>
              <w:t>2,400,297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0.7 %</w:t>
            </w:r>
          </w:p>
        </w:tc>
      </w:tr>
      <w:tr>
        <w:trPr>
          <w:trHeight w:val="266"/>
        </w:trPr>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Ownership</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B3B3B3"/>
              </w:rPr>
              <w:t>......................................................</w:t>
            </w: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368,060,055</w:t>
            </w:r>
          </w:p>
        </w:tc>
        <w:tc>
          <w:tcPr>
            <w:tcW w:w="15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100.0 %</w:t>
            </w:r>
          </w:p>
        </w:tc>
        <w:tc>
          <w:tcPr>
            <w:tcW w:w="144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368,060,055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2696845</wp:posOffset>
                </wp:positionH>
                <wp:positionV relativeFrom="paragraph">
                  <wp:posOffset>27305</wp:posOffset>
                </wp:positionV>
                <wp:extent cx="382651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651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35pt,2.15pt" to="513.65pt,2.15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2696845</wp:posOffset>
                </wp:positionH>
                <wp:positionV relativeFrom="paragraph">
                  <wp:posOffset>2540</wp:posOffset>
                </wp:positionV>
                <wp:extent cx="382651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651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35pt,0.2pt" to="513.65pt,0.2pt" o:allowincell="f" strokecolor="#000000" strokeweight="0.96pt"/>
            </w:pict>
          </mc:Fallback>
        </mc:AlternateConten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 On a fully diluted basis, assuming TWR IV exercises the TWR Class B Option.</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2025 Equity Offering</w:t>
      </w:r>
    </w:p>
    <w:p>
      <w:pPr>
        <w:spacing w:after="0" w:line="258" w:lineRule="exact"/>
        <w:rPr>
          <w:sz w:val="20"/>
          <w:szCs w:val="20"/>
          <w:color w:val="auto"/>
        </w:rPr>
      </w:pPr>
    </w:p>
    <w:p>
      <w:pPr>
        <w:ind w:left="20" w:right="20" w:firstLine="720"/>
        <w:spacing w:after="0" w:line="257" w:lineRule="auto"/>
        <w:rPr>
          <w:sz w:val="20"/>
          <w:szCs w:val="20"/>
          <w:color w:val="auto"/>
        </w:rPr>
      </w:pPr>
      <w:r>
        <w:rPr>
          <w:rFonts w:ascii="Times New Roman" w:cs="Times New Roman" w:eastAsia="Times New Roman" w:hAnsi="Times New Roman"/>
          <w:sz w:val="20"/>
          <w:szCs w:val="20"/>
          <w:color w:val="auto"/>
        </w:rPr>
        <w:t>On February 3, 2025, the Company completed an underwritten public offering of 28,336,000 shares of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 The Company used the net proceeds from the 2025 Equity Offering to fund (i) the cash consideration for the Morita Ranches Acquisition, (ii) a portion of the cash consideration for the 2025 Drop Down, and (iii)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300"/>
          </w:cols>
          <w:pgMar w:left="980" w:top="214" w:right="960"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2024 Equity Offering</w:t>
      </w:r>
    </w:p>
    <w:p>
      <w:pPr>
        <w:spacing w:after="0" w:line="258" w:lineRule="exact"/>
        <w:rPr>
          <w:sz w:val="20"/>
          <w:szCs w:val="20"/>
          <w:color w:val="auto"/>
        </w:rPr>
      </w:pPr>
    </w:p>
    <w:p>
      <w:pPr>
        <w:ind w:left="20" w:firstLine="720"/>
        <w:spacing w:after="0" w:line="258" w:lineRule="auto"/>
        <w:rPr>
          <w:sz w:val="20"/>
          <w:szCs w:val="20"/>
          <w:color w:val="auto"/>
        </w:rPr>
      </w:pPr>
      <w:r>
        <w:rPr>
          <w:rFonts w:ascii="Times New Roman" w:cs="Times New Roman" w:eastAsia="Times New Roman" w:hAnsi="Times New Roman"/>
          <w:sz w:val="20"/>
          <w:szCs w:val="20"/>
          <w:color w:val="auto"/>
        </w:rPr>
        <w:t>On September 13, 2024, the Company completed an underwritten public offering of 11,500,000 shares of Class A Common Stock, which included 1,500,000 shares issued pursuant to an option to purchase additional shares of Class A Common Stock granted to the underwriters, at a price to the public of $42.50 per share for total net proceeds of approximately $476 million, after the underwriters’ discount and transaction costs (the “2024 Equity Offering”). The net proceeds were used to fund a portion of the cash consideration for the TWR Acquisition.</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2023 Viper Issuance of Common Units to Diamondback</w:t>
      </w:r>
    </w:p>
    <w:p>
      <w:pPr>
        <w:spacing w:after="0" w:line="256"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In October 2023, the Company issued 7,215,007 of its common units to Diamondback at a price of $27.72 per unit for total net proceeds of approximately $200 million. The net proceeds were used to fund a portion of the cash consideration for the GRP Acquisition. During 2024, Diamondback sold all of its shares of the Company’s Class A Common Stock in the Diamondback Offering discussed in Note 1—Organization and Basis of Presentation.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Repurchase Program</w:t>
      </w:r>
    </w:p>
    <w:p>
      <w:pPr>
        <w:spacing w:after="0" w:line="25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Previously, the Company’s board of directors authorized a $750 million repurchase program, with respect to the repurchase of the Company’s Class A Common Stock, excluding excise tax, over an indefinite period of time. On December 10, 2025, the Company’s board of directors expanded the repurchase program to also include repurchases of the Company’s Class B Common Stock and OpCo Units. The Company has purchased and intends to continue to purchase shares of Common Stock and OpCo Units under the repurchase program opportunistically with funds from cash on hand, free cash flow from operations and potential liquidity events such as the sale of assets. This repurchase program may be suspended, modified or extended, from time to time, or may be discontinued at any time, in each case, by the Company’s board of directors.</w:t>
      </w:r>
    </w:p>
    <w:p>
      <w:pPr>
        <w:spacing w:after="0" w:line="207"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2025, repurchases under the repurchase program totaled $194 million, which includes approximately $41 million for the repurchase of 1,000,000 OpCo Units from an affiliate of Kimmeridge Energy Management Company, LLC (“Kimmeridge”) in a privately negotiated transaction on December 10, 2025. Concurrently, a corresponding number of shares of the Company’s Class B Common Stock owned by Kimmeridge were cancelled. During the year ended December 31, 2024, there were no repurchases under the repurchase program. Repurchases of $95 million for the year ended December 31, 2023, include approximately $29 million for the repurchase of 1,000,000 shares of Class A Common Stock from GRP in a privately negotiated transaction in the fourth quarter of 2023. As of December 31, 2025, $241 million remains available under the repurchase program, excluding excise tax.</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Cash Dividends</w:t>
      </w:r>
    </w:p>
    <w:p>
      <w:pPr>
        <w:spacing w:after="0" w:line="258"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board of directors of the Company has established a dividend policy, whereby the Operating Company distributes all or a portion of its available cash on a quarterly basis to holders of the OpCo Units. Viper in turn distributes all or a portion of the available cash it receives from the Operating Company to holders of its Class A Common Stock through base and variable dividends that take into account capital returned to stockholders via its repurchase program. The Company’s available cash and the available cash of the Operating Company for each quarter is determined by the board of directors following the end of such quarter. The Company’s dividend policy currently requires the Company to pay quarterly variable dividends of at least 75% of its available cash less the base dividend declared and the amount paid for repurchases of the Company’s Common Stock and OpCo Units as part of its repurchase program for the applicable quarter. Additionally, the Company’s board of directors may approve certain one-time discretionary adjustments to the calculation of cash available for distribution.</w:t>
      </w:r>
    </w:p>
    <w:p>
      <w:pPr>
        <w:spacing w:after="0" w:line="214"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Company expects that its available cash will generally equal the Adjusted EBITDA attributable to the Company for the applicable quarter, less cash needed for income taxes payable; debt service, contractual obligations, fixed charges and reserves for future operating or capital needs that the Company’s board of directors deems necessary or appropriate; lease bonus income (net of applicable taxes); dividend equivalent rights payments; preferred distributions and an adjustment for changes in ownership interests that occurred subsequent to the quarter, if any.</w:t>
      </w:r>
    </w:p>
    <w:p>
      <w:pPr>
        <w:spacing w:after="0" w:line="199"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The percentage of cash available for distribution by the Operating Company pursuant to the distribution policy may change quarterly to enable the Operating Company to retain cash flow to help strengthen the Company’s balance sheet while also expanding the return of capital program through the Company’s repurchase program. The Company is not required to pay dividends to the holders of its Class A Common Stock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80"/>
          </w:cols>
          <w:pgMar w:left="980" w:top="214" w:right="980"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Company is also required to pay a quarterly preferred dividend in respect of its Class B Common Stock in the aggregate amount of $20,000 per quarter, which is consistent with the Partnership’s pre-Conversion preferred distribution requirement. Other than the preferred dividend requirement, the Company is not required to pay dividends to the holders of its Common Stock on a quarterly or other basis, and declaration of any other dividends in the future will be solely in the discretion of the Company’s board of directors.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distributions and dividends paid during the years ended</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December 31, 2025, 2024 and 2023 (in millions except per share amounts):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89"/>
        </w:trPr>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2"/>
        </w:trPr>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220" w:type="dxa"/>
            <w:vAlign w:val="bottom"/>
          </w:tcPr>
          <w:p>
            <w:pPr>
              <w:spacing w:after="0"/>
              <w:rPr>
                <w:sz w:val="16"/>
                <w:szCs w:val="16"/>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2"/>
        </w:trPr>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Distributions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 Class A</w:t>
            </w:r>
          </w:p>
        </w:tc>
        <w:tc>
          <w:tcPr>
            <w:tcW w:w="260" w:type="dxa"/>
            <w:vAlign w:val="bottom"/>
          </w:tcPr>
          <w:p>
            <w:pPr>
              <w:spacing w:after="0"/>
              <w:rPr>
                <w:sz w:val="16"/>
                <w:szCs w:val="16"/>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5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560" w:type="dxa"/>
            <w:vAlign w:val="bottom"/>
          </w:tcPr>
          <w:p>
            <w:pPr>
              <w:spacing w:after="0"/>
              <w:rPr>
                <w:sz w:val="16"/>
                <w:szCs w:val="16"/>
                <w:color w:val="auto"/>
              </w:rPr>
            </w:pPr>
          </w:p>
        </w:tc>
      </w:tr>
      <w:tr>
        <w:trPr>
          <w:trHeight w:val="202"/>
        </w:trPr>
        <w:tc>
          <w:tcPr>
            <w:tcW w:w="8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 OpCo</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60" w:type="dxa"/>
            <w:vAlign w:val="bottom"/>
          </w:tcPr>
          <w:p>
            <w:pPr>
              <w:spacing w:after="0"/>
              <w:rPr>
                <w:sz w:val="17"/>
                <w:szCs w:val="17"/>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5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 Record</w:t>
            </w:r>
          </w:p>
        </w:tc>
        <w:tc>
          <w:tcPr>
            <w:tcW w:w="1560" w:type="dxa"/>
            <w:vAlign w:val="bottom"/>
          </w:tcPr>
          <w:p>
            <w:pPr>
              <w:spacing w:after="0"/>
              <w:rPr>
                <w:sz w:val="17"/>
                <w:szCs w:val="17"/>
                <w:color w:val="auto"/>
              </w:rPr>
            </w:pPr>
          </w:p>
        </w:tc>
      </w:tr>
      <w:tr>
        <w:trPr>
          <w:trHeight w:val="226"/>
        </w:trPr>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340" w:type="dxa"/>
            <w:vAlign w:val="bottom"/>
            <w:tcBorders>
              <w:bottom w:val="single" w:sz="8" w:color="auto"/>
            </w:tcBorders>
            <w:gridSpan w:val="2"/>
          </w:tcPr>
          <w:p>
            <w:pPr>
              <w:ind w:left="120"/>
              <w:spacing w:after="0" w:line="226" w:lineRule="exact"/>
              <w:rPr>
                <w:sz w:val="20"/>
                <w:szCs w:val="20"/>
                <w:color w:val="auto"/>
              </w:rPr>
            </w:pPr>
            <w:r>
              <w:rPr>
                <w:rFonts w:ascii="Times New Roman" w:cs="Times New Roman" w:eastAsia="Times New Roman" w:hAnsi="Times New Roman"/>
                <w:sz w:val="16"/>
                <w:szCs w:val="16"/>
                <w:b w:val="1"/>
                <w:bCs w:val="1"/>
                <w:color w:val="auto"/>
                <w:w w:val="99"/>
              </w:rPr>
              <w:t>Stockholders</w:t>
            </w:r>
            <w:r>
              <w:rPr>
                <w:rFonts w:ascii="Times New Roman" w:cs="Times New Roman" w:eastAsia="Times New Roman" w:hAnsi="Times New Roman"/>
                <w:sz w:val="20"/>
                <w:szCs w:val="20"/>
                <w:b w:val="1"/>
                <w:bCs w:val="1"/>
                <w:color w:val="auto"/>
                <w:w w:val="99"/>
                <w:vertAlign w:val="superscript"/>
              </w:rPr>
              <w:t>(1)(2)</w:t>
            </w:r>
          </w:p>
        </w:tc>
        <w:tc>
          <w:tcPr>
            <w:tcW w:w="15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5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Payment Date</w:t>
            </w:r>
          </w:p>
        </w:tc>
      </w:tr>
      <w:tr>
        <w:trPr>
          <w:trHeight w:val="234"/>
        </w:trPr>
        <w:tc>
          <w:tcPr>
            <w:tcW w:w="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Q4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January 30, 2025</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March 6,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13, 2025</w:t>
            </w:r>
          </w:p>
        </w:tc>
      </w:tr>
      <w:tr>
        <w:trPr>
          <w:trHeight w:val="28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Q1 2025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0.70</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May 1, 2025</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May 15,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22, 2025</w:t>
            </w:r>
          </w:p>
        </w:tc>
      </w:tr>
      <w:tr>
        <w:trPr>
          <w:trHeight w:val="28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Q2 2025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July 31, 2025</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August 14,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21, 2025</w:t>
            </w:r>
          </w:p>
        </w:tc>
      </w:tr>
      <w:tr>
        <w:trPr>
          <w:trHeight w:val="283"/>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Q3 2025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October 30, 2025</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November 13,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20, 2025</w:t>
            </w:r>
          </w:p>
        </w:tc>
      </w:tr>
      <w:tr>
        <w:trPr>
          <w:trHeight w:val="257"/>
        </w:trPr>
        <w:tc>
          <w:tcPr>
            <w:tcW w:w="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3"/>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Q4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February 15, 2024</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March 5,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2024</w:t>
            </w:r>
          </w:p>
        </w:tc>
      </w:tr>
      <w:tr>
        <w:trPr>
          <w:trHeight w:val="28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Q1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0.70</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April 25, 2024</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May 15,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22, 2024</w:t>
            </w:r>
          </w:p>
        </w:tc>
      </w:tr>
      <w:tr>
        <w:trPr>
          <w:trHeight w:val="283"/>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Q2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August 1, 2024</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August 15,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22, 2024</w:t>
            </w:r>
          </w:p>
        </w:tc>
      </w:tr>
      <w:tr>
        <w:trPr>
          <w:trHeight w:val="28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Q3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October 31, 2024</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November 14,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21, 2024</w:t>
            </w:r>
          </w:p>
        </w:tc>
      </w:tr>
      <w:tr>
        <w:trPr>
          <w:trHeight w:val="257"/>
        </w:trPr>
        <w:tc>
          <w:tcPr>
            <w:tcW w:w="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3"/>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Q4 2022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February 15, 2023</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March 3,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10, 2023</w:t>
            </w:r>
          </w:p>
        </w:tc>
      </w:tr>
      <w:tr>
        <w:trPr>
          <w:trHeight w:val="283"/>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Q1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April 26, 2023</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May 11,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2023</w:t>
            </w:r>
          </w:p>
        </w:tc>
      </w:tr>
      <w:tr>
        <w:trPr>
          <w:trHeight w:val="28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Q2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July 25, 2023</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August 10,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2023</w:t>
            </w:r>
          </w:p>
        </w:tc>
      </w:tr>
      <w:tr>
        <w:trPr>
          <w:trHeight w:val="26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Q3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0.70</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November 2, 2023</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November 16,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24, 2023</w:t>
            </w:r>
          </w:p>
        </w:tc>
      </w:tr>
    </w:tbl>
    <w:p>
      <w:pPr>
        <w:spacing w:after="0" w:line="66" w:lineRule="exact"/>
        <w:rPr>
          <w:sz w:val="20"/>
          <w:szCs w:val="20"/>
          <w:color w:val="auto"/>
        </w:rPr>
      </w:pPr>
    </w:p>
    <w:p>
      <w:pPr>
        <w:jc w:val="both"/>
        <w:ind w:left="380" w:hanging="369"/>
        <w:spacing w:after="0" w:line="250"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the first quarter of 2024 include amounts paid to Diamondback for the 7,946,507 shares of Class A Common Stock then beneficially owned by Diamondback and distributions equivalent rights payments. As of March 31, 2024, Diamondback did not beneficially own any shares of Class A Common Stock.</w:t>
      </w:r>
    </w:p>
    <w:p>
      <w:pPr>
        <w:spacing w:after="0" w:line="1" w:lineRule="exact"/>
        <w:rPr>
          <w:rFonts w:ascii="Times New Roman" w:cs="Times New Roman" w:eastAsia="Times New Roman" w:hAnsi="Times New Roman"/>
          <w:sz w:val="18"/>
          <w:szCs w:val="18"/>
          <w:color w:val="auto"/>
        </w:rPr>
      </w:pPr>
    </w:p>
    <w:p>
      <w:pPr>
        <w:ind w:left="380" w:hanging="369"/>
        <w:spacing w:after="0" w:line="284"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distributions paid in 2023, includes amounts paid to Diamondback for the 731,500 common units then beneficially owned by Diamondback.</w:t>
      </w:r>
    </w:p>
    <w:p>
      <w:pPr>
        <w:spacing w:after="0" w:line="172"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Cash dividends will be made to the holders of record of the Company’s Class A Common Stock on the applicable record date, generally within 60 days after the end of each quarter.</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Changes in Ownership of Consolidated Subsidiaries</w:t>
      </w:r>
    </w:p>
    <w:p>
      <w:pPr>
        <w:spacing w:after="0" w:line="256"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Non-controlling interest in the accompanying consolidated financial statements represents the ownership interests of Diamondback, Sitio OpCo’s former equity holders, TWR IV and the Morita Ranches Equity Recipients in the net assets of the Operating Company. The non-controlling interests’ relative ownership in the Operating Company can change due to the purchase or sale of the Company’s Common Stock, the Company’s public offerings of shares of Class A Common Stock for which proceeds are contributed to the Operating Company in exchange for OpCo Units, issuance of shares of Class A Common Stock or issuance of shares of Class B Common Stock and OpCo Units for acquisitions, share-based compensation, repurchases of shares of Common Stock or OpCo Units and dividend equivalent rights paid on the Company’s Class A Common Stock. These changes in ownership percentage result in adjustments to non-controlling interest and stockholders’ equity, tax effected, but do not impact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80"/>
          </w:cols>
          <w:pgMar w:left="980" w:top="214" w:right="980"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6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summarizes the changes in stockholders’ equity due to changes in ownership interest during the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period:</w:t>
      </w:r>
    </w:p>
    <w:p>
      <w:pPr>
        <w:spacing w:after="0" w:line="346"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6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2"/>
                <w:szCs w:val="22"/>
                <w:color w:val="auto"/>
              </w:rPr>
            </w:pPr>
          </w:p>
        </w:tc>
      </w:tr>
      <w:tr>
        <w:trPr>
          <w:trHeight w:val="269"/>
        </w:trPr>
        <w:tc>
          <w:tcPr>
            <w:tcW w:w="6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r>
      <w:tr>
        <w:trPr>
          <w:trHeight w:val="295"/>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Net income (loss) attributable to the Company ................................................</w:t>
            </w:r>
          </w:p>
        </w:tc>
        <w:tc>
          <w:tcPr>
            <w:tcW w:w="88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Pr>
          <w:p>
            <w:pPr>
              <w:spacing w:after="0"/>
              <w:rPr>
                <w:sz w:val="24"/>
                <w:szCs w:val="24"/>
                <w:color w:val="auto"/>
              </w:rPr>
            </w:pPr>
          </w:p>
        </w:tc>
      </w:tr>
      <w:tr>
        <w:trPr>
          <w:trHeight w:val="302"/>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Change in ownership of consolidated subsidiaries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Borders>
              <w:bottom w:val="single" w:sz="8" w:color="auto"/>
            </w:tcBorders>
          </w:tcPr>
          <w:p>
            <w:pPr>
              <w:spacing w:after="0"/>
              <w:rPr>
                <w:sz w:val="24"/>
                <w:szCs w:val="24"/>
                <w:color w:val="auto"/>
              </w:rPr>
            </w:pPr>
          </w:p>
        </w:tc>
      </w:tr>
      <w:tr>
        <w:trPr>
          <w:trHeight w:val="254"/>
        </w:trPr>
        <w:tc>
          <w:tcPr>
            <w:tcW w:w="60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Change from net income (loss) attributable to the Company’s</w:t>
            </w: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6080" w:type="dxa"/>
            <w:vAlign w:val="bottom"/>
            <w:gridSpan w:val="2"/>
          </w:tcPr>
          <w:p>
            <w:pPr>
              <w:ind w:left="220"/>
              <w:spacing w:after="0" w:line="229" w:lineRule="exact"/>
              <w:rPr>
                <w:sz w:val="20"/>
                <w:szCs w:val="20"/>
                <w:color w:val="auto"/>
              </w:rPr>
            </w:pPr>
            <w:r>
              <w:rPr>
                <w:rFonts w:ascii="Times New Roman" w:cs="Times New Roman" w:eastAsia="Times New Roman" w:hAnsi="Times New Roman"/>
                <w:sz w:val="20"/>
                <w:szCs w:val="20"/>
                <w:color w:val="auto"/>
              </w:rPr>
              <w:t xml:space="preserve">stockholders and transfers with non-controlling interest </w:t>
            </w:r>
            <w:r>
              <w:rPr>
                <w:rFonts w:ascii="Times New Roman" w:cs="Times New Roman" w:eastAsia="Times New Roman" w:hAnsi="Times New Roman"/>
                <w:sz w:val="20"/>
                <w:szCs w:val="20"/>
                <w:color w:val="B3B3B3"/>
              </w:rPr>
              <w:t>...........................</w:t>
            </w:r>
          </w:p>
        </w:tc>
        <w:tc>
          <w:tcPr>
            <w:tcW w:w="880" w:type="dxa"/>
            <w:vAlign w:val="bottom"/>
            <w:gridSpan w:val="2"/>
          </w:tcPr>
          <w:p>
            <w:pPr>
              <w:jc w:val="right"/>
              <w:ind w:right="760"/>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380</w:t>
            </w:r>
          </w:p>
        </w:tc>
        <w:tc>
          <w:tcPr>
            <w:tcW w:w="260" w:type="dxa"/>
            <w:vAlign w:val="bottom"/>
            <w:gridSpan w:val="4"/>
          </w:tcPr>
          <w:p>
            <w:pPr>
              <w:jc w:val="right"/>
              <w:ind w:right="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418</w:t>
            </w:r>
          </w:p>
        </w:tc>
        <w:tc>
          <w:tcPr>
            <w:tcW w:w="460" w:type="dxa"/>
            <w:vAlign w:val="bottom"/>
            <w:gridSpan w:val="4"/>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3"/>
              <w:spacing w:after="0" w:line="229" w:lineRule="exact"/>
              <w:rPr>
                <w:sz w:val="20"/>
                <w:szCs w:val="20"/>
                <w:color w:val="auto"/>
              </w:rPr>
            </w:pPr>
            <w:r>
              <w:rPr>
                <w:rFonts w:ascii="Times New Roman" w:cs="Times New Roman" w:eastAsia="Times New Roman" w:hAnsi="Times New Roman"/>
                <w:sz w:val="20"/>
                <w:szCs w:val="20"/>
                <w:color w:val="auto"/>
              </w:rPr>
              <w:t>98</w:t>
            </w:r>
          </w:p>
        </w:tc>
        <w:tc>
          <w:tcPr>
            <w:tcW w:w="20" w:type="dxa"/>
            <w:vAlign w:val="bottom"/>
          </w:tcPr>
          <w:p>
            <w:pPr>
              <w:spacing w:after="0"/>
              <w:rPr>
                <w:sz w:val="19"/>
                <w:szCs w:val="19"/>
                <w:color w:val="auto"/>
              </w:rPr>
            </w:pPr>
          </w:p>
        </w:tc>
      </w:tr>
      <w:tr>
        <w:trPr>
          <w:trHeight w:val="42"/>
        </w:trPr>
        <w:tc>
          <w:tcPr>
            <w:tcW w:w="60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27" w:lineRule="exact"/>
        <w:rPr>
          <w:sz w:val="20"/>
          <w:szCs w:val="20"/>
          <w:color w:val="auto"/>
        </w:rPr>
      </w:pPr>
    </w:p>
    <w:p>
      <w:pPr>
        <w:ind w:left="720" w:hanging="709"/>
        <w:spacing w:after="0"/>
        <w:tabs>
          <w:tab w:leader="none" w:pos="72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COMMON SHARE</w:t>
      </w:r>
    </w:p>
    <w:p>
      <w:pPr>
        <w:spacing w:after="0" w:line="256" w:lineRule="exact"/>
        <w:rPr>
          <w:sz w:val="20"/>
          <w:szCs w:val="20"/>
          <w:color w:val="auto"/>
        </w:rPr>
      </w:pPr>
    </w:p>
    <w:p>
      <w:pPr>
        <w:jc w:val="both"/>
        <w:ind w:left="20" w:right="60" w:firstLine="720"/>
        <w:spacing w:after="0" w:line="289" w:lineRule="auto"/>
        <w:rPr>
          <w:sz w:val="20"/>
          <w:szCs w:val="20"/>
          <w:color w:val="auto"/>
        </w:rPr>
      </w:pPr>
      <w:r>
        <w:rPr>
          <w:rFonts w:ascii="Times New Roman" w:cs="Times New Roman" w:eastAsia="Times New Roman" w:hAnsi="Times New Roman"/>
          <w:sz w:val="20"/>
          <w:szCs w:val="20"/>
          <w:color w:val="auto"/>
        </w:rPr>
        <w:t>The net income (loss) per common share on the consolidated statements of operations is based on the net income (loss) attributable to the Company’s Class A Common Stock for the years ended December 31, 2025, 2024 and 2023.</w:t>
      </w:r>
    </w:p>
    <w:p>
      <w:pPr>
        <w:spacing w:after="0" w:line="166" w:lineRule="exact"/>
        <w:rPr>
          <w:sz w:val="20"/>
          <w:szCs w:val="20"/>
          <w:color w:val="auto"/>
        </w:rPr>
      </w:pPr>
    </w:p>
    <w:p>
      <w:pPr>
        <w:jc w:val="both"/>
        <w:ind w:left="20" w:right="60" w:firstLine="720"/>
        <w:spacing w:after="0" w:line="258" w:lineRule="auto"/>
        <w:rPr>
          <w:sz w:val="20"/>
          <w:szCs w:val="20"/>
          <w:color w:val="auto"/>
        </w:rPr>
      </w:pPr>
      <w:r>
        <w:rPr>
          <w:rFonts w:ascii="Times New Roman" w:cs="Times New Roman" w:eastAsia="Times New Roman" w:hAnsi="Times New Roman"/>
          <w:sz w:val="20"/>
          <w:szCs w:val="20"/>
          <w:color w:val="auto"/>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spacing w:after="0" w:line="2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 reconciliation of the components of basic and diluted earnings per common share is presented in the table below:</w:t>
      </w: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64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11"/>
          </w:tcPr>
          <w:p>
            <w:pPr>
              <w:jc w:val="center"/>
              <w:ind w:left="324"/>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4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4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amounts, shares in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Net income (loss) attributable to the period ..........................................................</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24"/>
                <w:szCs w:val="24"/>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359</w:t>
            </w:r>
          </w:p>
        </w:tc>
        <w:tc>
          <w:tcPr>
            <w:tcW w:w="44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Less: net income (loss) allocated to participating securities</w:t>
            </w:r>
            <w:r>
              <w:rPr>
                <w:rFonts w:ascii="Times New Roman" w:cs="Times New Roman" w:eastAsia="Times New Roman" w:hAnsi="Times New Roman"/>
                <w:sz w:val="25"/>
                <w:szCs w:val="25"/>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3B3B3"/>
                <w:w w:val="99"/>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4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 xml:space="preserve">Net income (loss) attributable to common stockholders </w:t>
            </w:r>
            <w:r>
              <w:rPr>
                <w:rFonts w:ascii="Times New Roman" w:cs="Times New Roman" w:eastAsia="Times New Roman" w:hAnsi="Times New Roman"/>
                <w:sz w:val="20"/>
                <w:szCs w:val="20"/>
                <w:color w:val="B3B3B3"/>
              </w:rPr>
              <w:t>................................</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(69)</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4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3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6340" w:type="dxa"/>
            <w:vAlign w:val="bottom"/>
            <w:gridSpan w:val="4"/>
            <w:vMerge w:val="continue"/>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w w:val="89"/>
              </w:rPr>
              <w:t>Basic</w:t>
            </w:r>
          </w:p>
        </w:tc>
        <w:tc>
          <w:tcPr>
            <w:tcW w:w="5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640" w:type="dxa"/>
            <w:vAlign w:val="bottom"/>
            <w:vMerge w:val="continue"/>
          </w:tcPr>
          <w:p>
            <w:pPr>
              <w:spacing w:after="0"/>
              <w:rPr>
                <w:sz w:val="22"/>
                <w:szCs w:val="22"/>
                <w:color w:val="auto"/>
              </w:rPr>
            </w:pPr>
          </w:p>
        </w:tc>
        <w:tc>
          <w:tcPr>
            <w:tcW w:w="57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weighted average common shares outstanding</w:t>
            </w:r>
            <w:r>
              <w:rPr>
                <w:rFonts w:ascii="Times New Roman" w:cs="Times New Roman" w:eastAsia="Times New Roman" w:hAnsi="Times New Roman"/>
                <w:sz w:val="20"/>
                <w:szCs w:val="20"/>
                <w:color w:val="B3B3B3"/>
              </w:rPr>
              <w:t>.....................................</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142,530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93,932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74,176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1"/>
              </w:rPr>
              <w:t>Effect</w:t>
            </w:r>
          </w:p>
        </w:tc>
        <w:tc>
          <w:tcPr>
            <w:tcW w:w="57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of dilutive securities: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4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rPr>
              <w:t>Pot ential common shares issuable</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5680" w:type="dxa"/>
            <w:vAlign w:val="bottom"/>
            <w:gridSpan w:val="2"/>
          </w:tcPr>
          <w:p>
            <w:pPr>
              <w:ind w:left="80"/>
              <w:spacing w:after="0" w:line="227"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Dilutedweightedaveragecommonsharesoutstanding</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142,530</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93,932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74,176</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Net income (loss) per common share, basic</w:t>
            </w:r>
          </w:p>
        </w:tc>
        <w:tc>
          <w:tcPr>
            <w:tcW w:w="2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620" w:type="dxa"/>
            <w:vAlign w:val="bottom"/>
            <w:gridSpan w:val="5"/>
            <w:vMerge w:val="continue"/>
          </w:tcPr>
          <w:p>
            <w:pPr>
              <w:ind w:left="342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0" w:type="dxa"/>
            <w:vAlign w:val="bottom"/>
          </w:tcPr>
          <w:p>
            <w:pPr>
              <w:spacing w:after="0"/>
              <w:rPr>
                <w:sz w:val="22"/>
                <w:szCs w:val="22"/>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3.82</w:t>
            </w:r>
          </w:p>
        </w:tc>
        <w:tc>
          <w:tcPr>
            <w:tcW w:w="44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Net income (loss) per common share, diluted .......................................................</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0" w:type="dxa"/>
            <w:vAlign w:val="bottom"/>
          </w:tcPr>
          <w:p>
            <w:pPr>
              <w:spacing w:after="0"/>
              <w:rPr>
                <w:sz w:val="23"/>
                <w:szCs w:val="23"/>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3.82</w:t>
            </w:r>
          </w:p>
        </w:tc>
        <w:tc>
          <w:tcPr>
            <w:tcW w:w="44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wp:posOffset>
                </wp:positionH>
                <wp:positionV relativeFrom="paragraph">
                  <wp:posOffset>-1097280</wp:posOffset>
                </wp:positionV>
                <wp:extent cx="0" cy="72136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136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86.3999pt" to="36.1pt,-29.5999pt" o:allowincell="f" strokecolor="#000000" strokeweight="0.75pt"/>
            </w:pict>
          </mc:Fallback>
        </mc:AlternateContent>
      </w:r>
    </w:p>
    <w:p>
      <w:pPr>
        <w:spacing w:after="0" w:line="32" w:lineRule="exact"/>
        <w:rPr>
          <w:sz w:val="20"/>
          <w:szCs w:val="20"/>
          <w:color w:val="auto"/>
        </w:rPr>
      </w:pPr>
    </w:p>
    <w:p>
      <w:pPr>
        <w:jc w:val="both"/>
        <w:ind w:left="380" w:right="60" w:hanging="369"/>
        <w:spacing w:after="0" w:line="250" w:lineRule="auto"/>
        <w:tabs>
          <w:tab w:leader="none" w:pos="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Unvested restricted stock units and performance restricted stock units that contain non-forfeitable dividend equivalent rights are considered participating securities and are therefore included in the earnings per share calculation pursuant to the two-class method.</w:t>
      </w:r>
    </w:p>
    <w:p>
      <w:pPr>
        <w:spacing w:after="0" w:line="1" w:lineRule="exact"/>
        <w:rPr>
          <w:rFonts w:ascii="Times New Roman" w:cs="Times New Roman" w:eastAsia="Times New Roman" w:hAnsi="Times New Roman"/>
          <w:sz w:val="20"/>
          <w:szCs w:val="20"/>
          <w:color w:val="auto"/>
        </w:rPr>
      </w:pPr>
    </w:p>
    <w:p>
      <w:pPr>
        <w:jc w:val="both"/>
        <w:ind w:left="380" w:right="60" w:hanging="369"/>
        <w:spacing w:after="0" w:line="261" w:lineRule="auto"/>
        <w:tabs>
          <w:tab w:leader="none" w:pos="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2025, 110,342 potential common shares were excluded from the computation of diluted earnings per common share because their inclusion would have been anti-dilutive as a result of recording a net loss attributable to the common shareholders for the period. For the years ended December 31, 2024 and 2023 no significant potential common shares were excluded from the computation of diluted earnings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340"/>
          </w:cols>
          <w:pgMar w:left="980" w:top="214" w:right="920" w:bottom="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6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720" w:hanging="709"/>
        <w:spacing w:after="0"/>
        <w:tabs>
          <w:tab w:leader="none" w:pos="72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8" w:lineRule="exact"/>
        <w:rPr>
          <w:sz w:val="20"/>
          <w:szCs w:val="20"/>
          <w:color w:val="auto"/>
        </w:rPr>
      </w:pPr>
    </w:p>
    <w:p>
      <w:pPr>
        <w:jc w:val="both"/>
        <w:ind w:left="20" w:right="60" w:firstLine="720"/>
        <w:spacing w:after="0" w:line="254" w:lineRule="auto"/>
        <w:rPr>
          <w:sz w:val="20"/>
          <w:szCs w:val="20"/>
          <w:color w:val="auto"/>
        </w:rPr>
      </w:pPr>
      <w:r>
        <w:rPr>
          <w:rFonts w:ascii="Times New Roman" w:cs="Times New Roman" w:eastAsia="Times New Roman" w:hAnsi="Times New Roman"/>
          <w:sz w:val="20"/>
          <w:szCs w:val="20"/>
          <w:color w:val="auto"/>
        </w:rPr>
        <w:t>The Company’s total income tax benefit for the year ended December 31, 2025, differed from amounts computed by applying the United States federal statutory tax rate to pre-tax loss for the period primarily due to net loss attributable to the non-controlling interest. For the year ended December 31, 2024, the Company’s total income tax benefit differed from amounts computed by applying the United States federal statutory tax rate to pre-tax income for the period primarily due to the release of the remaining valuation allowance during the fourth quarter and net income attributable to non-controlling interests. For the year ended December 31, 2023, total income tax expense differed from amounts computed by applying the United States federal statutory rate to pre -tax income for the period primarily due to net income attributable to the non-controlling interest and the impact of reductions to the valuation allowance.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components of the provision for income taxes for the years ended December 31, 2025, 2024 and 2023 are as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follows:</w:t>
      </w:r>
    </w:p>
    <w:p>
      <w:pPr>
        <w:spacing w:after="0" w:line="33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5720" w:type="dxa"/>
            <w:vAlign w:val="bottom"/>
          </w:tcPr>
          <w:p>
            <w:pPr>
              <w:spacing w:after="0"/>
              <w:rPr>
                <w:sz w:val="22"/>
                <w:szCs w:val="22"/>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2"/>
                <w:szCs w:val="22"/>
                <w:color w:val="auto"/>
              </w:rPr>
            </w:pPr>
          </w:p>
        </w:tc>
      </w:tr>
      <w:tr>
        <w:trPr>
          <w:trHeight w:val="268"/>
        </w:trPr>
        <w:tc>
          <w:tcPr>
            <w:tcW w:w="5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r>
      <w:tr>
        <w:trPr>
          <w:trHeight w:val="297"/>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Current income tax provision (benefit):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Federal</w:t>
            </w:r>
            <w:r>
              <w:rPr>
                <w:rFonts w:ascii="Times New Roman" w:cs="Times New Roman" w:eastAsia="Times New Roman" w:hAnsi="Times New Roman"/>
                <w:sz w:val="20"/>
                <w:szCs w:val="20"/>
                <w:color w:val="B3B3B3"/>
              </w:rPr>
              <w:t>.................................................................................................</w:t>
            </w:r>
          </w:p>
        </w:tc>
        <w:tc>
          <w:tcPr>
            <w:tcW w:w="100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4"/>
                <w:szCs w:val="24"/>
                <w:color w:val="auto"/>
              </w:rPr>
            </w:pPr>
          </w:p>
        </w:tc>
      </w:tr>
      <w:tr>
        <w:trPr>
          <w:trHeight w:val="302"/>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State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r>
      <w:tr>
        <w:trPr>
          <w:trHeight w:val="276"/>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current income tax provision (benefit)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24"/>
                <w:szCs w:val="24"/>
                <w:color w:val="auto"/>
              </w:rPr>
            </w:pP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provision (benefit):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Federal</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r>
      <w:tr>
        <w:trPr>
          <w:trHeight w:val="302"/>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State</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r>
      <w:tr>
        <w:trPr>
          <w:trHeight w:val="280"/>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deferred income tax provision (benefit)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r>
      <w:tr>
        <w:trPr>
          <w:trHeight w:val="264"/>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Totalprovision(benefit)fromincometaxes</w:t>
            </w: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4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2"/>
                <w:szCs w:val="22"/>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 reconciliation of the statutory federal income tax amount to the recorded expense is as follows:</w:t>
      </w:r>
    </w:p>
    <w:p>
      <w:pPr>
        <w:spacing w:after="0" w:line="33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940" w:type="dxa"/>
            <w:vAlign w:val="bottom"/>
            <w:tcBorders>
              <w:top w:val="single" w:sz="8" w:color="auto"/>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940" w:type="dxa"/>
            <w:vAlign w:val="bottom"/>
            <w:tcBorders>
              <w:top w:val="single" w:sz="8" w:color="auto"/>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60" w:type="dxa"/>
            <w:vAlign w:val="bottom"/>
          </w:tcPr>
          <w:p>
            <w:pPr>
              <w:spacing w:after="0"/>
              <w:rPr>
                <w:sz w:val="16"/>
                <w:szCs w:val="16"/>
                <w:color w:val="auto"/>
              </w:rPr>
            </w:pPr>
          </w:p>
        </w:tc>
      </w:t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Income</w:t>
            </w: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(Loss) Before</w:t>
            </w:r>
          </w:p>
        </w:tc>
        <w:tc>
          <w:tcPr>
            <w:tcW w:w="2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(Loss) Before</w:t>
            </w:r>
          </w:p>
        </w:tc>
        <w:tc>
          <w:tcPr>
            <w:tcW w:w="2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(Loss) Before</w:t>
            </w:r>
          </w:p>
        </w:tc>
      </w:tr>
      <w:tr>
        <w:trPr>
          <w:trHeight w:val="224"/>
        </w:trPr>
        <w:tc>
          <w:tcPr>
            <w:tcW w:w="362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Income Taxes</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Income Taxes</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Income Taxes</w:t>
            </w:r>
          </w:p>
        </w:tc>
      </w:tr>
      <w:tr>
        <w:trPr>
          <w:trHeight w:val="26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at the federal</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9"/>
        </w:trPr>
        <w:tc>
          <w:tcPr>
            <w:tcW w:w="3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B3B3B3"/>
              </w:rPr>
              <w:t>...............................................</w:t>
            </w:r>
            <w:r>
              <w:rPr>
                <w:rFonts w:ascii="Times New Roman" w:cs="Times New Roman" w:eastAsia="Times New Roman" w:hAnsi="Times New Roman"/>
                <w:sz w:val="18"/>
                <w:szCs w:val="18"/>
                <w:color w:val="000000"/>
              </w:rPr>
              <w:t>statutoryrate(21%)</w:t>
            </w: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Borders>
              <w:top w:val="single" w:sz="8" w:color="auto"/>
              <w:right w:val="single" w:sz="8" w:color="auto"/>
            </w:tcBorders>
          </w:tcPr>
          <w:p>
            <w:pPr>
              <w:spacing w:after="0"/>
              <w:rPr>
                <w:sz w:val="20"/>
                <w:szCs w:val="20"/>
                <w:color w:val="auto"/>
              </w:rPr>
            </w:pPr>
          </w:p>
        </w:tc>
      </w:tr>
      <w:tr>
        <w:trPr>
          <w:trHeight w:val="220"/>
        </w:trPr>
        <w:tc>
          <w:tcPr>
            <w:tcW w:w="3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income tax, net of federal income tax</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r>
      <w:tr>
        <w:trPr>
          <w:trHeight w:val="248"/>
        </w:trPr>
        <w:tc>
          <w:tcPr>
            <w:tcW w:w="3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B3B3B3"/>
              </w:rPr>
              <w:t>...................................................................</w:t>
            </w: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righ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86"/>
        </w:trPr>
        <w:tc>
          <w:tcPr>
            <w:tcW w:w="3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xml:space="preserve">Changes in valuation allowances </w:t>
            </w:r>
            <w:r>
              <w:rPr>
                <w:rFonts w:ascii="Times New Roman" w:cs="Times New Roman" w:eastAsia="Times New Roman" w:hAnsi="Times New Roman"/>
                <w:sz w:val="18"/>
                <w:szCs w:val="18"/>
                <w:color w:val="B3B3B3"/>
                <w:w w:val="99"/>
              </w:rPr>
              <w:t>..........................</w:t>
            </w:r>
          </w:p>
        </w:tc>
        <w:tc>
          <w:tcPr>
            <w:tcW w:w="2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right w:val="single" w:sz="8" w:color="auto"/>
            </w:tcBorders>
          </w:tcPr>
          <w:p>
            <w:pPr>
              <w:spacing w:after="0"/>
              <w:rPr>
                <w:sz w:val="24"/>
                <w:szCs w:val="24"/>
                <w:color w:val="auto"/>
              </w:rPr>
            </w:pPr>
          </w:p>
        </w:tc>
      </w:tr>
      <w:tr>
        <w:trPr>
          <w:trHeight w:val="225"/>
        </w:trPr>
        <w:tc>
          <w:tcPr>
            <w:tcW w:w="36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r>
      <w:tr>
        <w:trPr>
          <w:trHeight w:val="350"/>
        </w:trPr>
        <w:tc>
          <w:tcPr>
            <w:tcW w:w="3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Impact of nontaxable noncontrolling interest </w:t>
            </w:r>
            <w:r>
              <w:rPr>
                <w:rFonts w:ascii="Times New Roman" w:cs="Times New Roman" w:eastAsia="Times New Roman" w:hAnsi="Times New Roman"/>
                <w:sz w:val="18"/>
                <w:szCs w:val="18"/>
                <w:color w:val="B3B3B3"/>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4"/>
                <w:szCs w:val="24"/>
                <w:color w:val="auto"/>
              </w:rPr>
            </w:pPr>
          </w:p>
        </w:tc>
      </w:tr>
      <w:tr>
        <w:trPr>
          <w:trHeight w:val="20"/>
        </w:trPr>
        <w:tc>
          <w:tcPr>
            <w:tcW w:w="36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r>
      <w:tr>
        <w:trPr>
          <w:trHeight w:val="220"/>
        </w:trPr>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Provision for (benefit from) income taxes</w:t>
            </w:r>
            <w:r>
              <w:rPr>
                <w:rFonts w:ascii="Times New Roman" w:cs="Times New Roman" w:eastAsia="Times New Roman" w:hAnsi="Times New Roman"/>
                <w:sz w:val="18"/>
                <w:szCs w:val="18"/>
                <w:color w:val="B3B3B3"/>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2339975</wp:posOffset>
                </wp:positionH>
                <wp:positionV relativeFrom="paragraph">
                  <wp:posOffset>36830</wp:posOffset>
                </wp:positionV>
                <wp:extent cx="6381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25pt,2.9pt" to="234.5pt,2.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3025775</wp:posOffset>
                </wp:positionH>
                <wp:positionV relativeFrom="paragraph">
                  <wp:posOffset>36830</wp:posOffset>
                </wp:positionV>
                <wp:extent cx="6762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25pt,2.9pt" to="291.5pt,2.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3749675</wp:posOffset>
                </wp:positionH>
                <wp:positionV relativeFrom="paragraph">
                  <wp:posOffset>36830</wp:posOffset>
                </wp:positionV>
                <wp:extent cx="6381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25pt,2.9pt" to="345.5pt,2.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4435475</wp:posOffset>
                </wp:positionH>
                <wp:positionV relativeFrom="paragraph">
                  <wp:posOffset>36830</wp:posOffset>
                </wp:positionV>
                <wp:extent cx="6762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25pt,2.9pt" to="402.5pt,2.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5159375</wp:posOffset>
                </wp:positionH>
                <wp:positionV relativeFrom="paragraph">
                  <wp:posOffset>36830</wp:posOffset>
                </wp:positionV>
                <wp:extent cx="6381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25pt,2.9pt" to="456.5pt,2.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5845175</wp:posOffset>
                </wp:positionH>
                <wp:positionV relativeFrom="paragraph">
                  <wp:posOffset>36830</wp:posOffset>
                </wp:positionV>
                <wp:extent cx="6762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25pt,2.9pt" to="513.5pt,2.9pt" o:allowincell="f" strokecolor="#000000" strokeweight="1pt"/>
            </w:pict>
          </mc:Fallback>
        </mc:AlternateContent>
      </w:r>
    </w:p>
    <w:p>
      <w:pPr>
        <w:spacing w:after="0" w:line="47"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State taxes in Texas make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340"/>
          </w:cols>
          <w:pgMar w:left="980" w:top="214" w:right="920" w:bottom="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components of the Company’s deferred tax assets and liabilities as of December 31, 2025 and 2024 are as follows:</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7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5"/>
        </w:trPr>
        <w:tc>
          <w:tcPr>
            <w:tcW w:w="7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3"/>
                <w:szCs w:val="23"/>
                <w:color w:val="auto"/>
              </w:rPr>
            </w:pPr>
          </w:p>
        </w:tc>
        <w:tc>
          <w:tcPr>
            <w:tcW w:w="80" w:type="dxa"/>
            <w:vAlign w:val="bottom"/>
            <w:gridSpan w:val="2"/>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7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7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Net operating loss and capital loss carryforwards</w:t>
            </w:r>
            <w:r>
              <w:rPr>
                <w:rFonts w:ascii="Times New Roman" w:cs="Times New Roman" w:eastAsia="Times New Roman" w:hAnsi="Times New Roman"/>
                <w:sz w:val="20"/>
                <w:szCs w:val="20"/>
                <w:color w:val="B3B3B3"/>
              </w:rPr>
              <w:t>.............................................................</w:t>
            </w:r>
          </w:p>
        </w:tc>
        <w:tc>
          <w:tcPr>
            <w:tcW w:w="94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80" w:type="dxa"/>
            <w:vAlign w:val="bottom"/>
            <w:gridSpan w:val="3"/>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r>
      <w:tr>
        <w:trPr>
          <w:trHeight w:val="302"/>
        </w:trPr>
        <w:tc>
          <w:tcPr>
            <w:tcW w:w="7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Investment in the Operating Company </w:t>
            </w:r>
            <w:r>
              <w:rPr>
                <w:rFonts w:ascii="Times New Roman" w:cs="Times New Roman" w:eastAsia="Times New Roman" w:hAnsi="Times New Roman"/>
                <w:sz w:val="20"/>
                <w:szCs w:val="20"/>
                <w:color w:val="B3B3B3"/>
              </w:rPr>
              <w:t>.............................................................................</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 w:type="dxa"/>
            <w:vAlign w:val="bottom"/>
          </w:tcPr>
          <w:p>
            <w:pPr>
              <w:spacing w:after="0"/>
              <w:rPr>
                <w:sz w:val="24"/>
                <w:szCs w:val="24"/>
                <w:color w:val="auto"/>
              </w:rPr>
            </w:pPr>
          </w:p>
        </w:tc>
      </w:tr>
      <w:tr>
        <w:trPr>
          <w:trHeight w:val="278"/>
        </w:trPr>
        <w:tc>
          <w:tcPr>
            <w:tcW w:w="7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Total deferred tax assets</w:t>
            </w:r>
            <w:r>
              <w:rPr>
                <w:rFonts w:ascii="Times New Roman" w:cs="Times New Roman" w:eastAsia="Times New Roman" w:hAnsi="Times New Roman"/>
                <w:sz w:val="20"/>
                <w:szCs w:val="20"/>
                <w:color w:val="B3B3B3"/>
              </w:rPr>
              <w:t>...............................................................................................</w:t>
            </w:r>
          </w:p>
        </w:tc>
        <w:tc>
          <w:tcPr>
            <w:tcW w:w="9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 w:type="dxa"/>
            <w:vAlign w:val="bottom"/>
          </w:tcPr>
          <w:p>
            <w:pPr>
              <w:spacing w:after="0"/>
              <w:rPr>
                <w:sz w:val="24"/>
                <w:szCs w:val="24"/>
                <w:color w:val="auto"/>
              </w:rPr>
            </w:pPr>
          </w:p>
        </w:tc>
      </w:tr>
      <w:tr>
        <w:trPr>
          <w:trHeight w:val="302"/>
        </w:trPr>
        <w:tc>
          <w:tcPr>
            <w:tcW w:w="7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Valuation allowance</w:t>
            </w:r>
            <w:r>
              <w:rPr>
                <w:rFonts w:ascii="Times New Roman" w:cs="Times New Roman" w:eastAsia="Times New Roman" w:hAnsi="Times New Roman"/>
                <w:sz w:val="20"/>
                <w:szCs w:val="20"/>
                <w:color w:val="B3B3B3"/>
              </w:rPr>
              <w:t>.....................................................................................................</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r>
      <w:tr>
        <w:trPr>
          <w:trHeight w:val="265"/>
        </w:trPr>
        <w:tc>
          <w:tcPr>
            <w:tcW w:w="7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Netdeferredtaxassets</w:t>
            </w:r>
          </w:p>
        </w:tc>
        <w:tc>
          <w:tcPr>
            <w:tcW w:w="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 w:type="dxa"/>
            <w:vAlign w:val="bottom"/>
          </w:tcPr>
          <w:p>
            <w:pPr>
              <w:spacing w:after="0"/>
              <w:rPr>
                <w:sz w:val="23"/>
                <w:szCs w:val="23"/>
                <w:color w:val="auto"/>
              </w:rPr>
            </w:pPr>
          </w:p>
        </w:tc>
      </w:tr>
      <w:tr>
        <w:trPr>
          <w:trHeight w:val="275"/>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 xml:space="preserve">Net deferred tax assets (liabilities) </w:t>
            </w:r>
            <w:r>
              <w:rPr>
                <w:rFonts w:ascii="Times New Roman" w:cs="Times New Roman" w:eastAsia="Times New Roman" w:hAnsi="Times New Roman"/>
                <w:sz w:val="20"/>
                <w:szCs w:val="20"/>
                <w:color w:val="B3B3B3"/>
              </w:rPr>
              <w:t>.....................................................................</w:t>
            </w:r>
          </w:p>
        </w:tc>
        <w:tc>
          <w:tcPr>
            <w:tcW w:w="940" w:type="dxa"/>
            <w:vAlign w:val="bottom"/>
          </w:tcPr>
          <w:p>
            <w:pPr>
              <w:jc w:val="right"/>
              <w:ind w:right="725"/>
              <w:spacing w:after="0"/>
              <w:rPr>
                <w:sz w:val="20"/>
                <w:szCs w:val="20"/>
                <w:color w:val="auto"/>
              </w:rPr>
            </w:pPr>
            <w:r>
              <w:rPr>
                <w:rFonts w:ascii="Times New Roman" w:cs="Times New Roman" w:eastAsia="Times New Roman" w:hAnsi="Times New Roman"/>
                <w:sz w:val="20"/>
                <w:szCs w:val="20"/>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80" w:type="dxa"/>
            <w:vAlign w:val="bottom"/>
            <w:gridSpan w:val="3"/>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 w:type="dxa"/>
            <w:vAlign w:val="bottom"/>
          </w:tcPr>
          <w:p>
            <w:pPr>
              <w:spacing w:after="0"/>
              <w:rPr>
                <w:sz w:val="23"/>
                <w:szCs w:val="23"/>
                <w:color w:val="auto"/>
              </w:rPr>
            </w:pPr>
          </w:p>
        </w:tc>
      </w:tr>
      <w:tr>
        <w:trPr>
          <w:trHeight w:val="42"/>
        </w:trPr>
        <w:tc>
          <w:tcPr>
            <w:tcW w:w="72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34" w:lineRule="exact"/>
        <w:rPr>
          <w:sz w:val="20"/>
          <w:szCs w:val="20"/>
          <w:color w:val="auto"/>
        </w:rPr>
      </w:pPr>
    </w:p>
    <w:p>
      <w:pPr>
        <w:jc w:val="both"/>
        <w:ind w:left="20" w:right="20" w:firstLine="720"/>
        <w:spacing w:after="0" w:line="261" w:lineRule="auto"/>
        <w:rPr>
          <w:sz w:val="20"/>
          <w:szCs w:val="20"/>
          <w:color w:val="auto"/>
        </w:rPr>
      </w:pPr>
      <w:r>
        <w:rPr>
          <w:rFonts w:ascii="Times New Roman" w:cs="Times New Roman" w:eastAsia="Times New Roman" w:hAnsi="Times New Roman"/>
          <w:sz w:val="20"/>
          <w:szCs w:val="20"/>
          <w:color w:val="auto"/>
        </w:rPr>
        <w:t>At December 31, 2025, the Company had net deferred tax assets of approximately $33 million, including $5 million in federal capital loss carryforwards expiring in 2027 and immaterial state operating loss carryforwards. Deferred taxes are provided on the difference between the Company’s basis for financial accounting purposes and basis for federal income tax purposes in its investment in the Operating Company.</w:t>
      </w:r>
    </w:p>
    <w:p>
      <w:pPr>
        <w:spacing w:after="0" w:line="197" w:lineRule="exact"/>
        <w:rPr>
          <w:sz w:val="20"/>
          <w:szCs w:val="20"/>
          <w:color w:val="auto"/>
        </w:rPr>
      </w:pPr>
    </w:p>
    <w:p>
      <w:pPr>
        <w:jc w:val="both"/>
        <w:ind w:left="20" w:right="20" w:firstLine="720"/>
        <w:spacing w:after="0" w:line="253" w:lineRule="auto"/>
        <w:rPr>
          <w:sz w:val="20"/>
          <w:szCs w:val="20"/>
          <w:color w:val="auto"/>
        </w:rPr>
      </w:pPr>
      <w:r>
        <w:rPr>
          <w:rFonts w:ascii="Times New Roman" w:cs="Times New Roman" w:eastAsia="Times New Roman" w:hAnsi="Times New Roman"/>
          <w:sz w:val="20"/>
          <w:szCs w:val="20"/>
          <w:color w:val="auto"/>
        </w:rPr>
        <w:t>In connection with the closing of the Sitio Acquisition, the Company acquired prepaid income tax balances of approximately $14 million and deferred tax assets of $5 million related to loss carryforwards. The Company also recognized a deferred tax liability of approximately $122 million. The Company’s federal loss carryforwards acquired from Sitio are subject to an annual limitation under Section 382 of the Internal Revenue Code of 1986, as amended (the “Code”), which subjects tax attributes to limitation upon an “ownership change” (as defined in the Code). In general, an ownership change occurs if there is a cumulative increase in the ownership of a corporation’s stock totaling more than 50 percentage points by one or more “5% shareholders” (as defined in the Code) at any time during a rolling three-year look back period. Based on Sitio’s fair market value, the Company has determined that the applicable annual limitation exceeds the loss carryforwards acquired from Sitio. As such, the Company believes that the application of Section 382 of the Code will not have an adverse effect on future usage of its federal tax attributes.</w:t>
      </w:r>
    </w:p>
    <w:p>
      <w:pPr>
        <w:spacing w:after="0" w:line="211"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During the fourth quarter of 2024, the Company released its remaining valuation allowance of $156 million as a result of management’s assessment of the realizability of future taxable income, which primarily contributed to the discrete income tax benefit of $149 million for the year ended December 31, 2024. During the year ended December 31, 2023, the Company recognized a discrete income tax benefit of $ 7 million related to a partial release of its beginning-of-the-year valuation allowance, based on a change in judgment about the realizability of its deferred tax assets in future years.</w:t>
      </w:r>
    </w:p>
    <w:p>
      <w:pPr>
        <w:spacing w:after="0" w:line="199" w:lineRule="exact"/>
        <w:rPr>
          <w:sz w:val="20"/>
          <w:szCs w:val="20"/>
          <w:color w:val="auto"/>
        </w:rPr>
      </w:pPr>
    </w:p>
    <w:p>
      <w:pPr>
        <w:jc w:val="both"/>
        <w:ind w:left="20" w:right="20" w:firstLine="720"/>
        <w:spacing w:after="0" w:line="289" w:lineRule="auto"/>
        <w:rPr>
          <w:sz w:val="20"/>
          <w:szCs w:val="20"/>
          <w:color w:val="auto"/>
        </w:rPr>
      </w:pPr>
      <w:r>
        <w:rPr>
          <w:rFonts w:ascii="Times New Roman" w:cs="Times New Roman" w:eastAsia="Times New Roman" w:hAnsi="Times New Roman"/>
          <w:sz w:val="20"/>
          <w:szCs w:val="20"/>
          <w:color w:val="auto"/>
        </w:rPr>
        <w:t>In March 2024, as part of the Diamondback Offering, the Company recognized a $28 million increase in its deferred tax asset and an $11 million increase in its valuation allowance through additional paid-in capital.</w:t>
      </w:r>
    </w:p>
    <w:p>
      <w:pPr>
        <w:spacing w:after="0" w:line="166" w:lineRule="exact"/>
        <w:rPr>
          <w:sz w:val="20"/>
          <w:szCs w:val="20"/>
          <w:color w:val="auto"/>
        </w:rPr>
      </w:pPr>
    </w:p>
    <w:p>
      <w:pPr>
        <w:jc w:val="both"/>
        <w:ind w:left="20" w:right="20" w:firstLine="720"/>
        <w:spacing w:after="0" w:line="286" w:lineRule="auto"/>
        <w:rPr>
          <w:sz w:val="20"/>
          <w:szCs w:val="20"/>
          <w:color w:val="auto"/>
        </w:rPr>
      </w:pPr>
      <w:r>
        <w:rPr>
          <w:rFonts w:ascii="Times New Roman" w:cs="Times New Roman" w:eastAsia="Times New Roman" w:hAnsi="Times New Roman"/>
          <w:sz w:val="20"/>
          <w:szCs w:val="20"/>
          <w:color w:val="auto"/>
        </w:rPr>
        <w:t>At December 31, 2025, the Company did not have any significant uncertain tax positions requiring recognition in the financial statements. The Company’s 2022 through 2025 tax years remain open to examination by tax authorities.</w:t>
      </w:r>
    </w:p>
    <w:p>
      <w:pPr>
        <w:spacing w:after="0" w:line="170" w:lineRule="exact"/>
        <w:rPr>
          <w:sz w:val="20"/>
          <w:szCs w:val="20"/>
          <w:color w:val="auto"/>
        </w:rPr>
      </w:pPr>
    </w:p>
    <w:p>
      <w:pPr>
        <w:jc w:val="both"/>
        <w:ind w:left="20" w:right="20" w:firstLine="720"/>
        <w:spacing w:after="0" w:line="257" w:lineRule="auto"/>
        <w:rPr>
          <w:sz w:val="20"/>
          <w:szCs w:val="20"/>
          <w:color w:val="auto"/>
        </w:rPr>
      </w:pPr>
      <w:r>
        <w:rPr>
          <w:rFonts w:ascii="Times New Roman" w:cs="Times New Roman" w:eastAsia="Times New Roman" w:hAnsi="Times New Roman"/>
          <w:sz w:val="20"/>
          <w:szCs w:val="20"/>
          <w:color w:val="auto"/>
        </w:rPr>
        <w:t>On July 4, 2025, H.R. 1, commonly known as the One Big Beautiful Bill Act (the “OBBB”), was enacted. The OBBB included multiple provisions applicable to U.S. income taxes for businesses, including immediate expensing of research or experimental expenses, bonus depreciation for qualified tangible property, deductible intangible drilling costs for purposes of the corporate “book” minimum tax and enhancements to limits on business interest expense deductions. The Company accounted for the OBBB in the period of enactment and concluded there was not a material impact to the Company’s current or deferred income tax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300"/>
          </w:cols>
          <w:pgMar w:left="980" w:top="214" w:right="960"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720" w:hanging="709"/>
        <w:spacing w:after="0"/>
        <w:tabs>
          <w:tab w:leader="none" w:pos="72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DERIVATIVES</w:t>
      </w:r>
    </w:p>
    <w:p>
      <w:pPr>
        <w:spacing w:after="0" w:line="250" w:lineRule="exact"/>
        <w:rPr>
          <w:rFonts w:ascii="Times New Roman" w:cs="Times New Roman" w:eastAsia="Times New Roman" w:hAnsi="Times New Roman"/>
          <w:sz w:val="20"/>
          <w:szCs w:val="20"/>
          <w:b w:val="1"/>
          <w:bCs w:val="1"/>
          <w:color w:val="auto"/>
        </w:rPr>
      </w:pPr>
    </w:p>
    <w:p>
      <w:pPr>
        <w:ind w:left="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Commodity Contracts</w:t>
      </w:r>
    </w:p>
    <w:p>
      <w:pPr>
        <w:spacing w:after="0" w:line="258"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The Company historically has used fixed price swap contracts, fixed price basis swap contracts, deferred premium puts and costless collars with corresponding put and call options to reduce price volatility associated with certain of its royalty income. At December 31, 2025, the Company has puts, costless collars and fixed price basis swap contracts outstanding.</w:t>
      </w:r>
    </w:p>
    <w:p>
      <w:pPr>
        <w:spacing w:after="0" w:line="190"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spacing w:after="0" w:line="214"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the 2025 Revolving Credit Facility and our counterparties have been deemed an acceptable credit risk. As such, collateral is not required from either the counterparties or the Company on its outstanding commodity derivative contracts. Market risks involved in the Company’s use of derivative instruments relate to its potential inability to realize the benefits of any increases in commodity prices above the prices established by its derivative contracts.</w:t>
      </w:r>
    </w:p>
    <w:p>
      <w:pPr>
        <w:spacing w:after="0" w:line="208"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As of December 31, 2025, the Company had the following outstanding derivative contracts. When aggregating multiple contracts, the weighted average contract price is disclosed.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Swaps</w:t>
            </w:r>
          </w:p>
        </w:tc>
        <w:tc>
          <w:tcPr>
            <w:tcW w:w="21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Collars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Puts</w:t>
            </w:r>
          </w:p>
        </w:tc>
      </w:tr>
      <w:tr>
        <w:trPr>
          <w:trHeight w:val="197"/>
        </w:trPr>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Bbls/</w:t>
            </w:r>
          </w:p>
        </w:tc>
        <w:tc>
          <w:tcPr>
            <w:tcW w:w="12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Settlement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Settlement</w:t>
            </w:r>
          </w:p>
        </w:tc>
        <w:tc>
          <w:tcPr>
            <w:tcW w:w="13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MMBtu</w:t>
            </w:r>
          </w:p>
        </w:tc>
        <w:tc>
          <w:tcPr>
            <w:tcW w:w="12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40" w:type="dxa"/>
            <w:vAlign w:val="bottom"/>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1000" w:type="dxa"/>
            <w:vAlign w:val="bottom"/>
          </w:tcPr>
          <w:p>
            <w:pPr>
              <w:jc w:val="center"/>
              <w:ind w:left="154"/>
              <w:spacing w:after="0"/>
              <w:rPr>
                <w:sz w:val="20"/>
                <w:szCs w:val="20"/>
                <w:color w:val="auto"/>
              </w:rPr>
            </w:pPr>
            <w:r>
              <w:rPr>
                <w:rFonts w:ascii="Times New Roman" w:cs="Times New Roman" w:eastAsia="Times New Roman" w:hAnsi="Times New Roman"/>
                <w:sz w:val="16"/>
                <w:szCs w:val="16"/>
                <w:b w:val="1"/>
                <w:bCs w:val="1"/>
                <w:color w:val="auto"/>
                <w:w w:val="97"/>
              </w:rPr>
              <w:t>Deferred</w:t>
            </w:r>
          </w:p>
        </w:tc>
      </w:tr>
      <w:tr>
        <w:trPr>
          <w:trHeight w:val="223"/>
        </w:trPr>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Month</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Type of Contract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Day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Index</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Differential</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Floor Price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Ceiling Price</w:t>
            </w:r>
          </w:p>
        </w:tc>
        <w:tc>
          <w:tcPr>
            <w:tcW w:w="64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00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6"/>
                <w:szCs w:val="16"/>
                <w:b w:val="1"/>
                <w:bCs w:val="1"/>
                <w:color w:val="auto"/>
                <w:w w:val="96"/>
              </w:rPr>
              <w:t>Premium</w:t>
            </w:r>
          </w:p>
        </w:tc>
      </w:tr>
      <w:tr>
        <w:trPr>
          <w:trHeight w:val="23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OIL</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 Mar.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Puts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$51.75</w:t>
            </w:r>
          </w:p>
        </w:tc>
        <w:tc>
          <w:tcPr>
            <w:tcW w:w="10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5"/>
              </w:rPr>
              <w:t>$(1.56)</w:t>
            </w:r>
          </w:p>
        </w:tc>
      </w:tr>
      <w:tr>
        <w:trPr>
          <w:trHeight w:val="28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 - Jun.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Puts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$48.13</w:t>
            </w:r>
          </w:p>
        </w:tc>
        <w:tc>
          <w:tcPr>
            <w:tcW w:w="10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5"/>
              </w:rPr>
              <w:t>$(1.35)</w:t>
            </w:r>
          </w:p>
        </w:tc>
      </w:tr>
      <w:tr>
        <w:trPr>
          <w:trHeight w:val="257"/>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 Dec.</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Basis Swaps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Waha Hub</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w:t>
            </w:r>
          </w:p>
        </w:tc>
      </w:tr>
      <w:tr>
        <w:trPr>
          <w:trHeight w:val="28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 Dec.</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Basis Swaps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Waha Hub</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w:t>
            </w:r>
          </w:p>
        </w:tc>
      </w:tr>
      <w:tr>
        <w:trPr>
          <w:trHeight w:val="26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 Dec.</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Henry Hub</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$6.64</w:t>
            </w:r>
          </w:p>
        </w:tc>
        <w:tc>
          <w:tcPr>
            <w:tcW w:w="6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Treasury Locks</w:t>
      </w:r>
    </w:p>
    <w:p>
      <w:pPr>
        <w:spacing w:after="0" w:line="258"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During the third quarter of 2025, the Company entered into certain treasury lock contracts to reduce the forecasted interest rate risk associated with the issuance of the Guaranteed Senior Notes. The treasury locks were terminated and settled upon issuance of the Guaranteed Senior Notes with a gain of $3 million recognized under the caption “Gain (loss) on derivative instruments, net” on the consolidated statements of operations for the year ended December 31, 2025.</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Contingent Liability</w:t>
      </w:r>
    </w:p>
    <w:p>
      <w:pPr>
        <w:spacing w:after="0" w:line="256"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The change in fair value of the 2026 WTI Contingent Liability is recognized in “Gain (loss) on derivative instruments, net” on the Company’s consolidated statements of operations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80"/>
          </w:cols>
          <w:pgMar w:left="980" w:top="214" w:right="980" w:bottom="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Balance Sheet Offsetting of Derivative Assets and Liabilities</w:t>
      </w:r>
    </w:p>
    <w:p>
      <w:pPr>
        <w:spacing w:after="0" w:line="258" w:lineRule="exact"/>
        <w:rPr>
          <w:sz w:val="20"/>
          <w:szCs w:val="20"/>
          <w:color w:val="auto"/>
        </w:rPr>
      </w:pPr>
    </w:p>
    <w:p>
      <w:pPr>
        <w:jc w:val="both"/>
        <w:ind w:left="20" w:right="20" w:firstLine="720"/>
        <w:spacing w:after="0" w:line="261" w:lineRule="auto"/>
        <w:rPr>
          <w:sz w:val="20"/>
          <w:szCs w:val="20"/>
          <w:color w:val="auto"/>
        </w:rPr>
      </w:pPr>
      <w:r>
        <w:rPr>
          <w:rFonts w:ascii="Times New Roman" w:cs="Times New Roman" w:eastAsia="Times New Roman" w:hAnsi="Times New Roman"/>
          <w:sz w:val="20"/>
          <w:szCs w:val="20"/>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11—Fair Value Measurements for further details.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Gains and Losses on Derivative Instruments</w:t>
      </w:r>
    </w:p>
    <w:p>
      <w:pPr>
        <w:spacing w:after="0" w:line="256" w:lineRule="exact"/>
        <w:rPr>
          <w:sz w:val="20"/>
          <w:szCs w:val="20"/>
          <w:color w:val="auto"/>
        </w:rPr>
      </w:pPr>
    </w:p>
    <w:p>
      <w:pPr>
        <w:jc w:val="both"/>
        <w:ind w:left="20" w:right="20" w:firstLine="720"/>
        <w:spacing w:after="0" w:line="289" w:lineRule="auto"/>
        <w:rPr>
          <w:sz w:val="20"/>
          <w:szCs w:val="20"/>
          <w:color w:val="auto"/>
        </w:rPr>
      </w:pPr>
      <w:r>
        <w:rPr>
          <w:rFonts w:ascii="Times New Roman" w:cs="Times New Roman" w:eastAsia="Times New Roman" w:hAnsi="Times New Roman"/>
          <w:sz w:val="20"/>
          <w:szCs w:val="20"/>
          <w:color w:val="auto"/>
        </w:rPr>
        <w:t>The following table summarizes the gains and losses on derivative instruments included in the consolidated statements of operations and the net cash receipts (payments) on derivatives for the periods presented:</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6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Gain (loss) on derivative instruments, net: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Commodity contracts</w:t>
            </w:r>
            <w:r>
              <w:rPr>
                <w:rFonts w:ascii="Times New Roman" w:cs="Times New Roman" w:eastAsia="Times New Roman" w:hAnsi="Times New Roman"/>
                <w:sz w:val="20"/>
                <w:szCs w:val="20"/>
                <w:color w:val="B3B3B3"/>
              </w:rPr>
              <w:t>..................................................................................</w:t>
            </w:r>
          </w:p>
        </w:tc>
        <w:tc>
          <w:tcPr>
            <w:tcW w:w="94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2026 WTI Contingent Liability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61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Treasury locks</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14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B3B3B3"/>
                <w:w w:val="99"/>
              </w:rPr>
              <w:t>.......................................................................................................</w:t>
            </w:r>
          </w:p>
        </w:tc>
        <w:tc>
          <w:tcPr>
            <w:tcW w:w="940" w:type="dxa"/>
            <w:vAlign w:val="bottom"/>
            <w:gridSpan w:val="2"/>
          </w:tcPr>
          <w:p>
            <w:pPr>
              <w:jc w:val="right"/>
              <w:ind w:right="67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receipts (payments) on derivatives:</w:t>
            </w:r>
          </w:p>
        </w:tc>
        <w:tc>
          <w:tcPr>
            <w:tcW w:w="20" w:type="dxa"/>
            <w:vAlign w:val="bottom"/>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77"/>
        </w:trPr>
        <w:tc>
          <w:tcPr>
            <w:tcW w:w="6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Commodity contracts ...................................................................................</w:t>
            </w:r>
          </w:p>
        </w:tc>
        <w:tc>
          <w:tcPr>
            <w:tcW w:w="94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1"/>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Treasury locks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14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B3B3B3"/>
                <w:w w:val="99"/>
              </w:rPr>
              <w:t>.......................................................................................................</w:t>
            </w:r>
          </w:p>
        </w:tc>
        <w:tc>
          <w:tcPr>
            <w:tcW w:w="940" w:type="dxa"/>
            <w:vAlign w:val="bottom"/>
            <w:gridSpan w:val="2"/>
          </w:tcPr>
          <w:p>
            <w:pPr>
              <w:jc w:val="right"/>
              <w:ind w:right="67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6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720" w:hanging="709"/>
        <w:spacing w:after="0"/>
        <w:tabs>
          <w:tab w:leader="none" w:pos="72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56"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90"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9" w:lineRule="exact"/>
        <w:rPr>
          <w:sz w:val="20"/>
          <w:szCs w:val="20"/>
          <w:color w:val="auto"/>
        </w:rPr>
      </w:pPr>
    </w:p>
    <w:p>
      <w:pPr>
        <w:jc w:val="both"/>
        <w:ind w:left="20" w:right="40" w:firstLine="720"/>
        <w:spacing w:after="0" w:line="289" w:lineRule="auto"/>
        <w:rPr>
          <w:sz w:val="20"/>
          <w:szCs w:val="20"/>
          <w:color w:val="auto"/>
        </w:rPr>
      </w:pPr>
      <w:r>
        <w:rPr>
          <w:rFonts w:ascii="Times New Roman" w:cs="Times New Roman" w:eastAsia="Times New Roman" w:hAnsi="Times New Roman"/>
          <w:sz w:val="20"/>
          <w:szCs w:val="20"/>
          <w:color w:val="auto"/>
        </w:rPr>
        <w:t>Level 1 - Observable inputs that reflect unadjusted quoted prices for identical assets or liabilities in active markets as of the reporting date.</w:t>
      </w:r>
    </w:p>
    <w:p>
      <w:pPr>
        <w:spacing w:after="0" w:line="166"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87" w:lineRule="exact"/>
        <w:rPr>
          <w:sz w:val="20"/>
          <w:szCs w:val="20"/>
          <w:color w:val="auto"/>
        </w:rPr>
      </w:pPr>
    </w:p>
    <w:p>
      <w:pPr>
        <w:jc w:val="both"/>
        <w:ind w:left="20" w:right="40" w:firstLine="720"/>
        <w:spacing w:after="0" w:line="286" w:lineRule="auto"/>
        <w:rPr>
          <w:sz w:val="20"/>
          <w:szCs w:val="20"/>
          <w:color w:val="auto"/>
        </w:rPr>
      </w:pPr>
      <w:r>
        <w:rPr>
          <w:rFonts w:ascii="Times New Roman" w:cs="Times New Roman" w:eastAsia="Times New Roman" w:hAnsi="Times New Roman"/>
          <w:sz w:val="20"/>
          <w:szCs w:val="20"/>
          <w:color w:val="auto"/>
        </w:rPr>
        <w:t>Level 3 - Unobservable inputs that are not corroborated by market data and may be used with internally developed methodologies that result in management’s best estimate of fair value.</w:t>
      </w:r>
    </w:p>
    <w:p>
      <w:pPr>
        <w:spacing w:after="0" w:line="172" w:lineRule="exact"/>
        <w:rPr>
          <w:sz w:val="20"/>
          <w:szCs w:val="20"/>
          <w:color w:val="auto"/>
        </w:rPr>
      </w:pPr>
    </w:p>
    <w:p>
      <w:pPr>
        <w:jc w:val="both"/>
        <w:ind w:left="20" w:right="20" w:firstLine="720"/>
        <w:spacing w:after="0" w:line="286" w:lineRule="auto"/>
        <w:rPr>
          <w:sz w:val="20"/>
          <w:szCs w:val="20"/>
          <w:color w:val="auto"/>
        </w:rPr>
      </w:pPr>
      <w:r>
        <w:rPr>
          <w:rFonts w:ascii="Times New Roman" w:cs="Times New Roman" w:eastAsia="Times New Roman" w:hAnsi="Times New Roman"/>
          <w:sz w:val="20"/>
          <w:szCs w:val="20"/>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300"/>
          </w:cols>
          <w:pgMar w:left="980" w:top="214" w:right="960" w:bottom="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39"/>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Assets and Liabilities Measured at Fair Value on a Recurring Basis</w:t>
      </w:r>
    </w:p>
    <w:p>
      <w:pPr>
        <w:spacing w:after="0" w:line="258" w:lineRule="exact"/>
        <w:rPr>
          <w:sz w:val="20"/>
          <w:szCs w:val="20"/>
          <w:color w:val="auto"/>
        </w:rPr>
      </w:pPr>
    </w:p>
    <w:p>
      <w:pPr>
        <w:jc w:val="both"/>
        <w:ind w:left="80" w:right="20" w:firstLine="720"/>
        <w:spacing w:after="0" w:line="286" w:lineRule="auto"/>
        <w:rPr>
          <w:sz w:val="20"/>
          <w:szCs w:val="20"/>
          <w:color w:val="auto"/>
        </w:rPr>
      </w:pPr>
      <w:r>
        <w:rPr>
          <w:rFonts w:ascii="Times New Roman" w:cs="Times New Roman" w:eastAsia="Times New Roman" w:hAnsi="Times New Roman"/>
          <w:sz w:val="20"/>
          <w:szCs w:val="20"/>
          <w:color w:val="auto"/>
        </w:rPr>
        <w:t>Certain assets and liabilities are reported at fair value on a recurring basis on the Company’s consolidated balance sheets, including the Company’s commodity derivative instruments and the 2026 WTI Contingent Liability.</w:t>
      </w:r>
    </w:p>
    <w:p>
      <w:pPr>
        <w:spacing w:after="0" w:line="170" w:lineRule="exact"/>
        <w:rPr>
          <w:sz w:val="20"/>
          <w:szCs w:val="20"/>
          <w:color w:val="auto"/>
        </w:rPr>
      </w:pPr>
    </w:p>
    <w:p>
      <w:pPr>
        <w:jc w:val="both"/>
        <w:ind w:left="80" w:right="20" w:firstLine="720"/>
        <w:spacing w:after="0" w:line="258" w:lineRule="auto"/>
        <w:rPr>
          <w:sz w:val="20"/>
          <w:szCs w:val="20"/>
          <w:color w:val="auto"/>
        </w:rPr>
      </w:pPr>
      <w:r>
        <w:rPr>
          <w:rFonts w:ascii="Times New Roman" w:cs="Times New Roman" w:eastAsia="Times New Roman" w:hAnsi="Times New Roman"/>
          <w:sz w:val="20"/>
          <w:szCs w:val="20"/>
          <w:color w:val="auto"/>
        </w:rPr>
        <w:t>The fair values of the Company’s commodity derivative contracts are measured internally using established commodity futures price strips for the underlying commodity provided by a reputable third -party, the contracted notional volumes and time to maturity. The net amounts are classified as current or noncurrent based on their anticipated settlement dates. The fair value of the 2026 WTI Contingent Liability was estimated using observable market data and a Monte Carlo pricing model, which are considered Level 2 inputs in the fair value hierarchy.</w:t>
      </w:r>
    </w:p>
    <w:p>
      <w:pPr>
        <w:spacing w:after="0" w:line="202" w:lineRule="exact"/>
        <w:rPr>
          <w:sz w:val="20"/>
          <w:szCs w:val="20"/>
          <w:color w:val="auto"/>
        </w:rPr>
      </w:pPr>
    </w:p>
    <w:p>
      <w:pPr>
        <w:jc w:val="both"/>
        <w:ind w:left="80" w:right="20"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tables provide (i) the consolidated balance sheet classification where the Company’s commodity derivative instrument assets and liabilities and 2026 WTI Contingent Liability are recorded, (ii) fair value measurement information, (iii) the gross amounts of recognized assets and liabilities, (iv) the amounts offset under master netting arrangements with counterparties, and (v) the resulting net amounts presented in the Company’s consolidated balance sheets as of December 31, 2025, and December 31, 2024:</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Gross</w:t>
            </w:r>
          </w:p>
        </w:tc>
        <w:tc>
          <w:tcPr>
            <w:tcW w:w="6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Fair Value</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Offset in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Presented in</w:t>
            </w:r>
          </w:p>
        </w:tc>
        <w:tc>
          <w:tcPr>
            <w:tcW w:w="0" w:type="dxa"/>
            <w:vAlign w:val="bottom"/>
          </w:tcPr>
          <w:p>
            <w:pPr>
              <w:spacing w:after="0"/>
              <w:rPr>
                <w:sz w:val="1"/>
                <w:szCs w:val="1"/>
                <w:color w:val="auto"/>
              </w:rPr>
            </w:pPr>
          </w:p>
        </w:tc>
      </w:tr>
      <w:tr>
        <w:trPr>
          <w:trHeight w:val="269"/>
        </w:trPr>
        <w:tc>
          <w:tcPr>
            <w:tcW w:w="32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3"/>
                <w:szCs w:val="23"/>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3"/>
                <w:szCs w:val="23"/>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6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0" w:type="dxa"/>
            <w:vAlign w:val="bottom"/>
          </w:tcPr>
          <w:p>
            <w:pPr>
              <w:spacing w:after="0"/>
              <w:rPr>
                <w:sz w:val="1"/>
                <w:szCs w:val="1"/>
                <w:color w:val="auto"/>
              </w:rPr>
            </w:pPr>
          </w:p>
        </w:tc>
      </w:tr>
      <w:tr>
        <w:trPr>
          <w:trHeight w:val="245"/>
        </w:trPr>
        <w:tc>
          <w:tcPr>
            <w:tcW w:w="3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6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80" w:type="dxa"/>
            <w:vAlign w:val="bottom"/>
            <w:tcBorders>
              <w:top w:val="single" w:sz="8" w:color="auto"/>
              <w:left w:val="single" w:sz="8" w:color="auto"/>
            </w:tcBorders>
          </w:tcPr>
          <w:p>
            <w:pPr>
              <w:spacing w:after="0"/>
              <w:rPr>
                <w:sz w:val="20"/>
                <w:szCs w:val="20"/>
                <w:color w:val="auto"/>
              </w:rPr>
            </w:pPr>
          </w:p>
        </w:tc>
        <w:tc>
          <w:tcPr>
            <w:tcW w:w="32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Prepaid expenses and other</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80" w:type="dxa"/>
            <w:vAlign w:val="bottom"/>
            <w:tcBorders>
              <w:top w:val="single" w:sz="8" w:color="auto"/>
            </w:tcBorders>
            <w:gridSpan w:val="2"/>
            <w:vMerge w:val="restart"/>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right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7"/>
        </w:trPr>
        <w:tc>
          <w:tcPr>
            <w:tcW w:w="80" w:type="dxa"/>
            <w:vAlign w:val="bottom"/>
            <w:tcBorders>
              <w:left w:val="single" w:sz="8" w:color="auto"/>
            </w:tcBorders>
          </w:tcPr>
          <w:p>
            <w:pPr>
              <w:spacing w:after="0"/>
              <w:rPr>
                <w:sz w:val="23"/>
                <w:szCs w:val="23"/>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current assets</w:t>
            </w:r>
            <w:r>
              <w:rPr>
                <w:rFonts w:ascii="Times New Roman" w:cs="Times New Roman" w:eastAsia="Times New Roman" w:hAnsi="Times New Roman"/>
                <w:sz w:val="20"/>
                <w:szCs w:val="20"/>
                <w:color w:val="B3B3B3"/>
              </w:rPr>
              <w:t>..................................</w:t>
            </w:r>
          </w:p>
        </w:tc>
        <w:tc>
          <w:tcPr>
            <w:tcW w:w="18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12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0" w:type="dxa"/>
            <w:vAlign w:val="bottom"/>
            <w:tcBorders>
              <w:left w:val="single" w:sz="8" w:color="auto"/>
            </w:tcBorders>
          </w:tcPr>
          <w:p>
            <w:pPr>
              <w:spacing w:after="0"/>
              <w:rPr>
                <w:sz w:val="24"/>
                <w:szCs w:val="24"/>
                <w:color w:val="auto"/>
              </w:rPr>
            </w:pPr>
          </w:p>
        </w:tc>
        <w:tc>
          <w:tcPr>
            <w:tcW w:w="3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Borders>
              <w:left w:val="single" w:sz="8" w:color="auto"/>
            </w:tcBorders>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xml:space="preserve">Other current liabilities </w:t>
            </w:r>
            <w:r>
              <w:rPr>
                <w:rFonts w:ascii="Times New Roman" w:cs="Times New Roman" w:eastAsia="Times New Roman" w:hAnsi="Times New Roman"/>
                <w:sz w:val="20"/>
                <w:szCs w:val="20"/>
                <w:color w:val="B3B3B3"/>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 (2026 WTI</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3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right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7"/>
        </w:trPr>
        <w:tc>
          <w:tcPr>
            <w:tcW w:w="80" w:type="dxa"/>
            <w:vAlign w:val="bottom"/>
            <w:tcBorders>
              <w:left w:val="single" w:sz="8" w:color="auto"/>
            </w:tcBorders>
          </w:tcPr>
          <w:p>
            <w:pPr>
              <w:spacing w:after="0"/>
              <w:rPr>
                <w:sz w:val="23"/>
                <w:szCs w:val="23"/>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 xml:space="preserve">Contingent Liability) </w:t>
            </w:r>
            <w:r>
              <w:rPr>
                <w:rFonts w:ascii="Times New Roman" w:cs="Times New Roman" w:eastAsia="Times New Roman" w:hAnsi="Times New Roman"/>
                <w:sz w:val="20"/>
                <w:szCs w:val="20"/>
                <w:color w:val="B3B3B3"/>
              </w:rPr>
              <w:t>.....................</w:t>
            </w:r>
          </w:p>
        </w:tc>
        <w:tc>
          <w:tcPr>
            <w:tcW w:w="18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12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Borders>
              <w:left w:val="single" w:sz="8" w:color="auto"/>
              <w:bottom w:val="single" w:sz="8" w:color="auto"/>
            </w:tcBorders>
          </w:tcPr>
          <w:p>
            <w:pPr>
              <w:spacing w:after="0"/>
              <w:rPr>
                <w:sz w:val="23"/>
                <w:szCs w:val="23"/>
                <w:color w:val="auto"/>
              </w:rPr>
            </w:pPr>
          </w:p>
        </w:tc>
        <w:tc>
          <w:tcPr>
            <w:tcW w:w="3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20"/>
                <w:szCs w:val="20"/>
                <w:color w:val="auto"/>
              </w:rPr>
              <w:t>Other long-term liabilities</w:t>
            </w:r>
            <w:r>
              <w:rPr>
                <w:rFonts w:ascii="Times New Roman" w:cs="Times New Roman" w:eastAsia="Times New Roman" w:hAnsi="Times New Roman"/>
                <w:sz w:val="20"/>
                <w:szCs w:val="20"/>
                <w:color w:val="B3B3B3"/>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634"/>
        </w:trPr>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Gross</w:t>
            </w:r>
          </w:p>
        </w:tc>
        <w:tc>
          <w:tcPr>
            <w:tcW w:w="60" w:type="dxa"/>
            <w:vAlign w:val="bottom"/>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Fair Value</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Offset in</w:t>
            </w:r>
          </w:p>
        </w:tc>
        <w:tc>
          <w:tcPr>
            <w:tcW w:w="160" w:type="dxa"/>
            <w:vAlign w:val="bottom"/>
          </w:tcPr>
          <w:p>
            <w:pPr>
              <w:spacing w:after="0"/>
              <w:rPr>
                <w:sz w:val="18"/>
                <w:szCs w:val="18"/>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Presented in</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2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8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60" w:type="dxa"/>
            <w:vAlign w:val="bottom"/>
          </w:tcPr>
          <w:p>
            <w:pPr>
              <w:spacing w:after="0"/>
              <w:rPr>
                <w:sz w:val="23"/>
                <w:szCs w:val="2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3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0" w:type="dxa"/>
            <w:vAlign w:val="bottom"/>
            <w:tcBorders>
              <w:left w:val="single" w:sz="8" w:color="auto"/>
            </w:tcBorders>
          </w:tcPr>
          <w:p>
            <w:pPr>
              <w:spacing w:after="0"/>
              <w:rPr>
                <w:sz w:val="18"/>
                <w:szCs w:val="18"/>
                <w:color w:val="auto"/>
              </w:rPr>
            </w:pPr>
          </w:p>
        </w:tc>
        <w:tc>
          <w:tcPr>
            <w:tcW w:w="3200" w:type="dxa"/>
            <w:vAlign w:val="bottom"/>
            <w:gridSpan w:val="2"/>
          </w:tcPr>
          <w:p>
            <w:pPr>
              <w:ind w:left="300"/>
              <w:spacing w:after="0" w:line="212" w:lineRule="exact"/>
              <w:rPr>
                <w:sz w:val="20"/>
                <w:szCs w:val="20"/>
                <w:color w:val="auto"/>
              </w:rPr>
            </w:pPr>
            <w:r>
              <w:rPr>
                <w:rFonts w:ascii="Times New Roman" w:cs="Times New Roman" w:eastAsia="Times New Roman" w:hAnsi="Times New Roman"/>
                <w:sz w:val="20"/>
                <w:szCs w:val="20"/>
                <w:color w:val="auto"/>
              </w:rPr>
              <w:t>Prepaid expenses and other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right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7"/>
        </w:trPr>
        <w:tc>
          <w:tcPr>
            <w:tcW w:w="80" w:type="dxa"/>
            <w:vAlign w:val="bottom"/>
            <w:tcBorders>
              <w:left w:val="single" w:sz="8" w:color="auto"/>
            </w:tcBorders>
          </w:tcPr>
          <w:p>
            <w:pPr>
              <w:spacing w:after="0"/>
              <w:rPr>
                <w:sz w:val="23"/>
                <w:szCs w:val="23"/>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current assets</w:t>
            </w:r>
            <w:r>
              <w:rPr>
                <w:rFonts w:ascii="Times New Roman" w:cs="Times New Roman" w:eastAsia="Times New Roman" w:hAnsi="Times New Roman"/>
                <w:sz w:val="20"/>
                <w:szCs w:val="20"/>
                <w:color w:val="B3B3B3"/>
              </w:rPr>
              <w:t>..................................</w:t>
            </w:r>
          </w:p>
        </w:tc>
        <w:tc>
          <w:tcPr>
            <w:tcW w:w="18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12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0" w:type="dxa"/>
            <w:vAlign w:val="bottom"/>
            <w:tcBorders>
              <w:left w:val="single" w:sz="8" w:color="auto"/>
            </w:tcBorders>
          </w:tcPr>
          <w:p>
            <w:pPr>
              <w:spacing w:after="0"/>
              <w:rPr>
                <w:sz w:val="24"/>
                <w:szCs w:val="24"/>
                <w:color w:val="auto"/>
              </w:rPr>
            </w:pPr>
          </w:p>
        </w:tc>
        <w:tc>
          <w:tcPr>
            <w:tcW w:w="3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Borders>
              <w:left w:val="single" w:sz="8" w:color="auto"/>
            </w:tcBorders>
          </w:tcPr>
          <w:p>
            <w:pPr>
              <w:spacing w:after="0"/>
              <w:rPr>
                <w:sz w:val="24"/>
                <w:szCs w:val="24"/>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 xml:space="preserve">Other current liabilities </w:t>
            </w:r>
            <w:r>
              <w:rPr>
                <w:rFonts w:ascii="Times New Roman" w:cs="Times New Roman" w:eastAsia="Times New Roman" w:hAnsi="Times New Roman"/>
                <w:sz w:val="20"/>
                <w:szCs w:val="20"/>
                <w:color w:val="B3B3B3"/>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1"/>
        </w:trPr>
        <w:tc>
          <w:tcPr>
            <w:tcW w:w="80" w:type="dxa"/>
            <w:vAlign w:val="bottom"/>
            <w:tcBorders>
              <w:left w:val="single" w:sz="8" w:color="auto"/>
            </w:tcBorders>
          </w:tcPr>
          <w:p>
            <w:pPr>
              <w:spacing w:after="0"/>
              <w:rPr>
                <w:sz w:val="21"/>
                <w:szCs w:val="21"/>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 (2026 WTI</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 w:type="dxa"/>
            <w:vAlign w:val="bottom"/>
            <w:tcBorders>
              <w:left w:val="single" w:sz="8" w:color="auto"/>
              <w:bottom w:val="single" w:sz="8" w:color="auto"/>
            </w:tcBorders>
          </w:tcPr>
          <w:p>
            <w:pPr>
              <w:spacing w:after="0"/>
              <w:rPr>
                <w:sz w:val="22"/>
                <w:szCs w:val="22"/>
                <w:color w:val="auto"/>
              </w:rPr>
            </w:pPr>
          </w:p>
        </w:tc>
        <w:tc>
          <w:tcPr>
            <w:tcW w:w="32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 xml:space="preserve">Contingent Liability) </w:t>
            </w:r>
            <w:r>
              <w:rPr>
                <w:rFonts w:ascii="Times New Roman" w:cs="Times New Roman" w:eastAsia="Times New Roman" w:hAnsi="Times New Roman"/>
                <w:sz w:val="20"/>
                <w:szCs w:val="20"/>
                <w:color w:val="B3B3B3"/>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360"/>
          </w:cols>
          <w:pgMar w:left="920" w:top="214" w:right="960"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Assets and Liabilities Not Recorded at Fair Value</w:t>
      </w:r>
    </w:p>
    <w:p>
      <w:pPr>
        <w:spacing w:after="0" w:line="258" w:lineRule="exact"/>
        <w:rPr>
          <w:sz w:val="20"/>
          <w:szCs w:val="20"/>
          <w:color w:val="auto"/>
        </w:rPr>
      </w:pPr>
    </w:p>
    <w:p>
      <w:pPr>
        <w:ind w:left="20" w:right="260" w:firstLine="719"/>
        <w:spacing w:after="0" w:line="286" w:lineRule="auto"/>
        <w:rPr>
          <w:sz w:val="20"/>
          <w:szCs w:val="20"/>
          <w:color w:val="auto"/>
        </w:rPr>
      </w:pPr>
      <w:r>
        <w:rPr>
          <w:rFonts w:ascii="Times New Roman" w:cs="Times New Roman" w:eastAsia="Times New Roman" w:hAnsi="Times New Roman"/>
          <w:sz w:val="20"/>
          <w:szCs w:val="20"/>
          <w:color w:val="auto"/>
        </w:rPr>
        <w:t>The following table provides the fair value of financial instruments that are not recorded at fair value in the consolidated balance sheets: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707"/>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705"/>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65"/>
        </w:trPr>
        <w:tc>
          <w:tcPr>
            <w:tcW w:w="4040" w:type="dxa"/>
            <w:vAlign w:val="bottom"/>
          </w:tcPr>
          <w:p>
            <w:pPr>
              <w:spacing w:after="0"/>
              <w:rPr>
                <w:sz w:val="23"/>
                <w:szCs w:val="23"/>
                <w:color w:val="auto"/>
              </w:rPr>
            </w:pPr>
          </w:p>
        </w:tc>
        <w:tc>
          <w:tcPr>
            <w:tcW w:w="150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23"/>
                <w:szCs w:val="23"/>
                <w:color w:val="auto"/>
              </w:rPr>
            </w:pPr>
          </w:p>
        </w:tc>
        <w:tc>
          <w:tcPr>
            <w:tcW w:w="150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2"/>
        </w:trPr>
        <w:tc>
          <w:tcPr>
            <w:tcW w:w="4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0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Debt</w:t>
            </w:r>
            <w:r>
              <w:rPr>
                <w:rFonts w:ascii="Times New Roman" w:cs="Times New Roman" w:eastAsia="Times New Roman" w:hAnsi="Times New Roman"/>
                <w:sz w:val="20"/>
                <w:szCs w:val="20"/>
                <w:color w:val="B3B3B3"/>
              </w:rPr>
              <w:t>........................................................................</w:t>
            </w:r>
          </w:p>
        </w:tc>
        <w:tc>
          <w:tcPr>
            <w:tcW w:w="480" w:type="dxa"/>
            <w:vAlign w:val="bottom"/>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2,186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2,233</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1,083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1,105</w:t>
            </w:r>
          </w:p>
        </w:tc>
      </w:tr>
    </w:tbl>
    <w:p>
      <w:pPr>
        <w:spacing w:after="0" w:line="285"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fair values of our current or previous revolving credit facility, as applicable, and the Term Loan approximate their carrying values based on borrowing rates available to the Company for bank loans with similar terms and maturities and are classified as Level 2 in the fair value hierarchy. The fair values of the Notes and Guaranteed Senior Notes were determined using the quoted market price at each period end, a Level 1 classification in the fair value hierarchy.</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Assets and Liabilities Measured at Fair Value on a Nonrecurring Basis</w:t>
      </w:r>
    </w:p>
    <w:p>
      <w:pPr>
        <w:spacing w:after="0" w:line="256"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spacing w:after="0" w:line="187"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See Note 2—Summary of Significant Accounting Policies and Note 5—Oil and Natural Gas Interests for further discussion of non-recurring fair value adjustments.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Fair Value of Financial Assets</w:t>
      </w:r>
    </w:p>
    <w:p>
      <w:pPr>
        <w:spacing w:after="0" w:line="258" w:lineRule="exact"/>
        <w:rPr>
          <w:sz w:val="20"/>
          <w:szCs w:val="20"/>
          <w:color w:val="auto"/>
        </w:rPr>
      </w:pPr>
    </w:p>
    <w:p>
      <w:pPr>
        <w:jc w:val="both"/>
        <w:ind w:left="20" w:firstLine="720"/>
        <w:spacing w:after="0" w:line="261" w:lineRule="auto"/>
        <w:rPr>
          <w:sz w:val="20"/>
          <w:szCs w:val="20"/>
          <w:color w:val="auto"/>
        </w:rPr>
      </w:pPr>
      <w:r>
        <w:rPr>
          <w:rFonts w:ascii="Times New Roman" w:cs="Times New Roman" w:eastAsia="Times New Roman" w:hAnsi="Times New Roman"/>
          <w:sz w:val="20"/>
          <w:szCs w:val="20"/>
          <w:color w:val="auto"/>
        </w:rPr>
        <w:t>The Company has other financial instruments consisting of cash and cash equivalents, royalty income receivable, income tax receivable, prepaid expenses and other current assets, accounts payable, accrued liabilities and income taxes payable. The carrying value of these instruments approximate their fair value because of the short-term nature of the instruments.</w:t>
      </w:r>
    </w:p>
    <w:p>
      <w:pPr>
        <w:spacing w:after="0" w:line="189" w:lineRule="exact"/>
        <w:rPr>
          <w:sz w:val="20"/>
          <w:szCs w:val="20"/>
          <w:color w:val="auto"/>
        </w:rPr>
      </w:pPr>
    </w:p>
    <w:p>
      <w:pPr>
        <w:ind w:left="720" w:hanging="710"/>
        <w:spacing w:after="0"/>
        <w:tabs>
          <w:tab w:leader="none" w:pos="72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58"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Company is a party to various routine legal proceedings, disputes and claims from time to time arising in the ordinary course of its business. While the ultimate outcome of any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ind w:left="20" w:right="7380" w:hanging="9"/>
        <w:spacing w:after="0" w:line="505" w:lineRule="auto"/>
        <w:tabs>
          <w:tab w:leader="none" w:pos="738"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 Cash Dividend</w:t>
      </w: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On February 18, 2026, our board of directors approved an increase to the Company’s annual base dividend to $1.52 per share of Class A Common Stock beginning with the dividend payable for the fourth quarter of 2025. Our board of directors further approved a cash dividend for the fourth quarter of 2025 of $0.52 per share of Class A Common Stock and $0.65 per OpCo Unit, in each case, payable on March 12, 2026, to holders of record at the close of business on March 5, 2026. The dividend on Class A Common Stock consists of a base quarterly dividend of $0.38 per share and a variable quarterly dividend of $0.14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80"/>
          </w:cols>
          <w:pgMar w:left="980" w:top="214" w:right="980" w:bottom="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Increase in Repurchase Program Authorization</w:t>
      </w:r>
    </w:p>
    <w:p>
      <w:pPr>
        <w:spacing w:after="0" w:line="258" w:lineRule="exact"/>
        <w:rPr>
          <w:sz w:val="20"/>
          <w:szCs w:val="20"/>
          <w:color w:val="auto"/>
        </w:rPr>
      </w:pPr>
    </w:p>
    <w:p>
      <w:pPr>
        <w:jc w:val="both"/>
        <w:ind w:left="20" w:right="20" w:firstLine="720"/>
        <w:spacing w:after="0" w:line="267" w:lineRule="auto"/>
        <w:rPr>
          <w:sz w:val="20"/>
          <w:szCs w:val="20"/>
          <w:color w:val="auto"/>
        </w:rPr>
      </w:pPr>
      <w:r>
        <w:rPr>
          <w:rFonts w:ascii="Times New Roman" w:cs="Times New Roman" w:eastAsia="Times New Roman" w:hAnsi="Times New Roman"/>
          <w:sz w:val="20"/>
          <w:szCs w:val="20"/>
          <w:color w:val="auto"/>
        </w:rPr>
        <w:t>On February 18, 2026, our board of directors approved an increase in authorization under the Company’s existing repurchase program from $750 million to $1.75 billion, excluding excise tax. As of February 20, 2026, approximately $1.2 billion remains available for future repurchases under our repurchase program, excluding excise tax.</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Divestiture of Non-Permian Assets</w:t>
      </w:r>
    </w:p>
    <w:p>
      <w:pPr>
        <w:spacing w:after="0" w:line="258" w:lineRule="exact"/>
        <w:rPr>
          <w:sz w:val="20"/>
          <w:szCs w:val="20"/>
          <w:color w:val="auto"/>
        </w:rPr>
      </w:pPr>
    </w:p>
    <w:p>
      <w:pPr>
        <w:jc w:val="both"/>
        <w:ind w:left="20" w:right="20" w:firstLine="721"/>
        <w:spacing w:after="0" w:line="256" w:lineRule="auto"/>
        <w:rPr>
          <w:sz w:val="20"/>
          <w:szCs w:val="20"/>
          <w:color w:val="auto"/>
        </w:rPr>
      </w:pPr>
      <w:r>
        <w:rPr>
          <w:rFonts w:ascii="Times New Roman" w:cs="Times New Roman" w:eastAsia="Times New Roman" w:hAnsi="Times New Roman"/>
          <w:sz w:val="20"/>
          <w:szCs w:val="20"/>
          <w:color w:val="auto"/>
        </w:rPr>
        <w:t>On February 9, 2026, the Company divested all of its non-Permian assets, including those acquired from Sitio, to an affiliate of GRP Energy Capital LLC and Warwick Capital Partners LLP for net cash proceeds of approximately $617 million, subject to customary post-closing adjustments. The divested properties consisted of approximately 9,400 net royalty acres in the Denver-Julesburg, Eagle Ford and Williston basins with current production of approximately 4,750 BO/d. Proceeds from the divestiture were used to (i) repay the Company’s $500 million Term Loan in full, (ii) fully repay $90 million of then-outstanding borrowings under the 2025 Revolving Credit Facility, and (iii) for general corporate purposes.</w:t>
      </w:r>
    </w:p>
    <w:p>
      <w:pPr>
        <w:spacing w:after="0" w:line="198" w:lineRule="exact"/>
        <w:rPr>
          <w:sz w:val="20"/>
          <w:szCs w:val="20"/>
          <w:color w:val="auto"/>
        </w:rPr>
      </w:pPr>
    </w:p>
    <w:p>
      <w:pPr>
        <w:ind w:left="720" w:hanging="710"/>
        <w:spacing w:after="0"/>
        <w:tabs>
          <w:tab w:leader="none" w:pos="72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56"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is managed on a consolidated basis as a single operating and reportable segment which is focused on owning and acquiring mineral and royalty interests primarily in the Permian Basin in West Texas. The Company’s operating segment primarily derives its revenue from customers through the receipt of royalty income on the sale of oil and natural gas products as well as other immaterial service contracts. See Note 3—Revenue from Contracts with Customers for further discussion of the Company’s sources of revenue.</w:t>
      </w:r>
    </w:p>
    <w:p>
      <w:pPr>
        <w:spacing w:after="0" w:line="202"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Company’s Chief Operating Decision Maker (“CODM”) is a senior executive committee that is comprised of the Company’s Chief Executive Officer and President. The CODM uses the Company’s consolidated financial results to assess performance, allocate resources and make key operating decisions, obtaining the board’s approval as required. The measures of segment profit or loss and total assets utilized by the CODM are net income and total assets, as reported on the consolidated statements of operations and the consolidated balance sheets, respectively. The significant expense categories, their amounts and other segment items that are regularly provided to the CODM are those that are reported in the Company’s consolidated statements of operations as well as interest income and interest expense in Note 6—Debt.</w:t>
      </w:r>
    </w:p>
    <w:p>
      <w:pPr>
        <w:spacing w:after="0" w:line="205"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pacing w:after="0" w:line="182" w:lineRule="exact"/>
        <w:rPr>
          <w:sz w:val="20"/>
          <w:szCs w:val="20"/>
          <w:color w:val="auto"/>
        </w:rPr>
      </w:pPr>
    </w:p>
    <w:p>
      <w:pPr>
        <w:ind w:left="720" w:hanging="710"/>
        <w:spacing w:after="0"/>
        <w:tabs>
          <w:tab w:leader="none" w:pos="72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INFORMATION ON OIL AND NATURAL GAS OPERATIONS (Unaudited)</w:t>
      </w:r>
    </w:p>
    <w:p>
      <w:pPr>
        <w:spacing w:after="0" w:line="258" w:lineRule="exact"/>
        <w:rPr>
          <w:sz w:val="20"/>
          <w:szCs w:val="20"/>
          <w:color w:val="auto"/>
        </w:rPr>
      </w:pPr>
    </w:p>
    <w:p>
      <w:pPr>
        <w:ind w:left="20" w:right="1260" w:firstLine="720"/>
        <w:spacing w:after="0" w:line="500" w:lineRule="auto"/>
        <w:rPr>
          <w:sz w:val="20"/>
          <w:szCs w:val="20"/>
          <w:color w:val="auto"/>
        </w:rPr>
      </w:pPr>
      <w:r>
        <w:rPr>
          <w:rFonts w:ascii="Times New Roman" w:cs="Times New Roman" w:eastAsia="Times New Roman" w:hAnsi="Times New Roman"/>
          <w:sz w:val="20"/>
          <w:szCs w:val="20"/>
          <w:color w:val="auto"/>
        </w:rPr>
        <w:t xml:space="preserve">The Company’s oil and natural gas reserves are attributable solely to properties within the United States. </w:t>
      </w:r>
      <w:r>
        <w:rPr>
          <w:rFonts w:ascii="Times New Roman" w:cs="Times New Roman" w:eastAsia="Times New Roman" w:hAnsi="Times New Roman"/>
          <w:sz w:val="20"/>
          <w:szCs w:val="20"/>
          <w:b w:val="1"/>
          <w:bCs w:val="1"/>
          <w:color w:val="auto"/>
        </w:rPr>
        <w:t>Capitalized Oil and Natural Gas Costs</w:t>
      </w:r>
    </w:p>
    <w:p>
      <w:pPr>
        <w:spacing w:after="0" w:line="2" w:lineRule="exact"/>
        <w:rPr>
          <w:sz w:val="20"/>
          <w:szCs w:val="20"/>
          <w:color w:val="auto"/>
        </w:rPr>
      </w:pPr>
    </w:p>
    <w:p>
      <w:pPr>
        <w:ind w:left="20" w:right="20" w:firstLine="720"/>
        <w:spacing w:after="0" w:line="286" w:lineRule="auto"/>
        <w:rPr>
          <w:sz w:val="20"/>
          <w:szCs w:val="20"/>
          <w:color w:val="auto"/>
        </w:rPr>
      </w:pPr>
      <w:r>
        <w:rPr>
          <w:rFonts w:ascii="Times New Roman" w:cs="Times New Roman" w:eastAsia="Times New Roman" w:hAnsi="Times New Roman"/>
          <w:sz w:val="20"/>
          <w:szCs w:val="20"/>
          <w:color w:val="auto"/>
        </w:rPr>
        <w:t>Aggregate capitalized costs related to oil and natural gas production activities with applicable accumulated depreciation, depletion and amortization are as follows:</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7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7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2"/>
                <w:szCs w:val="22"/>
                <w:color w:val="auto"/>
              </w:rPr>
            </w:pPr>
          </w:p>
        </w:tc>
      </w:tr>
      <w:tr>
        <w:trPr>
          <w:trHeight w:val="269"/>
        </w:trPr>
        <w:tc>
          <w:tcPr>
            <w:tcW w:w="7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Oil and natural gas interests: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7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Proved</w:t>
            </w:r>
            <w:r>
              <w:rPr>
                <w:rFonts w:ascii="Times New Roman" w:cs="Times New Roman" w:eastAsia="Times New Roman" w:hAnsi="Times New Roman"/>
                <w:sz w:val="20"/>
                <w:szCs w:val="20"/>
                <w:color w:val="B3B3B3"/>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9,746</w:t>
            </w:r>
          </w:p>
        </w:tc>
        <w:tc>
          <w:tcPr>
            <w:tcW w:w="60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w:t>
            </w:r>
          </w:p>
        </w:tc>
        <w:tc>
          <w:tcPr>
            <w:tcW w:w="20" w:type="dxa"/>
            <w:vAlign w:val="bottom"/>
          </w:tcPr>
          <w:p>
            <w:pPr>
              <w:spacing w:after="0"/>
              <w:rPr>
                <w:sz w:val="24"/>
                <w:szCs w:val="24"/>
                <w:color w:val="auto"/>
              </w:rPr>
            </w:pPr>
          </w:p>
        </w:tc>
      </w:tr>
      <w:tr>
        <w:trPr>
          <w:trHeight w:val="302"/>
        </w:trPr>
        <w:tc>
          <w:tcPr>
            <w:tcW w:w="7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Unproved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20" w:type="dxa"/>
            <w:vAlign w:val="bottom"/>
          </w:tcPr>
          <w:p>
            <w:pPr>
              <w:spacing w:after="0"/>
              <w:rPr>
                <w:sz w:val="24"/>
                <w:szCs w:val="24"/>
                <w:color w:val="auto"/>
              </w:rPr>
            </w:pPr>
          </w:p>
        </w:tc>
      </w:tr>
      <w:tr>
        <w:trPr>
          <w:trHeight w:val="278"/>
        </w:trPr>
        <w:tc>
          <w:tcPr>
            <w:tcW w:w="7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Total oil and natural gas interests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5,713</w:t>
            </w:r>
          </w:p>
        </w:tc>
        <w:tc>
          <w:tcPr>
            <w:tcW w:w="20" w:type="dxa"/>
            <w:vAlign w:val="bottom"/>
          </w:tcPr>
          <w:p>
            <w:pPr>
              <w:spacing w:after="0"/>
              <w:rPr>
                <w:sz w:val="24"/>
                <w:szCs w:val="24"/>
                <w:color w:val="auto"/>
              </w:rPr>
            </w:pPr>
          </w:p>
        </w:tc>
      </w:tr>
      <w:tr>
        <w:trPr>
          <w:trHeight w:val="298"/>
        </w:trPr>
        <w:tc>
          <w:tcPr>
            <w:tcW w:w="7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Accumulated depletion</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20" w:type="dxa"/>
            <w:vAlign w:val="bottom"/>
          </w:tcPr>
          <w:p>
            <w:pPr>
              <w:spacing w:after="0"/>
              <w:rPr>
                <w:sz w:val="24"/>
                <w:szCs w:val="24"/>
                <w:color w:val="auto"/>
              </w:rPr>
            </w:pPr>
          </w:p>
        </w:tc>
      </w:tr>
      <w:tr>
        <w:trPr>
          <w:trHeight w:val="304"/>
        </w:trPr>
        <w:tc>
          <w:tcPr>
            <w:tcW w:w="7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Accumulated impairment </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4"/>
                <w:szCs w:val="24"/>
                <w:color w:val="auto"/>
              </w:rPr>
            </w:pPr>
          </w:p>
        </w:tc>
      </w:tr>
      <w:tr>
        <w:trPr>
          <w:trHeight w:val="242"/>
        </w:trPr>
        <w:tc>
          <w:tcPr>
            <w:tcW w:w="71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Net oil and natural gas interests capitalized</w:t>
            </w:r>
            <w:r>
              <w:rPr>
                <w:rFonts w:ascii="Times New Roman" w:cs="Times New Roman" w:eastAsia="Times New Roman" w:hAnsi="Times New Roman"/>
                <w:sz w:val="20"/>
                <w:szCs w:val="20"/>
                <w:color w:val="B3B3B3"/>
              </w:rPr>
              <w:t>...............................................................</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12,201</w:t>
            </w:r>
          </w:p>
        </w:tc>
        <w:tc>
          <w:tcPr>
            <w:tcW w:w="60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4,632</w:t>
            </w:r>
          </w:p>
        </w:tc>
        <w:tc>
          <w:tcPr>
            <w:tcW w:w="20" w:type="dxa"/>
            <w:vAlign w:val="bottom"/>
          </w:tcPr>
          <w:p>
            <w:pPr>
              <w:spacing w:after="0"/>
              <w:rPr>
                <w:sz w:val="21"/>
                <w:szCs w:val="21"/>
                <w:color w:val="auto"/>
              </w:rPr>
            </w:pPr>
          </w:p>
        </w:tc>
      </w:tr>
      <w:tr>
        <w:trPr>
          <w:trHeight w:val="36"/>
        </w:trPr>
        <w:tc>
          <w:tcPr>
            <w:tcW w:w="7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300"/>
          </w:cols>
          <w:pgMar w:left="980" w:top="214" w:right="960"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Costs Incurred in Oil and Natural Gas Activities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Costs incurred in oil and natural gas property acquisition activities are as follows:</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44"/>
        </w:trPr>
        <w:tc>
          <w:tcPr>
            <w:tcW w:w="5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9"/>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5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3"/>
                <w:szCs w:val="23"/>
                <w:color w:val="auto"/>
              </w:rPr>
            </w:pPr>
          </w:p>
        </w:tc>
      </w:tr>
      <w:tr>
        <w:trPr>
          <w:trHeight w:val="268"/>
        </w:trPr>
        <w:tc>
          <w:tcPr>
            <w:tcW w:w="5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center"/>
              <w:ind w:right="124"/>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Acquisition costs: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588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Proved properties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4,976</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4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20" w:type="dxa"/>
            <w:vAlign w:val="bottom"/>
          </w:tcPr>
          <w:p>
            <w:pPr>
              <w:spacing w:after="0"/>
              <w:rPr>
                <w:sz w:val="24"/>
                <w:szCs w:val="24"/>
                <w:color w:val="auto"/>
              </w:rPr>
            </w:pPr>
          </w:p>
        </w:tc>
      </w:tr>
      <w:tr>
        <w:trPr>
          <w:trHeight w:val="300"/>
        </w:trPr>
        <w:tc>
          <w:tcPr>
            <w:tcW w:w="5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Unproved properties</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20" w:type="dxa"/>
            <w:vAlign w:val="bottom"/>
            <w:tcBorders>
              <w:bottom w:val="single" w:sz="8" w:color="auto"/>
            </w:tcBorders>
          </w:tcPr>
          <w:p>
            <w:pPr>
              <w:spacing w:after="0"/>
              <w:rPr>
                <w:sz w:val="24"/>
                <w:szCs w:val="24"/>
                <w:color w:val="auto"/>
              </w:rPr>
            </w:pPr>
          </w:p>
        </w:tc>
      </w:tr>
      <w:tr>
        <w:trPr>
          <w:trHeight w:val="244"/>
        </w:trPr>
        <w:tc>
          <w:tcPr>
            <w:tcW w:w="58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0"/>
                <w:szCs w:val="20"/>
                <w:color w:val="B3B3B3"/>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8,944</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46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1,161</w:t>
            </w:r>
          </w:p>
        </w:tc>
        <w:tc>
          <w:tcPr>
            <w:tcW w:w="20" w:type="dxa"/>
            <w:vAlign w:val="bottom"/>
          </w:tcPr>
          <w:p>
            <w:pPr>
              <w:spacing w:after="0"/>
              <w:rPr>
                <w:sz w:val="21"/>
                <w:szCs w:val="21"/>
                <w:color w:val="auto"/>
              </w:rPr>
            </w:pPr>
          </w:p>
        </w:tc>
      </w:tr>
      <w:tr>
        <w:trPr>
          <w:trHeight w:val="40"/>
        </w:trPr>
        <w:tc>
          <w:tcPr>
            <w:tcW w:w="588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Results of Operations from Oil and Natural Gas Producing Activities</w:t>
      </w:r>
    </w:p>
    <w:p>
      <w:pPr>
        <w:spacing w:after="0" w:line="258" w:lineRule="exact"/>
        <w:rPr>
          <w:sz w:val="20"/>
          <w:szCs w:val="20"/>
          <w:color w:val="auto"/>
        </w:rPr>
      </w:pPr>
    </w:p>
    <w:p>
      <w:pPr>
        <w:jc w:val="both"/>
        <w:ind w:left="20" w:right="40" w:firstLine="720"/>
        <w:spacing w:after="0" w:line="289" w:lineRule="auto"/>
        <w:rPr>
          <w:sz w:val="20"/>
          <w:szCs w:val="20"/>
          <w:color w:val="auto"/>
        </w:rPr>
      </w:pPr>
      <w:r>
        <w:rPr>
          <w:rFonts w:ascii="Times New Roman" w:cs="Times New Roman" w:eastAsia="Times New Roman" w:hAnsi="Times New Roman"/>
          <w:sz w:val="20"/>
          <w:szCs w:val="20"/>
          <w:color w:val="auto"/>
        </w:rPr>
        <w:t>Substantially all of the Company’s producing activities are from oil and natural gas activities and are included in the “—Consolidated Statements of Operations.”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Oil and Natural Gas Reserves</w:t>
      </w:r>
    </w:p>
    <w:p>
      <w:pPr>
        <w:spacing w:after="0" w:line="256" w:lineRule="exact"/>
        <w:rPr>
          <w:sz w:val="20"/>
          <w:szCs w:val="20"/>
          <w:color w:val="auto"/>
        </w:rPr>
      </w:pPr>
    </w:p>
    <w:p>
      <w:pPr>
        <w:jc w:val="both"/>
        <w:ind w:left="20" w:right="20" w:firstLine="720"/>
        <w:spacing w:after="0" w:line="254" w:lineRule="auto"/>
        <w:rPr>
          <w:sz w:val="20"/>
          <w:szCs w:val="20"/>
          <w:color w:val="auto"/>
        </w:rPr>
      </w:pPr>
      <w:r>
        <w:rPr>
          <w:rFonts w:ascii="Times New Roman" w:cs="Times New Roman" w:eastAsia="Times New Roman" w:hAnsi="Times New Roman"/>
          <w:sz w:val="20"/>
          <w:szCs w:val="20"/>
          <w:color w:val="auto"/>
        </w:rPr>
        <w:t>Proved oil and natural gas reserve estimates and their associated future net cash flows were prepared by the Company’s internal reservoir engineers and audited by Ryder Scott, independent petroleum engineers, as of December 31, 2025, 2024 and 2023. The reserve estimates represent the Company’s net revenue interest in the Company’s properties. Proved reserves were estimated in accordance with guidelines established by the SEC, which require that reserve estimates be prepared under existing economic and operating conditions based upon SEC Prices for the periods ended December 31, 2025, 2024 and 2023, respectively. Reserve estimates do not include any value for probable or possible reserves that may exist, nor do they include any value for undeveloped acreage. All of the Company’s proved reserves included in the reserve reports are located in the continental United States. Although the estimates are believed to be reasonable, actual future production, cash flows, taxes and quantities of recoverable oil and natural gas reserves may vary substantially from these estimates.</w:t>
      </w:r>
    </w:p>
    <w:p>
      <w:pPr>
        <w:spacing w:after="0" w:line="205" w:lineRule="exact"/>
        <w:rPr>
          <w:sz w:val="20"/>
          <w:szCs w:val="20"/>
          <w:color w:val="auto"/>
        </w:rPr>
      </w:pPr>
    </w:p>
    <w:p>
      <w:pPr>
        <w:jc w:val="both"/>
        <w:ind w:left="20" w:right="20" w:firstLine="720"/>
        <w:spacing w:after="0" w:line="257" w:lineRule="auto"/>
        <w:rPr>
          <w:sz w:val="20"/>
          <w:szCs w:val="20"/>
          <w:color w:val="auto"/>
        </w:rPr>
      </w:pPr>
      <w:r>
        <w:rPr>
          <w:rFonts w:ascii="Times New Roman" w:cs="Times New Roman" w:eastAsia="Times New Roman" w:hAnsi="Times New Roman"/>
          <w:sz w:val="20"/>
          <w:szCs w:val="20"/>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300"/>
          </w:cols>
          <w:pgMar w:left="980" w:top="214" w:right="960" w:bottom="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ind w:left="2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changes in estimated proved reserves, which were prepared in accordance with the rules and regulations of the SEC:</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Natural Gas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0" w:type="dxa"/>
            <w:vAlign w:val="bottom"/>
          </w:tcPr>
          <w:p>
            <w:pPr>
              <w:spacing w:after="0"/>
              <w:rPr>
                <w:sz w:val="19"/>
                <w:szCs w:val="19"/>
                <w:color w:val="auto"/>
              </w:rPr>
            </w:pPr>
          </w:p>
        </w:tc>
        <w:tc>
          <w:tcPr>
            <w:tcW w:w="1340" w:type="dxa"/>
            <w:vAlign w:val="bottom"/>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Oil</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36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Liquids</w:t>
            </w: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13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(MMcf)</w:t>
            </w:r>
          </w:p>
        </w:tc>
        <w:tc>
          <w:tcPr>
            <w:tcW w:w="13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(MBbls)</w:t>
            </w:r>
          </w:p>
        </w:tc>
        <w:tc>
          <w:tcPr>
            <w:tcW w:w="1180" w:type="dxa"/>
            <w:vAlign w:val="bottom"/>
            <w:tcBorders>
              <w:bottom w:val="single" w:sz="8" w:color="auto"/>
            </w:tcBorders>
          </w:tcPr>
          <w:p>
            <w:pPr>
              <w:jc w:val="right"/>
              <w:ind w:right="141"/>
              <w:spacing w:after="0" w:line="250" w:lineRule="exact"/>
              <w:rPr>
                <w:sz w:val="20"/>
                <w:szCs w:val="20"/>
                <w:color w:val="auto"/>
              </w:rPr>
            </w:pPr>
            <w:r>
              <w:rPr>
                <w:rFonts w:ascii="Times New Roman" w:cs="Times New Roman" w:eastAsia="Times New Roman" w:hAnsi="Times New Roman"/>
                <w:sz w:val="18"/>
                <w:szCs w:val="18"/>
                <w:b w:val="1"/>
                <w:bCs w:val="1"/>
                <w:color w:val="auto"/>
              </w:rPr>
              <w:t>(MBOE)</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As of December 31, 2022 </w:t>
            </w:r>
            <w:r>
              <w:rPr>
                <w:rFonts w:ascii="Times New Roman" w:cs="Times New Roman" w:eastAsia="Times New Roman" w:hAnsi="Times New Roman"/>
                <w:sz w:val="18"/>
                <w:szCs w:val="18"/>
                <w:b w:val="1"/>
                <w:bCs w:val="1"/>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79,004</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209,964</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34,902</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148,900</w:t>
            </w:r>
          </w:p>
        </w:tc>
        <w:tc>
          <w:tcPr>
            <w:tcW w:w="0" w:type="dxa"/>
            <w:vAlign w:val="bottom"/>
          </w:tcPr>
          <w:p>
            <w:pPr>
              <w:spacing w:after="0"/>
              <w:rPr>
                <w:sz w:val="1"/>
                <w:szCs w:val="1"/>
                <w:color w:val="auto"/>
              </w:rPr>
            </w:pPr>
          </w:p>
        </w:tc>
      </w:tr>
      <w:tr>
        <w:trPr>
          <w:trHeight w:val="297"/>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 of reserves in place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10,469</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27,011</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4,006</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18,977</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Extensions and discoveries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13,636</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34,632</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6,150</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25,558</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Revisions of previous estimates</w:t>
            </w:r>
            <w:r>
              <w:rPr>
                <w:rFonts w:ascii="Times New Roman" w:cs="Times New Roman" w:eastAsia="Times New Roman" w:hAnsi="Times New Roman"/>
                <w:sz w:val="20"/>
                <w:szCs w:val="20"/>
                <w:color w:val="B3B3B3"/>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(5,178)</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11,101</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3,466</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302"/>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Production </w:t>
            </w:r>
            <w:r>
              <w:rPr>
                <w:rFonts w:ascii="Times New Roman" w:cs="Times New Roman" w:eastAsia="Times New Roman" w:hAnsi="Times New Roman"/>
                <w:sz w:val="20"/>
                <w:szCs w:val="20"/>
                <w:color w:val="B3B3B3"/>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(8,028)</w:t>
            </w: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(19,130)</w:t>
            </w:r>
          </w:p>
        </w:tc>
        <w:tc>
          <w:tcPr>
            <w:tcW w:w="1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(3,108)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(14,324)</w:t>
            </w:r>
          </w:p>
        </w:tc>
        <w:tc>
          <w:tcPr>
            <w:tcW w:w="0" w:type="dxa"/>
            <w:vAlign w:val="bottom"/>
          </w:tcPr>
          <w:p>
            <w:pPr>
              <w:spacing w:after="0"/>
              <w:rPr>
                <w:sz w:val="1"/>
                <w:szCs w:val="1"/>
                <w:color w:val="auto"/>
              </w:rPr>
            </w:pPr>
          </w:p>
        </w:tc>
      </w:tr>
      <w:tr>
        <w:trPr>
          <w:trHeight w:val="281"/>
        </w:trPr>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As of December 31, 2023 </w:t>
            </w:r>
            <w:r>
              <w:rPr>
                <w:rFonts w:ascii="Times New Roman" w:cs="Times New Roman" w:eastAsia="Times New Roman" w:hAnsi="Times New Roman"/>
                <w:sz w:val="18"/>
                <w:szCs w:val="18"/>
                <w:b w:val="1"/>
                <w:bCs w:val="1"/>
                <w:color w:val="B3B3B3"/>
                <w:w w:val="99"/>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89,903</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263,578</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45,416</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179,249</w:t>
            </w:r>
          </w:p>
        </w:tc>
        <w:tc>
          <w:tcPr>
            <w:tcW w:w="0" w:type="dxa"/>
            <w:vAlign w:val="bottom"/>
          </w:tcPr>
          <w:p>
            <w:pPr>
              <w:spacing w:after="0"/>
              <w:rPr>
                <w:sz w:val="1"/>
                <w:szCs w:val="1"/>
                <w:color w:val="auto"/>
              </w:rPr>
            </w:pPr>
          </w:p>
        </w:tc>
      </w:tr>
      <w:tr>
        <w:trPr>
          <w:trHeight w:val="295"/>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 of reserves in place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7,891</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20,310</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3,665</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14,941</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Extensions and discoveries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13,099</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33,498</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6,254</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24,936</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Revisions of previous estimates</w:t>
            </w:r>
            <w:r>
              <w:rPr>
                <w:rFonts w:ascii="Times New Roman" w:cs="Times New Roman" w:eastAsia="Times New Roman" w:hAnsi="Times New Roman"/>
                <w:sz w:val="20"/>
                <w:szCs w:val="20"/>
                <w:color w:val="B3B3B3"/>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(6,472)</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4,449</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2,837</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(2,894)</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0"/>
                <w:szCs w:val="20"/>
                <w:color w:val="B3B3B3"/>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(919)</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(4,605)</w:t>
            </w: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(451)</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0" w:type="dxa"/>
            <w:vAlign w:val="bottom"/>
          </w:tcPr>
          <w:p>
            <w:pPr>
              <w:spacing w:after="0"/>
              <w:rPr>
                <w:sz w:val="1"/>
                <w:szCs w:val="1"/>
                <w:color w:val="auto"/>
              </w:rPr>
            </w:pPr>
          </w:p>
        </w:tc>
      </w:tr>
      <w:tr>
        <w:trPr>
          <w:trHeight w:val="304"/>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Production </w:t>
            </w:r>
            <w:r>
              <w:rPr>
                <w:rFonts w:ascii="Times New Roman" w:cs="Times New Roman" w:eastAsia="Times New Roman" w:hAnsi="Times New Roman"/>
                <w:sz w:val="20"/>
                <w:szCs w:val="20"/>
                <w:color w:val="B3B3B3"/>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(9,939)</w:t>
            </w: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(24,606)</w:t>
            </w:r>
          </w:p>
        </w:tc>
        <w:tc>
          <w:tcPr>
            <w:tcW w:w="1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(4,181)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(18,221)</w:t>
            </w:r>
          </w:p>
        </w:tc>
        <w:tc>
          <w:tcPr>
            <w:tcW w:w="0" w:type="dxa"/>
            <w:vAlign w:val="bottom"/>
          </w:tcPr>
          <w:p>
            <w:pPr>
              <w:spacing w:after="0"/>
              <w:rPr>
                <w:sz w:val="1"/>
                <w:szCs w:val="1"/>
                <w:color w:val="auto"/>
              </w:rPr>
            </w:pPr>
          </w:p>
        </w:tc>
      </w:tr>
      <w:tr>
        <w:trPr>
          <w:trHeight w:val="279"/>
        </w:trPr>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As of December 31, 2024 </w:t>
            </w:r>
            <w:r>
              <w:rPr>
                <w:rFonts w:ascii="Times New Roman" w:cs="Times New Roman" w:eastAsia="Times New Roman" w:hAnsi="Times New Roman"/>
                <w:sz w:val="18"/>
                <w:szCs w:val="18"/>
                <w:b w:val="1"/>
                <w:bCs w:val="1"/>
                <w:color w:val="B3B3B3"/>
                <w:w w:val="99"/>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93,563</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292,624</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53,540</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195,873</w:t>
            </w:r>
          </w:p>
        </w:tc>
        <w:tc>
          <w:tcPr>
            <w:tcW w:w="0" w:type="dxa"/>
            <w:vAlign w:val="bottom"/>
          </w:tcPr>
          <w:p>
            <w:pPr>
              <w:spacing w:after="0"/>
              <w:rPr>
                <w:sz w:val="1"/>
                <w:szCs w:val="1"/>
                <w:color w:val="auto"/>
              </w:rPr>
            </w:pPr>
          </w:p>
        </w:tc>
      </w:tr>
      <w:tr>
        <w:trPr>
          <w:trHeight w:val="297"/>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 of reserves in place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90,168</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336,127</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55,102</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201,291</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Extensions and discoveries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31,305</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90,973</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15,702</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62,170</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Revisions of previous estimates</w:t>
            </w:r>
            <w:r>
              <w:rPr>
                <w:rFonts w:ascii="Times New Roman" w:cs="Times New Roman" w:eastAsia="Times New Roman" w:hAnsi="Times New Roman"/>
                <w:sz w:val="20"/>
                <w:szCs w:val="20"/>
                <w:color w:val="B3B3B3"/>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(3,951)</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(31,751)</w:t>
            </w: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(9,328)</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(18,570)</w:t>
            </w:r>
          </w:p>
        </w:tc>
        <w:tc>
          <w:tcPr>
            <w:tcW w:w="0" w:type="dxa"/>
            <w:vAlign w:val="bottom"/>
          </w:tcPr>
          <w:p>
            <w:pPr>
              <w:spacing w:after="0"/>
              <w:rPr>
                <w:sz w:val="1"/>
                <w:szCs w:val="1"/>
                <w:color w:val="auto"/>
              </w:rPr>
            </w:pPr>
          </w:p>
        </w:tc>
      </w:tr>
      <w:tr>
        <w:trPr>
          <w:trHeight w:val="300"/>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0"/>
                <w:szCs w:val="20"/>
                <w:color w:val="B3B3B3"/>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302"/>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Production </w:t>
            </w:r>
            <w:r>
              <w:rPr>
                <w:rFonts w:ascii="Times New Roman" w:cs="Times New Roman" w:eastAsia="Times New Roman" w:hAnsi="Times New Roman"/>
                <w:sz w:val="20"/>
                <w:szCs w:val="20"/>
                <w:color w:val="B3B3B3"/>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(17,875)</w:t>
            </w: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(51,676)</w:t>
            </w:r>
          </w:p>
        </w:tc>
        <w:tc>
          <w:tcPr>
            <w:tcW w:w="1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(8,233)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(34,721)</w:t>
            </w:r>
          </w:p>
        </w:tc>
        <w:tc>
          <w:tcPr>
            <w:tcW w:w="0" w:type="dxa"/>
            <w:vAlign w:val="bottom"/>
          </w:tcPr>
          <w:p>
            <w:pPr>
              <w:spacing w:after="0"/>
              <w:rPr>
                <w:sz w:val="1"/>
                <w:szCs w:val="1"/>
                <w:color w:val="auto"/>
              </w:rPr>
            </w:pPr>
          </w:p>
        </w:tc>
      </w:tr>
      <w:tr>
        <w:trPr>
          <w:trHeight w:val="262"/>
        </w:trPr>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As of December 31, 2025 </w:t>
            </w:r>
            <w:r>
              <w:rPr>
                <w:rFonts w:ascii="Times New Roman" w:cs="Times New Roman" w:eastAsia="Times New Roman" w:hAnsi="Times New Roman"/>
                <w:sz w:val="18"/>
                <w:szCs w:val="18"/>
                <w:b w:val="1"/>
                <w:bCs w:val="1"/>
                <w:color w:val="B3B3B3"/>
                <w:w w:val="99"/>
              </w:rPr>
              <w:t>...................................................................</w:t>
            </w: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193,206</w:t>
            </w: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636,285</w:t>
            </w: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106,781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406,035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0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 xml:space="preserve">December 31, 2023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69,043</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221,462</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37,417</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143,371</w:t>
            </w:r>
          </w:p>
        </w:tc>
        <w:tc>
          <w:tcPr>
            <w:tcW w:w="0" w:type="dxa"/>
            <w:vAlign w:val="bottom"/>
          </w:tcPr>
          <w:p>
            <w:pPr>
              <w:spacing w:after="0"/>
              <w:rPr>
                <w:sz w:val="1"/>
                <w:szCs w:val="1"/>
                <w:color w:val="auto"/>
              </w:rPr>
            </w:pPr>
          </w:p>
        </w:tc>
      </w:tr>
      <w:tr>
        <w:trPr>
          <w:trHeight w:val="298"/>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2024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76,020</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253,271</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45,633</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163,865</w:t>
            </w:r>
          </w:p>
        </w:tc>
        <w:tc>
          <w:tcPr>
            <w:tcW w:w="0" w:type="dxa"/>
            <w:vAlign w:val="bottom"/>
          </w:tcPr>
          <w:p>
            <w:pPr>
              <w:spacing w:after="0"/>
              <w:rPr>
                <w:sz w:val="1"/>
                <w:szCs w:val="1"/>
                <w:color w:val="auto"/>
              </w:rPr>
            </w:pPr>
          </w:p>
        </w:tc>
      </w:tr>
      <w:tr>
        <w:trPr>
          <w:trHeight w:val="283"/>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2025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147,036</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512,302</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84,282</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316,702</w:t>
            </w:r>
          </w:p>
        </w:tc>
        <w:tc>
          <w:tcPr>
            <w:tcW w:w="0" w:type="dxa"/>
            <w:vAlign w:val="bottom"/>
          </w:tcPr>
          <w:p>
            <w:pPr>
              <w:spacing w:after="0"/>
              <w:rPr>
                <w:sz w:val="1"/>
                <w:szCs w:val="1"/>
                <w:color w:val="auto"/>
              </w:rPr>
            </w:pPr>
          </w:p>
        </w:tc>
      </w:tr>
      <w:tr>
        <w:trPr>
          <w:trHeight w:val="591"/>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 xml:space="preserve">December 31, 2023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20,860</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42,116</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7,999</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35,878</w:t>
            </w:r>
          </w:p>
        </w:tc>
        <w:tc>
          <w:tcPr>
            <w:tcW w:w="0" w:type="dxa"/>
            <w:vAlign w:val="bottom"/>
          </w:tcPr>
          <w:p>
            <w:pPr>
              <w:spacing w:after="0"/>
              <w:rPr>
                <w:sz w:val="1"/>
                <w:szCs w:val="1"/>
                <w:color w:val="auto"/>
              </w:rPr>
            </w:pPr>
          </w:p>
        </w:tc>
      </w:tr>
      <w:tr>
        <w:trPr>
          <w:trHeight w:val="298"/>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2024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17,543</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39,353</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7,907</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32,009</w:t>
            </w:r>
          </w:p>
        </w:tc>
        <w:tc>
          <w:tcPr>
            <w:tcW w:w="0" w:type="dxa"/>
            <w:vAlign w:val="bottom"/>
          </w:tcPr>
          <w:p>
            <w:pPr>
              <w:spacing w:after="0"/>
              <w:rPr>
                <w:sz w:val="1"/>
                <w:szCs w:val="1"/>
                <w:color w:val="auto"/>
              </w:rPr>
            </w:pPr>
          </w:p>
        </w:tc>
      </w:tr>
      <w:tr>
        <w:trPr>
          <w:trHeight w:val="283"/>
        </w:trPr>
        <w:tc>
          <w:tcPr>
            <w:tcW w:w="5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2025 </w:t>
            </w:r>
            <w:r>
              <w:rPr>
                <w:rFonts w:ascii="Times New Roman" w:cs="Times New Roman" w:eastAsia="Times New Roman" w:hAnsi="Times New Roman"/>
                <w:sz w:val="20"/>
                <w:szCs w:val="20"/>
                <w:color w:val="B3B3B3"/>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46,170</w:t>
            </w: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123,983</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22,499</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89,333</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80" w:right="240" w:hanging="369"/>
        <w:spacing w:after="0" w:line="286" w:lineRule="auto"/>
        <w:tabs>
          <w:tab w:leader="none" w:pos="37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total proved reserves of 219,259 MBOE, 94,019 MBOE, 91,417 MBOE and 81,895 MBOE as of December 31, 2025, 2024, 2023 and 2022, respectively, attributable to a non-controlling interest in the Operating Company.</w:t>
      </w:r>
    </w:p>
    <w:p>
      <w:pPr>
        <w:spacing w:after="0" w:line="170"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90"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2025, the Company’s total extensions and discoveries of 62,170 MBOE resulted primarily from the drilling of 1,497 new wells and from 1,071 new proved undeveloped locations added. The Company’s total downward revisions of previous estimated quantities of 18,570 MBOE were primarily attributable to negative revisions of (i) 11,481 MBOE associated with lower commodity prices, (ii) 4,722 MBOE due to PUD downgrades, and (iii) 2,367 MBOE primarily attributable to performance revisions. Total purchases of reserves in place of 201,291 MBOE resulted primarily from the Sitio Acquisition, the 2025 Drop Down, the Morita Ranches Acquisition and other acquisitions of certain mineral and royalty interests.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80"/>
          </w:cols>
          <w:pgMar w:left="980" w:top="214" w:right="980" w:bottom="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jc w:val="both"/>
        <w:ind w:left="20" w:right="20" w:firstLine="72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2024, the Company’s total extensions and discoveries of 24,936 MBOE resulted primarily from the drilling of 1,170 new wells and from 447 new proved undeveloped locations added. The Company’s total downward revisions of previous estimated quantities of 2,894 MBOE were primarily attributable to negative revisions of (i) 6,539 MBOE associated with lower commodity prices, and (ii) 2,936 MBOE due primarily to PUD downgrades partially offset by positive revisions of 6,580 MBOE primarily attributable to performance revisions. Total purchases of reserves in place of 14,941 MBOE resulted primarily from the Tumbleweed Acquisitions and other acquisitions of certain mineral and royalty interests. Divestitures of 2,138 MBOE related primarily to non-core mineral and royalty interests.</w:t>
      </w:r>
    </w:p>
    <w:p>
      <w:pPr>
        <w:spacing w:after="0" w:line="205" w:lineRule="exact"/>
        <w:rPr>
          <w:sz w:val="20"/>
          <w:szCs w:val="20"/>
          <w:color w:val="auto"/>
        </w:rPr>
      </w:pPr>
    </w:p>
    <w:p>
      <w:pPr>
        <w:jc w:val="both"/>
        <w:ind w:left="20" w:right="20" w:firstLine="72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2023, the Company’s total extensions and discoveries of 25,558 MBOE resulted primarily from the drilling of 904 new wells and from 179 new proved undeveloped locations added. The Company’s total positive revisions of previous estimated quantities of 138 MBOE consist of positive revisions of 5,688 MBOE primarily attributable to performance revisions which were largely offset by PUD downgrades of 5,548 MBOE. Total purchases of reserves in place of 18,977 MBOE resulted primarily from the GRP Acquisition and other acquisitions of certain mineral and royalty interests.</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Proved Undeveloped Reserves</w:t>
      </w:r>
    </w:p>
    <w:p>
      <w:pPr>
        <w:spacing w:after="0" w:line="251" w:lineRule="exact"/>
        <w:rPr>
          <w:sz w:val="20"/>
          <w:szCs w:val="20"/>
          <w:color w:val="auto"/>
        </w:rPr>
      </w:pPr>
    </w:p>
    <w:p>
      <w:pPr>
        <w:jc w:val="both"/>
        <w:ind w:left="20" w:right="20" w:firstLine="720"/>
        <w:spacing w:after="0" w:line="257" w:lineRule="auto"/>
        <w:rPr>
          <w:sz w:val="20"/>
          <w:szCs w:val="20"/>
          <w:color w:val="auto"/>
        </w:rPr>
      </w:pPr>
      <w:r>
        <w:rPr>
          <w:rFonts w:ascii="Times New Roman" w:cs="Times New Roman" w:eastAsia="Times New Roman" w:hAnsi="Times New Roman"/>
          <w:sz w:val="20"/>
          <w:szCs w:val="20"/>
          <w:color w:val="auto"/>
        </w:rPr>
        <w:t>As of December 31, 2025, the Company’s PUD reserves totaled 46,170 MBbls of oil, 123,983 MMcf of natural gas and 22,499 MBbls of natural gas liquids, for a total of 89,333 MBOE. PUDs will be converted from undeveloped to developed as the applicable wells begin production. The Company’s PUD reserves were from 1,653 horizontal wells, 61% of which are operated by Diamondback. Of the horizontal locations, 424 are Wolfcamp A wells, 415 are Wolfcamp B wells, 298 are Middle Spraberry/Jo Mill wells, 257 are Lower Spraberry wells, 82 are Bone Spring wells, 61 are Wolfcamp D wells, 47 are Dean wells, 46 are Barnett wells, 12 are Wolfcamp XY wells, eight are Wolfcamp C wells and three are Upper Spraberry wells.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includes the changes in PUD reserves for 2025:</w:t>
      </w: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8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MBOE</w:t>
            </w:r>
          </w:p>
        </w:tc>
        <w:tc>
          <w:tcPr>
            <w:tcW w:w="20" w:type="dxa"/>
            <w:vAlign w:val="bottom"/>
          </w:tcPr>
          <w:p>
            <w:pPr>
              <w:spacing w:after="0"/>
              <w:rPr>
                <w:sz w:val="21"/>
                <w:szCs w:val="21"/>
                <w:color w:val="auto"/>
              </w:rPr>
            </w:pPr>
          </w:p>
        </w:tc>
      </w:tr>
      <w:tr>
        <w:trPr>
          <w:trHeight w:val="278"/>
        </w:trPr>
        <w:tc>
          <w:tcPr>
            <w:tcW w:w="8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 xml:space="preserve">Beginning proved undeveloped reserves at December 31, 2024 </w:t>
            </w:r>
            <w:r>
              <w:rPr>
                <w:rFonts w:ascii="Times New Roman" w:cs="Times New Roman" w:eastAsia="Times New Roman" w:hAnsi="Times New Roman"/>
                <w:sz w:val="18"/>
                <w:szCs w:val="18"/>
                <w:b w:val="1"/>
                <w:bCs w:val="1"/>
                <w:color w:val="B3B3B3"/>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32,009</w:t>
            </w:r>
          </w:p>
        </w:tc>
        <w:tc>
          <w:tcPr>
            <w:tcW w:w="20" w:type="dxa"/>
            <w:vAlign w:val="bottom"/>
          </w:tcPr>
          <w:p>
            <w:pPr>
              <w:spacing w:after="0"/>
              <w:rPr>
                <w:sz w:val="24"/>
                <w:szCs w:val="24"/>
                <w:color w:val="auto"/>
              </w:rPr>
            </w:pPr>
          </w:p>
        </w:tc>
      </w:tr>
      <w:tr>
        <w:trPr>
          <w:trHeight w:val="298"/>
        </w:trPr>
        <w:tc>
          <w:tcPr>
            <w:tcW w:w="8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Undeveloped reserves transferred to developed</w:t>
            </w:r>
            <w:r>
              <w:rPr>
                <w:rFonts w:ascii="Times New Roman" w:cs="Times New Roman" w:eastAsia="Times New Roman" w:hAnsi="Times New Roman"/>
                <w:sz w:val="20"/>
                <w:szCs w:val="20"/>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(11,848)</w:t>
            </w:r>
          </w:p>
        </w:tc>
        <w:tc>
          <w:tcPr>
            <w:tcW w:w="20" w:type="dxa"/>
            <w:vAlign w:val="bottom"/>
          </w:tcPr>
          <w:p>
            <w:pPr>
              <w:spacing w:after="0"/>
              <w:rPr>
                <w:sz w:val="24"/>
                <w:szCs w:val="24"/>
                <w:color w:val="auto"/>
              </w:rPr>
            </w:pPr>
          </w:p>
        </w:tc>
      </w:tr>
      <w:tr>
        <w:trPr>
          <w:trHeight w:val="300"/>
        </w:trPr>
        <w:tc>
          <w:tcPr>
            <w:tcW w:w="8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Revisions</w:t>
            </w:r>
            <w:r>
              <w:rPr>
                <w:rFonts w:ascii="Times New Roman" w:cs="Times New Roman" w:eastAsia="Times New Roman" w:hAnsi="Times New Roman"/>
                <w:sz w:val="20"/>
                <w:szCs w:val="20"/>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(5,643)</w:t>
            </w:r>
          </w:p>
        </w:tc>
        <w:tc>
          <w:tcPr>
            <w:tcW w:w="20" w:type="dxa"/>
            <w:vAlign w:val="bottom"/>
          </w:tcPr>
          <w:p>
            <w:pPr>
              <w:spacing w:after="0"/>
              <w:rPr>
                <w:sz w:val="24"/>
                <w:szCs w:val="24"/>
                <w:color w:val="auto"/>
              </w:rPr>
            </w:pPr>
          </w:p>
        </w:tc>
      </w:tr>
      <w:tr>
        <w:trPr>
          <w:trHeight w:val="300"/>
        </w:trPr>
        <w:tc>
          <w:tcPr>
            <w:tcW w:w="8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Purchases</w:t>
            </w:r>
            <w:r>
              <w:rPr>
                <w:rFonts w:ascii="Times New Roman" w:cs="Times New Roman" w:eastAsia="Times New Roman" w:hAnsi="Times New Roman"/>
                <w:sz w:val="20"/>
                <w:szCs w:val="20"/>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28,395</w:t>
            </w:r>
          </w:p>
        </w:tc>
        <w:tc>
          <w:tcPr>
            <w:tcW w:w="20" w:type="dxa"/>
            <w:vAlign w:val="bottom"/>
          </w:tcPr>
          <w:p>
            <w:pPr>
              <w:spacing w:after="0"/>
              <w:rPr>
                <w:sz w:val="24"/>
                <w:szCs w:val="24"/>
                <w:color w:val="auto"/>
              </w:rPr>
            </w:pPr>
          </w:p>
        </w:tc>
      </w:tr>
      <w:tr>
        <w:trPr>
          <w:trHeight w:val="304"/>
        </w:trPr>
        <w:tc>
          <w:tcPr>
            <w:tcW w:w="8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Extensions and discoveries</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46,420</w:t>
            </w:r>
          </w:p>
        </w:tc>
        <w:tc>
          <w:tcPr>
            <w:tcW w:w="20" w:type="dxa"/>
            <w:vAlign w:val="bottom"/>
          </w:tcPr>
          <w:p>
            <w:pPr>
              <w:spacing w:after="0"/>
              <w:rPr>
                <w:sz w:val="24"/>
                <w:szCs w:val="24"/>
                <w:color w:val="auto"/>
              </w:rPr>
            </w:pPr>
          </w:p>
        </w:tc>
      </w:tr>
      <w:tr>
        <w:trPr>
          <w:trHeight w:val="230"/>
        </w:trPr>
        <w:tc>
          <w:tcPr>
            <w:tcW w:w="8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 xml:space="preserve">Ending proved undeveloped reserves at December 31, 2025 </w:t>
            </w:r>
            <w:r>
              <w:rPr>
                <w:rFonts w:ascii="Times New Roman" w:cs="Times New Roman" w:eastAsia="Times New Roman" w:hAnsi="Times New Roman"/>
                <w:sz w:val="18"/>
                <w:szCs w:val="18"/>
                <w:color w:val="auto"/>
                <w:w w:val="99"/>
              </w:rPr>
              <w:t>...........................................................................................</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89,333</w:t>
            </w:r>
          </w:p>
        </w:tc>
        <w:tc>
          <w:tcPr>
            <w:tcW w:w="20" w:type="dxa"/>
            <w:vAlign w:val="bottom"/>
          </w:tcPr>
          <w:p>
            <w:pPr>
              <w:spacing w:after="0"/>
              <w:rPr>
                <w:sz w:val="20"/>
                <w:szCs w:val="20"/>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The increase in PUD reserves was primarily attributable to positive additions of 46,420 MBOE, primarily from 1,071 new horizontal well locations attributable to extensions resulting from strategic drilling of wells to delineate the Company’s acreage position and acquisitions of 28,395 MBOE. These increases in PUD reserves were partially offset by the conversion of 11,848 MBOE of PUD reserves into proved developed reserves and downward revisions of 5,643 MBOE primarily attributable to PUD downgrades of 4,421 MBOE.</w:t>
      </w:r>
    </w:p>
    <w:p>
      <w:pPr>
        <w:spacing w:after="0" w:line="202" w:lineRule="exact"/>
        <w:rPr>
          <w:sz w:val="20"/>
          <w:szCs w:val="20"/>
          <w:color w:val="auto"/>
        </w:rPr>
      </w:pPr>
    </w:p>
    <w:p>
      <w:pPr>
        <w:jc w:val="both"/>
        <w:ind w:left="20" w:right="20" w:firstLine="720"/>
        <w:spacing w:after="0" w:line="268" w:lineRule="auto"/>
        <w:rPr>
          <w:sz w:val="20"/>
          <w:szCs w:val="20"/>
          <w:color w:val="auto"/>
        </w:rPr>
      </w:pPr>
      <w:r>
        <w:rPr>
          <w:rFonts w:ascii="Times New Roman" w:cs="Times New Roman" w:eastAsia="Times New Roman" w:hAnsi="Times New Roman"/>
          <w:sz w:val="20"/>
          <w:szCs w:val="20"/>
          <w:color w:val="auto"/>
        </w:rPr>
        <w:t>All of the Company’s PUD drilling locations are scheduled to be drilled within five years from the date they were initially recorded. As of December 31, 2025, none of the Company’s total proved reserves were classified as proved developed non-producing.</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Standardized Measure of Discounted Future Net Cash Flows</w:t>
      </w:r>
    </w:p>
    <w:p>
      <w:pPr>
        <w:spacing w:after="0" w:line="251" w:lineRule="exact"/>
        <w:rPr>
          <w:sz w:val="20"/>
          <w:szCs w:val="20"/>
          <w:color w:val="auto"/>
        </w:rPr>
      </w:pPr>
    </w:p>
    <w:p>
      <w:pPr>
        <w:jc w:val="both"/>
        <w:ind w:left="20" w:right="20" w:firstLine="720"/>
        <w:spacing w:after="0" w:line="258" w:lineRule="auto"/>
        <w:rPr>
          <w:sz w:val="20"/>
          <w:szCs w:val="20"/>
          <w:color w:val="auto"/>
        </w:rPr>
      </w:pPr>
      <w:r>
        <w:rPr>
          <w:rFonts w:ascii="Times New Roman" w:cs="Times New Roman" w:eastAsia="Times New Roman" w:hAnsi="Times New Roman"/>
          <w:sz w:val="20"/>
          <w:szCs w:val="20"/>
          <w:color w:val="auto"/>
        </w:rPr>
        <w:t>The standardized measure of discounted future net cash flows is based on SEC Prices. The projections should not be viewed as realistic estimates of future cash flows, nor should the “standardized measure” be interpreted as representing current value to the Company. Material revisions to estimates of proved reserves may occur in the future due to development and production of the reserves not occurring in the periods assumed, as well as actual prices realized and actual costs incurred varying significantly from those used in the estimates of proved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300"/>
          </w:cols>
          <w:pgMar w:left="980" w:top="214" w:right="960" w:bottom="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20"/>
        <w:spacing w:after="0" w:line="238" w:lineRule="auto"/>
        <w:rPr>
          <w:sz w:val="20"/>
          <w:szCs w:val="20"/>
          <w:color w:val="auto"/>
        </w:rPr>
      </w:pPr>
      <w:r>
        <w:rPr>
          <w:rFonts w:ascii="Times New Roman" w:cs="Times New Roman" w:eastAsia="Times New Roman" w:hAnsi="Times New Roman"/>
          <w:sz w:val="20"/>
          <w:szCs w:val="20"/>
          <w:b w:val="1"/>
          <w:bCs w:val="1"/>
          <w:color w:val="auto"/>
        </w:rPr>
        <w:t>Viper Energy, Inc.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sets forth the standardized measure of discounted future net cash flows attributable to the</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Company’s proved oil and natural gas reserves as of December 31, 2025, 2024 and 2023:</w:t>
      </w:r>
    </w:p>
    <w:p>
      <w:pPr>
        <w:spacing w:after="0" w:line="343" w:lineRule="exact"/>
        <w:rPr>
          <w:sz w:val="20"/>
          <w:szCs w:val="20"/>
          <w:color w:val="auto"/>
        </w:rPr>
      </w:pPr>
    </w:p>
    <w:tbl>
      <w:tblPr>
        <w:tblLayout w:type="fixed"/>
        <w:tblInd w:w="180" w:type="dxa"/>
        <w:tblCellMar>
          <w:top w:w="0" w:type="dxa"/>
          <w:left w:w="0" w:type="dxa"/>
          <w:bottom w:w="0" w:type="dxa"/>
          <w:right w:w="0" w:type="dxa"/>
        </w:tblCellMar>
      </w:tblPr>
      <w:tr>
        <w:trPr>
          <w:trHeight w:val="248"/>
        </w:trPr>
        <w:tc>
          <w:tcPr>
            <w:tcW w:w="5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5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3"/>
                <w:szCs w:val="23"/>
                <w:color w:val="auto"/>
              </w:rPr>
            </w:pPr>
          </w:p>
        </w:tc>
      </w:tr>
      <w:tr>
        <w:trPr>
          <w:trHeight w:val="264"/>
        </w:trPr>
        <w:tc>
          <w:tcPr>
            <w:tcW w:w="5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0"/>
        </w:trPr>
        <w:tc>
          <w:tcPr>
            <w:tcW w:w="5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 xml:space="preserve">Future cash inflows </w:t>
            </w:r>
            <w:r>
              <w:rPr>
                <w:rFonts w:ascii="Times New Roman" w:cs="Times New Roman" w:eastAsia="Times New Roman" w:hAnsi="Times New Roman"/>
                <w:sz w:val="20"/>
                <w:szCs w:val="20"/>
                <w:color w:val="B3B3B3"/>
                <w:w w:val="97"/>
              </w:rPr>
              <w:t>..............................................................................</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8,494</w:t>
            </w:r>
          </w:p>
        </w:tc>
        <w:tc>
          <w:tcPr>
            <w:tcW w:w="20" w:type="dxa"/>
            <w:vAlign w:val="bottom"/>
          </w:tcPr>
          <w:p>
            <w:pPr>
              <w:spacing w:after="0"/>
              <w:rPr>
                <w:sz w:val="24"/>
                <w:szCs w:val="24"/>
                <w:color w:val="auto"/>
              </w:rPr>
            </w:pPr>
          </w:p>
        </w:tc>
      </w:tr>
      <w:tr>
        <w:trPr>
          <w:trHeight w:val="298"/>
        </w:trPr>
        <w:tc>
          <w:tcPr>
            <w:tcW w:w="5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Future production taxes</w:t>
            </w:r>
            <w:r>
              <w:rPr>
                <w:rFonts w:ascii="Times New Roman" w:cs="Times New Roman" w:eastAsia="Times New Roman" w:hAnsi="Times New Roman"/>
                <w:sz w:val="20"/>
                <w:szCs w:val="20"/>
                <w:color w:val="B3B3B3"/>
                <w:w w:val="97"/>
              </w:rPr>
              <w: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20" w:type="dxa"/>
            <w:vAlign w:val="bottom"/>
          </w:tcPr>
          <w:p>
            <w:pPr>
              <w:spacing w:after="0"/>
              <w:rPr>
                <w:sz w:val="24"/>
                <w:szCs w:val="24"/>
                <w:color w:val="auto"/>
              </w:rPr>
            </w:pPr>
          </w:p>
        </w:tc>
      </w:tr>
      <w:tr>
        <w:trPr>
          <w:trHeight w:val="302"/>
        </w:trPr>
        <w:tc>
          <w:tcPr>
            <w:tcW w:w="5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Future income tax expense</w:t>
            </w:r>
            <w:r>
              <w:rPr>
                <w:rFonts w:ascii="Times New Roman" w:cs="Times New Roman" w:eastAsia="Times New Roman" w:hAnsi="Times New Roman"/>
                <w:sz w:val="20"/>
                <w:szCs w:val="20"/>
                <w:color w:val="B3B3B3"/>
                <w:w w:val="97"/>
              </w:rPr>
              <w: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w:t>
            </w:r>
          </w:p>
        </w:tc>
        <w:tc>
          <w:tcPr>
            <w:tcW w:w="20" w:type="dxa"/>
            <w:vAlign w:val="bottom"/>
          </w:tcPr>
          <w:p>
            <w:pPr>
              <w:spacing w:after="0"/>
              <w:rPr>
                <w:sz w:val="24"/>
                <w:szCs w:val="24"/>
                <w:color w:val="auto"/>
              </w:rPr>
            </w:pPr>
          </w:p>
        </w:tc>
      </w:tr>
      <w:tr>
        <w:trPr>
          <w:trHeight w:val="278"/>
        </w:trPr>
        <w:tc>
          <w:tcPr>
            <w:tcW w:w="5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Future net cash flows </w:t>
            </w:r>
            <w:r>
              <w:rPr>
                <w:rFonts w:ascii="Times New Roman" w:cs="Times New Roman" w:eastAsia="Times New Roman" w:hAnsi="Times New Roman"/>
                <w:sz w:val="20"/>
                <w:szCs w:val="20"/>
                <w:color w:val="B3B3B3"/>
              </w:rPr>
              <w: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6,965</w:t>
            </w:r>
          </w:p>
        </w:tc>
        <w:tc>
          <w:tcPr>
            <w:tcW w:w="20" w:type="dxa"/>
            <w:vAlign w:val="bottom"/>
          </w:tcPr>
          <w:p>
            <w:pPr>
              <w:spacing w:after="0"/>
              <w:rPr>
                <w:sz w:val="24"/>
                <w:szCs w:val="24"/>
                <w:color w:val="auto"/>
              </w:rPr>
            </w:pPr>
          </w:p>
        </w:tc>
      </w:tr>
      <w:tr>
        <w:trPr>
          <w:trHeight w:val="302"/>
        </w:trPr>
        <w:tc>
          <w:tcPr>
            <w:tcW w:w="5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10% discount to reflect timing of cash flows</w:t>
            </w:r>
            <w:r>
              <w:rPr>
                <w:rFonts w:ascii="Times New Roman" w:cs="Times New Roman" w:eastAsia="Times New Roman" w:hAnsi="Times New Roman"/>
                <w:sz w:val="20"/>
                <w:szCs w:val="20"/>
                <w:color w:val="B3B3B3"/>
                <w:w w:val="97"/>
              </w:rPr>
              <w: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(6,261)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(3,676)</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(3,778)</w:t>
            </w:r>
          </w:p>
        </w:tc>
        <w:tc>
          <w:tcPr>
            <w:tcW w:w="20" w:type="dxa"/>
            <w:vAlign w:val="bottom"/>
          </w:tcPr>
          <w:p>
            <w:pPr>
              <w:spacing w:after="0"/>
              <w:rPr>
                <w:sz w:val="24"/>
                <w:szCs w:val="24"/>
                <w:color w:val="auto"/>
              </w:rPr>
            </w:pPr>
          </w:p>
        </w:tc>
      </w:tr>
      <w:tr>
        <w:trPr>
          <w:trHeight w:val="240"/>
        </w:trPr>
        <w:tc>
          <w:tcPr>
            <w:tcW w:w="5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Standardized measure of discounted future net cash flows</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3,187</w:t>
            </w:r>
          </w:p>
        </w:tc>
        <w:tc>
          <w:tcPr>
            <w:tcW w:w="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3568700</wp:posOffset>
                </wp:positionH>
                <wp:positionV relativeFrom="paragraph">
                  <wp:posOffset>40005</wp:posOffset>
                </wp:positionV>
                <wp:extent cx="9525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pt,3.15pt" to="356pt,3.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40005</wp:posOffset>
                </wp:positionV>
                <wp:extent cx="9525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3.15pt" to="434.75pt,3.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40005</wp:posOffset>
                </wp:positionV>
                <wp:extent cx="9525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3.15pt" to="513.5pt,3.15pt" o:allowincell="f" strokecolor="#000000" strokeweight="1pt"/>
            </w:pict>
          </mc:Fallback>
        </mc:AlternateContent>
      </w:r>
    </w:p>
    <w:p>
      <w:pPr>
        <w:spacing w:after="0" w:line="46" w:lineRule="exact"/>
        <w:rPr>
          <w:sz w:val="20"/>
          <w:szCs w:val="20"/>
          <w:color w:val="auto"/>
        </w:rPr>
      </w:pPr>
    </w:p>
    <w:p>
      <w:pPr>
        <w:ind w:left="380" w:right="220" w:hanging="369"/>
        <w:spacing w:after="0" w:line="289" w:lineRule="auto"/>
        <w:tabs>
          <w:tab w:leader="none" w:pos="37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54%, 48% and 51% non-controlling interest in the Operating Company at December 31, 2025, 2024 and 2023, respectively.</w:t>
      </w:r>
    </w:p>
    <w:p>
      <w:pPr>
        <w:spacing w:after="0" w:line="166" w:lineRule="exact"/>
        <w:rPr>
          <w:sz w:val="20"/>
          <w:szCs w:val="20"/>
          <w:color w:val="auto"/>
        </w:rPr>
      </w:pPr>
    </w:p>
    <w:p>
      <w:pPr>
        <w:ind w:left="20" w:right="24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the SEC Prices as adjusted for differentials and contractual arrangements utilized in the computation of future cash inflows:</w:t>
      </w:r>
    </w:p>
    <w:p>
      <w:pPr>
        <w:spacing w:after="0" w:line="261"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5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6"/>
        </w:trPr>
        <w:tc>
          <w:tcPr>
            <w:tcW w:w="54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6"/>
        </w:trPr>
        <w:tc>
          <w:tcPr>
            <w:tcW w:w="54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Oil (per Bbl)</w:t>
            </w:r>
            <w:r>
              <w:rPr>
                <w:rFonts w:ascii="Times New Roman" w:cs="Times New Roman" w:eastAsia="Times New Roman" w:hAnsi="Times New Roman"/>
                <w:sz w:val="20"/>
                <w:szCs w:val="20"/>
                <w:color w:val="B3B3B3"/>
                <w:w w:val="98"/>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64.80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75.61</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77.93</w:t>
            </w:r>
          </w:p>
        </w:tc>
      </w:tr>
      <w:tr>
        <w:trPr>
          <w:trHeight w:val="298"/>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(per Mcf)</w:t>
            </w:r>
            <w:r>
              <w:rPr>
                <w:rFonts w:ascii="Times New Roman" w:cs="Times New Roman" w:eastAsia="Times New Roman" w:hAnsi="Times New Roman"/>
                <w:sz w:val="20"/>
                <w:szCs w:val="20"/>
                <w:color w:val="B3B3B3"/>
                <w:w w:val="99"/>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1.31</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0.49</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83"/>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liquids (per Bbl)</w:t>
            </w:r>
            <w:r>
              <w:rPr>
                <w:rFonts w:ascii="Times New Roman" w:cs="Times New Roman" w:eastAsia="Times New Roman" w:hAnsi="Times New Roman"/>
                <w:sz w:val="20"/>
                <w:szCs w:val="20"/>
                <w:color w:val="B3B3B3"/>
                <w:w w:val="99"/>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18.95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20.62</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w:t>
            </w:r>
          </w:p>
        </w:tc>
      </w:tr>
    </w:tbl>
    <w:p>
      <w:pPr>
        <w:spacing w:after="0" w:line="304" w:lineRule="exact"/>
        <w:rPr>
          <w:sz w:val="20"/>
          <w:szCs w:val="20"/>
          <w:color w:val="auto"/>
        </w:rPr>
      </w:pPr>
    </w:p>
    <w:p>
      <w:pPr>
        <w:ind w:left="20" w:right="80" w:firstLine="719"/>
        <w:spacing w:after="0" w:line="289" w:lineRule="auto"/>
        <w:rPr>
          <w:sz w:val="20"/>
          <w:szCs w:val="20"/>
          <w:color w:val="auto"/>
        </w:rPr>
      </w:pPr>
      <w:r>
        <w:rPr>
          <w:rFonts w:ascii="Times New Roman" w:cs="Times New Roman" w:eastAsia="Times New Roman" w:hAnsi="Times New Roman"/>
          <w:sz w:val="20"/>
          <w:szCs w:val="20"/>
          <w:color w:val="auto"/>
        </w:rPr>
        <w:t>Principal changes in the standardized measure of discounted future net cash flows attributable to the Company’s proved reserves are as follows:</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5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10"/>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5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2"/>
                <w:szCs w:val="22"/>
                <w:color w:val="auto"/>
              </w:rPr>
            </w:pPr>
          </w:p>
        </w:tc>
      </w:tr>
      <w:tr>
        <w:trPr>
          <w:trHeight w:val="268"/>
        </w:trPr>
        <w:tc>
          <w:tcPr>
            <w:tcW w:w="5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r>
      <w:tr>
        <w:trPr>
          <w:trHeight w:val="272"/>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Standardized measure of discounted future net cash flows at the</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6"/>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 xml:space="preserve">beginning of the period </w:t>
            </w:r>
            <w:r>
              <w:rPr>
                <w:rFonts w:ascii="Times New Roman" w:cs="Times New Roman" w:eastAsia="Times New Roman" w:hAnsi="Times New Roman"/>
                <w:sz w:val="20"/>
                <w:szCs w:val="20"/>
                <w:color w:val="B3B3B3"/>
                <w:w w:val="97"/>
              </w:rPr>
              <w:t>........................................................................</w:t>
            </w:r>
          </w:p>
        </w:tc>
        <w:tc>
          <w:tcPr>
            <w:tcW w:w="92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3,320</w:t>
            </w:r>
          </w:p>
        </w:tc>
        <w:tc>
          <w:tcPr>
            <w:tcW w:w="20" w:type="dxa"/>
            <w:vAlign w:val="bottom"/>
          </w:tcPr>
          <w:p>
            <w:pPr>
              <w:spacing w:after="0"/>
              <w:rPr>
                <w:sz w:val="23"/>
                <w:szCs w:val="2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3,187</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3,454</w:t>
            </w:r>
          </w:p>
        </w:tc>
        <w:tc>
          <w:tcPr>
            <w:tcW w:w="20" w:type="dxa"/>
            <w:vAlign w:val="bottom"/>
          </w:tcPr>
          <w:p>
            <w:pPr>
              <w:spacing w:after="0"/>
              <w:rPr>
                <w:sz w:val="23"/>
                <w:szCs w:val="23"/>
                <w:color w:val="auto"/>
              </w:rPr>
            </w:pPr>
          </w:p>
        </w:tc>
      </w:tr>
      <w:tr>
        <w:trPr>
          <w:trHeight w:val="298"/>
        </w:trPr>
        <w:tc>
          <w:tcPr>
            <w:tcW w:w="55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Purchase of minerals in place</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6"/>
              </w:rPr>
              <w:t>Divestiture of reserves</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 xml:space="preserve">Sales of oil and natural gas, net of production costs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(1,252)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Extensions and discoveries</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Net changes in prices and production costs</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 xml:space="preserve">Revisions of previous quantity estimates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 xml:space="preserve">Net changes in income taxes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20" w:type="dxa"/>
            <w:vAlign w:val="bottom"/>
          </w:tcPr>
          <w:p>
            <w:pPr>
              <w:spacing w:after="0"/>
              <w:rPr>
                <w:sz w:val="24"/>
                <w:szCs w:val="24"/>
                <w:color w:val="auto"/>
              </w:rPr>
            </w:pPr>
          </w:p>
        </w:tc>
      </w:tr>
      <w:tr>
        <w:trPr>
          <w:trHeight w:val="300"/>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6"/>
              </w:rPr>
              <w:t xml:space="preserve">Accretion of discount </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20" w:type="dxa"/>
            <w:vAlign w:val="bottom"/>
          </w:tcPr>
          <w:p>
            <w:pPr>
              <w:spacing w:after="0"/>
              <w:rPr>
                <w:sz w:val="24"/>
                <w:szCs w:val="24"/>
                <w:color w:val="auto"/>
              </w:rPr>
            </w:pPr>
          </w:p>
        </w:tc>
      </w:tr>
      <w:tr>
        <w:trPr>
          <w:trHeight w:val="302"/>
        </w:trPr>
        <w:tc>
          <w:tcPr>
            <w:tcW w:w="55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 xml:space="preserve">Net changes in timing of production and other </w:t>
            </w:r>
            <w:r>
              <w:rPr>
                <w:rFonts w:ascii="Times New Roman" w:cs="Times New Roman" w:eastAsia="Times New Roman" w:hAnsi="Times New Roman"/>
                <w:sz w:val="20"/>
                <w:szCs w:val="20"/>
                <w:color w:val="B3B3B3"/>
                <w:w w:val="97"/>
              </w:rPr>
              <w:t>....................................</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0" w:type="dxa"/>
            <w:vAlign w:val="bottom"/>
          </w:tcPr>
          <w:p>
            <w:pPr>
              <w:spacing w:after="0"/>
              <w:rPr>
                <w:sz w:val="24"/>
                <w:szCs w:val="24"/>
                <w:color w:val="auto"/>
              </w:rPr>
            </w:pPr>
          </w:p>
        </w:tc>
      </w:tr>
      <w:tr>
        <w:trPr>
          <w:trHeight w:val="232"/>
        </w:trPr>
        <w:tc>
          <w:tcPr>
            <w:tcW w:w="5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Standardized measure of discounted future net cash flows at the</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5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end of the period</w:t>
            </w:r>
            <w:r>
              <w:rPr>
                <w:rFonts w:ascii="Times New Roman" w:cs="Times New Roman" w:eastAsia="Times New Roman" w:hAnsi="Times New Roman"/>
                <w:sz w:val="20"/>
                <w:szCs w:val="20"/>
                <w:color w:val="B3B3B3"/>
              </w:rPr>
              <w:t>..............................................................................</w:t>
            </w:r>
          </w:p>
        </w:tc>
        <w:tc>
          <w:tcPr>
            <w:tcW w:w="92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6,647</w:t>
            </w:r>
          </w:p>
        </w:tc>
        <w:tc>
          <w:tcPr>
            <w:tcW w:w="20" w:type="dxa"/>
            <w:vAlign w:val="bottom"/>
          </w:tcPr>
          <w:p>
            <w:pPr>
              <w:spacing w:after="0"/>
              <w:rPr>
                <w:sz w:val="20"/>
                <w:szCs w:val="20"/>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3,187</w:t>
            </w:r>
          </w:p>
        </w:tc>
        <w:tc>
          <w:tcPr>
            <w:tcW w:w="20" w:type="dxa"/>
            <w:vAlign w:val="bottom"/>
          </w:tcPr>
          <w:p>
            <w:pPr>
              <w:spacing w:after="0"/>
              <w:rPr>
                <w:sz w:val="20"/>
                <w:szCs w:val="20"/>
                <w:color w:val="auto"/>
              </w:rPr>
            </w:pPr>
          </w:p>
        </w:tc>
      </w:tr>
      <w:tr>
        <w:trPr>
          <w:trHeight w:val="21"/>
        </w:trPr>
        <w:tc>
          <w:tcPr>
            <w:tcW w:w="5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300"/>
          </w:cols>
          <w:pgMar w:left="980" w:top="214" w:right="960"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91" w:lineRule="exact"/>
        <w:rPr>
          <w:sz w:val="20"/>
          <w:szCs w:val="20"/>
          <w:color w:val="auto"/>
        </w:rPr>
      </w:pPr>
    </w:p>
    <w:p>
      <w:pPr>
        <w:ind w:left="20" w:right="220"/>
        <w:spacing w:after="0" w:line="294"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6"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Evaluation of Disclosure Controls and Procedures. </w:t>
      </w:r>
      <w:r>
        <w:rPr>
          <w:rFonts w:ascii="Times New Roman" w:cs="Times New Roman" w:eastAsia="Times New Roman" w:hAnsi="Times New Roman"/>
          <w:sz w:val="20"/>
          <w:szCs w:val="20"/>
          <w:color w:val="auto"/>
        </w:rPr>
        <w:t>Under the direction of our Chief Executive Officer and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Officer, we have established disclosure controls and procedures, as defined in Rule 13a- 15(e)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6"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an evaluation was performed under the supervision and with the participation of management, including our Chief Executive Officer and Chief Financial Officer, of the effectiveness of our disclosure controls and procedures pursuant to Rule 13a-15(b) under the Exchange Act. Based upon our evaluation, our Chief Executive Officer and Chief Financial Officer have concluded that, as of December 31, 2025, our disclosure controls and procedures are effective at the reasonable assurance level.</w:t>
      </w:r>
    </w:p>
    <w:p>
      <w:pPr>
        <w:spacing w:after="0" w:line="202"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We are in the process of integrating the entities acquired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Sitio Acquisition. As a result of these integration activities, certain controls will be evaluated and may be changed. Except as noted above, there have not been any changes in our internal control over financial reporting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80"/>
          </w:cols>
          <w:pgMar w:left="980" w:top="214" w:right="980" w:bottom="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4"/>
          <w:szCs w:val="24"/>
          <w:b w:val="1"/>
          <w:bCs w:val="1"/>
          <w:color w:val="auto"/>
        </w:rPr>
        <w:t>MANAGEMENT’S REPORT ON INTERNAL CONTROL OVER FINANCIAL REPORTING</w:t>
      </w:r>
    </w:p>
    <w:p>
      <w:pPr>
        <w:spacing w:after="0" w:line="274"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purposes in accordance with generally accepted accounting principles.</w:t>
      </w:r>
    </w:p>
    <w:p>
      <w:pPr>
        <w:spacing w:after="0" w:line="202" w:lineRule="exact"/>
        <w:rPr>
          <w:sz w:val="20"/>
          <w:szCs w:val="20"/>
          <w:color w:val="auto"/>
        </w:rPr>
      </w:pPr>
    </w:p>
    <w:p>
      <w:pPr>
        <w:jc w:val="both"/>
        <w:ind w:left="20" w:firstLine="720"/>
        <w:spacing w:after="0" w:line="252" w:lineRule="auto"/>
        <w:rPr>
          <w:sz w:val="20"/>
          <w:szCs w:val="20"/>
          <w:color w:val="auto"/>
        </w:rPr>
      </w:pPr>
      <w:r>
        <w:rPr>
          <w:rFonts w:ascii="Times New Roman" w:cs="Times New Roman" w:eastAsia="Times New Roman" w:hAnsi="Times New Roman"/>
          <w:sz w:val="20"/>
          <w:szCs w:val="20"/>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2025. Under guidelines established by the SEC, companies are permitted to exclude acquisitions from their assessment of internal control over financial reporting during the first year of an acquisition while integrating the acquired company. Management’s assessment of, and conclusion on, the effectiveness of internal control over financial reporting did not include the internal controls of the entities acquired in the Sitio Acquisition on August 19, 2025. The total assets of Sitio represent approximately 32% of our consolidated total assets as of December 31, 2025, and the operating income of Sitio represent 12% of our total operating income for the year ended December 31, 2025.</w:t>
      </w:r>
    </w:p>
    <w:p>
      <w:pPr>
        <w:spacing w:after="0" w:line="219" w:lineRule="exact"/>
        <w:rPr>
          <w:sz w:val="20"/>
          <w:szCs w:val="20"/>
          <w:color w:val="auto"/>
        </w:rPr>
      </w:pPr>
    </w:p>
    <w:p>
      <w:pPr>
        <w:jc w:val="both"/>
        <w:ind w:left="20" w:firstLine="720"/>
        <w:spacing w:after="0" w:line="267"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Grant Thornton LLP, the independent registered public accounting firm that audited the consolidated financial statements of the Company included in this Annual Report, has issued their report on the effectiveness of the Company’s internal control over financial reporting at December 31, 2025. The report, which expresses an unqualified opinion on the effectiveness of the Company’s internal control over financial reporting at December 31, 2025,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80"/>
          </w:cols>
          <w:pgMar w:left="980" w:top="214" w:right="980" w:bottom="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Viper Energy, Inc.</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20"/>
          <w:szCs w:val="20"/>
          <w:color w:val="auto"/>
        </w:rPr>
        <w:t>We have audited the internal control over financial reporting of Viper Energy, Inc. (a Delaware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spacing w:after="0" w:line="202"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 on those financial statements.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8"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20"/>
          <w:szCs w:val="20"/>
          <w:color w:val="auto"/>
        </w:rPr>
        <w:t>Our audit of, and opinion on, the Company’s internal control over financial reporting does not include the internal control over financial reporting of the entities acquired in the Sitio Acquisition, whose financial statements reflect total assets and operating income constituting 32 and 12 percent, respectively, of the related consolidated financial statement amounts as of and for the year ended December 31, 2025. As indicated in Management’s Report, the entities acquired in the Sitio Acquisition were acquired during 2025. Management’s assertion on the effectiveness of the Company’s internal control over financial reporting excluded internal control over financial reporting of the entities acquired in the Sitio Acquisition.</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80"/>
          </w:cols>
          <w:pgMar w:left="980" w:top="214" w:right="980" w:bottom="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8" w:lineRule="exact"/>
        <w:rPr>
          <w:sz w:val="20"/>
          <w:szCs w:val="20"/>
          <w:color w:val="auto"/>
        </w:rPr>
      </w:pPr>
    </w:p>
    <w:p>
      <w:pPr>
        <w:jc w:val="both"/>
        <w:ind w:left="20" w:firstLine="720"/>
        <w:spacing w:after="0" w:line="286" w:lineRule="auto"/>
        <w:rPr>
          <w:sz w:val="20"/>
          <w:szCs w:val="20"/>
          <w:color w:val="auto"/>
        </w:rPr>
      </w:pPr>
      <w:r>
        <w:rPr>
          <w:rFonts w:ascii="Times New Roman" w:cs="Times New Roman" w:eastAsia="Times New Roman" w:hAnsi="Times New Roman"/>
          <w:sz w:val="20"/>
          <w:szCs w:val="20"/>
          <w:color w:val="auto"/>
        </w:rPr>
        <w:t>None of our directors or officers adopted or terminated a Rule 10b5-1 trading arrangement or a non-Rule 10b5-1 trading arrangement during our fiscal year ended December 31, 2025.</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6"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10 will be set forth in our definitive proxy statement, which is to be filed pursuant to Regulation 14A with the SEC within 120 days after the close of the year ended December 31, 2025.</w:t>
      </w:r>
    </w:p>
    <w:p>
      <w:pPr>
        <w:spacing w:after="0" w:line="166"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We have also made the Code of Business Conduct and Ethics available on our website under the “Investors—Corporate Governance” section at https:// www.viperenergy.com.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8" w:lineRule="exact"/>
        <w:rPr>
          <w:sz w:val="20"/>
          <w:szCs w:val="20"/>
          <w:color w:val="auto"/>
        </w:rPr>
      </w:pPr>
    </w:p>
    <w:p>
      <w:pPr>
        <w:jc w:val="both"/>
        <w:ind w:left="2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11 will be set forth in our definitive proxy statement, which is to be filed pursuant to Regulation 14A with the SEC within 120 days after the close of the year ended December 31, 2025.</w:t>
      </w:r>
    </w:p>
    <w:p>
      <w:pPr>
        <w:spacing w:after="0" w:line="158" w:lineRule="exact"/>
        <w:rPr>
          <w:sz w:val="20"/>
          <w:szCs w:val="20"/>
          <w:color w:val="auto"/>
        </w:rPr>
      </w:pPr>
    </w:p>
    <w:p>
      <w:pPr>
        <w:ind w:left="20" w:right="60"/>
        <w:spacing w:after="0" w:line="296" w:lineRule="auto"/>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 xml:space="preserve"> </w:t>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158" w:lineRule="exact"/>
        <w:rPr>
          <w:sz w:val="20"/>
          <w:szCs w:val="20"/>
          <w:color w:val="auto"/>
        </w:rPr>
      </w:pPr>
    </w:p>
    <w:p>
      <w:pPr>
        <w:ind w:left="2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12 will be set forth in our definitive proxy statement, which is to be filed pursuant to Regulation 14A with the SEC within 120 days after the close of the year ended December 31, 2025.</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6" w:lineRule="exact"/>
        <w:rPr>
          <w:sz w:val="20"/>
          <w:szCs w:val="20"/>
          <w:color w:val="auto"/>
        </w:rPr>
      </w:pPr>
    </w:p>
    <w:p>
      <w:pPr>
        <w:ind w:left="2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13 will be set forth in our definitive proxy statement, which is to be filed pursuant to Regulation 14A with the SEC within 120 days after the close of the year ended December 31, 2025.</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4" w:lineRule="exact"/>
        <w:rPr>
          <w:sz w:val="20"/>
          <w:szCs w:val="20"/>
          <w:color w:val="auto"/>
        </w:rPr>
      </w:pPr>
    </w:p>
    <w:p>
      <w:pPr>
        <w:ind w:left="20" w:firstLine="720"/>
        <w:spacing w:after="0" w:line="286" w:lineRule="auto"/>
        <w:rPr>
          <w:sz w:val="20"/>
          <w:szCs w:val="20"/>
          <w:color w:val="auto"/>
        </w:rPr>
      </w:pPr>
      <w:r>
        <w:rPr>
          <w:rFonts w:ascii="Times New Roman" w:cs="Times New Roman" w:eastAsia="Times New Roman" w:hAnsi="Times New Roman"/>
          <w:sz w:val="20"/>
          <w:szCs w:val="20"/>
          <w:color w:val="auto"/>
        </w:rPr>
        <w:t>Information as to Item 14 will be set forth in our definitive proxy statement, which is to be filed pursuant to Regulation 14A with the SEC within 120 days after the close of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80"/>
          </w:cols>
          <w:pgMar w:left="980" w:top="214" w:right="980" w:bottom="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3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(a) Documents filed as a part of this Form 10-K</w:t>
      </w:r>
    </w:p>
    <w:p>
      <w:pPr>
        <w:spacing w:after="0" w:line="1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1 and 2. Financial Statements and Financial Statement Schedules</w:t>
      </w:r>
    </w:p>
    <w:p>
      <w:pPr>
        <w:spacing w:after="0" w:line="379" w:lineRule="exact"/>
        <w:rPr>
          <w:sz w:val="20"/>
          <w:szCs w:val="20"/>
          <w:color w:val="auto"/>
        </w:rPr>
      </w:pPr>
    </w:p>
    <w:p>
      <w:pPr>
        <w:ind w:left="20" w:right="40" w:firstLine="722"/>
        <w:spacing w:after="0" w:line="286" w:lineRule="auto"/>
        <w:rPr>
          <w:sz w:val="20"/>
          <w:szCs w:val="20"/>
          <w:color w:val="auto"/>
        </w:rPr>
      </w:pPr>
      <w:r>
        <w:rPr>
          <w:rFonts w:ascii="Times New Roman" w:cs="Times New Roman" w:eastAsia="Times New Roman" w:hAnsi="Times New Roman"/>
          <w:sz w:val="20"/>
          <w:szCs w:val="20"/>
          <w:color w:val="auto"/>
        </w:rPr>
        <w:t>The financial statements filed as part of this Annual Report on Form 10-K are listed in the accompanying index to financial statements and schedules under Part II, Item 8. Financial Statements and Supplementary Data.</w:t>
      </w:r>
    </w:p>
    <w:p>
      <w:pPr>
        <w:spacing w:after="0" w:line="170" w:lineRule="exact"/>
        <w:rPr>
          <w:sz w:val="20"/>
          <w:szCs w:val="20"/>
          <w:color w:val="auto"/>
        </w:rPr>
      </w:pPr>
    </w:p>
    <w:p>
      <w:pPr>
        <w:ind w:left="20" w:right="40" w:firstLine="720"/>
        <w:spacing w:after="0" w:line="289"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not applicable or the information required to be presented is included in the Company’s consolidated financial statements and related notes.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i w:val="1"/>
                <w:iCs w:val="1"/>
                <w:color w:val="auto"/>
              </w:rPr>
              <w:t>3. Exhibits</w:t>
            </w:r>
          </w:p>
        </w:tc>
        <w:tc>
          <w:tcPr>
            <w:tcW w:w="60" w:type="dxa"/>
            <w:vAlign w:val="bottom"/>
          </w:tcPr>
          <w:p>
            <w:pPr>
              <w:spacing w:after="0"/>
              <w:rPr>
                <w:sz w:val="22"/>
                <w:szCs w:val="22"/>
                <w:color w:val="auto"/>
              </w:rPr>
            </w:pPr>
          </w:p>
        </w:tc>
        <w:tc>
          <w:tcPr>
            <w:tcW w:w="8920" w:type="dxa"/>
            <w:vAlign w:val="bottom"/>
          </w:tcPr>
          <w:p>
            <w:pPr>
              <w:spacing w:after="0"/>
              <w:rPr>
                <w:sz w:val="22"/>
                <w:szCs w:val="22"/>
                <w:color w:val="auto"/>
              </w:rPr>
            </w:pPr>
          </w:p>
        </w:tc>
      </w:tr>
      <w:tr>
        <w:trPr>
          <w:trHeight w:val="37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w:t>
            </w:r>
          </w:p>
        </w:tc>
        <w:tc>
          <w:tcPr>
            <w:tcW w:w="60" w:type="dxa"/>
            <w:vAlign w:val="bottom"/>
          </w:tcPr>
          <w:p>
            <w:pPr>
              <w:spacing w:after="0"/>
              <w:rPr>
                <w:sz w:val="24"/>
                <w:szCs w:val="24"/>
                <w:color w:val="auto"/>
              </w:rPr>
            </w:pPr>
          </w:p>
        </w:tc>
        <w:tc>
          <w:tcPr>
            <w:tcW w:w="8920" w:type="dxa"/>
            <w:vAlign w:val="bottom"/>
          </w:tcPr>
          <w:p>
            <w:pPr>
              <w:spacing w:after="0"/>
              <w:rPr>
                <w:sz w:val="24"/>
                <w:szCs w:val="24"/>
                <w:color w:val="auto"/>
              </w:rPr>
            </w:pPr>
          </w:p>
        </w:tc>
      </w:tr>
      <w:tr>
        <w:trPr>
          <w:trHeight w:val="270"/>
        </w:trPr>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Number</w:t>
            </w:r>
          </w:p>
        </w:tc>
        <w:tc>
          <w:tcPr>
            <w:tcW w:w="60" w:type="dxa"/>
            <w:vAlign w:val="bottom"/>
          </w:tcPr>
          <w:p>
            <w:pPr>
              <w:spacing w:after="0"/>
              <w:rPr>
                <w:sz w:val="23"/>
                <w:szCs w:val="23"/>
                <w:color w:val="auto"/>
              </w:rPr>
            </w:pPr>
          </w:p>
        </w:tc>
        <w:tc>
          <w:tcPr>
            <w:tcW w:w="8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Description</w:t>
            </w:r>
          </w:p>
        </w:tc>
      </w:tr>
      <w:tr>
        <w:trPr>
          <w:trHeight w:val="23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Equity Purchase Agreement, dated as of January 30, 2025, by and among Endeavor Energy Resources, LP, as</w:t>
            </w: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seller, 1979 Royalties LP and 1979 Royalties GP, LLC, as companies, Viper Energy Partners LLC, as buyer, and</w:t>
            </w:r>
          </w:p>
        </w:tc>
      </w:tr>
      <w:tr>
        <w:trPr>
          <w:trHeight w:val="233"/>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Viper Energy, Inc., as parent (incorporated by reference to Exhibit 2.1 of the Company’s Current Report on</w:t>
            </w:r>
          </w:p>
        </w:tc>
      </w:tr>
      <w:tr>
        <w:trPr>
          <w:trHeight w:val="255"/>
        </w:trPr>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8-K (File No. 001-36505) filed on January 30, 2025).</w:t>
            </w:r>
          </w:p>
        </w:tc>
      </w:tr>
      <w:tr>
        <w:trPr>
          <w:trHeight w:val="29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Agreement and Plan of Merger, dated as of June 2, 2025, by and among Former Viper, Viper Energy Partners</w:t>
            </w:r>
          </w:p>
        </w:tc>
      </w:tr>
      <w:tr>
        <w:trPr>
          <w:trHeight w:val="24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LLC, Sitio Royalties Corp., Sitio Royalties Operating Partnership, LP, New Viper, Cobra Merger Sub, Inc.</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Scorpion Merger Sub, Inc. (incorporated by reference to Exhibit 2.1 of Former Viper’s Current Report on</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8-K (File No. 001-36505) filed on June 4, 2025).</w:t>
            </w:r>
          </w:p>
        </w:tc>
      </w:tr>
      <w:tr>
        <w:trPr>
          <w:trHeight w:val="2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Omnibus Transaction Agreement, dated as of December 23, 2025, by and among Viper Energy Partners LLC,</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Sitio Permian, LP, Sitio Appalachia, LP, Sitio Nuevo, LP, Sitio Anadarko, LP, Moccasin Royalty LLC,</w:t>
            </w:r>
          </w:p>
        </w:tc>
      </w:tr>
      <w:tr>
        <w:trPr>
          <w:trHeight w:val="24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Queen Snake Royalty LLC, King Snake Royalty LLC, 1979 Royalties GP, LLC, Mamba Royalty LP, 1979</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Royalties, LP, VNOM Merger Sub LP and, with respect to Section 4 only, VNOM Holding Company LLC</w:t>
            </w:r>
          </w:p>
        </w:tc>
      </w:tr>
      <w:tr>
        <w:trPr>
          <w:trHeight w:val="24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(incorporated by reference to Exhibit 2.1 of New Viper’s Current Report on Form 8-K (File No. 001-42807)</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filed on December 30, 2025).</w:t>
            </w:r>
          </w:p>
        </w:tc>
      </w:tr>
      <w:tr>
        <w:trPr>
          <w:trHeight w:val="275"/>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Certificate of Incorporation of New Viper (incorporated by reference to Exhibit 3.1 of</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New Viper’s Current Report on Form 8-K12B (File No. 001-42807), filed on August 19, 2025).</w:t>
            </w:r>
          </w:p>
        </w:tc>
      </w:tr>
      <w:tr>
        <w:trPr>
          <w:trHeight w:val="270"/>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Certificate of Amendment to the Certificate of Incorporation of New Viper (incorporated by reference to</w:t>
            </w:r>
          </w:p>
        </w:tc>
      </w:tr>
      <w:tr>
        <w:trPr>
          <w:trHeight w:val="24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 3.2 of New Viper’s Current Report on Form 8-K12B (File No. 001-42807), filed on August 19,</w:t>
            </w:r>
          </w:p>
        </w:tc>
      </w:tr>
      <w:tr>
        <w:trPr>
          <w:trHeight w:val="267"/>
        </w:trPr>
        <w:tc>
          <w:tcPr>
            <w:tcW w:w="1260" w:type="dxa"/>
            <w:vAlign w:val="bottom"/>
          </w:tcPr>
          <w:p>
            <w:pPr>
              <w:spacing w:after="0"/>
              <w:rPr>
                <w:sz w:val="23"/>
                <w:szCs w:val="23"/>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2025).</w:t>
            </w:r>
          </w:p>
        </w:tc>
      </w:tr>
      <w:tr>
        <w:trPr>
          <w:trHeight w:val="270"/>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Amended and Restated Bylaws of New Viper (incorporated by reference to Exhibit 3.3 of New</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Viper’s Current Report on Form 10-Q (File No. 001-36505), filed on November 5, 2025).</w:t>
            </w:r>
          </w:p>
        </w:tc>
      </w:tr>
      <w:tr>
        <w:trPr>
          <w:trHeight w:val="273"/>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Description of Capital Stock (incorporated by reference to Exhibit 4.9 of New Viper’s Current Report on</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8-K12B (File No. 001-42807), filed on August 19, 2025).</w:t>
            </w:r>
          </w:p>
        </w:tc>
      </w:tr>
      <w:tr>
        <w:trPr>
          <w:trHeight w:val="273"/>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Amended and Restated Registration Rights Agreement, dated as of November 10, 2023, effective as</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November 13, 2023, by and between Viper Energy Partners LP and Diamondback Energy, Inc.</w:t>
            </w:r>
          </w:p>
        </w:tc>
      </w:tr>
      <w:tr>
        <w:trPr>
          <w:trHeight w:val="24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(incorporated by reference to Exhibit 10.3 of Former Viper’s Current Report on form 8-K (File No.</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001-36505) filed on November 13, 2023).</w:t>
            </w:r>
          </w:p>
        </w:tc>
      </w:tr>
      <w:tr>
        <w:trPr>
          <w:trHeight w:val="273"/>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Registration Rights Agreement, dated as of January 30, 2025, by and among Former</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Tumbleweed Royalty IV, LLC and the other holders party thereto (incorporated by reference to</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 4.4 of Former Viper’s Registration Statement on Form S-3 (File No. 333-286315) filed on April 1,</w:t>
            </w:r>
          </w:p>
        </w:tc>
      </w:tr>
      <w:tr>
        <w:trPr>
          <w:trHeight w:val="267"/>
        </w:trPr>
        <w:tc>
          <w:tcPr>
            <w:tcW w:w="1260" w:type="dxa"/>
            <w:vAlign w:val="bottom"/>
          </w:tcPr>
          <w:p>
            <w:pPr>
              <w:spacing w:after="0"/>
              <w:rPr>
                <w:sz w:val="23"/>
                <w:szCs w:val="23"/>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2025).</w:t>
            </w:r>
          </w:p>
        </w:tc>
      </w:tr>
      <w:tr>
        <w:trPr>
          <w:trHeight w:val="275"/>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Registration Rights Agreement, dated as of February 14, 2025, by and among Former Viper and certain</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affiliates of Morita Ranches Minerals, LLC (incorporated by reference to Exhibit 4.4 of Former Viper’s</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Annual Report on form 10-K (File No. 001-36505) filed on February 26, 2025).</w:t>
            </w:r>
          </w:p>
        </w:tc>
      </w:tr>
      <w:tr>
        <w:trPr>
          <w:trHeight w:val="273"/>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Registration Rights Agreement, dated August 19, 2025, between New Viper and certain holders of Sitio Opco</w:t>
            </w:r>
          </w:p>
        </w:tc>
      </w:tr>
      <w:tr>
        <w:trPr>
          <w:trHeight w:val="238"/>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Units (incorporated by reference to Exhibit 4.1 of New Viper’s Current Report on Form 8-K12B (File No.</w:t>
            </w:r>
          </w:p>
        </w:tc>
      </w:tr>
      <w:tr>
        <w:trPr>
          <w:trHeight w:val="267"/>
        </w:trPr>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001-42807), filed on August 19, 2025).</w:t>
            </w:r>
          </w:p>
        </w:tc>
      </w:tr>
      <w:tr>
        <w:trPr>
          <w:trHeight w:val="897"/>
        </w:trPr>
        <w:tc>
          <w:tcPr>
            <w:tcW w:w="1260" w:type="dxa"/>
            <w:vAlign w:val="bottom"/>
          </w:tcPr>
          <w:p>
            <w:pPr>
              <w:spacing w:after="0"/>
              <w:rPr>
                <w:sz w:val="24"/>
                <w:szCs w:val="24"/>
                <w:color w:val="auto"/>
              </w:rPr>
            </w:pPr>
          </w:p>
        </w:tc>
        <w:tc>
          <w:tcPr>
            <w:tcW w:w="8980" w:type="dxa"/>
            <w:vAlign w:val="bottom"/>
            <w:gridSpan w:val="2"/>
          </w:tcPr>
          <w:p>
            <w:pPr>
              <w:jc w:val="right"/>
              <w:ind w:right="4921"/>
              <w:spacing w:after="0"/>
              <w:rPr>
                <w:sz w:val="20"/>
                <w:szCs w:val="20"/>
                <w:color w:val="auto"/>
              </w:rPr>
            </w:pPr>
            <w:r>
              <w:rPr>
                <w:rFonts w:ascii="Times New Roman" w:cs="Times New Roman" w:eastAsia="Times New Roman" w:hAnsi="Times New Roman"/>
                <w:sz w:val="20"/>
                <w:szCs w:val="20"/>
                <w:color w:val="auto"/>
              </w:rPr>
              <w:t>87</w:t>
            </w:r>
          </w:p>
        </w:tc>
      </w:tr>
    </w:tbl>
    <w:p>
      <w:pPr>
        <w:sectPr>
          <w:pgSz w:w="12240" w:h="15840" w:orient="portrait"/>
          <w:cols w:equalWidth="0" w:num="1">
            <w:col w:w="10260"/>
          </w:cols>
          <w:pgMar w:left="980" w:top="214" w:right="1000" w:bottom="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6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669"/>
        </w:trPr>
        <w:tc>
          <w:tcPr>
            <w:tcW w:w="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w:t>
            </w:r>
          </w:p>
        </w:tc>
        <w:tc>
          <w:tcPr>
            <w:tcW w:w="60" w:type="dxa"/>
            <w:vAlign w:val="bottom"/>
          </w:tcPr>
          <w:p>
            <w:pPr>
              <w:spacing w:after="0"/>
              <w:rPr>
                <w:sz w:val="24"/>
                <w:szCs w:val="24"/>
                <w:color w:val="auto"/>
              </w:rPr>
            </w:pPr>
          </w:p>
        </w:tc>
        <w:tc>
          <w:tcPr>
            <w:tcW w:w="89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Number</w:t>
            </w:r>
          </w:p>
        </w:tc>
        <w:tc>
          <w:tcPr>
            <w:tcW w:w="60" w:type="dxa"/>
            <w:vAlign w:val="bottom"/>
          </w:tcPr>
          <w:p>
            <w:pPr>
              <w:spacing w:after="0"/>
              <w:rPr>
                <w:sz w:val="24"/>
                <w:szCs w:val="24"/>
                <w:color w:val="auto"/>
              </w:rPr>
            </w:pPr>
          </w:p>
        </w:tc>
        <w:tc>
          <w:tcPr>
            <w:tcW w:w="8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Description</w:t>
            </w:r>
          </w:p>
        </w:tc>
      </w:tr>
      <w:tr>
        <w:trPr>
          <w:trHeight w:val="208"/>
        </w:trPr>
        <w:tc>
          <w:tcPr>
            <w:tcW w:w="20" w:type="dxa"/>
            <w:vAlign w:val="bottom"/>
          </w:tcPr>
          <w:p>
            <w:pPr>
              <w:spacing w:after="0"/>
              <w:rPr>
                <w:sz w:val="18"/>
                <w:szCs w:val="18"/>
                <w:color w:val="auto"/>
              </w:rPr>
            </w:pPr>
          </w:p>
        </w:tc>
        <w:tc>
          <w:tcPr>
            <w:tcW w:w="1260" w:type="dxa"/>
            <w:vAlign w:val="bottom"/>
          </w:tcPr>
          <w:p>
            <w:pPr>
              <w:ind w:left="40"/>
              <w:spacing w:after="0" w:line="208" w:lineRule="exact"/>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18"/>
                <w:szCs w:val="18"/>
                <w:color w:val="auto"/>
              </w:rPr>
            </w:pPr>
          </w:p>
        </w:tc>
        <w:tc>
          <w:tcPr>
            <w:tcW w:w="8920" w:type="dxa"/>
            <w:vAlign w:val="bottom"/>
          </w:tcPr>
          <w:p>
            <w:pPr>
              <w:ind w:left="40"/>
              <w:spacing w:after="0" w:line="208" w:lineRule="exact"/>
              <w:rPr>
                <w:sz w:val="20"/>
                <w:szCs w:val="20"/>
                <w:color w:val="auto"/>
              </w:rPr>
            </w:pPr>
            <w:r>
              <w:rPr>
                <w:rFonts w:ascii="Times New Roman" w:cs="Times New Roman" w:eastAsia="Times New Roman" w:hAnsi="Times New Roman"/>
                <w:sz w:val="20"/>
                <w:szCs w:val="20"/>
                <w:color w:val="auto"/>
              </w:rPr>
              <w:t>Exchange Agreement, dated as of February 14, 2025, by and among Former Viper, Viper Energy Partners</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LLC and certain affiliates of Morita Ranches Minerals, LLC (incorporated by reference to Exhibit 4.5 of</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Former Viper’s Annual Report on Form 10-K (File No. 001-36505) filed on February 26, 2025).</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B Common Stock Option Agreement, dated as of October 1, 2024, by and between Former Viper,</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Energy Partners LLC and Tumbleweed Royalty IV, LLC (incorporated by reference to Exhibit 4.1 of</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Former Viper’s Current Report on Form 8-K (File No. 001-36505) filed on October 2, 2024).</w:t>
            </w:r>
          </w:p>
        </w:tc>
      </w:tr>
      <w:tr>
        <w:trPr>
          <w:trHeight w:val="275"/>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Amended and Restated Exchange Agreement, dated October 1, 2024, by and among Former Viper,</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Energy Partners LLC, Diamondback E&amp;P LLC, Diamondback Energy, Inc. and Tumbleweed Royalty</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IV, LLC (incorporated by reference to Exhibit 4.2 of Former Viper’s Current Report on Form 8-K (File No.</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001-36505) filed on October 2, 2024).</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Indenture, dated as of July 23, 2025, between Viper Energy Partners LLC and Computershare Trust</w:t>
            </w:r>
          </w:p>
        </w:tc>
      </w:tr>
      <w:tr>
        <w:trPr>
          <w:trHeight w:val="24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 National Association, as Trustee (incorporated by reference to Exhibit 4.1 of Former Viper’s</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Report on Form 8-K (File No. 001-36505) filed on July 23, 2025).</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4.10</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Supplemental Indenture, dated as of July 23, 2025, by and among Viper Energy Partners LLC, Former</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and Computershare Trust Company, National Association, as Trustee (including the form of the Notes)</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(incorporated by reference to Exhibit 4.2 of Former Viper’s Current Report on Form 8-K (File No.</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001-36505) filed on July 23, 2025).</w:t>
            </w:r>
          </w:p>
        </w:tc>
      </w:tr>
      <w:tr>
        <w:trPr>
          <w:trHeight w:val="275"/>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4.11</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Supplemental Indenture, dated as of August 19, 2025, by and among Viper Energy Partners LLC,</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New Viper and Computershare Trust Company, National Association (incorporated by reference to Exhibit</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4.8 of New Viper’s Current Report on Form 8-K12B (File No. 001-42807), filed on August 19, 2025).</w:t>
            </w:r>
          </w:p>
        </w:tc>
      </w:tr>
      <w:tr>
        <w:trPr>
          <w:trHeight w:val="272"/>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Limited Liability Company Agreement of VNOM Holding Company LLC, dated as</w:t>
            </w:r>
          </w:p>
        </w:tc>
      </w:tr>
      <w:tr>
        <w:trPr>
          <w:trHeight w:val="24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December 23, 2025, (incorporated by reference to Exhibit 10.1 of New Viper’s Current Report on Form 8-</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 (File No. 001-42807), filed on December 30, 2025).</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Services and Secondment Agreement, dated as of November 2, 2023, by and among Diamondback E&amp;P LLC,</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Energy Partners LP, Viper Energy Partners GP LLC and Viper Energy Partners LLC (incorporated by</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reference to Exhibit 10.1 of Former Viper’s Current Report on Form 8-K, (File No. 001-36505) filed on</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2, 2023).</w:t>
            </w:r>
          </w:p>
        </w:tc>
      </w:tr>
      <w:tr>
        <w:trPr>
          <w:trHeight w:val="275"/>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Energy, Inc. Amended and Restated 2014 Long-Term Incentive Plan (incorporated by reference to</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 10.5 of Former Viper’s Current Report on Form 8-K (File No. 001-36505) filed on November 13,</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2023).</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Amended and Restated 2014 Long-Term Incentive Plan (incorporated by reference to</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 10.4 of Former Viper’s Annual Report on Form 10-K (File No. 001-36505) filed on February 22,</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2024).</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Energy, Inc. 2024 Amended and Restated Long-Term Incentive Plan (incorporated by reference to</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Appendix A of Former Viper’s Schedule DEF 14A (File No. 001-36505) filed on April 25, 2024).</w:t>
            </w:r>
          </w:p>
        </w:tc>
      </w:tr>
      <w:tr>
        <w:trPr>
          <w:trHeight w:val="27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Indemnification Agreement (incorporated by reference to Exhibit 10.4 of New Viper’s Current</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on Form 8-K12B (File No. 001-42807) filed on August 19, 2025).</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Assignment and Assumption Agreement (incorporated by reference to Exhibit 10.3 of New Viper’s</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Report on Form 8-K12B (File No. 001-42807) filed on August 19, 2025).</w:t>
            </w:r>
          </w:p>
        </w:tc>
      </w:tr>
      <w:tr>
        <w:trPr>
          <w:trHeight w:val="285"/>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Tax Sharing Agreement, dated as of November 10, 2023, effective as of November</w:t>
            </w:r>
          </w:p>
        </w:tc>
      </w:tr>
      <w:tr>
        <w:trPr>
          <w:trHeight w:val="242"/>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13, 2023, by and between Former Viper and Diamondback Energy, Inc. (incorporated by reference to Exhibit</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 of Former Viper’s Current Report on Form 8-K (File No. 001-36505) filed on November 13, 2023).</w:t>
            </w:r>
          </w:p>
        </w:tc>
      </w:tr>
      <w:tr>
        <w:trPr>
          <w:trHeight w:val="278"/>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 Form of Time-based Restricted Stock Unit Agreement (incorporated by reference to Exhibit 10.7 of</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Former Viper’s Annual Report on Form 10-K (File No. 001-36505) filed on February 22, 2024).</w:t>
            </w:r>
          </w:p>
        </w:tc>
      </w:tr>
      <w:tr>
        <w:trPr>
          <w:trHeight w:val="26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 Form of Performance-based Restricted Stock Unit Agreement (incorporated by reference to Exhibit 10.8</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Former Viper’s Annual Report on Form 10-K (File No. 001-36505) filed on February 22, 2024).</w:t>
            </w:r>
          </w:p>
        </w:tc>
      </w:tr>
      <w:tr>
        <w:trPr>
          <w:trHeight w:val="27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 Form of Time-based Restricted Stock Unit Award Agreement (incorporated by reference to Exhibit</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 of Former Viper’s Annual Report on Form 10-K (File No. 001-36505) filed on February 26, 2025).</w:t>
            </w:r>
          </w:p>
        </w:tc>
      </w:tr>
      <w:tr>
        <w:trPr>
          <w:trHeight w:val="278"/>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 Form of Performance-based Restricted Stock Unit Agreement (incorporated by reference to Exhibit</w:t>
            </w:r>
          </w:p>
        </w:tc>
      </w:tr>
      <w:tr>
        <w:trPr>
          <w:trHeight w:val="267"/>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10.11 of Former Viper’s Annual Report on Form 10-K (File No. 001-36505) filed on February 26, 2025).</w:t>
            </w:r>
          </w:p>
        </w:tc>
      </w:tr>
      <w:tr>
        <w:trPr>
          <w:trHeight w:val="29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 Form of Time-based Restricted Stock Unit Award Agreement.</w:t>
            </w:r>
          </w:p>
        </w:tc>
      </w:tr>
      <w:tr>
        <w:trPr>
          <w:trHeight w:val="8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980" w:type="dxa"/>
            <w:vAlign w:val="bottom"/>
            <w:gridSpan w:val="2"/>
          </w:tcPr>
          <w:p>
            <w:pPr>
              <w:jc w:val="right"/>
              <w:ind w:right="4920"/>
              <w:spacing w:after="0"/>
              <w:rPr>
                <w:sz w:val="20"/>
                <w:szCs w:val="20"/>
                <w:color w:val="auto"/>
              </w:rPr>
            </w:pPr>
            <w:r>
              <w:rPr>
                <w:rFonts w:ascii="Times New Roman" w:cs="Times New Roman" w:eastAsia="Times New Roman" w:hAnsi="Times New Roman"/>
                <w:sz w:val="20"/>
                <w:szCs w:val="20"/>
                <w:color w:val="auto"/>
              </w:rPr>
              <w:t>88</w:t>
            </w:r>
          </w:p>
        </w:tc>
      </w:tr>
    </w:tbl>
    <w:p>
      <w:pPr>
        <w:sectPr>
          <w:pgSz w:w="12240" w:h="15840" w:orient="portrait"/>
          <w:cols w:equalWidth="0" w:num="1">
            <w:col w:w="10260"/>
          </w:cols>
          <w:pgMar w:left="980" w:top="214" w:right="1000"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6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669"/>
        </w:trPr>
        <w:tc>
          <w:tcPr>
            <w:tcW w:w="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Exhibit</w:t>
            </w:r>
          </w:p>
        </w:tc>
        <w:tc>
          <w:tcPr>
            <w:tcW w:w="60" w:type="dxa"/>
            <w:vAlign w:val="bottom"/>
          </w:tcPr>
          <w:p>
            <w:pPr>
              <w:spacing w:after="0"/>
              <w:rPr>
                <w:sz w:val="24"/>
                <w:szCs w:val="24"/>
                <w:color w:val="auto"/>
              </w:rPr>
            </w:pPr>
          </w:p>
        </w:tc>
        <w:tc>
          <w:tcPr>
            <w:tcW w:w="892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Number</w:t>
            </w:r>
          </w:p>
        </w:tc>
        <w:tc>
          <w:tcPr>
            <w:tcW w:w="60" w:type="dxa"/>
            <w:vAlign w:val="bottom"/>
          </w:tcPr>
          <w:p>
            <w:pPr>
              <w:spacing w:after="0"/>
              <w:rPr>
                <w:sz w:val="24"/>
                <w:szCs w:val="24"/>
                <w:color w:val="auto"/>
              </w:rPr>
            </w:pPr>
          </w:p>
        </w:tc>
        <w:tc>
          <w:tcPr>
            <w:tcW w:w="8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Description</w:t>
            </w:r>
          </w:p>
        </w:tc>
      </w:tr>
      <w:tr>
        <w:trPr>
          <w:trHeight w:val="247"/>
        </w:trPr>
        <w:tc>
          <w:tcPr>
            <w:tcW w:w="2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 Form of Performance-based Restricted Stock Unit Agreement.</w:t>
            </w:r>
          </w:p>
        </w:tc>
      </w:tr>
      <w:tr>
        <w:trPr>
          <w:trHeight w:val="261"/>
        </w:trPr>
        <w:tc>
          <w:tcPr>
            <w:tcW w:w="12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2"/>
                <w:szCs w:val="22"/>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Credit Agreement, dated as of June 12, 2025, by and among Former Viper, the Borrower, the lenders and</w:t>
            </w:r>
          </w:p>
        </w:tc>
      </w:t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guarantors party thereto, and Wells Fargo Bank, National Association, as Administrative Agent (incorporated</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 reference to Exhibit 10.1 of Former Viper’s Current Report on Form 8-K (File No. 001-36505) filed on</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12, 2025).</w:t>
            </w:r>
          </w:p>
        </w:tc>
      </w:tr>
      <w:tr>
        <w:trPr>
          <w:trHeight w:val="27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7"/>
              </w:rPr>
              <w:t>19.1</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Insider Trading Policy (incorporated by reference to Exhibit 19.1 of Former Viper’s Annual Report</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 Form 10-K (File No. 001-36505) filed on February 26, 2025).</w:t>
            </w:r>
          </w:p>
        </w:tc>
      </w:tr>
      <w:tr>
        <w:trPr>
          <w:trHeight w:val="27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7"/>
              </w:rPr>
              <w:t>19.2</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Sixth Amended and Restated Supplemental Policy Concerning Trading in Securities of the Company and its</w:t>
            </w:r>
          </w:p>
        </w:tc>
      </w:t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Subsidiaries by Certain Designated Persons (incorporated by reference to Exhibit 19.2 of Former Viper’s</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Annual Report on Form 10-K (File No. 001-36505) filed on February 26, 2025).</w:t>
            </w:r>
          </w:p>
        </w:tc>
      </w:tr>
      <w:tr>
        <w:trPr>
          <w:trHeight w:val="30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List of Significant Subsidiaries of Viper Energy Inc.</w:t>
            </w:r>
          </w:p>
        </w:tc>
      </w:tr>
      <w:tr>
        <w:trPr>
          <w:trHeight w:val="30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List of Issuers and Subsidiary Guarantors.</w:t>
            </w:r>
          </w:p>
        </w:tc>
      </w:tr>
      <w:tr>
        <w:trPr>
          <w:trHeight w:val="30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Consent of Grant Thornton LLP.</w:t>
            </w:r>
          </w:p>
        </w:tc>
      </w:tr>
      <w:tr>
        <w:trPr>
          <w:trHeight w:val="30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23.2</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Consent of Ryder Scott Company, LP.</w:t>
            </w:r>
          </w:p>
        </w:tc>
      </w:tr>
      <w:tr>
        <w:trPr>
          <w:trHeight w:val="27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Executive Officer pursuant to Rule 13a-14(a) promulgated under the Securities</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Exchange Act of 1934, as amended.</w:t>
            </w:r>
          </w:p>
        </w:tc>
      </w:tr>
      <w:tr>
        <w:trPr>
          <w:trHeight w:val="27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promulgated under the Securities</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Exchange Act of 1934, as amended.</w:t>
            </w:r>
          </w:p>
        </w:tc>
      </w:tr>
      <w:tr>
        <w:trPr>
          <w:trHeight w:val="27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Executive Officer and Chief Financial Officer pursuant to Rule 13a-14(b) promulgated</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under the Securities Exchange Act of 1934, as amended, and Section 1350 of Chapter 63 of Title 18 of the</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 Code.</w:t>
            </w:r>
          </w:p>
        </w:tc>
      </w:tr>
      <w:tr>
        <w:trPr>
          <w:trHeight w:val="30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97.1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Viper Energy, Inc. Clawback Policy.</w:t>
            </w:r>
          </w:p>
        </w:tc>
      </w:tr>
      <w:tr>
        <w:trPr>
          <w:trHeight w:val="27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Audit Report of Ryder Scott Company, L.P. dated January 13, 2026, with respect to an audit of the proved</w:t>
            </w:r>
          </w:p>
        </w:tc>
      </w:t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reserves, future production and income attributable to certain royalty interests of New Viper as of December</w:t>
            </w:r>
          </w:p>
        </w:tc>
      </w:tr>
      <w:tr>
        <w:trPr>
          <w:trHeight w:val="267"/>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31, 2025.</w:t>
            </w:r>
          </w:p>
        </w:tc>
      </w:tr>
    </w:tbl>
    <w:p>
      <w:pPr>
        <w:spacing w:after="0" w:line="35" w:lineRule="exact"/>
        <w:rPr>
          <w:sz w:val="20"/>
          <w:szCs w:val="20"/>
          <w:color w:val="auto"/>
        </w:rPr>
      </w:pPr>
    </w:p>
    <w:p>
      <w:pPr>
        <w:jc w:val="both"/>
        <w:ind w:left="1380" w:right="60" w:hanging="1318"/>
        <w:spacing w:after="0" w:line="261" w:lineRule="auto"/>
        <w:tabs>
          <w:tab w:leader="none" w:pos="1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financial information from the Registrant’s Annual Report on Form 10-K for the year ended December 31, 2025, formatted in Inline XBRL: (i) Consolidated Statements of Operations, (ii) Consolidated Balance Sheets, (iii) Consolidated Statement of Changes in Stockholders’ Equity, (iv) Consolidated Statements of Cash Flows, and (v) Notes to Consolidated Financial Statements.</w:t>
      </w:r>
    </w:p>
    <w:p>
      <w:pPr>
        <w:spacing w:after="0" w:line="15"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as Inline XBRL and contained in Exhibit 101).</w:t>
      </w:r>
    </w:p>
    <w:p>
      <w:pPr>
        <w:spacing w:after="0" w:line="171" w:lineRule="exact"/>
        <w:rPr>
          <w:sz w:val="20"/>
          <w:szCs w:val="20"/>
          <w:color w:val="auto"/>
        </w:rPr>
      </w:pPr>
    </w:p>
    <w:p>
      <w:pPr>
        <w:ind w:left="500" w:hanging="392"/>
        <w:spacing w:after="0"/>
        <w:tabs>
          <w:tab w:leader="none" w:pos="5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82" w:lineRule="exact"/>
        <w:rPr>
          <w:sz w:val="20"/>
          <w:szCs w:val="20"/>
          <w:color w:val="auto"/>
        </w:rPr>
      </w:pPr>
    </w:p>
    <w:p>
      <w:pPr>
        <w:ind w:left="480" w:hanging="373"/>
        <w:spacing w:after="0"/>
        <w:tabs>
          <w:tab w:leader="none" w:pos="4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compensatory plan or arrangement.</w:t>
      </w:r>
    </w:p>
    <w:p>
      <w:pPr>
        <w:spacing w:after="0" w:line="60" w:lineRule="exact"/>
        <w:rPr>
          <w:rFonts w:ascii="Times New Roman" w:cs="Times New Roman" w:eastAsia="Times New Roman" w:hAnsi="Times New Roman"/>
          <w:sz w:val="20"/>
          <w:szCs w:val="20"/>
          <w:color w:val="auto"/>
        </w:rPr>
      </w:pPr>
    </w:p>
    <w:p>
      <w:pPr>
        <w:jc w:val="both"/>
        <w:ind w:left="500" w:right="120" w:hanging="393"/>
        <w:spacing w:after="0" w:line="267" w:lineRule="auto"/>
        <w:tabs>
          <w:tab w:leader="none" w:pos="46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0" w:lineRule="exact"/>
        <w:rPr>
          <w:sz w:val="20"/>
          <w:szCs w:val="20"/>
          <w:color w:val="auto"/>
        </w:rPr>
      </w:pPr>
    </w:p>
    <w:p>
      <w:pPr>
        <w:ind w:left="500" w:right="120" w:hanging="393"/>
        <w:spacing w:after="0" w:line="286" w:lineRule="auto"/>
        <w:tabs>
          <w:tab w:leader="none" w:pos="41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(or similar attachments) have been omitted pursuant to Item 601(a)(5) of Regulation S-K and will be provided to the Securities and Exchange Commission upon request.</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60"/>
          </w:cols>
          <w:pgMar w:left="980" w:top="214" w:right="1000" w:bottom="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8" w:lineRule="exact"/>
        <w:rPr>
          <w:sz w:val="20"/>
          <w:szCs w:val="20"/>
          <w:color w:val="auto"/>
        </w:rPr>
      </w:pPr>
    </w:p>
    <w:p>
      <w:pPr>
        <w:ind w:left="20" w:firstLine="721"/>
        <w:spacing w:after="0" w:line="28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6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ectPr>
          <w:pgSz w:w="12240" w:h="15840" w:orient="portrait"/>
          <w:cols w:equalWidth="0" w:num="1">
            <w:col w:w="10220"/>
          </w:cols>
          <w:pgMar w:left="980" w:top="214" w:right="1040" w:bottom="0" w:gutter="0" w:footer="0" w:header="0"/>
        </w:sectPr>
      </w:pP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81" w:lineRule="exact"/>
        <w:rPr>
          <w:sz w:val="20"/>
          <w:szCs w:val="20"/>
          <w:color w:val="auto"/>
        </w:rPr>
      </w:pPr>
    </w:p>
    <w:p>
      <w:pPr>
        <w:sectPr>
          <w:pgSz w:w="12240" w:h="15840" w:orient="portrait"/>
          <w:cols w:equalWidth="0" w:num="2">
            <w:col w:w="500" w:space="160"/>
            <w:col w:w="9560"/>
          </w:cols>
          <w:pgMar w:left="980" w:top="214" w:right="1040" w:bottom="0" w:gutter="0" w:footer="0" w:header="0"/>
          <w:type w:val="continuous"/>
        </w:sectPr>
      </w:pPr>
    </w:p>
    <w:p>
      <w:pPr>
        <w:ind w:left="48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VIPER ENERGY, INC.</w:t>
      </w:r>
    </w:p>
    <w:p>
      <w:pPr>
        <w:spacing w:after="0" w:line="200" w:lineRule="exact"/>
        <w:rPr>
          <w:sz w:val="20"/>
          <w:szCs w:val="20"/>
          <w:color w:val="auto"/>
        </w:rPr>
      </w:pPr>
    </w:p>
    <w:p>
      <w:pPr>
        <w:sectPr>
          <w:pgSz w:w="12240" w:h="15840" w:orient="portrait"/>
          <w:cols w:equalWidth="0" w:num="2">
            <w:col w:w="5140" w:space="380"/>
            <w:col w:w="4700"/>
          </w:cols>
          <w:pgMar w:left="980" w:top="214" w:right="1040" w:bottom="0" w:gutter="0" w:footer="0" w:header="0"/>
          <w:type w:val="continuous"/>
        </w:sectPr>
      </w:pP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Kaes Van’t Hof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38735</wp:posOffset>
                </wp:positionV>
                <wp:extent cx="3048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3.05pt" to="237.5pt,3.05pt" o:allowincell="f" strokecolor="#000000" strokeweight="1pt"/>
            </w:pict>
          </mc:Fallback>
        </mc:AlternateContent>
      </w:r>
    </w:p>
    <w:p>
      <w:pPr>
        <w:spacing w:after="0" w:line="79" w:lineRule="exact"/>
        <w:rPr>
          <w:sz w:val="20"/>
          <w:szCs w:val="20"/>
          <w:color w:val="auto"/>
        </w:rPr>
      </w:pPr>
    </w:p>
    <w:p>
      <w:pPr>
        <w:sectPr>
          <w:pgSz w:w="12240" w:h="15840" w:orient="portrait"/>
          <w:cols w:equalWidth="0" w:num="2">
            <w:col w:w="5140" w:space="380"/>
            <w:col w:w="4700"/>
          </w:cols>
          <w:pgMar w:left="980" w:top="214" w:right="1040" w:bottom="0" w:gutter="0" w:footer="0" w:header="0"/>
          <w:type w:val="continuous"/>
        </w:sectPr>
      </w:pPr>
    </w:p>
    <w:p>
      <w:pPr>
        <w:ind w:left="4860"/>
        <w:spacing w:after="0"/>
        <w:rPr>
          <w:sz w:val="20"/>
          <w:szCs w:val="20"/>
          <w:color w:val="auto"/>
        </w:rPr>
      </w:pPr>
      <w:r>
        <w:rPr>
          <w:rFonts w:ascii="Times New Roman" w:cs="Times New Roman" w:eastAsia="Times New Roman" w:hAnsi="Times New Roman"/>
          <w:sz w:val="20"/>
          <w:szCs w:val="20"/>
          <w:color w:val="auto"/>
        </w:rPr>
        <w:t>Name: Kaes Van’t Hof</w:t>
      </w:r>
    </w:p>
    <w:p>
      <w:pPr>
        <w:spacing w:after="0" w:line="72" w:lineRule="exact"/>
        <w:rPr>
          <w:sz w:val="20"/>
          <w:szCs w:val="20"/>
          <w:color w:val="auto"/>
        </w:rPr>
      </w:pPr>
    </w:p>
    <w:p>
      <w:pPr>
        <w:ind w:left="4860"/>
        <w:spacing w:after="0"/>
        <w:tabs>
          <w:tab w:leader="none" w:pos="5500" w:val="left"/>
        </w:tabs>
        <w:rPr>
          <w:sz w:val="20"/>
          <w:szCs w:val="20"/>
          <w:color w:val="auto"/>
        </w:rPr>
      </w:pPr>
      <w:r>
        <w:rPr>
          <w:rFonts w:ascii="Times New Roman" w:cs="Times New Roman" w:eastAsia="Times New Roman" w:hAnsi="Times New Roman"/>
          <w:sz w:val="20"/>
          <w:szCs w:val="20"/>
          <w:color w:val="auto"/>
        </w:rPr>
        <w:t>Title:</w:t>
        <w:tab/>
        <w:t>Chief Executive Officer</w:t>
      </w:r>
    </w:p>
    <w:p>
      <w:pPr>
        <w:spacing w:after="0" w:line="322" w:lineRule="exact"/>
        <w:rPr>
          <w:sz w:val="20"/>
          <w:szCs w:val="20"/>
          <w:color w:val="auto"/>
        </w:rPr>
      </w:pPr>
    </w:p>
    <w:p>
      <w:pPr>
        <w:ind w:left="20" w:firstLine="719"/>
        <w:spacing w:after="0" w:line="28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9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4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20" w:type="dxa"/>
            <w:vAlign w:val="bottom"/>
          </w:tcPr>
          <w:p>
            <w:pPr>
              <w:spacing w:after="0"/>
              <w:rPr>
                <w:sz w:val="18"/>
                <w:szCs w:val="18"/>
                <w:color w:val="auto"/>
              </w:rPr>
            </w:pPr>
          </w:p>
        </w:tc>
        <w:tc>
          <w:tcPr>
            <w:tcW w:w="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80"/>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Kaes Van’t Hof</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2440" w:type="dxa"/>
            <w:vAlign w:val="bottom"/>
            <w:gridSpan w:val="3"/>
          </w:tcPr>
          <w:p>
            <w:pPr>
              <w:jc w:val="center"/>
              <w:ind w:left="84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Kaes Van’t Hof</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60"/>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Teresa L. Dick</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Chief Financial Officer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Teresa L. Dick</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60"/>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Steven E. West</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Chairman of the Board and 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Steven E. West</w:t>
            </w:r>
          </w:p>
        </w:tc>
        <w:tc>
          <w:tcPr>
            <w:tcW w:w="2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58"/>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Laurie H. Argo</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Laurie H. Argo</w:t>
            </w:r>
          </w:p>
        </w:tc>
        <w:tc>
          <w:tcPr>
            <w:tcW w:w="2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74"/>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Spencer D. Armour III</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7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Spencer D. Armour III</w:t>
            </w: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4"/>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Frank C. Hu</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Frank C. Hu</w:t>
            </w:r>
          </w:p>
        </w:tc>
        <w:tc>
          <w:tcPr>
            <w:tcW w:w="2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60"/>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W. Wesley Perry</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 Wesley Perry</w:t>
            </w:r>
          </w:p>
        </w:tc>
        <w:tc>
          <w:tcPr>
            <w:tcW w:w="2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57"/>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James L. Rubin</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James L. Rubin</w:t>
            </w:r>
          </w:p>
        </w:tc>
        <w:tc>
          <w:tcPr>
            <w:tcW w:w="2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59"/>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 Travis D. Stice</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Director</w:t>
            </w:r>
          </w:p>
        </w:tc>
        <w:tc>
          <w:tcPr>
            <w:tcW w:w="2440" w:type="dxa"/>
            <w:vAlign w:val="bottom"/>
            <w:gridSpan w:val="3"/>
          </w:tcPr>
          <w:p>
            <w:pPr>
              <w:jc w:val="center"/>
              <w:ind w:left="880"/>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Travis D. Stice</w:t>
            </w:r>
          </w:p>
        </w:tc>
        <w:tc>
          <w:tcPr>
            <w:tcW w:w="2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20"/>
          </w:cols>
          <w:pgMar w:left="980" w:top="214" w:right="1040" w:bottom="0" w:gutter="0" w:footer="0" w:header="0"/>
          <w:type w:val="continuous"/>
        </w:sectPr>
      </w:pPr>
    </w:p>
    <w:bookmarkStart w:id="98" w:name="page99"/>
    <w:bookmarkEnd w:id="98"/>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lvl w:ilvl="1">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7"/>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
      <w:numFmt w:val="bullet"/>
      <w:start w:val="1"/>
    </w:lvl>
    <w:lvl w:ilvl="1">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lowerRoman"/>
      <w:start w:val="2"/>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1."/>
      <w:numFmt w:val="decimal"/>
      <w:start w:val="7"/>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8"/>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9"/>
    </w:lvl>
  </w:abstractNum>
  <w:abstractNum w:abstractNumId="35">
    <w:nsid w:val="3855585C"/>
    <w:multiLevelType w:val="hybridMultilevel"/>
    <w:lvl w:ilvl="0">
      <w:lvlJc w:val="left"/>
      <w:lvlText w:val="%1."/>
      <w:numFmt w:val="decimal"/>
      <w:start w:val="10"/>
    </w:lvl>
  </w:abstractNum>
  <w:abstractNum w:abstractNumId="36">
    <w:nsid w:val="70A64E2A"/>
    <w:multiLevelType w:val="hybridMultilevel"/>
    <w:lvl w:ilvl="0">
      <w:lvlJc w:val="left"/>
      <w:lvlText w:val="%1."/>
      <w:numFmt w:val="decimal"/>
      <w:start w:val="11"/>
    </w:lvl>
  </w:abstractNum>
  <w:abstractNum w:abstractNumId="37">
    <w:nsid w:val="6A2342EC"/>
    <w:multiLevelType w:val="hybridMultilevel"/>
    <w:lvl w:ilvl="0">
      <w:lvlJc w:val="left"/>
      <w:lvlText w:val="%1."/>
      <w:numFmt w:val="decimal"/>
      <w:start w:val="12"/>
    </w:lvl>
  </w:abstractNum>
  <w:abstractNum w:abstractNumId="38">
    <w:nsid w:val="2A487CB0"/>
    <w:multiLevelType w:val="hybridMultilevel"/>
    <w:lvl w:ilvl="0">
      <w:lvlJc w:val="left"/>
      <w:lvlText w:val="%1."/>
      <w:numFmt w:val="decimal"/>
      <w:start w:val="13"/>
    </w:lvl>
  </w:abstractNum>
  <w:abstractNum w:abstractNumId="39">
    <w:nsid w:val="1D4ED43B"/>
    <w:multiLevelType w:val="hybridMultilevel"/>
    <w:lvl w:ilvl="0">
      <w:lvlJc w:val="left"/>
      <w:lvlText w:val="%1."/>
      <w:numFmt w:val="decimal"/>
      <w:start w:val="14"/>
    </w:lvl>
  </w:abstractNum>
  <w:abstractNum w:abstractNumId="40">
    <w:nsid w:val="725A06FB"/>
    <w:multiLevelType w:val="hybridMultilevel"/>
    <w:lvl w:ilvl="0">
      <w:lvlJc w:val="left"/>
      <w:lvlText w:val="%1."/>
      <w:numFmt w:val="decimal"/>
      <w:start w:val="15"/>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0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lvl w:ilvl="1">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2026-04-08T19:52:40Z</dcterms:created>
  <dcterms:modified xsi:type="dcterms:W3CDTF">2026-04-08T19:52:40Z</dcterms:modified>
</cp:coreProperties>
</file>