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60325</wp:posOffset>
            </wp:positionV>
            <wp:extent cx="2614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-256540</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SECURITIES EXCHANGE ACT OF 1934</w:t>
      </w:r>
    </w:p>
    <w:p>
      <w:pPr>
        <w:spacing w:after="0" w:line="137"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124460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Viper Energy,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8" w:lineRule="exact"/>
        <w:rPr>
          <w:sz w:val="24"/>
          <w:szCs w:val="24"/>
          <w:color w:val="auto"/>
        </w:rPr>
      </w:pPr>
    </w:p>
    <w:tbl>
      <w:tblPr>
        <w:tblLayout w:type="fixed"/>
        <w:tblInd w:w="1980" w:type="dxa"/>
        <w:tblCellMar>
          <w:top w:w="0" w:type="dxa"/>
          <w:left w:w="0" w:type="dxa"/>
          <w:bottom w:w="0" w:type="dxa"/>
          <w:right w:w="0" w:type="dxa"/>
        </w:tblCellMar>
      </w:tblPr>
      <w:tr>
        <w:trPr>
          <w:trHeight w:val="190"/>
        </w:trPr>
        <w:tc>
          <w:tcPr>
            <w:tcW w:w="378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DE</w:t>
            </w:r>
          </w:p>
        </w:tc>
        <w:tc>
          <w:tcPr>
            <w:tcW w:w="334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46-5001985</w:t>
            </w:r>
          </w:p>
        </w:tc>
      </w:tr>
      <w:tr>
        <w:trPr>
          <w:trHeight w:val="431"/>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3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90"/>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340" w:type="dxa"/>
            <w:vAlign w:val="bottom"/>
          </w:tcPr>
          <w:p>
            <w:pPr>
              <w:spacing w:after="0"/>
              <w:rPr>
                <w:sz w:val="16"/>
                <w:szCs w:val="16"/>
                <w:color w:val="auto"/>
              </w:rPr>
            </w:pPr>
          </w:p>
        </w:tc>
      </w:tr>
      <w:tr>
        <w:trPr>
          <w:trHeight w:val="418"/>
        </w:trPr>
        <w:tc>
          <w:tcPr>
            <w:tcW w:w="378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500 West Texas Ave.</w:t>
            </w:r>
          </w:p>
        </w:tc>
        <w:tc>
          <w:tcPr>
            <w:tcW w:w="3340" w:type="dxa"/>
            <w:vAlign w:val="bottom"/>
          </w:tcPr>
          <w:p>
            <w:pPr>
              <w:spacing w:after="0"/>
              <w:rPr>
                <w:sz w:val="24"/>
                <w:szCs w:val="24"/>
                <w:color w:val="auto"/>
              </w:rPr>
            </w:pPr>
          </w:p>
        </w:tc>
      </w:tr>
      <w:tr>
        <w:trPr>
          <w:trHeight w:val="230"/>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Suite 100</w:t>
            </w:r>
          </w:p>
        </w:tc>
        <w:tc>
          <w:tcPr>
            <w:tcW w:w="3340" w:type="dxa"/>
            <w:vAlign w:val="bottom"/>
          </w:tcPr>
          <w:p>
            <w:pPr>
              <w:spacing w:after="0"/>
              <w:rPr>
                <w:sz w:val="19"/>
                <w:szCs w:val="19"/>
                <w:color w:val="auto"/>
              </w:rPr>
            </w:pPr>
          </w:p>
        </w:tc>
      </w:tr>
      <w:tr>
        <w:trPr>
          <w:trHeight w:val="229"/>
        </w:trPr>
        <w:tc>
          <w:tcPr>
            <w:tcW w:w="378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Midland, TX</w:t>
            </w:r>
          </w:p>
        </w:tc>
        <w:tc>
          <w:tcPr>
            <w:tcW w:w="334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79701</w:t>
            </w:r>
          </w:p>
        </w:tc>
      </w:tr>
      <w:tr>
        <w:trPr>
          <w:trHeight w:val="230"/>
        </w:trPr>
        <w:tc>
          <w:tcPr>
            <w:tcW w:w="37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pacing w:after="0" w:line="160" w:lineRule="exact"/>
        <w:rPr>
          <w:sz w:val="24"/>
          <w:szCs w:val="24"/>
          <w:color w:val="auto"/>
        </w:rPr>
      </w:pPr>
    </w:p>
    <w:tbl>
      <w:tblPr>
        <w:tblLayout w:type="fixed"/>
        <w:tblInd w:w="27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Class A Common Stock</w:t>
            </w:r>
          </w:p>
        </w:tc>
        <w:tc>
          <w:tcPr>
            <w:tcW w:w="4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VNOM</w:t>
            </w:r>
          </w:p>
        </w:tc>
        <w:tc>
          <w:tcPr>
            <w:tcW w:w="3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$0.000001 par value</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1, 2024, 91,447,008 shares of Class A Common Stock and 85,431,453 shares of Class B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6"/>
                <w:szCs w:val="16"/>
                <w:color w:val="auto"/>
              </w:rPr>
              <w:t>Page</w:t>
            </w: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FF"/>
            </w:tcBorders>
            <w:gridSpan w:val="1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Glossary of Oil and Natural Gas Terms</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0000FF"/>
                <w:w w:val="89"/>
              </w:rPr>
              <w:t>ii</w:t>
            </w: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5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Glossary of Certain Other Terms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color w:val="0000FF"/>
                <w:w w:val="95"/>
              </w:rPr>
              <w:t>iv</w:t>
            </w: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Cautionary Statement Regarding Forward-Looking Statements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0000FF"/>
                <w:w w:val="99"/>
              </w:rPr>
              <w:t>v</w:t>
            </w: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0000FF"/>
            </w:tcBorders>
            <w:gridSpan w:val="8"/>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Item 1. Condensed Consolidated Financial Statements (Unaudited)</w:t>
            </w:r>
          </w:p>
        </w:tc>
        <w:tc>
          <w:tcPr>
            <w:tcW w:w="360" w:type="dxa"/>
            <w:vAlign w:val="bottom"/>
            <w:gridSpan w:val="4"/>
          </w:tcPr>
          <w:p>
            <w:pPr>
              <w:jc w:val="center"/>
              <w:ind w:left="199"/>
              <w:spacing w:after="0"/>
              <w:rPr>
                <w:sz w:val="20"/>
                <w:szCs w:val="20"/>
                <w:color w:val="auto"/>
              </w:rPr>
            </w:pPr>
            <w:r>
              <w:rPr>
                <w:rFonts w:ascii="Times New Roman" w:cs="Times New Roman" w:eastAsia="Times New Roman" w:hAnsi="Times New Roman"/>
                <w:sz w:val="16"/>
                <w:szCs w:val="16"/>
                <w:color w:val="0000FF"/>
                <w:w w:val="99"/>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0000FF"/>
            </w:tcBorders>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7240" w:type="dxa"/>
            <w:vAlign w:val="bottom"/>
            <w:tcBorders>
              <w:bottom w:val="single" w:sz="8" w:color="CCEEFF"/>
            </w:tcBorders>
            <w:gridSpan w:val="15"/>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360" w:type="dxa"/>
            <w:vAlign w:val="bottom"/>
            <w:gridSpan w:val="4"/>
          </w:tcPr>
          <w:p>
            <w:pPr>
              <w:jc w:val="center"/>
              <w:ind w:left="199"/>
              <w:spacing w:after="0"/>
              <w:rPr>
                <w:sz w:val="20"/>
                <w:szCs w:val="20"/>
                <w:color w:val="auto"/>
              </w:rPr>
            </w:pPr>
            <w:r>
              <w:rPr>
                <w:rFonts w:ascii="Times New Roman" w:cs="Times New Roman" w:eastAsia="Times New Roman" w:hAnsi="Times New Roman"/>
                <w:sz w:val="16"/>
                <w:szCs w:val="16"/>
                <w:color w:val="0000FF"/>
                <w:w w:val="99"/>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720" w:type="dxa"/>
            <w:vAlign w:val="bottom"/>
            <w:tcBorders>
              <w:bottom w:val="single" w:sz="8" w:color="0000FF"/>
            </w:tcBorders>
            <w:gridSpan w:val="3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to Stockholders’ Equity</w:t>
            </w:r>
          </w:p>
        </w:tc>
        <w:tc>
          <w:tcPr>
            <w:tcW w:w="5160" w:type="dxa"/>
            <w:vAlign w:val="bottom"/>
            <w:tcBorders>
              <w:bottom w:val="single" w:sz="8" w:color="CCEEFF"/>
            </w:tcBorders>
            <w:gridSpan w:val="4"/>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360" w:type="dxa"/>
            <w:vAlign w:val="bottom"/>
            <w:gridSpan w:val="4"/>
          </w:tcPr>
          <w:p>
            <w:pPr>
              <w:jc w:val="center"/>
              <w:ind w:left="199"/>
              <w:spacing w:after="0"/>
              <w:rPr>
                <w:sz w:val="20"/>
                <w:szCs w:val="20"/>
                <w:color w:val="auto"/>
              </w:rPr>
            </w:pPr>
            <w:r>
              <w:rPr>
                <w:rFonts w:ascii="Times New Roman" w:cs="Times New Roman" w:eastAsia="Times New Roman" w:hAnsi="Times New Roman"/>
                <w:sz w:val="16"/>
                <w:szCs w:val="16"/>
                <w:color w:val="0000FF"/>
                <w:w w:val="99"/>
              </w:rPr>
              <w:t>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8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Condensed Notes to Consolidated Financial Statements</w:t>
            </w:r>
          </w:p>
        </w:tc>
        <w:tc>
          <w:tcPr>
            <w:tcW w:w="360" w:type="dxa"/>
            <w:vAlign w:val="bottom"/>
            <w:gridSpan w:val="4"/>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189"/>
        </w:trPr>
        <w:tc>
          <w:tcPr>
            <w:tcW w:w="680" w:type="dxa"/>
            <w:vAlign w:val="bottom"/>
            <w:tcBorders>
              <w:top w:val="single" w:sz="8" w:color="CCEEFF"/>
            </w:tcBorders>
            <w:gridSpan w:val="2"/>
          </w:tcPr>
          <w:p>
            <w:pPr>
              <w:spacing w:after="0"/>
              <w:rPr>
                <w:sz w:val="16"/>
                <w:szCs w:val="16"/>
                <w:color w:val="auto"/>
              </w:rPr>
            </w:pPr>
          </w:p>
        </w:tc>
        <w:tc>
          <w:tcPr>
            <w:tcW w:w="360" w:type="dxa"/>
            <w:vAlign w:val="bottom"/>
            <w:tcBorders>
              <w:top w:val="single" w:sz="8" w:color="0000FF"/>
            </w:tcBorders>
            <w:gridSpan w:val="3"/>
          </w:tcPr>
          <w:p>
            <w:pPr>
              <w:ind w:left="220"/>
              <w:spacing w:after="0"/>
              <w:rPr>
                <w:sz w:val="20"/>
                <w:szCs w:val="20"/>
                <w:color w:val="auto"/>
              </w:rPr>
            </w:pPr>
            <w:r>
              <w:rPr>
                <w:rFonts w:ascii="Times New Roman" w:cs="Times New Roman" w:eastAsia="Times New Roman" w:hAnsi="Times New Roman"/>
                <w:sz w:val="16"/>
                <w:szCs w:val="16"/>
                <w:color w:val="0000FF"/>
                <w:w w:val="99"/>
              </w:rPr>
              <w:t>1.</w:t>
            </w:r>
          </w:p>
        </w:tc>
        <w:tc>
          <w:tcPr>
            <w:tcW w:w="3220" w:type="dxa"/>
            <w:vAlign w:val="bottom"/>
            <w:tcBorders>
              <w:top w:val="single" w:sz="8" w:color="0000FF"/>
            </w:tcBorders>
            <w:gridSpan w:val="24"/>
          </w:tcPr>
          <w:p>
            <w:pPr>
              <w:ind w:left="20"/>
              <w:spacing w:after="0"/>
              <w:rPr>
                <w:sz w:val="20"/>
                <w:szCs w:val="20"/>
                <w:color w:val="auto"/>
              </w:rPr>
            </w:pPr>
            <w:r>
              <w:rPr>
                <w:rFonts w:ascii="Times New Roman" w:cs="Times New Roman" w:eastAsia="Times New Roman" w:hAnsi="Times New Roman"/>
                <w:sz w:val="16"/>
                <w:szCs w:val="16"/>
                <w:color w:val="0000FF"/>
              </w:rPr>
              <w:t>Organization and Basis of Presentation</w:t>
            </w:r>
          </w:p>
        </w:tc>
        <w:tc>
          <w:tcPr>
            <w:tcW w:w="6300" w:type="dxa"/>
            <w:vAlign w:val="bottom"/>
            <w:tcBorders>
              <w:top w:val="single" w:sz="8" w:color="CCEEFF"/>
            </w:tcBorders>
            <w:gridSpan w:val="8"/>
          </w:tcPr>
          <w:p>
            <w:pPr>
              <w:spacing w:after="0"/>
              <w:rPr>
                <w:sz w:val="16"/>
                <w:szCs w:val="16"/>
                <w:color w:val="auto"/>
              </w:rPr>
            </w:pPr>
          </w:p>
        </w:tc>
        <w:tc>
          <w:tcPr>
            <w:tcW w:w="280" w:type="dxa"/>
            <w:vAlign w:val="bottom"/>
            <w:tcBorders>
              <w:top w:val="single" w:sz="8" w:color="CCEEFF"/>
            </w:tcBorders>
            <w:gridSpan w:val="3"/>
          </w:tcPr>
          <w:p>
            <w:pPr>
              <w:spacing w:after="0"/>
              <w:rPr>
                <w:sz w:val="16"/>
                <w:szCs w:val="16"/>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88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2.</w:t>
            </w:r>
          </w:p>
        </w:tc>
        <w:tc>
          <w:tcPr>
            <w:tcW w:w="2920" w:type="dxa"/>
            <w:vAlign w:val="bottom"/>
            <w:tcBorders>
              <w:bottom w:val="single" w:sz="8" w:color="0000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6600" w:type="dxa"/>
            <w:vAlign w:val="bottom"/>
            <w:tcBorders>
              <w:bottom w:val="single" w:sz="8" w:color="CCEEFF"/>
            </w:tcBorders>
            <w:gridSpan w:val="12"/>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0000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10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0000FF"/>
                <w:w w:val="99"/>
              </w:rPr>
              <w:t>3.</w:t>
            </w:r>
          </w:p>
        </w:tc>
        <w:tc>
          <w:tcPr>
            <w:tcW w:w="9520" w:type="dxa"/>
            <w:vAlign w:val="bottom"/>
            <w:gridSpan w:val="32"/>
          </w:tcPr>
          <w:p>
            <w:pPr>
              <w:ind w:left="20"/>
              <w:spacing w:after="0"/>
              <w:rPr>
                <w:sz w:val="20"/>
                <w:szCs w:val="20"/>
                <w:color w:val="auto"/>
              </w:rPr>
            </w:pPr>
            <w:r>
              <w:rPr>
                <w:rFonts w:ascii="Times New Roman" w:cs="Times New Roman" w:eastAsia="Times New Roman" w:hAnsi="Times New Roman"/>
                <w:sz w:val="16"/>
                <w:szCs w:val="16"/>
                <w:color w:val="0000FF"/>
              </w:rPr>
              <w:t>Revenue from Contracts with Customers</w:t>
            </w:r>
          </w:p>
        </w:tc>
        <w:tc>
          <w:tcPr>
            <w:tcW w:w="360" w:type="dxa"/>
            <w:vAlign w:val="bottom"/>
            <w:gridSpan w:val="4"/>
          </w:tcPr>
          <w:p>
            <w:pPr>
              <w:jc w:val="center"/>
              <w:ind w:left="199"/>
              <w:spacing w:after="0"/>
              <w:rPr>
                <w:sz w:val="20"/>
                <w:szCs w:val="20"/>
                <w:color w:val="auto"/>
              </w:rPr>
            </w:pPr>
            <w:r>
              <w:rPr>
                <w:rFonts w:ascii="Times New Roman" w:cs="Times New Roman" w:eastAsia="Times New Roman" w:hAnsi="Times New Roman"/>
                <w:sz w:val="16"/>
                <w:szCs w:val="16"/>
                <w:color w:val="0000FF"/>
                <w:w w:val="99"/>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880" w:type="dxa"/>
            <w:vAlign w:val="bottom"/>
            <w:gridSpan w:val="4"/>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4.</w:t>
            </w:r>
          </w:p>
        </w:tc>
        <w:tc>
          <w:tcPr>
            <w:tcW w:w="9520" w:type="dxa"/>
            <w:vAlign w:val="bottom"/>
            <w:gridSpan w:val="32"/>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Acquisitions and Divestitures</w:t>
            </w:r>
          </w:p>
        </w:tc>
        <w:tc>
          <w:tcPr>
            <w:tcW w:w="360" w:type="dxa"/>
            <w:vAlign w:val="bottom"/>
            <w:gridSpan w:val="4"/>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gridSpan w:val="4"/>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5.</w:t>
            </w:r>
          </w:p>
        </w:tc>
        <w:tc>
          <w:tcPr>
            <w:tcW w:w="1920" w:type="dxa"/>
            <w:vAlign w:val="bottom"/>
            <w:gridSpan w:val="15"/>
          </w:tcPr>
          <w:p>
            <w:pPr>
              <w:ind w:left="20"/>
              <w:spacing w:after="0"/>
              <w:rPr>
                <w:sz w:val="20"/>
                <w:szCs w:val="20"/>
                <w:color w:val="auto"/>
              </w:rPr>
            </w:pPr>
            <w:r>
              <w:rPr>
                <w:rFonts w:ascii="Times New Roman" w:cs="Times New Roman" w:eastAsia="Times New Roman" w:hAnsi="Times New Roman"/>
                <w:sz w:val="16"/>
                <w:szCs w:val="16"/>
                <w:color w:val="0000FF"/>
              </w:rPr>
              <w:t>Oil and Natural Gas Interests</w:t>
            </w:r>
          </w:p>
        </w:tc>
        <w:tc>
          <w:tcPr>
            <w:tcW w:w="7600" w:type="dxa"/>
            <w:vAlign w:val="bottom"/>
            <w:gridSpan w:val="17"/>
          </w:tcPr>
          <w:p>
            <w:pPr>
              <w:spacing w:after="0"/>
              <w:rPr>
                <w:sz w:val="16"/>
                <w:szCs w:val="16"/>
                <w:color w:val="auto"/>
              </w:rPr>
            </w:pP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10</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880" w:type="dxa"/>
            <w:vAlign w:val="bottom"/>
            <w:gridSpan w:val="4"/>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6.</w:t>
            </w:r>
          </w:p>
        </w:tc>
        <w:tc>
          <w:tcPr>
            <w:tcW w:w="9520" w:type="dxa"/>
            <w:vAlign w:val="bottom"/>
            <w:gridSpan w:val="32"/>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Debt</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11</w:t>
            </w: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gridSpan w:val="4"/>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7.</w:t>
            </w:r>
          </w:p>
        </w:tc>
        <w:tc>
          <w:tcPr>
            <w:tcW w:w="9520" w:type="dxa"/>
            <w:vAlign w:val="bottom"/>
            <w:gridSpan w:val="32"/>
          </w:tcPr>
          <w:p>
            <w:pPr>
              <w:ind w:left="20"/>
              <w:spacing w:after="0"/>
              <w:rPr>
                <w:sz w:val="20"/>
                <w:szCs w:val="20"/>
                <w:color w:val="auto"/>
              </w:rPr>
            </w:pPr>
            <w:r>
              <w:rPr>
                <w:rFonts w:ascii="Times New Roman" w:cs="Times New Roman" w:eastAsia="Times New Roman" w:hAnsi="Times New Roman"/>
                <w:sz w:val="16"/>
                <w:szCs w:val="16"/>
                <w:color w:val="0000FF"/>
              </w:rPr>
              <w:t>Stockholders' Equity</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11</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880" w:type="dxa"/>
            <w:vAlign w:val="bottom"/>
            <w:tcBorders>
              <w:bottom w:val="single" w:sz="8" w:color="CCEEFF"/>
            </w:tcBorders>
            <w:gridSpan w:val="4"/>
            <w:shd w:val="clear" w:color="auto" w:fill="CCEEFF"/>
          </w:tcPr>
          <w:p>
            <w:pPr>
              <w:spacing w:after="0"/>
              <w:rPr>
                <w:sz w:val="19"/>
                <w:szCs w:val="19"/>
                <w:color w:val="auto"/>
              </w:rPr>
            </w:pPr>
          </w:p>
        </w:tc>
        <w:tc>
          <w:tcPr>
            <w:tcW w:w="160" w:type="dxa"/>
            <w:vAlign w:val="bottom"/>
            <w:tcBorders>
              <w:bottom w:val="single" w:sz="8" w:color="0000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8.</w:t>
            </w:r>
          </w:p>
        </w:tc>
        <w:tc>
          <w:tcPr>
            <w:tcW w:w="1900" w:type="dxa"/>
            <w:vAlign w:val="bottom"/>
            <w:tcBorders>
              <w:bottom w:val="single" w:sz="8" w:color="0000FF"/>
            </w:tcBorders>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Earnings Per Common Share</w:t>
            </w:r>
          </w:p>
        </w:tc>
        <w:tc>
          <w:tcPr>
            <w:tcW w:w="7620" w:type="dxa"/>
            <w:vAlign w:val="bottom"/>
            <w:tcBorders>
              <w:bottom w:val="single" w:sz="8" w:color="CCEEFF"/>
            </w:tcBorders>
            <w:gridSpan w:val="18"/>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13</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1040" w:type="dxa"/>
            <w:vAlign w:val="bottom"/>
            <w:gridSpan w:val="5"/>
          </w:tcPr>
          <w:p>
            <w:pPr>
              <w:ind w:left="900"/>
              <w:spacing w:after="0"/>
              <w:rPr>
                <w:sz w:val="20"/>
                <w:szCs w:val="20"/>
                <w:color w:val="auto"/>
              </w:rPr>
            </w:pPr>
            <w:r>
              <w:rPr>
                <w:rFonts w:ascii="Times New Roman" w:cs="Times New Roman" w:eastAsia="Times New Roman" w:hAnsi="Times New Roman"/>
                <w:sz w:val="16"/>
                <w:szCs w:val="16"/>
                <w:color w:val="0000FF"/>
                <w:w w:val="99"/>
              </w:rPr>
              <w:t>9.</w:t>
            </w:r>
          </w:p>
        </w:tc>
        <w:tc>
          <w:tcPr>
            <w:tcW w:w="9520" w:type="dxa"/>
            <w:vAlign w:val="bottom"/>
            <w:gridSpan w:val="32"/>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14</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0000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8"/>
              </w:rPr>
              <w:t>10. Derivatives</w:t>
            </w:r>
          </w:p>
        </w:tc>
        <w:tc>
          <w:tcPr>
            <w:tcW w:w="8680" w:type="dxa"/>
            <w:vAlign w:val="bottom"/>
            <w:tcBorders>
              <w:bottom w:val="single" w:sz="8" w:color="CCEEFF"/>
            </w:tcBorders>
            <w:gridSpan w:val="26"/>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15</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11. Fair Value Measurements</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16</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12. Commitments and Contingencies</w:t>
            </w:r>
          </w:p>
        </w:tc>
        <w:tc>
          <w:tcPr>
            <w:tcW w:w="7260" w:type="dxa"/>
            <w:vAlign w:val="bottom"/>
            <w:tcBorders>
              <w:bottom w:val="single" w:sz="8" w:color="CCEEFF"/>
            </w:tcBorders>
            <w:gridSpan w:val="16"/>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18</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33"/>
          </w:tcPr>
          <w:p>
            <w:pPr>
              <w:ind w:left="20"/>
              <w:spacing w:after="0"/>
              <w:rPr>
                <w:sz w:val="20"/>
                <w:szCs w:val="20"/>
                <w:color w:val="auto"/>
              </w:rPr>
            </w:pPr>
            <w:r>
              <w:rPr>
                <w:rFonts w:ascii="Times New Roman" w:cs="Times New Roman" w:eastAsia="Times New Roman" w:hAnsi="Times New Roman"/>
                <w:sz w:val="16"/>
                <w:szCs w:val="16"/>
                <w:color w:val="0000FF"/>
              </w:rPr>
              <w:t>13. Subsequent Events</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18</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19</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30</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400" w:type="dxa"/>
            <w:vAlign w:val="bottom"/>
            <w:gridSpan w:val="6"/>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7"/>
          </w:tcPr>
          <w:p>
            <w:pPr>
              <w:jc w:val="center"/>
              <w:ind w:right="370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32</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32</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32</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33</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gridSpan w:val="2"/>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34</w:t>
            </w:r>
          </w:p>
        </w:tc>
        <w:tc>
          <w:tcPr>
            <w:tcW w:w="2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400" w:type="dxa"/>
            <w:vAlign w:val="bottom"/>
            <w:gridSpan w:val="6"/>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35</w:t>
            </w:r>
          </w:p>
        </w:tc>
        <w:tc>
          <w:tcPr>
            <w:tcW w:w="26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9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9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tc>
      </w:tr>
      <w:tr>
        <w:trPr>
          <w:trHeight w:val="378"/>
        </w:trPr>
        <w:tc>
          <w:tcPr>
            <w:tcW w:w="1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natural gas terms that are used in this Quarterly Report on Form 10-Q (this “report”):</w:t>
            </w:r>
          </w:p>
        </w:tc>
      </w:tr>
      <w:tr>
        <w:trPr>
          <w:trHeight w:val="122"/>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r>
        <w:trPr>
          <w:trHeight w:val="243"/>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Argus WTI Midland</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Midland, Texas.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Basin</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189"/>
        </w:trPr>
        <w:tc>
          <w:tcPr>
            <w:tcW w:w="2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Bbl or barrel</w:t>
            </w:r>
          </w:p>
        </w:tc>
        <w:tc>
          <w:tcPr>
            <w:tcW w:w="89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One stock tank barrel, or 42 U.S. gallons liquid volume, used in this report in reference to crude oil or other liquid</w:t>
            </w:r>
          </w:p>
        </w:tc>
      </w:tr>
      <w:tr>
        <w:trPr>
          <w:trHeight w:val="229"/>
        </w:trPr>
        <w:tc>
          <w:tcPr>
            <w:tcW w:w="2320" w:type="dxa"/>
            <w:vAlign w:val="bottom"/>
            <w:shd w:val="clear" w:color="auto" w:fill="CCEEFF"/>
          </w:tcPr>
          <w:p>
            <w:pPr>
              <w:spacing w:after="0"/>
              <w:rPr>
                <w:sz w:val="19"/>
                <w:szCs w:val="19"/>
                <w:color w:val="auto"/>
              </w:rPr>
            </w:pP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hydrocarbons.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barrel of crude oil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barrel of oil equivalent, with six thousand cubic feet of natural gas being equivalent to one barrel of oil.</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BOE/d</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189"/>
        </w:trPr>
        <w:tc>
          <w:tcPr>
            <w:tcW w:w="2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Completion</w:t>
            </w:r>
          </w:p>
        </w:tc>
        <w:tc>
          <w:tcPr>
            <w:tcW w:w="89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 natural</w:t>
            </w:r>
          </w:p>
        </w:tc>
      </w:tr>
      <w:tr>
        <w:trPr>
          <w:trHeight w:val="229"/>
        </w:trPr>
        <w:tc>
          <w:tcPr>
            <w:tcW w:w="2320" w:type="dxa"/>
            <w:vAlign w:val="bottom"/>
            <w:shd w:val="clear" w:color="auto" w:fill="CCEEFF"/>
          </w:tcPr>
          <w:p>
            <w:pPr>
              <w:spacing w:after="0"/>
              <w:rPr>
                <w:sz w:val="19"/>
                <w:szCs w:val="19"/>
                <w:color w:val="auto"/>
              </w:rPr>
            </w:pP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gas or oil, or in the case of a dry hole, the reporting of abandonment to the appropriate agency.</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well</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well drilled within the proved area of a natural gas or oil reservoir to the depth of a stratigraphic horizon known to be</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productive.</w:t>
            </w: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Differential</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adjustment to the price of oil or natural gas from an established spot market price to reflect differences in the quality</w:t>
            </w:r>
          </w:p>
        </w:tc>
      </w:tr>
      <w:tr>
        <w:trPr>
          <w:trHeight w:val="234"/>
        </w:trPr>
        <w:tc>
          <w:tcPr>
            <w:tcW w:w="2320" w:type="dxa"/>
            <w:vAlign w:val="bottom"/>
          </w:tcPr>
          <w:p>
            <w:pPr>
              <w:spacing w:after="0"/>
              <w:rPr>
                <w:sz w:val="20"/>
                <w:szCs w:val="20"/>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and/or location of oil or natural gas.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Fracturing</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process of creating and preserving a fracture or system of fractures in a reservoir rock typically by injecting a fluid</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under pressure through a wellbore and into the targeted formation.</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wells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total wells, as the case may be, in which a working interest is owned.</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Hub</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futures on the NYMEX.</w:t>
            </w:r>
          </w:p>
        </w:tc>
      </w:tr>
      <w:tr>
        <w:trPr>
          <w:trHeight w:val="189"/>
        </w:trPr>
        <w:tc>
          <w:tcPr>
            <w:tcW w:w="23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Horizontal wells</w:t>
            </w:r>
          </w:p>
        </w:tc>
        <w:tc>
          <w:tcPr>
            <w:tcW w:w="89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 vertical</w:t>
            </w:r>
          </w:p>
        </w:tc>
      </w:tr>
      <w:tr>
        <w:trPr>
          <w:trHeight w:val="230"/>
        </w:trPr>
        <w:tc>
          <w:tcPr>
            <w:tcW w:w="232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drilling mechanisms.</w:t>
            </w: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MBbl</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thousand barrels of crude oil and other liquid hydrocarbons.</w:t>
            </w: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MBOE</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thousand barrels of crude oil equivalent, determined using a ratio of six Mcf of natural gas to one Bbl of crude oil,</w:t>
            </w:r>
          </w:p>
        </w:tc>
      </w:tr>
      <w:tr>
        <w:trPr>
          <w:trHeight w:val="234"/>
        </w:trPr>
        <w:tc>
          <w:tcPr>
            <w:tcW w:w="2320" w:type="dxa"/>
            <w:vAlign w:val="bottom"/>
          </w:tcPr>
          <w:p>
            <w:pPr>
              <w:spacing w:after="0"/>
              <w:rPr>
                <w:sz w:val="20"/>
                <w:szCs w:val="20"/>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condensate or natural gas liquids.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MBOE/d</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 thousand BOE per day.</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thousand cubic feet of natural gas.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interests</w:t>
            </w:r>
          </w:p>
        </w:tc>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 extracted</w:t>
            </w:r>
          </w:p>
        </w:tc>
      </w:tr>
      <w:tr>
        <w:trPr>
          <w:trHeight w:val="24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resources.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million British Thermal Units.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MMcf</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cubic feet of natural gas.</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royalty acres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tc>
      </w:tr>
      <w:tr>
        <w:trPr>
          <w:trHeight w:val="27"/>
        </w:trPr>
        <w:tc>
          <w:tcPr>
            <w:tcW w:w="232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Operator</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 lease.</w:t>
            </w: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Proved reserves</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 demonstrate</w:t>
            </w:r>
          </w:p>
        </w:tc>
      </w:tr>
      <w:tr>
        <w:trPr>
          <w:trHeight w:val="177"/>
        </w:trPr>
        <w:tc>
          <w:tcPr>
            <w:tcW w:w="2320" w:type="dxa"/>
            <w:vAlign w:val="bottom"/>
          </w:tcPr>
          <w:p>
            <w:pPr>
              <w:spacing w:after="0"/>
              <w:rPr>
                <w:sz w:val="15"/>
                <w:szCs w:val="15"/>
                <w:color w:val="auto"/>
              </w:rPr>
            </w:pPr>
          </w:p>
        </w:tc>
        <w:tc>
          <w:tcPr>
            <w:tcW w:w="892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with reasonable certainty to be commercially recoverable in future years from known reservoirs under existing economic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460"/>
        <w:spacing w:after="0"/>
        <w:rPr>
          <w:sz w:val="20"/>
          <w:szCs w:val="20"/>
          <w:color w:val="auto"/>
        </w:rPr>
      </w:pPr>
      <w:r>
        <w:rPr>
          <w:rFonts w:ascii="Times New Roman" w:cs="Times New Roman" w:eastAsia="Times New Roman" w:hAnsi="Times New Roman"/>
          <w:sz w:val="18"/>
          <w:szCs w:val="18"/>
          <w:color w:val="auto"/>
        </w:rPr>
        <w:t>and operating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Royalty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10"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 any costs of development, which may be subject to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-255905</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1740" w:space="720"/>
            <w:col w:w="87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Spud</w:t>
            </w:r>
          </w:p>
        </w:tc>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Commencement of actual drilling operations.</w:t>
            </w:r>
          </w:p>
        </w:tc>
      </w:tr>
      <w:tr>
        <w:trPr>
          <w:trHeight w:val="27"/>
        </w:trPr>
        <w:tc>
          <w:tcPr>
            <w:tcW w:w="174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Waha Hub</w:t>
            </w:r>
          </w:p>
        </w:tc>
        <w:tc>
          <w:tcPr>
            <w:tcW w:w="95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at western Texas and New Mexico.</w:t>
            </w:r>
          </w:p>
        </w:tc>
      </w:tr>
      <w:tr>
        <w:trPr>
          <w:trHeight w:val="225"/>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w:t>
            </w:r>
          </w:p>
        </w:tc>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West Texas Intermediate, a light sweet blend of oil produced from fields in western Texas and is a grade of oil that serves</w:t>
            </w:r>
          </w:p>
        </w:tc>
      </w:tr>
      <w:tr>
        <w:trPr>
          <w:trHeight w:val="234"/>
        </w:trPr>
        <w:tc>
          <w:tcPr>
            <w:tcW w:w="1740" w:type="dxa"/>
            <w:vAlign w:val="bottom"/>
          </w:tcPr>
          <w:p>
            <w:pPr>
              <w:spacing w:after="0"/>
              <w:rPr>
                <w:sz w:val="20"/>
                <w:szCs w:val="20"/>
                <w:color w:val="auto"/>
              </w:rPr>
            </w:pPr>
          </w:p>
        </w:tc>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 a benchmark for oil on the NYMEX.</w:t>
            </w:r>
          </w:p>
        </w:tc>
      </w:tr>
      <w:tr>
        <w:trPr>
          <w:trHeight w:val="27"/>
        </w:trPr>
        <w:tc>
          <w:tcPr>
            <w:tcW w:w="1740" w:type="dxa"/>
            <w:vAlign w:val="bottom"/>
          </w:tcPr>
          <w:p>
            <w:pPr>
              <w:spacing w:after="0"/>
              <w:rPr>
                <w:sz w:val="2"/>
                <w:szCs w:val="2"/>
                <w:color w:val="auto"/>
              </w:rPr>
            </w:pPr>
          </w:p>
        </w:tc>
        <w:tc>
          <w:tcPr>
            <w:tcW w:w="9500" w:type="dxa"/>
            <w:vAlign w:val="bottom"/>
          </w:tcPr>
          <w:p>
            <w:pPr>
              <w:spacing w:after="0"/>
              <w:rPr>
                <w:sz w:val="2"/>
                <w:szCs w:val="2"/>
                <w:color w:val="auto"/>
              </w:rPr>
            </w:pPr>
          </w:p>
        </w:tc>
      </w:tr>
      <w:tr>
        <w:trPr>
          <w:trHeight w:val="275"/>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Cushing</w:t>
            </w:r>
          </w:p>
        </w:tc>
        <w:tc>
          <w:tcPr>
            <w:tcW w:w="95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Cushing, Oklahoma.</w:t>
            </w:r>
          </w:p>
        </w:tc>
      </w:tr>
      <w:tr>
        <w:trPr>
          <w:trHeight w:val="844"/>
        </w:trPr>
        <w:tc>
          <w:tcPr>
            <w:tcW w:w="1740" w:type="dxa"/>
            <w:vAlign w:val="bottom"/>
            <w:tcBorders>
              <w:top w:val="single" w:sz="8" w:color="auto"/>
            </w:tcBorders>
          </w:tcPr>
          <w:p>
            <w:pPr>
              <w:spacing w:after="0"/>
              <w:rPr>
                <w:sz w:val="24"/>
                <w:szCs w:val="24"/>
                <w:color w:val="auto"/>
              </w:rPr>
            </w:pPr>
          </w:p>
        </w:tc>
        <w:tc>
          <w:tcPr>
            <w:tcW w:w="9500" w:type="dxa"/>
            <w:vAlign w:val="bottom"/>
            <w:tcBorders>
              <w:top w:val="single" w:sz="8" w:color="auto"/>
            </w:tcBorders>
          </w:tcPr>
          <w:p>
            <w:pPr>
              <w:ind w:left="3800"/>
              <w:spacing w:after="0"/>
              <w:rPr>
                <w:sz w:val="20"/>
                <w:szCs w:val="20"/>
                <w:color w:val="auto"/>
              </w:rPr>
            </w:pPr>
            <w:r>
              <w:rPr>
                <w:rFonts w:ascii="Times New Roman" w:cs="Times New Roman" w:eastAsia="Times New Roman" w:hAnsi="Times New Roman"/>
                <w:sz w:val="18"/>
                <w:szCs w:val="18"/>
                <w:color w:val="auto"/>
              </w:rPr>
              <w:t>iii</w:t>
            </w:r>
          </w:p>
        </w:tc>
      </w:tr>
      <w:tr>
        <w:trPr>
          <w:trHeight w:val="115"/>
        </w:trPr>
        <w:tc>
          <w:tcPr>
            <w:tcW w:w="1740" w:type="dxa"/>
            <w:vAlign w:val="bottom"/>
            <w:tcBorders>
              <w:bottom w:val="single" w:sz="8" w:color="9A9A9A"/>
            </w:tcBorders>
          </w:tcPr>
          <w:p>
            <w:pPr>
              <w:spacing w:after="0"/>
              <w:rPr>
                <w:sz w:val="10"/>
                <w:szCs w:val="10"/>
                <w:color w:val="auto"/>
              </w:rPr>
            </w:pPr>
          </w:p>
        </w:tc>
        <w:tc>
          <w:tcPr>
            <w:tcW w:w="9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912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08"/>
        </w:trPr>
        <w:tc>
          <w:tcPr>
            <w:tcW w:w="212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191"/>
        </w:trPr>
        <w:tc>
          <w:tcPr>
            <w:tcW w:w="21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EBITDA</w:t>
            </w:r>
          </w:p>
        </w:tc>
        <w:tc>
          <w:tcPr>
            <w:tcW w:w="912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Consolidated Adjusted EBITDA, a non-GAAP measure, generally equals net income (loss) attributable to Viper Energy,</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Inc. plus net income (loss) attributable to non-controlling interest before interest expense, net, non-cash share-based</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compensation expense, depletion expense, non-cash (gain) loss on derivative instruments, other non-cash operating</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expenses, other non-recurring expenses and provision for (benefit from) income taxes, which measure is used by</w:t>
            </w:r>
          </w:p>
        </w:tc>
      </w:tr>
      <w:tr>
        <w:trPr>
          <w:trHeight w:val="203"/>
        </w:trPr>
        <w:tc>
          <w:tcPr>
            <w:tcW w:w="2120" w:type="dxa"/>
            <w:vAlign w:val="bottom"/>
            <w:shd w:val="clear" w:color="auto" w:fill="CCEEFF"/>
          </w:tcPr>
          <w:p>
            <w:pPr>
              <w:spacing w:after="0"/>
              <w:rPr>
                <w:sz w:val="17"/>
                <w:szCs w:val="17"/>
                <w:color w:val="auto"/>
              </w:rPr>
            </w:pPr>
          </w:p>
        </w:tc>
        <w:tc>
          <w:tcPr>
            <w:tcW w:w="91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management to more effectively evaluate the operating performance and determine dividend amounts for purposes of the</w:t>
            </w:r>
          </w:p>
        </w:tc>
      </w:tr>
      <w:tr>
        <w:trPr>
          <w:trHeight w:val="241"/>
        </w:trPr>
        <w:tc>
          <w:tcPr>
            <w:tcW w:w="212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Common Stock, $0.000001 par value per share of Viper Energy, Inc.</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B Common Stock, $0.000001 par value per share of Viper Energy, Inc.</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Collectively, Class A Common Stock and Class B Common Stock.</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 Partnership.</w:t>
            </w: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Viper Energy, Inc. Amended and Restated 2014 Long Term Incentive Plan, as amended and restated by Viper Energy,</w:t>
            </w:r>
          </w:p>
        </w:tc>
      </w:tr>
      <w:tr>
        <w:trPr>
          <w:trHeight w:val="216"/>
        </w:trPr>
        <w:tc>
          <w:tcPr>
            <w:tcW w:w="21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 2024 Amended and Restated Long Term Incentive Plan, and as may be further amended or restated from time to</w:t>
            </w:r>
          </w:p>
        </w:tc>
      </w:tr>
      <w:tr>
        <w:trPr>
          <w:trHeight w:val="234"/>
        </w:trPr>
        <w:tc>
          <w:tcPr>
            <w:tcW w:w="2120" w:type="dxa"/>
            <w:vAlign w:val="bottom"/>
          </w:tcPr>
          <w:p>
            <w:pPr>
              <w:spacing w:after="0"/>
              <w:rPr>
                <w:sz w:val="20"/>
                <w:szCs w:val="20"/>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25"/>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outstanding senior notes of Viper Energy, Inc. issued under indentures where Viper Energy Partners LLC is the sole</w:t>
            </w:r>
          </w:p>
        </w:tc>
      </w:tr>
      <w:tr>
        <w:trPr>
          <w:trHeight w:val="234"/>
        </w:trPr>
        <w:tc>
          <w:tcPr>
            <w:tcW w:w="2120" w:type="dxa"/>
            <w:vAlign w:val="bottom"/>
          </w:tcPr>
          <w:p>
            <w:pPr>
              <w:spacing w:after="0"/>
              <w:rPr>
                <w:sz w:val="20"/>
                <w:szCs w:val="20"/>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guarantor, consisting of the 5.375% Senior Notes due 2027 and the 7.375% Senior Notes due 2031.</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OPEC</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Organization of the Petroleum Exporting Countries.</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Company</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consolidated subsidiary of Viper Energy, Inc.</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Viper Energy Partners LP, the predecessor of the Company, which converted into the Company in the Conversion.</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secured overnight financing rate.</w:t>
            </w:r>
          </w:p>
        </w:tc>
      </w:tr>
      <w:tr>
        <w:trPr>
          <w:trHeight w:val="27"/>
        </w:trPr>
        <w:tc>
          <w:tcPr>
            <w:tcW w:w="212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other of strategic transactions (including acquisitions and divestitures); and plans and objectives of management (including Diamondback’s plans for developing our acreage and our cash dividend policy and repurchases of our common shares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and our </w:t>
      </w:r>
      <w:hyperlink r:id="rId22">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the Operating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w:t>
      </w:r>
    </w:p>
    <w:p>
      <w:pPr>
        <w:spacing w:after="0" w:line="239" w:lineRule="exact"/>
        <w:rPr>
          <w:sz w:val="20"/>
          <w:szCs w:val="20"/>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103"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4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inflation rates, instability in the financial sector;</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8"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03"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03" w:lineRule="exact"/>
        <w:rPr>
          <w:rFonts w:ascii="Times New Roman" w:cs="Times New Roman" w:eastAsia="Times New Roman" w:hAnsi="Times New Roman"/>
          <w:sz w:val="18"/>
          <w:szCs w:val="18"/>
          <w:color w:val="auto"/>
        </w:rPr>
      </w:pPr>
    </w:p>
    <w:p>
      <w:pPr>
        <w:ind w:left="1220" w:right="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68"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 impacting our operators;</w:t>
      </w:r>
    </w:p>
    <w:p>
      <w:pPr>
        <w:spacing w:after="0" w:line="103"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8"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spacing w:after="0" w:line="4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impacting our operators;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the credit facility and hedging contracts of our operating subsidiary;</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disclosed in this report.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300" w:type="dxa"/>
            <w:vAlign w:val="bottom"/>
          </w:tcPr>
          <w:p>
            <w:pPr>
              <w:jc w:val="center"/>
              <w:ind w:left="2522"/>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2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300" w:type="dxa"/>
            <w:vAlign w:val="bottom"/>
          </w:tcPr>
          <w:p>
            <w:pPr>
              <w:jc w:val="center"/>
              <w:ind w:right="602"/>
              <w:spacing w:after="0"/>
              <w:rPr>
                <w:sz w:val="20"/>
                <w:szCs w:val="20"/>
                <w:color w:val="auto"/>
              </w:rPr>
            </w:pPr>
            <w:r>
              <w:rPr>
                <w:rFonts w:ascii="Times New Roman" w:cs="Times New Roman" w:eastAsia="Times New Roman" w:hAnsi="Times New Roman"/>
                <w:sz w:val="18"/>
                <w:szCs w:val="18"/>
                <w:b w:val="1"/>
                <w:bCs w:val="1"/>
                <w:color w:val="auto"/>
                <w:w w:val="99"/>
              </w:rPr>
              <w:t>CONDENSED CONSOLIDATED FINANCIAL STATEMENTS (UNAUDITED)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7"/>
        </w:trPr>
        <w:tc>
          <w:tcPr>
            <w:tcW w:w="680" w:type="dxa"/>
            <w:vAlign w:val="bottom"/>
          </w:tcPr>
          <w:p>
            <w:pPr>
              <w:spacing w:after="0"/>
              <w:rPr>
                <w:sz w:val="24"/>
                <w:szCs w:val="24"/>
                <w:color w:val="auto"/>
              </w:rPr>
            </w:pPr>
          </w:p>
        </w:tc>
        <w:tc>
          <w:tcPr>
            <w:tcW w:w="7300" w:type="dxa"/>
            <w:vAlign w:val="bottom"/>
          </w:tcPr>
          <w:p>
            <w:pPr>
              <w:jc w:val="center"/>
              <w:ind w:left="2522"/>
              <w:spacing w:after="0"/>
              <w:rPr>
                <w:sz w:val="20"/>
                <w:szCs w:val="20"/>
                <w:color w:val="auto"/>
              </w:rPr>
            </w:pPr>
            <w:r>
              <w:rPr>
                <w:rFonts w:ascii="Times New Roman" w:cs="Times New Roman" w:eastAsia="Times New Roman" w:hAnsi="Times New Roman"/>
                <w:sz w:val="18"/>
                <w:szCs w:val="18"/>
                <w:b w:val="1"/>
                <w:bCs w:val="1"/>
                <w:color w:val="auto"/>
                <w:w w:val="99"/>
              </w:rPr>
              <w:t>Viper Energy, Inc.</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300" w:type="dxa"/>
            <w:vAlign w:val="bottom"/>
          </w:tcPr>
          <w:p>
            <w:pPr>
              <w:jc w:val="center"/>
              <w:ind w:left="2522"/>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680" w:type="dxa"/>
            <w:vAlign w:val="bottom"/>
          </w:tcPr>
          <w:p>
            <w:pPr>
              <w:spacing w:after="0"/>
              <w:rPr>
                <w:sz w:val="20"/>
                <w:szCs w:val="20"/>
                <w:color w:val="auto"/>
              </w:rPr>
            </w:pPr>
          </w:p>
        </w:tc>
        <w:tc>
          <w:tcPr>
            <w:tcW w:w="7300" w:type="dxa"/>
            <w:vAlign w:val="bottom"/>
          </w:tcPr>
          <w:p>
            <w:pPr>
              <w:jc w:val="center"/>
              <w:ind w:left="250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4"/>
        </w:trPr>
        <w:tc>
          <w:tcPr>
            <w:tcW w:w="6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68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0" w:type="dxa"/>
            <w:vAlign w:val="bottom"/>
          </w:tcPr>
          <w:p>
            <w:pPr>
              <w:spacing w:after="0"/>
              <w:rPr>
                <w:sz w:val="3"/>
                <w:szCs w:val="3"/>
                <w:color w:val="auto"/>
              </w:rPr>
            </w:pPr>
          </w:p>
        </w:tc>
        <w:tc>
          <w:tcPr>
            <w:tcW w:w="7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4"/>
          </w:tcPr>
          <w:p>
            <w:pPr>
              <w:spacing w:after="0"/>
              <w:rPr>
                <w:sz w:val="3"/>
                <w:szCs w:val="3"/>
                <w:color w:val="auto"/>
              </w:rPr>
            </w:pPr>
          </w:p>
        </w:tc>
      </w:tr>
      <w:tr>
        <w:trPr>
          <w:trHeight w:val="186"/>
        </w:trPr>
        <w:tc>
          <w:tcPr>
            <w:tcW w:w="68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r>
      <w:tr>
        <w:trPr>
          <w:trHeight w:val="37"/>
        </w:trPr>
        <w:tc>
          <w:tcPr>
            <w:tcW w:w="680" w:type="dxa"/>
            <w:vAlign w:val="bottom"/>
          </w:tcPr>
          <w:p>
            <w:pPr>
              <w:spacing w:after="0"/>
              <w:rPr>
                <w:sz w:val="3"/>
                <w:szCs w:val="3"/>
                <w:color w:val="auto"/>
              </w:rPr>
            </w:pPr>
          </w:p>
        </w:tc>
        <w:tc>
          <w:tcPr>
            <w:tcW w:w="7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09"/>
        </w:trPr>
        <w:tc>
          <w:tcPr>
            <w:tcW w:w="680" w:type="dxa"/>
            <w:vAlign w:val="bottom"/>
            <w:tcBorders>
              <w:bottom w:val="single" w:sz="8" w:color="CCEEFF"/>
            </w:tcBorders>
            <w:shd w:val="clear" w:color="auto" w:fill="CCEEFF"/>
          </w:tcPr>
          <w:p>
            <w:pPr>
              <w:spacing w:after="0"/>
              <w:rPr>
                <w:sz w:val="18"/>
                <w:szCs w:val="18"/>
                <w:color w:val="auto"/>
              </w:rPr>
            </w:pPr>
          </w:p>
        </w:tc>
        <w:tc>
          <w:tcPr>
            <w:tcW w:w="7300" w:type="dxa"/>
            <w:vAlign w:val="bottom"/>
            <w:tcBorders>
              <w:bottom w:val="single" w:sz="8" w:color="CCEEFF"/>
            </w:tcBorders>
            <w:shd w:val="clear" w:color="auto" w:fill="CCEEFF"/>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19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09"/>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25,869</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Royalty income receivable (net of allowance for credit losses)</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131,724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108,681</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 receivable—related party</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2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w:t>
            </w:r>
          </w:p>
        </w:tc>
      </w:tr>
      <w:tr>
        <w:trPr>
          <w:trHeight w:val="37"/>
        </w:trPr>
        <w:tc>
          <w:tcPr>
            <w:tcW w:w="680" w:type="dxa"/>
            <w:vAlign w:val="bottom"/>
            <w:tcBorders>
              <w:bottom w:val="single" w:sz="8" w:color="CCEEFF"/>
            </w:tcBorders>
          </w:tcPr>
          <w:p>
            <w:pPr>
              <w:spacing w:after="0"/>
              <w:rPr>
                <w:sz w:val="3"/>
                <w:szCs w:val="3"/>
                <w:color w:val="auto"/>
              </w:rPr>
            </w:pPr>
          </w:p>
        </w:tc>
        <w:tc>
          <w:tcPr>
            <w:tcW w:w="7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3"/>
        </w:trPr>
        <w:tc>
          <w:tcPr>
            <w:tcW w:w="68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205,384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143,517</w:t>
            </w:r>
          </w:p>
        </w:tc>
      </w:tr>
      <w:tr>
        <w:trPr>
          <w:trHeight w:val="173"/>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w:t>
            </w:r>
          </w:p>
        </w:tc>
        <w:tc>
          <w:tcPr>
            <w:tcW w:w="7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6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Oil and natural gas interests, full cost method of accounting ($1,581,227 and $1,769,341 excluded from depletion at June 30, 2024</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9"/>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4,567,518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4,628,983</w:t>
            </w:r>
          </w:p>
        </w:tc>
      </w:tr>
      <w:tr>
        <w:trPr>
          <w:trHeight w:val="193"/>
        </w:trPr>
        <w:tc>
          <w:tcPr>
            <w:tcW w:w="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Land</w:t>
            </w:r>
          </w:p>
        </w:tc>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depletion and impairment</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(866,352)</w:t>
            </w:r>
          </w:p>
        </w:tc>
      </w:tr>
      <w:tr>
        <w:trPr>
          <w:trHeight w:val="186"/>
        </w:trPr>
        <w:tc>
          <w:tcPr>
            <w:tcW w:w="68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Property, net</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3,611,560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3,768,319</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taxes (net of allowances)</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76,393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56,656</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w:t>
            </w:r>
          </w:p>
        </w:tc>
      </w:tr>
      <w:tr>
        <w:trPr>
          <w:trHeight w:val="218"/>
        </w:trPr>
        <w:tc>
          <w:tcPr>
            <w:tcW w:w="6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3,900,422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3,974,093</w:t>
            </w:r>
          </w:p>
        </w:tc>
      </w:tr>
      <w:tr>
        <w:trPr>
          <w:trHeight w:val="20"/>
        </w:trPr>
        <w:tc>
          <w:tcPr>
            <w:tcW w:w="68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680" w:type="dxa"/>
            <w:vAlign w:val="bottom"/>
            <w:tcBorders>
              <w:bottom w:val="single" w:sz="8" w:color="CCEEFF"/>
            </w:tcBorders>
            <w:shd w:val="clear" w:color="auto" w:fill="CCEEFF"/>
          </w:tcPr>
          <w:p>
            <w:pPr>
              <w:spacing w:after="0"/>
              <w:rPr>
                <w:sz w:val="15"/>
                <w:szCs w:val="15"/>
                <w:color w:val="auto"/>
              </w:rPr>
            </w:pPr>
          </w:p>
        </w:tc>
        <w:tc>
          <w:tcPr>
            <w:tcW w:w="7300" w:type="dxa"/>
            <w:vAlign w:val="bottom"/>
            <w:tcBorders>
              <w:bottom w:val="single" w:sz="8" w:color="CCEEFF"/>
            </w:tcBorders>
            <w:shd w:val="clear" w:color="auto" w:fill="CCEEFF"/>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Accounts payable—related party</w:t>
            </w:r>
          </w:p>
        </w:tc>
        <w:tc>
          <w:tcPr>
            <w:tcW w:w="2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09"/>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27,021</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r>
      <w:tr>
        <w:trPr>
          <w:trHeight w:val="186"/>
        </w:trPr>
        <w:tc>
          <w:tcPr>
            <w:tcW w:w="68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29,091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33,256</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998,021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1,083,082</w:t>
            </w:r>
          </w:p>
        </w:tc>
      </w:tr>
      <w:tr>
        <w:trPr>
          <w:trHeight w:val="19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instruments</w:t>
            </w:r>
          </w:p>
        </w:tc>
        <w:tc>
          <w:tcPr>
            <w:tcW w:w="2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37"/>
        </w:trPr>
        <w:tc>
          <w:tcPr>
            <w:tcW w:w="680" w:type="dxa"/>
            <w:vAlign w:val="bottom"/>
            <w:tcBorders>
              <w:bottom w:val="single" w:sz="8" w:color="CCEEFF"/>
            </w:tcBorders>
          </w:tcPr>
          <w:p>
            <w:pPr>
              <w:spacing w:after="0"/>
              <w:rPr>
                <w:sz w:val="3"/>
                <w:szCs w:val="3"/>
                <w:color w:val="auto"/>
              </w:rPr>
            </w:pPr>
          </w:p>
        </w:tc>
        <w:tc>
          <w:tcPr>
            <w:tcW w:w="7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3"/>
        </w:trPr>
        <w:tc>
          <w:tcPr>
            <w:tcW w:w="68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1,027,112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1,116,539</w:t>
            </w:r>
          </w:p>
        </w:tc>
      </w:tr>
      <w:tr>
        <w:trPr>
          <w:trHeight w:val="17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16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Class A Common Stock, $0.000001 par value: 1,000,000,000 shares authorized; 91,423,830 shares issued and outstanding as of</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2"/>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June 30, 2024 and 86,144,273 shares issued and outstanding as of December 31, 2023</w:t>
            </w:r>
          </w:p>
        </w:tc>
        <w:tc>
          <w:tcPr>
            <w:tcW w:w="2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6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B Common Stock, $0.000001 par value: 1,000,000,000 shares authorized; 85,431,453 shares issued and outstanding as of</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9"/>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June 30, 2024 and 90,709,946 shares issued and outstanding as of December 31, 2023</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1,108,739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1,031,078</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29"/>
        </w:trPr>
        <w:tc>
          <w:tcPr>
            <w:tcW w:w="7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(16,786)</w:t>
            </w:r>
          </w:p>
        </w:tc>
      </w:tr>
      <w:tr>
        <w:trPr>
          <w:trHeight w:val="186"/>
        </w:trPr>
        <w:tc>
          <w:tcPr>
            <w:tcW w:w="68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Total Viper Energy, Inc. stockholders’ equity</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1,089,800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1,014,292</w:t>
            </w:r>
          </w:p>
        </w:tc>
      </w:tr>
      <w:tr>
        <w:trPr>
          <w:trHeight w:val="37"/>
        </w:trPr>
        <w:tc>
          <w:tcPr>
            <w:tcW w:w="79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1,783,510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1,843,262</w:t>
            </w:r>
          </w:p>
        </w:tc>
      </w:tr>
      <w:tr>
        <w:trPr>
          <w:trHeight w:val="18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2,873,310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2,857,554</w:t>
            </w:r>
          </w:p>
        </w:tc>
      </w:tr>
      <w:tr>
        <w:trPr>
          <w:trHeight w:val="37"/>
        </w:trPr>
        <w:tc>
          <w:tcPr>
            <w:tcW w:w="680" w:type="dxa"/>
            <w:vAlign w:val="bottom"/>
            <w:tcBorders>
              <w:bottom w:val="single" w:sz="8" w:color="CCEEFF"/>
            </w:tcBorders>
          </w:tcPr>
          <w:p>
            <w:pPr>
              <w:spacing w:after="0"/>
              <w:rPr>
                <w:sz w:val="3"/>
                <w:szCs w:val="3"/>
                <w:color w:val="auto"/>
              </w:rPr>
            </w:pPr>
          </w:p>
        </w:tc>
        <w:tc>
          <w:tcPr>
            <w:tcW w:w="7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68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3,900,422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3,974,093</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9"/>
                <w:szCs w:val="19"/>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5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275,919</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29,282</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319,282</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329,745</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6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65,051</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95,331</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234,414</w:t>
            </w:r>
          </w:p>
        </w:tc>
      </w:tr>
      <w:tr>
        <w:trPr>
          <w:trHeight w:val="23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6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(48,361)</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186,053</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168,197</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shares: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72,249</w:t>
            </w: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to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100" w:type="dxa"/>
            <w:vAlign w:val="bottom"/>
          </w:tcPr>
          <w:p>
            <w:pPr>
              <w:spacing w:after="0"/>
              <w:rPr>
                <w:sz w:val="21"/>
                <w:szCs w:val="21"/>
                <w:color w:val="auto"/>
              </w:rPr>
            </w:pPr>
          </w:p>
        </w:tc>
        <w:tc>
          <w:tcPr>
            <w:tcW w:w="21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0"/>
        </w:trPr>
        <w:tc>
          <w:tcPr>
            <w:tcW w:w="4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4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9"/>
        </w:trPr>
        <w:tc>
          <w:tcPr>
            <w:tcW w:w="4100" w:type="dxa"/>
            <w:vAlign w:val="bottom"/>
          </w:tcPr>
          <w:p>
            <w:pPr>
              <w:spacing w:after="0"/>
              <w:rPr>
                <w:sz w:val="20"/>
                <w:szCs w:val="20"/>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2,857,554</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shares issued to related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shares upon vesting of equity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Diamondback</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(67,060)</w:t>
            </w:r>
          </w:p>
        </w:tc>
      </w:tr>
      <w:tr>
        <w:trPr>
          <w:trHeight w:val="225"/>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tax withholding on vested equity</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99,575</w:t>
            </w:r>
          </w:p>
        </w:tc>
      </w:tr>
      <w:tr>
        <w:trPr>
          <w:trHeight w:val="27"/>
        </w:trPr>
        <w:tc>
          <w:tcPr>
            <w:tcW w:w="4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2,864,134</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Diamondback</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(59,823)</w:t>
            </w:r>
          </w:p>
        </w:tc>
      </w:tr>
      <w:tr>
        <w:trPr>
          <w:trHeight w:val="225"/>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122,226</w:t>
            </w:r>
          </w:p>
        </w:tc>
      </w:tr>
      <w:tr>
        <w:trPr>
          <w:trHeight w:val="26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1,108,739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2,873,310</w:t>
            </w:r>
          </w:p>
        </w:tc>
      </w:tr>
      <w:tr>
        <w:trPr>
          <w:trHeight w:val="20"/>
        </w:trPr>
        <w:tc>
          <w:tcPr>
            <w:tcW w:w="4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par values of the outstanding shares of Class A Common Stock and Class B Common Stock each round to zero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to Stockholders' Equity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9"/>
        </w:trPr>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Limited Partners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0"/>
        </w:trPr>
        <w:tc>
          <w:tcPr>
            <w:tcW w:w="3760" w:type="dxa"/>
            <w:vAlign w:val="bottom"/>
          </w:tcPr>
          <w:p>
            <w:pPr>
              <w:spacing w:after="0"/>
              <w:rPr>
                <w:sz w:val="17"/>
                <w:szCs w:val="17"/>
                <w:color w:val="auto"/>
              </w:rPr>
            </w:pPr>
          </w:p>
        </w:tc>
        <w:tc>
          <w:tcPr>
            <w:tcW w:w="10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9"/>
        </w:trPr>
        <w:tc>
          <w:tcPr>
            <w:tcW w:w="3760" w:type="dxa"/>
            <w:vAlign w:val="bottom"/>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689,178</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2,321,525</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Unit-based compensation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shares upon vesting of equity</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public</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(49,366)</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ownership of consolidated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net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Repurchased units as part of unit buyback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88,266</w:t>
            </w:r>
          </w:p>
        </w:tc>
      </w:tr>
      <w:tr>
        <w:trPr>
          <w:trHeight w:val="27"/>
        </w:trPr>
        <w:tc>
          <w:tcPr>
            <w:tcW w:w="3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666,259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2,292,428</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Unit-based compensation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public</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ownership of consolidated</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subsidiaries, net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Repurchased units as part of unit buyback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r>
      <w:tr>
        <w:trPr>
          <w:trHeight w:val="27"/>
        </w:trPr>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w:t>
            </w:r>
          </w:p>
        </w:tc>
      </w:tr>
      <w:tr>
        <w:trPr>
          <w:trHeight w:val="26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665,511</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1,619,268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2,286,170</w:t>
            </w: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20"/>
                <w:szCs w:val="20"/>
                <w:color w:val="auto"/>
              </w:rPr>
            </w:pPr>
          </w:p>
        </w:tc>
      </w:tr>
      <w:tr>
        <w:trPr>
          <w:trHeight w:val="26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(benefit from) deferred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65,051</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Royalty income receivable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37"/>
        </w:trPr>
        <w:tc>
          <w:tcPr>
            <w:tcW w:w="8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258,726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252,669</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oil and natural gas interests—related party</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(75,073)</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oil and natural gas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oil and natural gas interests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(124,457)</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191,000</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on credit facility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Repurchased shares/units under buyback program</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(57,531)</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Dividends/distributions to stockholders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(58,881)</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Dividends/distributions to Diamondback</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(87,729)</w:t>
            </w: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(133,312)</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r>
      <w:tr>
        <w:trPr>
          <w:trHeight w:val="26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0"/>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w:t>
            </w:r>
          </w:p>
        </w:tc>
      </w:tr>
      <w:tr>
        <w:trPr>
          <w:trHeight w:val="243"/>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740" w:firstLine="8"/>
        <w:spacing w:after="0" w:line="534"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Organization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November 13, 2023 (the “Effective Time”), Viper Energy Partners LP (the “Partnership”) converted from a publicly traded Delaware limited partnership to a Delaware corporation pursuant to a plan of conversion (the “Conversion”) and changed names from Viper Energy Partners LP to Viper Energy, Inc. This report includes the results for the Partnership prior to the Conversion and Viper Energy, Inc. (the “Company”) following the Conversion. References to the “Company” refer to (i) Viper Energy, Inc. and its consolidated subsidiaries following the Conversion, and (ii) the Partnership and its consolidated subsidiaries prior to the Conversion. References to shares or per share amounts prior to the Conversion refer to units or per unit amounts. Unless otherwise noted, all references to shares or per share amounts following the Conversion refer to shares or per share amounts of the Company’s Common Stock. References to dividends prior to the Conversion refer to distributions. There are no tax impacts resulting from the Conversion as Viper Energy Partners LP was treated as a corporation for tax purposes.</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 publicly traded Delaware corporation focused on owning and acquiring mineral interests and royalty interests in oil and natural gas properties primarily in the Permian Basin.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March 8, 2024, the Company was a “controlled company” under the rules of the Nasdaq Stock Market LLC (the “Nasdaq Rules”). On March 8, 2024, the Company’s parent, Diamondback, completed an underwritten public offering in which it sold approximately 13.2 million shares of the Company’s Class A Common Stock (the “Diamondback Offering”). Following the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 substantially in the same manner as those provided to the Company by the former General Partner prior to the Conversion (the “Services and Secondment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Diamondback beneficially owned approximately 48% of the Company’s total Common Stock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spacing w:after="0" w:line="189"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2">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which contains a summary of the Company’s significant accounting policies and other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spacing w:after="0" w:line="185" w:lineRule="exact"/>
        <w:rPr>
          <w:sz w:val="20"/>
          <w:szCs w:val="20"/>
          <w:color w:val="auto"/>
        </w:rPr>
      </w:pPr>
    </w:p>
    <w:p>
      <w:pPr>
        <w:ind w:right="6220" w:firstLine="8"/>
        <w:spacing w:after="0" w:line="534"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as of the date of the financial statements.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in the oil and natural gas industry given the challenges resulting from volatility in oil and natural gas prices. For instance, the war in Ukraine and the Israel-Hamas war, higher interest rates, global supply chain disruptions and recent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Diamondback, either directly or through its consolidated subsidiaries, owed the Company $35.0 million and $3.3 million, respectively, for royalty income received from third parties for the Company’s production, which had not yet been remitted to the Company.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the three and six months ended 2023, Diamondback paid the Company $0.1 million, $1.3 million and $8.3 million, respectively, of lease bonus income primarily related to new leases in the Midland Basin.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for significant related party acquisitions of oil and natural gas interests.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for further details regarding equity transactions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significant related party transactions with Diamondback or its affiliates have been stated on the face of the condensed consolidated financial statements as of June 30, 2024, and for the three and six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4"/>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 payable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instruments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7"/>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recently adopted pronouncements.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discussed above were assessed and determined to be either not applicable, previously disclosed, or not material upon adoption.</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from third 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from oil, natural gas and natural gas liquids by revenue generated from production on properties operated by Diamondback and revenue generated from production on properties operated by third parties: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3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3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7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 Party</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 Party</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4"/>
        </w:trPr>
        <w:tc>
          <w:tcPr>
            <w:tcW w:w="300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0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6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r>
      <w:tr>
        <w:trPr>
          <w:trHeight w:val="263"/>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royalty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9"/>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
        </w:trPr>
        <w:tc>
          <w:tcPr>
            <w:tcW w:w="3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3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7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3000" w:type="dxa"/>
            <w:vAlign w:val="bottom"/>
          </w:tcPr>
          <w:p>
            <w:pPr>
              <w:spacing w:after="0"/>
              <w:rPr>
                <w:sz w:val="15"/>
                <w:szCs w:val="15"/>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 Party</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 Generated</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Third Party</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 Diamondback</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4"/>
        </w:trPr>
        <w:tc>
          <w:tcPr>
            <w:tcW w:w="300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0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Operated Properties</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6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275,919</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w:t>
            </w:r>
          </w:p>
        </w:tc>
      </w:tr>
      <w:tr>
        <w:trPr>
          <w:trHeight w:val="263"/>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royalty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319,282</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7780" w:firstLine="8"/>
        <w:spacing w:after="0" w:line="532" w:lineRule="auto"/>
        <w:tabs>
          <w:tab w:leader="none" w:pos="3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2024 Activity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first half of 2024, the Company acquired, in individually insignificant transactions from unrelated third-party sellers, mineral and royalty interests representing 203 net royalty acres in the Midland Basin for an aggregate purchase price of approximately $41.2 million, subject to customary post-closing adjustments.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divested all of its non-Permian assets for a purchase price of approximately $90.2 million, subject to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GRP Acquisition</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 2023, the Company and the Operating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units and $749.5 million in cash, including transactions costs and subject to customary post-closing adjustments (the “GRP Acquisition”). The mineral and royalty interests acquired in the GRP Acquisition represent approximately 4,600 net royalty acres in the Permian Basin, plus approximately 2,700 additional net royalty acres in other major basins. The cash consideration for the GRP Acquisition was funded through a combination of cash on hand and held in escrow, borrowings under the Operating Company’s revolving credit facility, proceeds from the 7.375% Senior unsecured notes due 2031 and proceeds from the $200.0 million common unit issuance to Diamondback.</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Drop Down Transaction</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8, 2023, the Company acquired certain mineral and royalty interests from subsidiaries of Diamondback for approximately $74.5 million in cash, including customary 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production of approximately 300 BO/d. The Company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Company’s condensed consolidated balance sheet. The historical carrying value of the properties approximated the Drop Down purchase price.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$70.4 million, including customary closing adjustments. The Company funded these acquisitions with cash on hand and borrowings under the Operating Company’s revolving credit facility.</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Oil and natural gas interests include the following for the periods presented:</w:t>
      </w:r>
    </w:p>
    <w:p>
      <w:pPr>
        <w:spacing w:after="0" w:line="66" w:lineRule="exact"/>
        <w:rPr>
          <w:sz w:val="20"/>
          <w:szCs w:val="20"/>
          <w:color w:val="auto"/>
        </w:rPr>
      </w:pPr>
    </w:p>
    <w:p>
      <w:pPr>
        <w:ind w:left="8520"/>
        <w:spacing w:after="0"/>
        <w:tabs>
          <w:tab w:leader="none" w:pos="9940" w:val="left"/>
        </w:tabs>
        <w:rPr>
          <w:sz w:val="20"/>
          <w:szCs w:val="20"/>
          <w:color w:val="auto"/>
        </w:rPr>
      </w:pPr>
      <w:r>
        <w:rPr>
          <w:rFonts w:ascii="Times New Roman" w:cs="Times New Roman" w:eastAsia="Times New Roman" w:hAnsi="Times New Roman"/>
          <w:sz w:val="16"/>
          <w:szCs w:val="16"/>
          <w:b w:val="1"/>
          <w:bCs w:val="1"/>
          <w:color w:val="auto"/>
        </w:rPr>
        <w:t>June 30,</w:t>
      </w:r>
      <w:r>
        <w:rPr>
          <w:sz w:val="20"/>
          <w:szCs w:val="20"/>
          <w:color w:val="auto"/>
        </w:rPr>
        <w:tab/>
      </w:r>
      <w:r>
        <w:rPr>
          <w:rFonts w:ascii="Times New Roman" w:cs="Times New Roman" w:eastAsia="Times New Roman" w:hAnsi="Times New Roman"/>
          <w:sz w:val="16"/>
          <w:szCs w:val="16"/>
          <w:b w:val="1"/>
          <w:bCs w:val="1"/>
          <w:color w:val="auto"/>
        </w:rPr>
        <w:t>December 31,</w:t>
      </w:r>
    </w:p>
    <w:p>
      <w:pPr>
        <w:spacing w:after="0" w:line="59" w:lineRule="exact"/>
        <w:rPr>
          <w:sz w:val="20"/>
          <w:szCs w:val="20"/>
          <w:color w:val="auto"/>
        </w:rPr>
      </w:pPr>
    </w:p>
    <w:p>
      <w:pPr>
        <w:ind w:left="8660"/>
        <w:spacing w:after="0"/>
        <w:tabs>
          <w:tab w:leader="none" w:pos="102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30480</wp:posOffset>
            </wp:positionV>
            <wp:extent cx="19970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062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Subject to depletion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2,986,291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2,859,642</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 subject to depletion</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1,769,341</w:t>
            </w:r>
          </w:p>
        </w:tc>
      </w:tr>
      <w:tr>
        <w:trPr>
          <w:trHeight w:val="237"/>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oil and natural gas interests</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4,567,518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4,628,983</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(866,352)</w:t>
            </w:r>
          </w:p>
        </w:tc>
      </w:tr>
      <w:tr>
        <w:trPr>
          <w:trHeight w:val="237"/>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Oil and natural gas interests, net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3,605,872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3,762,631</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63"/>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net of accumulated depletion and impairment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3,611,560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3,768,319</w:t>
            </w:r>
          </w:p>
        </w:tc>
      </w:tr>
      <w:tr>
        <w:trPr>
          <w:trHeight w:val="21"/>
        </w:trPr>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mineral and royalty interests representing approximately 31,762 and 34,217 net royalty acres,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impairment expense was recorded on the Company’s oil and natural gas interests for the three and six months ended June 30, 2024 and 2023 based on the results of the respective quarterly ceiling tests. In addition to commodity prices, the Company’s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Company could have material write-downs in subsequent quarters.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unsecured notes due 2027</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430,350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7.375% Senior unsecured notes due 2031</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6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1,083,082</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Operating Company’s Revolving Credit Facility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Operating Company’s credit facility, as amended to date, provides for a revolving credit facility in the maximum credit amount of $2.0 billion and a borrowing base of $1.3 billion. The borrowing base is scheduled to be redetermined semi-annually in May and November. As of June 30, 2024, the Operating Company had elected a commitment amount of $850.0 million, with $177.0 million of outstanding borrowings and $673.0 million available for future borrowings. During the three and six months ended June 30, 2024 and 2023, the weighted average interest rates on the Operating Company’s revolving credit facility were 7.63%, 7.52%, 7.53% and 7.24%, respectively. The revolving credit facility will mature on September 22, 2028.</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Operating Company was in compliance with the financial maintenance covenants under its credit facility.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June 30, 2024, the Company had a total of 91,423,830 shares of Class A Common Stock issued and outstanding and 85,431,453 shares of Class B Common Stock issued and outstanding. All of the shares of Class B Common Stock were beneficially owned by Diamondback, representing approximately 48% of the Company’s total shares outstanding. Diamondback also beneficially owned 85,431,453 Operating Company units, representing a 48% non-controlling ownership interest in the Operating Company, and the Company owned the remaining 91,423,830 Operating Company units. The Operating Company units and the Company’s Class B Common Stock beneficially owned by Diamondback are exchangeable from time to time for the Company’s Class A Common Stock (that is, one Operating Company unit and one share of the Company’s Class B Common Stock, together, are exchangeable for one share of the Company’s Class 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Viper Issuance of Common Units to Diamondback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2023, the Company issued approximately 7.22 million of its common units to Diamondback at a price of $27.72 per unit for total net proceeds of approximately $200.0 million. The net proceeds were used to fund a portion of the cash consideration for the GRP Acquisition.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authorized a $750.0 million common stock repurchase program, with respect to the repurchase of the Company’s Class A Common Stock, excluding excise tax, over an indefinite period of time. The Company has and intends to continue to purchase shares of Class A Common Stock under the repurchase program opportunistically with funds from cash on hand, free cash flow from operations and potential liquidity events such as the sale of assets. This repurchase program may be suspended from time to time, modified, extended or discontinued by the Company’s board of directors at any time.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repurchases of Class A Common Stock during the three and six months ended June 30, 2024. During the three and six months ended June 30, 2023 the Company repurchased, excluding excise tax, approximately $24.3 million and $57.0 million common units under the repurchase program, respectively. As of June 30, 2024, approximately $434.2 million remains available under the repurchase program, excluding excise tax.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established a dividend policy, whereby the Operating Company distributes all or a portion of its available cash on a quarterly basis to its stockholders (including Diamondback and the Company). The Company in turn distributes all or a portion of the available cash it receives from the Operating Company to stockholders of its Class A Common Stock through base and variable dividends that take into account capital returned to stockholders via its stock repurchase program. The Company’s available cash and the available cash of the Operating Company for each quarter is determined by the board of directors following the end of such quarter.</w:t>
      </w:r>
    </w:p>
    <w:p>
      <w:pPr>
        <w:spacing w:after="0" w:line="210"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and preferred dividends, if any. For a detailed description of the Company’s and the Operating Company’s dividend policy, see </w:t>
      </w:r>
      <w:hyperlink r:id="rId38">
        <w:r>
          <w:rPr>
            <w:rFonts w:ascii="Times New Roman" w:cs="Times New Roman" w:eastAsia="Times New Roman" w:hAnsi="Times New Roman"/>
            <w:sz w:val="18"/>
            <w:szCs w:val="18"/>
            <w:u w:val="single" w:color="auto"/>
            <w:color w:val="0000FF"/>
          </w:rPr>
          <w:t>Note 7—Stockholders’ Equity—Cash Dividends in the Company's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cash available for distribution by the Operating Company pursuant to its distribution policy may change quarterly to enable the Operating Company to retain cash flow to help strengthen the Company’s balance sheet while also expanding the return of capital program through the Company’s stock repurchase program. The Company is not required to pay dividends to its Class A Common stockholders on a quarterly or other basis.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cash dividends paid during the periods presented (in thousands, except for per share amounts):</w:t>
      </w:r>
    </w:p>
    <w:p>
      <w:pPr>
        <w:spacing w:after="0" w:line="309"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30480</wp:posOffset>
            </wp:positionV>
            <wp:extent cx="3180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3"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Distributions to</w:t>
            </w: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2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Unit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Diamondback</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Stockholders</w:t>
            </w:r>
            <w:r>
              <w:rPr>
                <w:rFonts w:ascii="Times New Roman" w:cs="Times New Roman" w:eastAsia="Times New Roman" w:hAnsi="Times New Roman"/>
                <w:sz w:val="18"/>
                <w:szCs w:val="18"/>
                <w:b w:val="1"/>
                <w:bCs w:val="1"/>
                <w:color w:val="auto"/>
                <w:w w:val="96"/>
                <w:vertAlign w:val="superscript"/>
              </w:rPr>
              <w:t>(1)(2)</w:t>
            </w:r>
          </w:p>
        </w:tc>
        <w:tc>
          <w:tcPr>
            <w:tcW w:w="1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6"/>
        </w:trPr>
        <w:tc>
          <w:tcPr>
            <w:tcW w:w="90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Q4 2023</w:t>
            </w: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62,590</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5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48,337</w:t>
            </w:r>
          </w:p>
        </w:tc>
        <w:tc>
          <w:tcPr>
            <w:tcW w:w="18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February 15, 2024</w:t>
            </w:r>
          </w:p>
        </w:tc>
        <w:tc>
          <w:tcPr>
            <w:tcW w:w="16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March 5,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March 12, 2024</w:t>
            </w:r>
          </w:p>
        </w:tc>
      </w:tr>
      <w:tr>
        <w:trPr>
          <w:trHeight w:val="25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2024</w:t>
            </w:r>
          </w:p>
        </w:tc>
        <w:tc>
          <w:tcPr>
            <w:tcW w:w="6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59,803</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54,077</w:t>
            </w:r>
          </w:p>
        </w:tc>
        <w:tc>
          <w:tcPr>
            <w:tcW w:w="18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April 25, 2024</w:t>
            </w:r>
          </w:p>
        </w:tc>
        <w:tc>
          <w:tcPr>
            <w:tcW w:w="168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May 15, 2024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22, 2024</w:t>
            </w:r>
          </w:p>
        </w:tc>
      </w:tr>
      <w:tr>
        <w:trPr>
          <w:trHeight w:val="193"/>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
        </w:trPr>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Q4 2022</w:t>
            </w:r>
          </w:p>
        </w:tc>
        <w:tc>
          <w:tcPr>
            <w:tcW w:w="6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48,983</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35,683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15,</w:t>
            </w:r>
          </w:p>
        </w:tc>
        <w:tc>
          <w:tcPr>
            <w:tcW w:w="7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3,</w:t>
            </w:r>
          </w:p>
        </w:tc>
        <w:tc>
          <w:tcPr>
            <w:tcW w:w="6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2023</w:t>
            </w: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38,097</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5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23,797</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26,</w:t>
            </w:r>
          </w:p>
        </w:tc>
        <w:tc>
          <w:tcPr>
            <w:tcW w:w="7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11,</w:t>
            </w: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2023</w:t>
            </w:r>
          </w:p>
        </w:tc>
      </w:tr>
    </w:tbl>
    <w:p>
      <w:pPr>
        <w:spacing w:after="0" w:line="96" w:lineRule="exact"/>
        <w:rPr>
          <w:sz w:val="20"/>
          <w:szCs w:val="20"/>
          <w:color w:val="auto"/>
        </w:rPr>
      </w:pPr>
    </w:p>
    <w:p>
      <w:pPr>
        <w:jc w:val="both"/>
        <w:ind w:left="34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the first quarter of 2024 include amounts paid to Diamondback for the 7,946,507 shares of Class A Common Stock then beneficially owned by Diamondback and distribution equivalent rights payments. As of March 31, 2024, Diamondback did not beneficially own any shares of Class A Common Stock. See Note 1—</w:t>
      </w:r>
      <w:r>
        <w:rPr>
          <w:rFonts w:ascii="Times New Roman" w:cs="Times New Roman" w:eastAsia="Times New Roman" w:hAnsi="Times New Roman"/>
          <w:sz w:val="18"/>
          <w:szCs w:val="18"/>
          <w:u w:val="single" w:color="auto"/>
          <w:color w:val="0000FF"/>
        </w:rPr>
        <w:t>Organization and Basis of Presentation</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For distributions paid in 2023, includes amounts paid to Diamondback for the 731,500 common units then beneficially owned by Diamondback</w:t>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dividends will be made to the common stockholders of record on the applicable record date, generally within 60 days after the end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Ownership of Consolidated Subsidiaries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its purchase or sale of the Company’s Common Stock, the Company’s public offerings of shares of Class A Common Stock, issuance of shares of Class A Common Stock for acquisitions, share-based compensation, repurchases of shares of Class A Common Stock and distribution equivalent rights paid on the Company’s Class A Common Stock. These changes in ownership percentage result in adjustments to non-controlling interest and stockholders’ equity, tax effected, but do not impact earnings.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equity due to changes in ownership interest during the period: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236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from net income (loss) attributable to the Company's stockholders</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47,299</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176,615</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92,715</w:t>
            </w:r>
          </w:p>
        </w:tc>
        <w:tc>
          <w:tcPr>
            <w:tcW w:w="0" w:type="dxa"/>
            <w:vAlign w:val="bottom"/>
          </w:tcPr>
          <w:p>
            <w:pPr>
              <w:spacing w:after="0"/>
              <w:rPr>
                <w:sz w:val="1"/>
                <w:szCs w:val="1"/>
                <w:color w:val="auto"/>
              </w:rPr>
            </w:pPr>
          </w:p>
        </w:tc>
      </w:tr>
      <w:tr>
        <w:trPr>
          <w:trHeight w:val="25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transfers with non-controlling interest</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income (loss) per common share on the condensed consolidated statements of operations is based on the net income (loss) attributable to the Company’s Class A Common Stock or common units for the three and six months ended June 30, 2024 and 2023,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or common units outstanding during the period. Diluted net income (loss) per common share gives effect, when applicable, to unvested shares of Class A Common Stock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244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6"/>
        </w:trPr>
        <w:tc>
          <w:tcPr>
            <w:tcW w:w="57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8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c>
          <w:tcPr>
            <w:tcW w:w="0" w:type="dxa"/>
            <w:vAlign w:val="bottom"/>
          </w:tcPr>
          <w:p>
            <w:pPr>
              <w:spacing w:after="0"/>
              <w:rPr>
                <w:sz w:val="1"/>
                <w:szCs w:val="1"/>
                <w:color w:val="auto"/>
              </w:rPr>
            </w:pPr>
          </w:p>
        </w:tc>
      </w:tr>
      <w:tr>
        <w:trPr>
          <w:trHeight w:val="22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8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72,249</w:t>
            </w:r>
          </w:p>
        </w:tc>
        <w:tc>
          <w:tcPr>
            <w:tcW w:w="0" w:type="dxa"/>
            <w:vAlign w:val="bottom"/>
          </w:tcPr>
          <w:p>
            <w:pPr>
              <w:spacing w:after="0"/>
              <w:rPr>
                <w:sz w:val="1"/>
                <w:szCs w:val="1"/>
                <w:color w:val="auto"/>
              </w:rPr>
            </w:pPr>
          </w:p>
        </w:tc>
      </w:tr>
      <w:tr>
        <w:trPr>
          <w:trHeight w:val="243"/>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Potential common shares issuable</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20" w:hanging="332"/>
        <w:spacing w:after="0" w:line="261" w:lineRule="auto"/>
        <w:tabs>
          <w:tab w:leader="none" w:pos="4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units and performance restricted stock units that contain non-forfeitable distribution equivalent rights granted are considered participating securities and are therefore included in the earnings per share calculation pursuant to the two-class method.</w:t>
      </w:r>
    </w:p>
    <w:p>
      <w:pPr>
        <w:ind w:left="340" w:hanging="332"/>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and 2023, there were no other significant potential common shares excluded from the computation of diluted earnings per common share.</w:t>
      </w:r>
    </w:p>
    <w:p>
      <w:pPr>
        <w:spacing w:after="0" w:line="2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provision for (benefit from) income taxes and the effective income tax rate for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2620" w:type="dxa"/>
            <w:vAlign w:val="bottom"/>
            <w:gridSpan w:val="3"/>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49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(In thousands, except for tax rate)</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13,006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25,535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17,856</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and six months ended June 30, 2024 and June 30, 2023 differed from the amount computed by applying the United States federal statutory tax rate to pre-tax income for the period primarily due to net income attributable to the non-controlling interest.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and 2023, the Company maintained a partial valuation allowance against its deferred tax assets considered not more likely than not to be realized, based on its assessment of all available evidence, both positive and negative as required by applicable accounting standards. In March 2024, Diamondback converted approximately 5.28 million shares of the Company’s Class B Common Stock along with 5.28 million Operating Company units into an equivalent number of shares of Class A Common Stock. In connection with this transaction, the Company recognized a $28.2 million increase in its deferred tax asset and a $10.8 million increase in its valuation allowance through additional paid-in capital.</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no excise tax on repurchases of Class A Common Stock during the three and six months ended June 30, 2024 and an immaterial amount of excise tax for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Contracts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historically has used fixed price swap contracts, fixed price basis swap contracts and costless collars with corresponding put and call options to reduce price volatility associated with certain of its royalty income. At June 30, 2024, the Company has put options, costless collars and fixed price basis swaps outstanding.</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the following outstanding derivative contracts. When aggregating multiple contracts, the weighted average contract price is disclosed.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00" w:type="dxa"/>
            <w:vAlign w:val="bottom"/>
          </w:tcPr>
          <w:p>
            <w:pPr>
              <w:spacing w:after="0"/>
              <w:rPr>
                <w:sz w:val="19"/>
                <w:szCs w:val="19"/>
                <w:color w:val="auto"/>
              </w:rPr>
            </w:pPr>
          </w:p>
        </w:tc>
        <w:tc>
          <w:tcPr>
            <w:tcW w:w="23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Collars</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Puts</w:t>
            </w:r>
          </w:p>
        </w:tc>
      </w:tr>
      <w:tr>
        <w:trPr>
          <w:trHeight w:val="200"/>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Settlement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Settlement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Type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Bbls/MMBtu</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Floor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Ceiling</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39"/>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Month</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Day</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Index</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Differential</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Premium</w:t>
            </w:r>
          </w:p>
        </w:tc>
      </w:tr>
      <w:tr>
        <w:trPr>
          <w:trHeight w:val="233"/>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OIL</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0"/>
        </w:trPr>
        <w:tc>
          <w:tcPr>
            <w:tcW w:w="124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 - Sep.</w:t>
            </w:r>
          </w:p>
        </w:tc>
        <w:tc>
          <w:tcPr>
            <w:tcW w:w="90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Puts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WTI Cushing</w:t>
            </w:r>
          </w:p>
        </w:tc>
        <w:tc>
          <w:tcPr>
            <w:tcW w:w="1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100" w:type="dxa"/>
            <w:vAlign w:val="bottom"/>
            <w:tcBorders>
              <w:bottom w:val="single" w:sz="8" w:color="CCEEFF"/>
            </w:tcBorders>
            <w:gridSpan w:val="3"/>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8"/>
              </w:rPr>
              <w:t>$(1.65)</w:t>
            </w:r>
          </w:p>
        </w:tc>
      </w:tr>
      <w:tr>
        <w:trPr>
          <w:trHeight w:val="243"/>
        </w:trPr>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Oct. - Dec.</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Puts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WTI Cushing</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1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8"/>
              </w:rPr>
              <w:t>$(1.70)</w:t>
            </w:r>
          </w:p>
        </w:tc>
      </w:tr>
      <w:tr>
        <w:trPr>
          <w:trHeight w:val="27"/>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12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Jul. - Dec.</w:t>
            </w:r>
          </w:p>
        </w:tc>
        <w:tc>
          <w:tcPr>
            <w:tcW w:w="9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Costless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WTI Cushing</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Collar</w:t>
            </w: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 - Mar.</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Puts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WTI Cushing</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1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8"/>
              </w:rPr>
              <w:t>$(1.62)</w:t>
            </w:r>
          </w:p>
        </w:tc>
      </w:tr>
      <w:tr>
        <w:trPr>
          <w:trHeight w:val="27"/>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24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Apr. - Jun.</w:t>
            </w:r>
          </w:p>
        </w:tc>
        <w:tc>
          <w:tcPr>
            <w:tcW w:w="90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Puts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WTI Cushing</w:t>
            </w:r>
          </w:p>
        </w:tc>
        <w:tc>
          <w:tcPr>
            <w:tcW w:w="1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100" w:type="dxa"/>
            <w:vAlign w:val="bottom"/>
            <w:tcBorders>
              <w:bottom w:val="single" w:sz="8" w:color="CCEEFF"/>
            </w:tcBorders>
            <w:gridSpan w:val="3"/>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8"/>
              </w:rPr>
              <w:t>$(1.61)</w:t>
            </w:r>
          </w:p>
        </w:tc>
      </w:tr>
      <w:tr>
        <w:trPr>
          <w:trHeight w:val="233"/>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0"/>
        </w:trPr>
        <w:tc>
          <w:tcPr>
            <w:tcW w:w="12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Jul. - Dec.</w:t>
            </w:r>
          </w:p>
        </w:tc>
        <w:tc>
          <w:tcPr>
            <w:tcW w:w="90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Basis Swaps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Waha Hub</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Jan. - Dec.</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Basis Swaps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Waha Hub</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$(0.68)</w:t>
            </w:r>
          </w:p>
        </w:tc>
        <w:tc>
          <w:tcPr>
            <w:tcW w:w="10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Offsetting of Derivative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Losses on 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2360" w:type="dxa"/>
            <w:vAlign w:val="bottom"/>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5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5,346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r>
    </w:tbl>
    <w:p>
      <w:pPr>
        <w:spacing w:after="0" w:line="342"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in </w:t>
      </w:r>
      <w:hyperlink r:id="rId44">
        <w:r>
          <w:rPr>
            <w:rFonts w:ascii="Times New Roman" w:cs="Times New Roman" w:eastAsia="Times New Roman" w:hAnsi="Times New Roman"/>
            <w:sz w:val="18"/>
            <w:szCs w:val="18"/>
            <w:u w:val="single" w:color="auto"/>
            <w:color w:val="0000FF"/>
          </w:rPr>
          <w:t>Note 11—Fair Value Measurements in the Company's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certain assets and liabilities are reported at fair value on a recurring basis on the Company’s condensed consolidated balance sheets, including the Company’s derivative instruments. The fair values of the Company’s derivative contracts are measured internally using established commodity futures price strips for the underlying commodity provided by a reputable third party, the contracted notional volumes, and time to maturity. These valuations are Level 2 inputs in the fair value hierarchy. The net amounts are classified as current or noncurrent based on their anticipated settlement dates.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7" w:lineRule="exact"/>
        <w:rPr>
          <w:sz w:val="20"/>
          <w:szCs w:val="20"/>
          <w:color w:val="auto"/>
        </w:rPr>
      </w:pPr>
    </w:p>
    <w:p>
      <w:pPr>
        <w:ind w:right="20" w:firstLine="8"/>
        <w:spacing w:after="0" w:line="26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in the Company’s condensed consolidated balance sheets as of June 30, 2024 and December 31, 2023:</w:t>
      </w:r>
    </w:p>
    <w:p>
      <w:pPr>
        <w:spacing w:after="0" w:line="26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30480</wp:posOffset>
            </wp:positionV>
            <wp:extent cx="4928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240" w:type="dxa"/>
            <w:vAlign w:val="bottom"/>
          </w:tcPr>
          <w:p>
            <w:pPr>
              <w:spacing w:after="0"/>
              <w:rPr>
                <w:sz w:val="16"/>
                <w:szCs w:val="16"/>
                <w:color w:val="auto"/>
              </w:rPr>
            </w:pPr>
          </w:p>
        </w:tc>
        <w:tc>
          <w:tcPr>
            <w:tcW w:w="13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Net Fair Value</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180" w:type="dxa"/>
            <w:vAlign w:val="bottom"/>
          </w:tcPr>
          <w:p>
            <w:pPr>
              <w:spacing w:after="0"/>
              <w:rPr>
                <w:sz w:val="16"/>
                <w:szCs w:val="16"/>
                <w:color w:val="auto"/>
              </w:rPr>
            </w:pPr>
          </w:p>
        </w:tc>
        <w:tc>
          <w:tcPr>
            <w:tcW w:w="14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Offset in Balance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Presented in Balance</w:t>
            </w:r>
          </w:p>
        </w:tc>
      </w:tr>
      <w:tr>
        <w:trPr>
          <w:trHeight w:val="239"/>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Sheet</w:t>
            </w:r>
          </w:p>
        </w:tc>
      </w:tr>
      <w:tr>
        <w:trPr>
          <w:trHeight w:val="233"/>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7"/>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30480</wp:posOffset>
            </wp:positionV>
            <wp:extent cx="4911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240" w:type="dxa"/>
            <w:vAlign w:val="bottom"/>
          </w:tcPr>
          <w:p>
            <w:pPr>
              <w:spacing w:after="0"/>
              <w:rPr>
                <w:sz w:val="16"/>
                <w:szCs w:val="16"/>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Net Fair Value</w:t>
            </w:r>
          </w:p>
        </w:tc>
      </w:tr>
      <w:tr>
        <w:trPr>
          <w:trHeight w:val="189"/>
        </w:trPr>
        <w:tc>
          <w:tcPr>
            <w:tcW w:w="3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20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Offset in Balance</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Presented in Balance</w:t>
            </w:r>
          </w:p>
        </w:tc>
      </w:tr>
      <w:tr>
        <w:trPr>
          <w:trHeight w:val="239"/>
        </w:trPr>
        <w:tc>
          <w:tcPr>
            <w:tcW w:w="35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Sheet</w:t>
            </w:r>
          </w:p>
        </w:tc>
      </w:tr>
      <w:tr>
        <w:trPr>
          <w:trHeight w:val="233"/>
        </w:trPr>
        <w:tc>
          <w:tcPr>
            <w:tcW w:w="3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76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76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Derivative instruments</w:t>
            </w: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7"/>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3"/>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40" w:type="dxa"/>
            <w:vAlign w:val="bottom"/>
            <w:gridSpan w:val="4"/>
          </w:tcPr>
          <w:p>
            <w:pPr>
              <w:jc w:val="right"/>
              <w:ind w:right="109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263,000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263,000</w:t>
            </w: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unsecured notes due 2027</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426,493</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425,949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422,122</w:t>
            </w:r>
          </w:p>
        </w:tc>
      </w:tr>
      <w:tr>
        <w:trPr>
          <w:trHeight w:val="3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7.375% senior unsecured notes due 2031</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394,528</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414,448</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394,133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418,408</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other financial instruments consisting of cash and cash equivalents, royalty income receivable, income tax receivable, prepaid expenses and other current assets, accounts payable, accrued liabilities and income taxes payable. The carrying value of these instruments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2" w:lineRule="exact"/>
        <w:rPr>
          <w:sz w:val="20"/>
          <w:szCs w:val="20"/>
          <w:color w:val="auto"/>
        </w:rPr>
      </w:pPr>
    </w:p>
    <w:p>
      <w:pPr>
        <w:ind w:right="8860" w:firstLine="8"/>
        <w:spacing w:after="0" w:line="534" w:lineRule="auto"/>
        <w:tabs>
          <w:tab w:leader="none" w:pos="4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Cash Dividend</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 2024, the board of directors of the Company approved an increase to the Company’s annual base dividend to $1.20 per share of Class A Common Stock beginning with the dividend payable for the second quarter of 2024, and a cash dividend for the second quarter of 2024 of $0.64 per share of Class A Common Stock and $0.76 per Operating Company unit, in each case, payable on August 22, 2024, to holders of record at the close of business on August 15, 2024. The dividend on Class A Common Stock consists of a base quarterly dividend of $0.30 per share and a variable quarterly dividend of $0.34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i w:val="1"/>
          <w:iCs w:val="1"/>
          <w:color w:val="000000"/>
        </w:rPr>
      </w:pPr>
      <w:r>
        <w:rPr>
          <w:rFonts w:ascii="Times New Roman" w:cs="Times New Roman" w:eastAsia="Times New Roman" w:hAnsi="Times New Roman"/>
          <w:sz w:val="18"/>
          <w:szCs w:val="18"/>
          <w:i w:val="1"/>
          <w:iCs w:val="1"/>
          <w:color w:val="auto"/>
        </w:rPr>
        <w:t>On November 13, 2023, we converted from a Delaware limited partnership to a Delaware corporation. See Note 1—</w:t>
      </w:r>
      <w:r>
        <w:rPr>
          <w:rFonts w:ascii="Times New Roman" w:cs="Times New Roman" w:eastAsia="Times New Roman" w:hAnsi="Times New Roman"/>
          <w:sz w:val="18"/>
          <w:szCs w:val="18"/>
          <w:i w:val="1"/>
          <w:iCs w:val="1"/>
          <w:u w:val="single" w:color="auto"/>
          <w:color w:val="0000FF"/>
        </w:rPr>
        <w:t>Organization and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Presentation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of the notes to the condensed consolidated financial statements for additional discussion of the Conversion. The following discussion 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 xml:space="preserve">analysis should be read in conjunction with our unaudited condensed consolidated financial statements and notes thereto presented in this report as well as our audited financial statements and notes thereto included in our </w:t>
      </w:r>
      <w:hyperlink r:id="rId22">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000000"/>
          </w:rPr>
          <w:t xml:space="preserve"> </w:t>
        </w:r>
      </w:hyperlink>
      <w:r>
        <w:rPr>
          <w:rFonts w:ascii="Times New Roman" w:cs="Times New Roman" w:eastAsia="Times New Roman" w:hAnsi="Times New Roman"/>
          <w:sz w:val="18"/>
          <w:szCs w:val="18"/>
          <w:i w:val="1"/>
          <w:iCs w:val="1"/>
          <w:color w:val="000000"/>
        </w:rPr>
        <w:t xml:space="preserve">for the year ended December 31, 2023.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8"/>
          <w:szCs w:val="18"/>
          <w:i w:val="1"/>
          <w:iCs w:val="1"/>
          <w:u w:val="single" w:color="auto"/>
          <w:color w:val="0000FF"/>
        </w:rPr>
        <w:t>Part II. Item 1A. Risk Factors</w:t>
      </w:r>
      <w:r>
        <w:rPr>
          <w:rFonts w:ascii="Times New Roman" w:cs="Times New Roman" w:eastAsia="Times New Roman" w:hAnsi="Times New Roman"/>
          <w:sz w:val="18"/>
          <w:szCs w:val="18"/>
          <w:i w:val="1"/>
          <w:iCs w:val="1"/>
          <w:color w:val="000000"/>
        </w:rPr>
        <w:t xml:space="preserve"> and </w:t>
      </w:r>
      <w:r>
        <w:rPr>
          <w:rFonts w:ascii="Times New Roman" w:cs="Times New Roman" w:eastAsia="Times New Roman" w:hAnsi="Times New Roman"/>
          <w:sz w:val="18"/>
          <w:szCs w:val="18"/>
          <w:i w:val="1"/>
          <w:iCs w:val="1"/>
          <w:u w:val="single" w:color="auto"/>
          <w:color w:val="0000FF"/>
        </w:rPr>
        <w:t>Cautionary Statement Regarding Forward-Looking Statements</w:t>
      </w:r>
      <w:r>
        <w:rPr>
          <w:rFonts w:ascii="Times New Roman" w:cs="Times New Roman" w:eastAsia="Times New Roman" w:hAnsi="Times New Roman"/>
          <w:sz w:val="18"/>
          <w:szCs w:val="18"/>
          <w:i w:val="1"/>
          <w:iCs w:val="1"/>
          <w:color w:val="000000"/>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publicly traded Delaware corporation focused on owning and acquiring mineral and royalty interests in oil and natural gas properties primarily in the Permian Basin. We operate in one reportable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Dividend Update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 2024, our board of directors approved an increase to our annual base dividend to $1.20 per share of Class A Common Stock beginning with our dividend payable for the second quarter of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non-Permian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 2024, we divested all of our non-Permian assets for a purchase price of approximately $90.2 million, subject to customary post-closing adjustments. The divested properties consisted of approximately 2,713 net royalty acres with current production of approximately 450 BO/d. We recorded the proceeds as a reduction of our full cost pool with no gain or loss recognized on the sale.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2024, our footprint of mineral and royalty interests totaled 31,762 net royalty acres, approximately 53% of which are operated by Diamondback.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25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first half of 2024 and 2023, WTI prices averaged $78.81 and $74.77 per Bbl, respectively, and Henry Hub prices averaged $2.21 and $2.54 per MMBtu, respectively.</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around risks related to commodity prices, see </w:t>
      </w:r>
      <w:r>
        <w:rPr>
          <w:rFonts w:ascii="Times New Roman" w:cs="Times New Roman" w:eastAsia="Times New Roman" w:hAnsi="Times New Roman"/>
          <w:sz w:val="18"/>
          <w:szCs w:val="18"/>
          <w:u w:val="single" w:color="auto"/>
          <w:color w:val="0000FF"/>
        </w:rPr>
        <w:t>Part II. Item 3. 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Risk—Commodity Price Risk</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increased our production guidance for full year 2024 due to outperformance of our production goals during the first half of the year, as well as an increase in expectations for the remainder of 2024. The following table presents our current estimates of certain financial and operating results for the full year, as well as production and cash tax guidance for the third quarter of 2024. These estimates assume no additional acquisitions or divestitures in 2024.</w:t>
      </w:r>
    </w:p>
    <w:p>
      <w:pPr>
        <w:spacing w:after="0" w:line="25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2024 Guidance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Q3</w:t>
            </w:r>
          </w:p>
        </w:tc>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net production - MBO/d</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- 27.00</w:t>
            </w: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9"/>
              </w:rPr>
              <w:t>Q3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- 48.50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year 2024 net production - MBO/d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- 26.75</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Full year 2024 net production - MBOE/d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- 48.25</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0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$11.50</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general and administrative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$1.20</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$0.20</w:t>
            </w: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$4.25</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32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 rate (% of pre-tax income attributable to Viper Energy, Inc.)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w:t>
            </w:r>
          </w:p>
        </w:tc>
      </w:tr>
      <w:tr>
        <w:trPr>
          <w:trHeight w:val="312"/>
        </w:trPr>
        <w:tc>
          <w:tcPr>
            <w:tcW w:w="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9"/>
              </w:rPr>
              <w:t>Q3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 cash taxes (In millions)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$18.0</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Attributable to Viper Energy,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Operational Update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there are 49 rigs operating on our mineral and royalty acreage, nine of which are operated by Diamondback. We have grown oil production during the period ended June 30, 2024 compared 2023, despite losing approximately 150 BO/d of quarterly production contribution from the non-Permian assets we divested in the second quarter of 2024. We continue to see strong activity levels across our acreage position and benefit from Diamondback’s continued large-scale development of our high concentration royalty acreage.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well information for the second quarter ended June 30, 2024:</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Diamondback</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Third Party</w:t>
            </w:r>
          </w:p>
        </w:tc>
        <w:tc>
          <w:tcPr>
            <w:tcW w:w="1400" w:type="dxa"/>
            <w:vAlign w:val="bottom"/>
          </w:tcPr>
          <w:p>
            <w:pPr>
              <w:spacing w:after="0"/>
              <w:rPr>
                <w:sz w:val="16"/>
                <w:szCs w:val="16"/>
                <w:color w:val="auto"/>
              </w:rPr>
            </w:pPr>
          </w:p>
        </w:tc>
      </w:tr>
      <w:tr>
        <w:trPr>
          <w:trHeight w:val="239"/>
        </w:trPr>
        <w:tc>
          <w:tcPr>
            <w:tcW w:w="678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4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67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Horizontal wells turned to production</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7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producing well count: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6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0"/>
        </w:trPr>
        <w:tc>
          <w:tcPr>
            <w:tcW w:w="6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active development well count</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7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Line of sight wells</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4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6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67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12,037.</w:t>
      </w:r>
    </w:p>
    <w:p>
      <w:pPr>
        <w:spacing w:after="0" w:line="27" w:lineRule="exact"/>
        <w:rPr>
          <w:rFonts w:ascii="Times New Roman" w:cs="Times New Roman" w:eastAsia="Times New Roman" w:hAnsi="Times New Roman"/>
          <w:sz w:val="18"/>
          <w:szCs w:val="18"/>
          <w:color w:val="auto"/>
        </w:rPr>
      </w:pPr>
    </w:p>
    <w:p>
      <w:pPr>
        <w:ind w:left="260" w:hanging="252"/>
        <w:spacing w:after="0" w:line="250"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736 gross wells currently in the process of active development are those wells that have been spud and are expected to be turned to production within approximately the next six to eight months.</w:t>
      </w:r>
    </w:p>
    <w:p>
      <w:pPr>
        <w:jc w:val="both"/>
        <w:ind w:left="260" w:hanging="252"/>
        <w:spacing w:after="0" w:line="253"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732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March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7"/>
        </w:trPr>
        <w:tc>
          <w:tcPr>
            <w:tcW w:w="7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33"/>
        </w:trPr>
        <w:tc>
          <w:tcPr>
            <w:tcW w:w="7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4"/>
          </w:tcPr>
          <w:p>
            <w:pPr>
              <w:jc w:val="right"/>
              <w:ind w:right="125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177,118</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21,152</w:t>
            </w:r>
          </w:p>
        </w:tc>
      </w:tr>
      <w:tr>
        <w:trPr>
          <w:trHeight w:val="27"/>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28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205,392</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6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66,466</w:t>
            </w:r>
          </w:p>
        </w:tc>
      </w:tr>
      <w:tr>
        <w:trPr>
          <w:trHeight w:val="27"/>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138,926</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r>
      <w:tr>
        <w:trPr>
          <w:trHeight w:val="24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7"/>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112,104</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r>
      <w:tr>
        <w:trPr>
          <w:trHeight w:val="25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122,226</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99,575</w:t>
            </w:r>
          </w:p>
        </w:tc>
      </w:tr>
      <w:tr>
        <w:trPr>
          <w:trHeight w:val="280"/>
        </w:trPr>
        <w:tc>
          <w:tcPr>
            <w:tcW w:w="7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56,215</w:t>
            </w:r>
          </w:p>
        </w:tc>
      </w:tr>
      <w:tr>
        <w:trPr>
          <w:trHeight w:val="26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43,360</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7"/>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70"/>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70"/>
        </w:trPr>
        <w:tc>
          <w:tcPr>
            <w:tcW w:w="7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7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7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64"/>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Depletion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bl>
    <w:p>
      <w:pPr>
        <w:spacing w:after="0" w:line="10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royalty income is a function of oil, natural gas and natural gas liquids production volumes sold and average prices received for those volumes.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Royalty income increased by $10.4 million during the second quarter of 2024 compared to the first quarter of 2024. This increase consisted of (i) an additional $7.3 million attributable to the 3% growth in production volumes, and (ii) an additional $3.1 million attributable to higher average oil prices, partially offset by lower average natural gas and natural gas liquids prices received for our production during the second quarter of 2024 compared to the first quarter of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314"/>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vMerge w:val="restart"/>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314"/>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0" w:type="dxa"/>
            <w:vAlign w:val="bottom"/>
            <w:vMerge w:val="restart"/>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Royalty Income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7.1 %</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7.0 %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and per BOE for the second quarter of 2024 were consistent with the first quarter of 2024.</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Depletion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$1.4 million increase in depletion expense for the second quarter of 2024 compared to the first quarter of 2024 was due primarily to production growth between the periods. The average depletion rate was consistent at $11.19 per BOE for the second quarter of 2024 compared to $11.18 per BOE for the first quarter of 2024.</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net gain (loss) on derivative instruments and the net cash receipts (payments) on derivatives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406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6"/>
        </w:trPr>
        <w:tc>
          <w:tcPr>
            <w:tcW w:w="71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r>
      <w:tr>
        <w:trPr>
          <w:trHeight w:val="233"/>
        </w:trPr>
        <w:tc>
          <w:tcPr>
            <w:tcW w:w="7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20" w:type="dxa"/>
            <w:vAlign w:val="bottom"/>
          </w:tcPr>
          <w:p>
            <w:pPr>
              <w:spacing w:after="0"/>
              <w:rPr>
                <w:sz w:val="20"/>
                <w:szCs w:val="20"/>
                <w:color w:val="auto"/>
              </w:rPr>
            </w:pPr>
          </w:p>
        </w:tc>
      </w:tr>
      <w:tr>
        <w:trPr>
          <w:trHeight w:val="26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48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5,346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1480" w:type="dxa"/>
            <w:vAlign w:val="bottom"/>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529</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bl>
    <w:p>
      <w:pPr>
        <w:spacing w:after="0" w:line="3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 for additional discussion of our open contracts at June 30,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$0.5 million increase in income tax expense for the second quarter of 2024 compared to the first quarter of 2024 is primarily due to the increase in net income resulting from higher royalty income between the second quarter of 2024 and the first quarter of 2024. See Note 9—</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notes to the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20"/>
                <w:szCs w:val="20"/>
                <w:color w:val="auto"/>
              </w:rPr>
            </w:pPr>
          </w:p>
        </w:tc>
      </w:tr>
      <w:tr>
        <w:trPr>
          <w:trHeight w:val="25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275,919</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29,282</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319,282</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329,745</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6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65,051</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95,331</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234,414</w:t>
            </w: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(48,361)</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186,053</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168,197</w:t>
            </w: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8040" w:type="dxa"/>
            <w:vAlign w:val="bottom"/>
          </w:tcPr>
          <w:p>
            <w:pPr>
              <w:spacing w:after="0"/>
              <w:rPr>
                <w:sz w:val="19"/>
                <w:szCs w:val="1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37"/>
        </w:trPr>
        <w:tc>
          <w:tcPr>
            <w:tcW w:w="80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20"/>
                <w:szCs w:val="20"/>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r>
      <w:tr>
        <w:trPr>
          <w:trHeight w:val="270"/>
        </w:trPr>
        <w:tc>
          <w:tcPr>
            <w:tcW w:w="8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20,630</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36,331</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90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90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70"/>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Pr>
          <w:p>
            <w:pPr>
              <w:spacing w:after="0"/>
              <w:rPr>
                <w:sz w:val="23"/>
                <w:szCs w:val="23"/>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70"/>
        </w:trPr>
        <w:tc>
          <w:tcPr>
            <w:tcW w:w="8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Pr>
          <w:p>
            <w:pPr>
              <w:spacing w:after="0"/>
              <w:rPr>
                <w:sz w:val="23"/>
                <w:szCs w:val="23"/>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r>
      <w:tr>
        <w:trPr>
          <w:trHeight w:val="27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3"/>
                <w:szCs w:val="23"/>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7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70"/>
        </w:trPr>
        <w:tc>
          <w:tcPr>
            <w:tcW w:w="8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4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64"/>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4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8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Depletion</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bl>
    <w:p>
      <w:pPr>
        <w:spacing w:after="0" w:line="10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royalty income is a function of oil, natural gas and natural gas liquids production volumes sold and average prices received for those volumes.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Royalty income increased $101.3 million during the six months ended June 30, 2024 compared to the same period in 2023. This net increase consisted of an additional $88.3 million in royalty income from the 30% growth in production, and an increase of $13.0 million due to higher average oil prices, partially offset by lower average natural gas and natural gas liquids prices received for our production during 2024 compared to the same period in 2023. Approximately 78% of the increase in production is attributable to the GRP Acquisition and an additional 6% is attributable to the Drop Down. The remainder of the growth comes from new wells added between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 bonus income from Diamondback decreased by $8.2 million due to receiving payment for one new lease covering 40 acres in Martin County Texas, for the six months ended June 30, 2024, compared to receiving payment for three leases and two lease extensions covering approximately 423 acres in Martin and Wheeler Counties, Texas, during the same period in 2023.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of the notes to the condensed consolidated financial statements for further details.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4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45"/>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7.0 %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8.0 %</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six months ended June 30, 2024 remained consistent with the same period in 2023.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Ad valorem taxes for the six months ended June 30, 2024 as compared to the same period in 2023 decreased by $0.9 million primarily due to a reduction in the expected ad valorem tax rates for 2024 compared to the expected rates in the second quarter of 2023.</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Depletion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$30.2 million increase in depletion expense for the six months ended June 30, 2024 compared to the same period in 2023 was due primarily to production growth between the periods resulting largely from the GRP Acquisition. The average depletion rate increased to $11.19 per BOE for the six months ended June 30, 2024 compared to $9.89 per BOE for the same period in 2023 due primarily to higher value leasehold in the amortization base in the 2024 period mainly due to the GRP Acquisition.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general and administrative expenses for the periods presented: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304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r>
      <w:tr>
        <w:trPr>
          <w:trHeight w:val="237"/>
        </w:trPr>
        <w:tc>
          <w:tcPr>
            <w:tcW w:w="7600" w:type="dxa"/>
            <w:vAlign w:val="bottom"/>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236"/>
        </w:trPr>
        <w:tc>
          <w:tcPr>
            <w:tcW w:w="7600" w:type="dxa"/>
            <w:vAlign w:val="bottom"/>
            <w:tcBorders>
              <w:bottom w:val="single" w:sz="8" w:color="CCEEFF"/>
            </w:tcBorders>
          </w:tcPr>
          <w:p>
            <w:pPr>
              <w:spacing w:after="0"/>
              <w:rPr>
                <w:sz w:val="20"/>
                <w:szCs w:val="20"/>
                <w:color w:val="auto"/>
              </w:rPr>
            </w:pPr>
          </w:p>
        </w:tc>
        <w:tc>
          <w:tcPr>
            <w:tcW w:w="364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(In thousands, except per BOE amounts)</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7"/>
        </w:trPr>
        <w:tc>
          <w:tcPr>
            <w:tcW w:w="7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03"/>
        </w:trPr>
        <w:tc>
          <w:tcPr>
            <w:tcW w:w="7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 per BOE)</w:t>
            </w:r>
          </w:p>
        </w:tc>
        <w:tc>
          <w:tcPr>
            <w:tcW w:w="116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7"/>
        </w:trPr>
        <w:tc>
          <w:tcPr>
            <w:tcW w:w="76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$4.7 million increase in general and administrative expenses for the six months ended June 30, 2024 compared to the same period in 2023 consists of (i) a $3.0 million increase in related party general and administrative expenses from Diamondback due to the change in the reimbursement methodology as a result of our entry into the Services and Secondment Agreement in connection with the Conversion, and (ii) approximately $1.0 million in legal expenses primarily related to the Diamondback Offering.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2024, we reimbursed Diamondback a flat quarterly fee for management and administrative services provided to us by Diamondback. Beginning in 2024, Diamondback began billing us for estimated actual salary and benefit costs incurred for services provided to us by seconded employees under the Services and Secondment Agreement during the quarter.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net gain (loss) on derivative instruments and the net cash receipts (payments) on derivatives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20"/>
                <w:szCs w:val="20"/>
                <w:color w:val="auto"/>
              </w:rPr>
            </w:pPr>
          </w:p>
        </w:tc>
      </w:tr>
      <w:tr>
        <w:trPr>
          <w:trHeight w:val="26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r>
    </w:tbl>
    <w:p>
      <w:pPr>
        <w:spacing w:after="0" w:line="3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loss on derivative instruments for the six months ended June 30, 2024 compared to the same period in 2023 is primarily due to an increase in the differential between prices for Waha Hub and Henry Hub resulting in a gain on natural gas basis swaps in the six months ended June 30, 2024 compared to a loss in 2023. See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 for additional discussion of our open contracts at June 30,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$7.7 million increase in income tax expense for the six months ended June 30, 2024 compared to the same period in 2023 is primarily due to an increase in pre-tax income in 2024, which was largely attributable to the increase in royalty income discussed above. See Note 9—</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notes to the condensed consolidated financial statements for further details.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$17.9 million increase in net income attributable to non-controlling interest for the six months ended June 30, 2024 compared to the same period in 2023 is primarily due to an increase in net income, which was partially offset by a decrease in Diamondback’s ownership of our common stock in the first quarter of 2024 following the completion of the Diamondback Offering.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 of Sources and Uses of Cash</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the Operating Company’s revolving credit facility. Our primary uses of cash have been dividends to our stockholders, Operating Company distributions to Diamondback, repayments of debt, capital expenditures for the acquisition of our mineral and royalty interests in oil and natural gas properties and repurchases of our common shares. At June 30, 2024, we had approximately $708.2 million of liquidity consisting of $35.2 million in cash and cash equivalents and $673.0 million available under the Operating Company’s revolving credit facility. See further discussion of changes in our sources of cash in “—</w:t>
      </w:r>
      <w:r>
        <w:rPr>
          <w:rFonts w:ascii="Times New Roman" w:cs="Times New Roman" w:eastAsia="Times New Roman" w:hAnsi="Times New Roman"/>
          <w:sz w:val="18"/>
          <w:szCs w:val="18"/>
          <w:i w:val="1"/>
          <w:iCs w:val="1"/>
          <w:u w:val="single" w:color="auto"/>
          <w:color w:val="0000FF"/>
        </w:rPr>
        <w:t>Capital Resource</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supported by our cash and cash equivalents and the Operating Company’s revolving 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dividends, debt service obligations and repayment of debt maturities, common share and senior note repurchases and any amounts that may ultimately be paid in connection with contingencies.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order to mitigate volatility in oil and natural gas prices, we have entered into commodity derivative contracts as discussed further in </w:t>
      </w:r>
      <w:r>
        <w:rPr>
          <w:rFonts w:ascii="Times New Roman" w:cs="Times New Roman" w:eastAsia="Times New Roman" w:hAnsi="Times New Roman"/>
          <w:sz w:val="18"/>
          <w:szCs w:val="18"/>
          <w:u w:val="single" w:color="auto"/>
          <w:color w:val="0000FF"/>
        </w:rPr>
        <w:t>Part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Risk—Commodity Price Risk</w:t>
      </w:r>
      <w:r>
        <w:rPr>
          <w:rFonts w:ascii="Times New Roman" w:cs="Times New Roman" w:eastAsia="Times New Roman" w:hAnsi="Times New Roman"/>
          <w:sz w:val="18"/>
          <w:szCs w:val="18"/>
          <w:color w:val="000000"/>
        </w:rPr>
        <w:t>.</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Continued prolonged volatility in the capital, financial and/or credit markets due to the war in Ukraine and the Israel-Hamas war, and/or adverse macroeconomic conditions, including elevated inflation, higher interests rates and global supply chain disruptions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20"/>
                <w:szCs w:val="20"/>
                <w:color w:val="auto"/>
              </w:rPr>
            </w:pPr>
          </w:p>
        </w:tc>
      </w:tr>
      <w:tr>
        <w:trPr>
          <w:trHeight w:val="25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252,669</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(124,457)</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(133,312)</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are the volatility of prices for oil and natural gas and the volumes of oil and natural gas sold by our producers. The increase in net cash provided by operating activities during the six months ended June 30, 2024 compared to the same period in 2023 was primarily driven by higher royalty income. This increase in cash flow was largely offset by (i) changes in our working capital accounts, most notably through an increase in our accounts receivable in 2024 compared to 2023 due primarily to the timing of our receipt of royalty income payments from our operators, (ii) an increase in cash paid for interest expense due to the issuance of our 7.375% Senior unsecured notes due 2031 in the fourth quarter of 2023, and (iii) and a decrease in cash flows from related party lease bonus income.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color w:val="auto"/>
        </w:rPr>
        <w:t>” for discussion of significant changes in our revenues and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2024, primarily related to proceeds from the divestiture of our non-Permian assets, partially offset by acquisitions of oil and natural gas interests.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2023, primarily related to the acquisition of oil and natural gas interests in the Drop Down and from other third-party acquisitions.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primarily attributable to $224.8 million of dividends paid to stockholders. Additionally, we made net repayments of $86.0 million on the Operating Company’s revolving credit facility.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2023, was primarily attributable to distributions of $146.6 million and $57.5 million of common share repurchases. These cash outflows were partially offset by net borrowings of $72.0 million under the Operating Company’s revolving credit facility.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Operating Company’s Revolving Credit Facility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 Operating Company’s credit facility, which matures on September 22, 2028, had an elected commitment amount of $850.0 million, with $177.0 million in outstanding borrowings and $673.0 million of availability.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notes to the condensed consolidated financial statements included elsewhere in this report for additional discussion of our outstanding debt at June 30,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 of Securities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current common stock repurchase program, the board of directors has authorized us to acquire up to $750.0 million of our Class A Common Stock, excluding excise tax. As of June 30, 2024, $434.2 million remains available for use to repurchase shares under this repurchase program.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from time to time opportunistically repurchase some of the outstanding Notes in open market purchases or in privately negotiated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Operating Company will pay a cash distribution for the second quarter of 2024 in accordance with its distribution policy of $0.76 per Operating Company unit on August 22, 2024 to eligible holders of record at the close of business on August 15,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 cash dividend for the second quarter of 2024 in accordance with our dividend policy of $0.64 per share of Class A Common Stock on August 22, 2024 to eligible holders of record at the close of business on August 15, 2024. The dividend to stockholders consists of a base quarterly dividend of $0.30 per share of Class A Common Stock and a variable quarterly dividend of $0.34 per share of Class A Common Stock. Future base and variable dividends are at the discretion of the board of directors.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u w:val="single" w:color="auto"/>
          <w:color w:val="0000FF"/>
        </w:rPr>
        <w:t>Stockholders' Equity</w:t>
      </w:r>
      <w:r>
        <w:rPr>
          <w:rFonts w:ascii="Times New Roman" w:cs="Times New Roman" w:eastAsia="Times New Roman" w:hAnsi="Times New Roman"/>
          <w:sz w:val="18"/>
          <w:szCs w:val="18"/>
          <w:color w:val="auto"/>
        </w:rPr>
        <w:t xml:space="preserve"> of the notes to the condensed consolidated financial statements for further discussion of the repurchase program and dividend.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to our critical accounting estimates from those disclosed in our </w:t>
      </w:r>
      <w:hyperlink r:id="rId22">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included in the notes to the condensed consolidated financial statements for recent accounting pronouncements not yet adopted, if 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and the Israel-Hamas war, higher interest rates, global supply chain disruptions and actions taken by OPEC members and other exporting nations. We cannot predict events that may lead to future price volatility and the near term energy outlook remains subject to heightened levels of uncertainty.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June 30, 2024, we had a net liability derivative position related to our commodity price derivatives of $2.6 million. Utilizing actual derivative contractual volumes under our contracts as of June 30, 2024, a 10% increase in forward curves associated with the underlying commodity would have increased the net liability position by $0.4 million to approximately $3.0 million, while a 10% decrease in forward curves associated with the underlying commodity would have decreased the net liability derivative position by $1.0 million to approximately $1.6 million. However, certain cash derivative gains or losses may be partially offset by a decrease or increase, respectively, in the actual sales value of production covered by the derivative instrument.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the Operating Company’s revolving credit facility. The terms of the credit facility provide for interest on borrowings at a floating rate equal to (i) term SOFR plus 0.10% (“Adjusted Term SOFR”), or</w:t>
      </w:r>
    </w:p>
    <w:p>
      <w:pPr>
        <w:jc w:val="both"/>
        <w:ind w:firstLine="8"/>
        <w:spacing w:after="0" w:line="252"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June 30, 2024, we had $177.0 million in outstanding borrowings. During the three and six months ended June 30, 2024, the weighted average interest rate on the Operating Company’s revolving credit facility was 7.63% and 7.52%, respectively.</w:t>
      </w:r>
    </w:p>
    <w:p>
      <w:pPr>
        <w:spacing w:after="0" w:line="21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Under the direction of our Chief Executive Officer and Chief Financial Officer,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June 30, 2024, our disclosure controls and procedures are effective.</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June 30, 2024 that have materially affected, or are reasonably likely to materially affect, internal controls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03"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00"/>
        </w:rPr>
      </w:pPr>
      <w:hyperlink r:id="rId63">
        <w:r>
          <w:rPr>
            <w:rFonts w:ascii="Times New Roman" w:cs="Times New Roman" w:eastAsia="Times New Roman" w:hAnsi="Times New Roman"/>
            <w:sz w:val="18"/>
            <w:szCs w:val="18"/>
            <w:color w:val="auto"/>
          </w:rPr>
          <w:t xml:space="preserve">As of the date of this filing, we continue to be subject to the risk factors previously disclosed in </w:t>
        </w:r>
        <w:r>
          <w:rPr>
            <w:rFonts w:ascii="Times New Roman" w:cs="Times New Roman" w:eastAsia="Times New Roman" w:hAnsi="Times New Roman"/>
            <w:sz w:val="18"/>
            <w:szCs w:val="18"/>
            <w:u w:val="single" w:color="auto"/>
            <w:color w:val="0000FF"/>
          </w:rPr>
          <w:t>Part I, Item 1A. Risk Factors in our Annual Report</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2023, filed with the SEC on February 22, 2024, and in subsequent filings we make with the SEC. There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have been no material changes in our risk factors from those described in our </w:t>
      </w:r>
      <w:hyperlink r:id="rId22">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year ended December 31, 2023.</w:t>
      </w:r>
    </w:p>
    <w:p>
      <w:pPr>
        <w:spacing w:after="0" w:line="199" w:lineRule="exact"/>
        <w:rPr>
          <w:rFonts w:ascii="Times New Roman" w:cs="Times New Roman" w:eastAsia="Times New Roman" w:hAnsi="Times New Roman"/>
          <w:sz w:val="18"/>
          <w:szCs w:val="18"/>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54"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 repurchase activity for the three months ended June 30, 2024 was as follows:</w:t>
      </w:r>
    </w:p>
    <w:p>
      <w:pPr>
        <w:spacing w:after="0" w:line="309"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Yet Be Purchased Under</w:t>
            </w:r>
          </w:p>
        </w:tc>
      </w:tr>
      <w:tr>
        <w:trPr>
          <w:trHeight w:val="245"/>
        </w:trPr>
        <w:tc>
          <w:tcPr>
            <w:tcW w:w="3880" w:type="dxa"/>
            <w:vAlign w:val="bottom"/>
            <w:gridSpan w:val="2"/>
          </w:tcPr>
          <w:p>
            <w:pPr>
              <w:ind w:left="16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20" w:type="dxa"/>
            <w:vAlign w:val="bottom"/>
          </w:tcPr>
          <w:p>
            <w:pPr>
              <w:spacing w:after="0"/>
              <w:rPr>
                <w:sz w:val="21"/>
                <w:szCs w:val="21"/>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Per Share</w:t>
            </w:r>
            <w:r>
              <w:rPr>
                <w:rFonts w:ascii="Times New Roman" w:cs="Times New Roman" w:eastAsia="Times New Roman" w:hAnsi="Times New Roman"/>
                <w:sz w:val="21"/>
                <w:szCs w:val="21"/>
                <w:b w:val="1"/>
                <w:bCs w:val="1"/>
                <w:color w:val="auto"/>
                <w:vertAlign w:val="superscript"/>
              </w:rPr>
              <w:t>(1)(2)</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w:t>
            </w:r>
          </w:p>
        </w:tc>
        <w:tc>
          <w:tcPr>
            <w:tcW w:w="260" w:type="dxa"/>
            <w:vAlign w:val="bottom"/>
          </w:tcPr>
          <w:p>
            <w:pPr>
              <w:spacing w:after="0"/>
              <w:rPr>
                <w:sz w:val="21"/>
                <w:szCs w:val="21"/>
                <w:color w:val="auto"/>
              </w:rPr>
            </w:pPr>
          </w:p>
        </w:tc>
        <w:tc>
          <w:tcPr>
            <w:tcW w:w="16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1"/>
              </w:rPr>
              <w:t>the Plan</w:t>
            </w:r>
            <w:r>
              <w:rPr>
                <w:rFonts w:ascii="Times New Roman" w:cs="Times New Roman" w:eastAsia="Times New Roman" w:hAnsi="Times New Roman"/>
                <w:sz w:val="21"/>
                <w:szCs w:val="21"/>
                <w:b w:val="1"/>
                <w:bCs w:val="1"/>
                <w:color w:val="auto"/>
                <w:w w:val="91"/>
                <w:vertAlign w:val="superscript"/>
              </w:rPr>
              <w:t>(1)(2)</w:t>
            </w:r>
          </w:p>
        </w:tc>
      </w:tr>
      <w:tr>
        <w:trPr>
          <w:trHeight w:val="227"/>
        </w:trPr>
        <w:tc>
          <w:tcPr>
            <w:tcW w:w="3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6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86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4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8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86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434,161</w:t>
            </w:r>
          </w:p>
        </w:tc>
      </w:tr>
      <w:tr>
        <w:trPr>
          <w:trHeight w:val="26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76"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2022, the board of directors increased the authorization under our then-in-effect repurchase program from $250.0 million to $750.0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presented exclude excise taxes, as applicable.</w:t>
      </w:r>
    </w:p>
    <w:p>
      <w:pPr>
        <w:sectPr>
          <w:pgSz w:w="11900" w:h="16838" w:orient="portrait"/>
          <w:cols w:equalWidth="0" w:num="1">
            <w:col w:w="11240"/>
          </w:cols>
          <w:pgMar w:left="320" w:top="118" w:right="33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during our fiscal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460" w:type="dxa"/>
            <w:vAlign w:val="bottom"/>
            <w:gridSpan w:val="1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70"/>
        </w:trPr>
        <w:tc>
          <w:tcPr>
            <w:tcW w:w="7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5"/>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28"/>
        </w:trPr>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96"/>
        </w:trPr>
        <w:tc>
          <w:tcPr>
            <w:tcW w:w="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Certificate of Conversion of Viper Energy Partners LP (incorporated by reference to Exhibit 99.2 to the Current Report on Form 8-K, filed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30"/>
        </w:trPr>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6"/>
              </w:rPr>
            </w:pPr>
            <w:hyperlink r:id="rId66">
              <w:r>
                <w:rPr>
                  <w:rFonts w:ascii="Times New Roman" w:cs="Times New Roman" w:eastAsia="Times New Roman" w:hAnsi="Times New Roman"/>
                  <w:sz w:val="18"/>
                  <w:szCs w:val="18"/>
                  <w:color w:val="0000FF"/>
                  <w:w w:val="96"/>
                </w:rPr>
                <w:t>Viper Energy Partners LP with the SEC on November 2, 2023).</w:t>
              </w:r>
            </w:hyperlink>
          </w:p>
        </w:tc>
        <w:tc>
          <w:tcPr>
            <w:tcW w:w="5560" w:type="dxa"/>
            <w:vAlign w:val="bottom"/>
            <w:tcBorders>
              <w:bottom w:val="single" w:sz="8" w:color="CCEEFF"/>
            </w:tcBorders>
            <w:gridSpan w:val="9"/>
            <w:shd w:val="clear" w:color="auto" w:fill="CCEEFF"/>
          </w:tcPr>
          <w:p>
            <w:pPr>
              <w:spacing w:after="0"/>
              <w:rPr>
                <w:sz w:val="20"/>
                <w:szCs w:val="20"/>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w w:val="96"/>
              </w:rPr>
            </w:pPr>
            <w:hyperlink r:id="rId67">
              <w:r>
                <w:rPr>
                  <w:rFonts w:ascii="Times New Roman" w:cs="Times New Roman" w:eastAsia="Times New Roman" w:hAnsi="Times New Roman"/>
                  <w:sz w:val="18"/>
                  <w:szCs w:val="18"/>
                  <w:color w:val="0000FF"/>
                  <w:w w:val="96"/>
                </w:rPr>
                <w:t>Certificate of Incorporation of Viper Energy, Inc. (incorporated by reference to Exhibit 99.3 to the Current Report on Form 8-K, filed by Viper</w:t>
              </w:r>
            </w:hyperlink>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Energy Partners LP with the SEC on November 2, 2023).</w:t>
              </w:r>
            </w:hyperlink>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Bylaws of Viper Energy, Inc. (incorporated by reference to Exhibit 99.4 to the Current Report on Form 8-K, filed by Viper Energy Partners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30"/>
        </w:trPr>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6"/>
              </w:rPr>
            </w:pPr>
            <w:hyperlink r:id="rId68">
              <w:r>
                <w:rPr>
                  <w:rFonts w:ascii="Times New Roman" w:cs="Times New Roman" w:eastAsia="Times New Roman" w:hAnsi="Times New Roman"/>
                  <w:sz w:val="18"/>
                  <w:szCs w:val="18"/>
                  <w:color w:val="0000FF"/>
                  <w:w w:val="96"/>
                </w:rPr>
                <w:t>LP with the SEC on November 2, 2023).</w:t>
              </w:r>
            </w:hyperlink>
          </w:p>
        </w:tc>
        <w:tc>
          <w:tcPr>
            <w:tcW w:w="7160" w:type="dxa"/>
            <w:vAlign w:val="bottom"/>
            <w:tcBorders>
              <w:bottom w:val="single" w:sz="8" w:color="CCEEFF"/>
            </w:tcBorders>
            <w:gridSpan w:val="12"/>
            <w:shd w:val="clear" w:color="auto" w:fill="CCEEFF"/>
          </w:tcPr>
          <w:p>
            <w:pPr>
              <w:spacing w:after="0"/>
              <w:rPr>
                <w:sz w:val="20"/>
                <w:szCs w:val="20"/>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Second Amended and Restated Limited Liability Company Agreement of Viper Energy Partners LLC, dated as of May 9, 2018 (incorporated</w:t>
              </w:r>
            </w:hyperlink>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by reference to Exhibit 3.3 of the Partnership’s Current Report on Form 8-K (File 001-36505), filed on May 15, 2018).</w:t>
              </w:r>
            </w:hyperlink>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First Amendment to Second Amended and Restated Limited Liability Company Agreement of Viper Energy Partners LLC, dated as of</w:t>
              </w:r>
            </w:hyperlink>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March 30, 2020, (incorporated by reference to Exhibit 3.1 of the Partnership’s Current Report on Form 8-K (File 001-36505) filed 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March 31, 2020).</w:t>
              </w:r>
            </w:hyperlink>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Second Amendment to the Second Amended and Restated Limited Liability Company Agreement of Viper Energy Partners LLC, dated as</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of December 27, 2021 (incorporated by reference to 3.1 of the Partnership’s Current Report on Form 8-K (File 001-36505) filed on</w:t>
              </w:r>
            </w:hyperlink>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December 28, 2021).</w:t>
              </w:r>
            </w:hyperlink>
          </w:p>
        </w:tc>
      </w:tr>
      <w:tr>
        <w:trPr>
          <w:trHeight w:val="48"/>
        </w:trPr>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Second Amended and Restated Registration Rights Agreement, dated as of November 10, 2023, effective as of November 13, 2023, by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between Viper Energy Partners LP and Diamondback Energy, Inc. (incorporated by reference to Exhibit 10.3 of the Company’s Current</w:t>
              </w:r>
            </w:hyperlink>
          </w:p>
        </w:tc>
      </w:tr>
      <w:tr>
        <w:trPr>
          <w:trHeight w:val="183"/>
        </w:trPr>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Report on Form 8-K (File 001-36505) filed on November 13, 2023).</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Viper Energy, Inc. 2024 Amended and Restated Long Term Incentive Plan (incorporated by reference to Appendix A to Schedule DEF 14A</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filed by the Company with the SEC on April 25, 2024).</w:t>
              </w:r>
            </w:hyperlink>
          </w:p>
        </w:tc>
        <w:tc>
          <w:tcPr>
            <w:tcW w:w="40" w:type="dxa"/>
            <w:vAlign w:val="bottom"/>
            <w:gridSpan w:val="2"/>
          </w:tcPr>
          <w:p>
            <w:pPr>
              <w:spacing w:after="0"/>
              <w:rPr>
                <w:sz w:val="17"/>
                <w:szCs w:val="17"/>
                <w:color w:val="auto"/>
              </w:rPr>
            </w:pPr>
          </w:p>
        </w:tc>
      </w:tr>
      <w:tr>
        <w:trPr>
          <w:trHeight w:val="34"/>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2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promulgated under the Securities Exchange Act of 1934, as amended.</w:t>
            </w:r>
          </w:p>
        </w:tc>
      </w:tr>
      <w:tr>
        <w:trPr>
          <w:trHeight w:val="74"/>
        </w:trPr>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0000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1340" w:type="dxa"/>
            <w:vAlign w:val="bottom"/>
            <w:tcBorders>
              <w:top w:val="single" w:sz="8" w:color="0000FF"/>
            </w:tcBorders>
            <w:shd w:val="clear" w:color="auto" w:fill="CCEEFF"/>
          </w:tcPr>
          <w:p>
            <w:pPr>
              <w:spacing w:after="0"/>
              <w:rPr>
                <w:sz w:val="6"/>
                <w:szCs w:val="6"/>
                <w:color w:val="auto"/>
              </w:rPr>
            </w:pPr>
          </w:p>
        </w:tc>
        <w:tc>
          <w:tcPr>
            <w:tcW w:w="104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0000FF"/>
            </w:tcBorders>
            <w:shd w:val="clear" w:color="auto" w:fill="CCEEFF"/>
          </w:tcPr>
          <w:p>
            <w:pPr>
              <w:spacing w:after="0"/>
              <w:rPr>
                <w:sz w:val="6"/>
                <w:szCs w:val="6"/>
                <w:color w:val="auto"/>
              </w:rPr>
            </w:pPr>
          </w:p>
        </w:tc>
        <w:tc>
          <w:tcPr>
            <w:tcW w:w="440" w:type="dxa"/>
            <w:vAlign w:val="bottom"/>
            <w:tcBorders>
              <w:top w:val="single" w:sz="8" w:color="0000FF"/>
            </w:tcBorders>
            <w:shd w:val="clear" w:color="auto" w:fill="CCEEFF"/>
          </w:tcPr>
          <w:p>
            <w:pPr>
              <w:spacing w:after="0"/>
              <w:rPr>
                <w:sz w:val="6"/>
                <w:szCs w:val="6"/>
                <w:color w:val="auto"/>
              </w:rPr>
            </w:pPr>
          </w:p>
        </w:tc>
        <w:tc>
          <w:tcPr>
            <w:tcW w:w="340" w:type="dxa"/>
            <w:vAlign w:val="bottom"/>
            <w:tcBorders>
              <w:top w:val="single" w:sz="8" w:color="0000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1620" w:type="dxa"/>
            <w:vAlign w:val="bottom"/>
            <w:tcBorders>
              <w:top w:val="single" w:sz="8" w:color="0000FF"/>
            </w:tcBorders>
            <w:shd w:val="clear" w:color="auto" w:fill="CCEEFF"/>
          </w:tcPr>
          <w:p>
            <w:pPr>
              <w:spacing w:after="0"/>
              <w:rPr>
                <w:sz w:val="6"/>
                <w:szCs w:val="6"/>
                <w:color w:val="auto"/>
              </w:rPr>
            </w:pPr>
          </w:p>
        </w:tc>
        <w:tc>
          <w:tcPr>
            <w:tcW w:w="128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03"/>
        </w:trPr>
        <w:tc>
          <w:tcPr>
            <w:tcW w:w="7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promulgated under the Securities Exchange Act of 1934, as amended.</w:t>
            </w:r>
          </w:p>
        </w:tc>
      </w:tr>
      <w:tr>
        <w:trPr>
          <w:trHeight w:val="75"/>
        </w:trPr>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1340" w:type="dxa"/>
            <w:vAlign w:val="bottom"/>
            <w:tcBorders>
              <w:top w:val="single" w:sz="8" w:color="0000FF"/>
            </w:tcBorders>
          </w:tcPr>
          <w:p>
            <w:pPr>
              <w:spacing w:after="0"/>
              <w:rPr>
                <w:sz w:val="6"/>
                <w:szCs w:val="6"/>
                <w:color w:val="auto"/>
              </w:rPr>
            </w:pPr>
          </w:p>
        </w:tc>
        <w:tc>
          <w:tcPr>
            <w:tcW w:w="104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920" w:type="dxa"/>
            <w:vAlign w:val="bottom"/>
            <w:tcBorders>
              <w:top w:val="single" w:sz="8" w:color="0000FF"/>
            </w:tcBorders>
          </w:tcPr>
          <w:p>
            <w:pPr>
              <w:spacing w:after="0"/>
              <w:rPr>
                <w:sz w:val="6"/>
                <w:szCs w:val="6"/>
                <w:color w:val="auto"/>
              </w:rPr>
            </w:pPr>
          </w:p>
        </w:tc>
        <w:tc>
          <w:tcPr>
            <w:tcW w:w="1620" w:type="dxa"/>
            <w:vAlign w:val="bottom"/>
            <w:tcBorders>
              <w:top w:val="single" w:sz="8" w:color="0000FF"/>
            </w:tcBorders>
          </w:tcPr>
          <w:p>
            <w:pPr>
              <w:spacing w:after="0"/>
              <w:rPr>
                <w:sz w:val="6"/>
                <w:szCs w:val="6"/>
                <w:color w:val="auto"/>
              </w:rPr>
            </w:pPr>
          </w:p>
        </w:tc>
        <w:tc>
          <w:tcPr>
            <w:tcW w:w="128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3"/>
        </w:trPr>
        <w:tc>
          <w:tcPr>
            <w:tcW w:w="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Certification of Chief Executive Officer and Chief Financial Officer pursuant to Rule 13a-14(b) promulgated under the Securities Exchange</w:t>
            </w:r>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2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Section 1350 of Chapter 63 of Title 18 of the United States Code.</w:t>
            </w:r>
          </w:p>
        </w:tc>
      </w:tr>
      <w:tr>
        <w:trPr>
          <w:trHeight w:val="75"/>
        </w:trPr>
        <w:tc>
          <w:tcPr>
            <w:tcW w:w="7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0000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1340" w:type="dxa"/>
            <w:vAlign w:val="bottom"/>
            <w:tcBorders>
              <w:top w:val="single" w:sz="8" w:color="0000FF"/>
            </w:tcBorders>
            <w:shd w:val="clear" w:color="auto" w:fill="CCEEFF"/>
          </w:tcPr>
          <w:p>
            <w:pPr>
              <w:spacing w:after="0"/>
              <w:rPr>
                <w:sz w:val="6"/>
                <w:szCs w:val="6"/>
                <w:color w:val="auto"/>
              </w:rPr>
            </w:pPr>
          </w:p>
        </w:tc>
        <w:tc>
          <w:tcPr>
            <w:tcW w:w="104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0000FF"/>
            </w:tcBorders>
            <w:shd w:val="clear" w:color="auto" w:fill="CCEEFF"/>
          </w:tcPr>
          <w:p>
            <w:pPr>
              <w:spacing w:after="0"/>
              <w:rPr>
                <w:sz w:val="6"/>
                <w:szCs w:val="6"/>
                <w:color w:val="auto"/>
              </w:rPr>
            </w:pPr>
          </w:p>
        </w:tc>
        <w:tc>
          <w:tcPr>
            <w:tcW w:w="440" w:type="dxa"/>
            <w:vAlign w:val="bottom"/>
            <w:tcBorders>
              <w:top w:val="single" w:sz="8" w:color="0000FF"/>
            </w:tcBorders>
            <w:shd w:val="clear" w:color="auto" w:fill="CCEEFF"/>
          </w:tcPr>
          <w:p>
            <w:pPr>
              <w:spacing w:after="0"/>
              <w:rPr>
                <w:sz w:val="6"/>
                <w:szCs w:val="6"/>
                <w:color w:val="auto"/>
              </w:rPr>
            </w:pPr>
          </w:p>
        </w:tc>
        <w:tc>
          <w:tcPr>
            <w:tcW w:w="340" w:type="dxa"/>
            <w:vAlign w:val="bottom"/>
            <w:tcBorders>
              <w:top w:val="single" w:sz="8" w:color="0000FF"/>
            </w:tcBorders>
            <w:shd w:val="clear" w:color="auto" w:fill="CCEEFF"/>
          </w:tcPr>
          <w:p>
            <w:pPr>
              <w:spacing w:after="0"/>
              <w:rPr>
                <w:sz w:val="6"/>
                <w:szCs w:val="6"/>
                <w:color w:val="auto"/>
              </w:rPr>
            </w:pPr>
          </w:p>
        </w:tc>
        <w:tc>
          <w:tcPr>
            <w:tcW w:w="1920" w:type="dxa"/>
            <w:vAlign w:val="bottom"/>
            <w:tcBorders>
              <w:top w:val="single" w:sz="8" w:color="0000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3" w:lineRule="exact"/>
        <w:rPr>
          <w:sz w:val="20"/>
          <w:szCs w:val="20"/>
          <w:color w:val="auto"/>
        </w:rPr>
      </w:pPr>
    </w:p>
    <w:p>
      <w:pPr>
        <w:jc w:val="both"/>
        <w:ind w:left="1220" w:right="60" w:hanging="1194"/>
        <w:spacing w:after="0" w:line="253"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June 30, 2024,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63" w:lineRule="exact"/>
        <w:rPr>
          <w:sz w:val="20"/>
          <w:szCs w:val="20"/>
          <w:color w:val="auto"/>
        </w:rPr>
      </w:pPr>
    </w:p>
    <w:p>
      <w:pPr>
        <w:ind w:left="500" w:hanging="474"/>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jc w:val="both"/>
        <w:ind w:left="500" w:right="20" w:hanging="474"/>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37"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VIPER ENERGY, INC.</w:t>
      </w:r>
    </w:p>
    <w:p>
      <w:pPr>
        <w:spacing w:after="0" w:line="320" w:lineRule="exact"/>
        <w:rPr>
          <w:sz w:val="20"/>
          <w:szCs w:val="20"/>
          <w:color w:val="auto"/>
        </w:rPr>
      </w:pPr>
    </w:p>
    <w:p>
      <w:pPr>
        <w:ind w:left="20"/>
        <w:spacing w:after="0"/>
        <w:tabs>
          <w:tab w:leader="none" w:pos="660" w:val="left"/>
          <w:tab w:leader="none" w:pos="5260" w:val="left"/>
          <w:tab w:leader="none" w:pos="574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34290</wp:posOffset>
            </wp:positionV>
            <wp:extent cx="3463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660" w:val="left"/>
          <w:tab w:leader="none" w:pos="5260" w:val="left"/>
          <w:tab w:leader="none" w:pos="574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34290</wp:posOffset>
            </wp:positionV>
            <wp:extent cx="3463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Teresa L. Dick</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Inc.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5, 2024</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Inc.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5, 2024</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Viper Energy, Inc. (the “Company”), as filed with the Securities and Exchange Commission on the date hereof (the “Report”), the undersigned, Travis D. Stice, Chief Executive Officer of Viper Energy, Inc., and Teresa L. Dick, Chief Financial Officer of Viper Energy, Inc., certify, pursuant to 18 U.S.C. Section 1350, as adopted pursuant to Section 906 of the Sarbanes-Oxley Act of 2002, that, to their knowledge:</w:t>
      </w:r>
    </w:p>
    <w:p>
      <w:pPr>
        <w:spacing w:after="0" w:line="126" w:lineRule="exact"/>
        <w:rPr>
          <w:sz w:val="20"/>
          <w:szCs w:val="20"/>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78o(d)); and</w:t>
      </w:r>
    </w:p>
    <w:p>
      <w:pPr>
        <w:spacing w:after="0" w:line="1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2024</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2024</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Inc.</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decimal"/>
      <w:start w:val="13"/>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Roman"/>
      <w:start w:val="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22" Type="http://schemas.openxmlformats.org/officeDocument/2006/relationships/hyperlink" Target="https://www.sec.gov/ix?doc=/Archives/edgar/data/0001602065/000160206524000010/vnom-20231231.htm" TargetMode="External"/><Relationship Id="rId38" Type="http://schemas.openxmlformats.org/officeDocument/2006/relationships/hyperlink" Target="https://www.sec.gov/ix?doc=/Archives/edgar/data/0001602065/000160206524000010/vnom-20231231.htm#if89f74db576643c0b32ebd3444e95d68_193" TargetMode="External"/><Relationship Id="rId44" Type="http://schemas.openxmlformats.org/officeDocument/2006/relationships/hyperlink" Target="https://www.sec.gov/ix?doc=/Archives/edgar/data/0001602065/000160206524000010/vnom-20231231.htm#if89f74db576643c0b32ebd3444e95d68_205" TargetMode="External"/><Relationship Id="rId63" Type="http://schemas.openxmlformats.org/officeDocument/2006/relationships/hyperlink" Target="https://www.sec.gov/ix?doc=/Archives/edgar/data/0001602065/000160206524000010/vnom-20231231.htm#if89f74db576643c0b32ebd3444e95d68_25" TargetMode="External"/><Relationship Id="rId66" Type="http://schemas.openxmlformats.org/officeDocument/2006/relationships/hyperlink" Target="https://www.sec.gov/Archives/edgar/data/1602065/000160206523000080/viperex992-11x223.htm" TargetMode="External"/><Relationship Id="rId67" Type="http://schemas.openxmlformats.org/officeDocument/2006/relationships/hyperlink" Target="https://www.sec.gov/Archives/edgar/data/1602065/000160206523000080/viperex993-11x223.htm" TargetMode="External"/><Relationship Id="rId68" Type="http://schemas.openxmlformats.org/officeDocument/2006/relationships/hyperlink" Target="https://www.sec.gov/Archives/edgar/data/1602065/000160206523000080/viperex994-11x223.htm" TargetMode="External"/><Relationship Id="rId69" Type="http://schemas.openxmlformats.org/officeDocument/2006/relationships/hyperlink" Target="https://www.sec.gov/Archives/edgar/data/1602065/000160206518000017/viperex33-5x15x18.htm" TargetMode="External"/><Relationship Id="rId70" Type="http://schemas.openxmlformats.org/officeDocument/2006/relationships/hyperlink" Target="https://www.sec.gov/Archives/edgar/data/1602065/000160206520000014/viperex31-33120.htm" TargetMode="External"/><Relationship Id="rId71" Type="http://schemas.openxmlformats.org/officeDocument/2006/relationships/hyperlink" Target="https://www.sec.gov/Archives/edgar/data/1602065/000119312521367951/d249385dex31.htm" TargetMode="External"/><Relationship Id="rId72" Type="http://schemas.openxmlformats.org/officeDocument/2006/relationships/hyperlink" Target="https://www.sec.gov/Archives/edgar/data/1602065/000110465923116606/tm2330431d1_ex10-3.htm" TargetMode="External"/><Relationship Id="rId73" Type="http://schemas.openxmlformats.org/officeDocument/2006/relationships/hyperlink" Target="https://www.sec.gov/ix?doc=/Archives/edgar/data/1602065/000119312524113976/d796418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2024-08-05T15:36:48Z</dcterms:created>
  <dcterms:modified xsi:type="dcterms:W3CDTF">2024-08-05T15:36:48Z</dcterms:modified>
</cp:coreProperties>
</file>