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362585</wp:posOffset>
            </wp:positionH>
            <wp:positionV relativeFrom="page">
              <wp:posOffset>543560</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500380</wp:posOffset>
            </wp:positionV>
            <wp:extent cx="68237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86995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7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3" w:lineRule="exact"/>
        <w:rPr>
          <w:sz w:val="24"/>
          <w:szCs w:val="24"/>
          <w:color w:val="auto"/>
        </w:rPr>
      </w:pPr>
    </w:p>
    <w:p>
      <w:pPr>
        <w:ind w:left="4220" w:right="2500" w:hanging="4194"/>
        <w:spacing w:after="0" w:line="365"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SECURITIES EXCHANGE ACT OF 1934 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34290</wp:posOffset>
            </wp:positionV>
            <wp:extent cx="2614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Viper Energy Partners LP</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66675</wp:posOffset>
            </wp:positionV>
            <wp:extent cx="2614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2"/>
          </w:tcPr>
          <w:p>
            <w:pPr>
              <w:jc w:val="right"/>
              <w:ind w:right="1785"/>
              <w:spacing w:after="0"/>
              <w:rPr>
                <w:sz w:val="20"/>
                <w:szCs w:val="20"/>
                <w:color w:val="auto"/>
              </w:rPr>
            </w:pPr>
            <w:r>
              <w:rPr>
                <w:rFonts w:ascii="Times New Roman" w:cs="Times New Roman" w:eastAsia="Times New Roman" w:hAnsi="Times New Roman"/>
                <w:sz w:val="16"/>
                <w:szCs w:val="16"/>
                <w:b w:val="1"/>
                <w:bCs w:val="1"/>
                <w:color w:val="auto"/>
              </w:rPr>
              <w:t>46-5001985</w:t>
            </w:r>
          </w:p>
        </w:tc>
      </w:tr>
      <w:tr>
        <w:trPr>
          <w:trHeight w:val="357"/>
        </w:trPr>
        <w:tc>
          <w:tcPr>
            <w:tcW w:w="4940" w:type="dxa"/>
            <w:vAlign w:val="bottom"/>
            <w:gridSpan w:val="3"/>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1300" w:type="dxa"/>
            <w:vAlign w:val="bottom"/>
          </w:tcPr>
          <w:p>
            <w:pPr>
              <w:spacing w:after="0"/>
              <w:rPr>
                <w:sz w:val="24"/>
                <w:szCs w:val="24"/>
                <w:color w:val="auto"/>
              </w:rPr>
            </w:pPr>
          </w:p>
        </w:tc>
        <w:tc>
          <w:tcPr>
            <w:tcW w:w="3820" w:type="dxa"/>
            <w:vAlign w:val="bottom"/>
            <w:gridSpan w:val="5"/>
          </w:tcPr>
          <w:p>
            <w:pPr>
              <w:jc w:val="center"/>
              <w:ind w:right="605"/>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90"/>
        </w:trPr>
        <w:tc>
          <w:tcPr>
            <w:tcW w:w="2880" w:type="dxa"/>
            <w:vAlign w:val="bottom"/>
          </w:tcPr>
          <w:p>
            <w:pPr>
              <w:spacing w:after="0"/>
              <w:rPr>
                <w:sz w:val="16"/>
                <w:szCs w:val="16"/>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398"/>
        </w:trPr>
        <w:tc>
          <w:tcPr>
            <w:tcW w:w="2880" w:type="dxa"/>
            <w:vAlign w:val="bottom"/>
          </w:tcPr>
          <w:p>
            <w:pPr>
              <w:spacing w:after="0"/>
              <w:rPr>
                <w:sz w:val="24"/>
                <w:szCs w:val="24"/>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500 West Texas</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8"/>
              </w:rPr>
              <w:t>Suite 1200</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6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jc w:val="right"/>
              <w:ind w:right="1985"/>
              <w:spacing w:after="0"/>
              <w:rPr>
                <w:sz w:val="20"/>
                <w:szCs w:val="20"/>
                <w:color w:val="auto"/>
              </w:rPr>
            </w:pPr>
            <w:r>
              <w:rPr>
                <w:rFonts w:ascii="Times New Roman" w:cs="Times New Roman" w:eastAsia="Times New Roman" w:hAnsi="Times New Roman"/>
                <w:sz w:val="16"/>
                <w:szCs w:val="16"/>
                <w:b w:val="1"/>
                <w:bCs w:val="1"/>
                <w:color w:val="auto"/>
                <w:w w:val="94"/>
              </w:rPr>
              <w:t>79701</w:t>
            </w:r>
          </w:p>
        </w:tc>
      </w:tr>
      <w:tr>
        <w:trPr>
          <w:trHeight w:val="401"/>
        </w:trPr>
        <w:tc>
          <w:tcPr>
            <w:tcW w:w="4940" w:type="dxa"/>
            <w:vAlign w:val="bottom"/>
            <w:gridSpan w:val="3"/>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2"/>
          </w:tcPr>
          <w:p>
            <w:pPr>
              <w:jc w:val="center"/>
              <w:ind w:right="16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25"/>
        </w:trPr>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(432) 221-7400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0"/>
        </w:trPr>
        <w:tc>
          <w:tcPr>
            <w:tcW w:w="2880" w:type="dxa"/>
            <w:vAlign w:val="bottom"/>
          </w:tcPr>
          <w:p>
            <w:pPr>
              <w:spacing w:after="0"/>
              <w:rPr>
                <w:sz w:val="16"/>
                <w:szCs w:val="16"/>
                <w:color w:val="auto"/>
              </w:rPr>
            </w:pPr>
          </w:p>
        </w:tc>
        <w:tc>
          <w:tcPr>
            <w:tcW w:w="4440" w:type="dxa"/>
            <w:vAlign w:val="bottom"/>
            <w:gridSpan w:val="6"/>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310"/>
        </w:trPr>
        <w:tc>
          <w:tcPr>
            <w:tcW w:w="2880" w:type="dxa"/>
            <w:vAlign w:val="bottom"/>
          </w:tcPr>
          <w:p>
            <w:pPr>
              <w:spacing w:after="0"/>
              <w:rPr>
                <w:sz w:val="24"/>
                <w:szCs w:val="24"/>
                <w:color w:val="auto"/>
              </w:rPr>
            </w:pPr>
          </w:p>
        </w:tc>
        <w:tc>
          <w:tcPr>
            <w:tcW w:w="7180" w:type="dxa"/>
            <w:vAlign w:val="bottom"/>
            <w:gridSpan w:val="8"/>
          </w:tcPr>
          <w:p>
            <w:pPr>
              <w:jc w:val="center"/>
              <w:ind w:right="1625"/>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tc>
      </w:tr>
      <w:tr>
        <w:trPr>
          <w:trHeight w:val="280"/>
        </w:trPr>
        <w:tc>
          <w:tcPr>
            <w:tcW w:w="288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2880" w:type="dxa"/>
            <w:vAlign w:val="bottom"/>
          </w:tcPr>
          <w:p>
            <w:pPr>
              <w:spacing w:after="0"/>
              <w:rPr>
                <w:sz w:val="20"/>
                <w:szCs w:val="20"/>
                <w:color w:val="auto"/>
              </w:rPr>
            </w:pPr>
          </w:p>
        </w:tc>
        <w:tc>
          <w:tcPr>
            <w:tcW w:w="20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rPr>
              <w:t>Common Units</w:t>
            </w:r>
          </w:p>
        </w:tc>
        <w:tc>
          <w:tcPr>
            <w:tcW w:w="1960" w:type="dxa"/>
            <w:vAlign w:val="bottom"/>
            <w:gridSpan w:val="2"/>
          </w:tcPr>
          <w:p>
            <w:pPr>
              <w:jc w:val="center"/>
              <w:ind w:right="588"/>
              <w:spacing w:after="0"/>
              <w:rPr>
                <w:sz w:val="20"/>
                <w:szCs w:val="20"/>
                <w:color w:val="auto"/>
              </w:rPr>
            </w:pPr>
            <w:r>
              <w:rPr>
                <w:rFonts w:ascii="Times New Roman" w:cs="Times New Roman" w:eastAsia="Times New Roman" w:hAnsi="Times New Roman"/>
                <w:sz w:val="16"/>
                <w:szCs w:val="16"/>
                <w:color w:val="auto"/>
              </w:rPr>
              <w:t>VNOM</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2"/>
          </w:tcPr>
          <w:p>
            <w:pPr>
              <w:jc w:val="center"/>
              <w:ind w:right="225"/>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2"/>
          </w:tcPr>
          <w:p>
            <w:pPr>
              <w:jc w:val="center"/>
              <w:ind w:right="205"/>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70"/>
        </w:trPr>
        <w:tc>
          <w:tcPr>
            <w:tcW w:w="2880" w:type="dxa"/>
            <w:vAlign w:val="bottom"/>
          </w:tcPr>
          <w:p>
            <w:pPr>
              <w:spacing w:after="0"/>
              <w:rPr>
                <w:sz w:val="23"/>
                <w:szCs w:val="23"/>
                <w:color w:val="auto"/>
              </w:rPr>
            </w:pPr>
          </w:p>
        </w:tc>
        <w:tc>
          <w:tcPr>
            <w:tcW w:w="4720" w:type="dxa"/>
            <w:vAlign w:val="bottom"/>
            <w:gridSpan w:val="7"/>
          </w:tcPr>
          <w:p>
            <w:pPr>
              <w:jc w:val="center"/>
              <w:ind w:left="68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460" w:type="dxa"/>
            <w:vAlign w:val="bottom"/>
          </w:tcPr>
          <w:p>
            <w:pPr>
              <w:spacing w:after="0"/>
              <w:rPr>
                <w:sz w:val="23"/>
                <w:szCs w:val="23"/>
                <w:color w:val="auto"/>
              </w:rPr>
            </w:pPr>
          </w:p>
        </w:tc>
      </w:tr>
      <w:tr>
        <w:trPr>
          <w:trHeight w:val="216"/>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gridSpan w:val="2"/>
          </w:tcPr>
          <w:p>
            <w:pPr>
              <w:jc w:val="center"/>
              <w:ind w:right="528"/>
              <w:spacing w:after="0"/>
              <w:rPr>
                <w:sz w:val="20"/>
                <w:szCs w:val="20"/>
                <w:color w:val="auto"/>
              </w:rPr>
            </w:pPr>
            <w:r>
              <w:rPr>
                <w:rFonts w:ascii="Times New Roman" w:cs="Times New Roman" w:eastAsia="Times New Roman" w:hAnsi="Times New Roman"/>
                <w:sz w:val="16"/>
                <w:szCs w:val="16"/>
                <w:color w:val="auto"/>
              </w:rPr>
              <w:t>None.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70"/>
        </w:trPr>
        <w:tc>
          <w:tcPr>
            <w:tcW w:w="6900" w:type="dxa"/>
            <w:vAlign w:val="bottom"/>
            <w:gridSpan w:val="5"/>
          </w:tcPr>
          <w:p>
            <w:pPr>
              <w:jc w:val="center"/>
              <w:ind w:right="68"/>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246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69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jc w:val="center"/>
              <w:ind w:right="196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4" w:lineRule="exact"/>
        <w:rPr>
          <w:sz w:val="24"/>
          <w:szCs w:val="24"/>
          <w:color w:val="auto"/>
        </w:rPr>
      </w:pPr>
    </w:p>
    <w:p>
      <w:pPr>
        <w:jc w:val="both"/>
        <w:ind w:right="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2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2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76"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227" w:lineRule="auto"/>
        <w:rPr>
          <w:sz w:val="20"/>
          <w:szCs w:val="20"/>
          <w:color w:val="auto"/>
        </w:rPr>
      </w:pPr>
      <w:r>
        <w:rPr>
          <w:rFonts w:ascii="Times New Roman" w:cs="Times New Roman" w:eastAsia="Times New Roman" w:hAnsi="Times New Roman"/>
          <w:sz w:val="14"/>
          <w:szCs w:val="14"/>
          <w:color w:val="auto"/>
        </w:rPr>
        <w:t>The aggregate market value of the common units held by non-affiliates was approximately $691.5 million on June 30, 2020, the last business day of the registrant’s most recently completed second fiscal quarter, based on closing prices in the daily composite list for transactions on the Nasdaq Global Select Market on such date. As of February 19, 2021, 65,293,828 common units representing limited partner interests and 90,709,946 Class B units representing limited partner interests were outstanding.</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682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8237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171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60" w:type="dxa"/>
            <w:vAlign w:val="bottom"/>
          </w:tcPr>
          <w:p>
            <w:pPr>
              <w:spacing w:after="0"/>
              <w:rPr>
                <w:sz w:val="20"/>
                <w:szCs w:val="20"/>
                <w:color w:val="auto"/>
              </w:rPr>
            </w:pPr>
          </w:p>
        </w:tc>
        <w:tc>
          <w:tcPr>
            <w:tcW w:w="6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10560" w:type="dxa"/>
            <w:vAlign w:val="bottom"/>
            <w:tcBorders>
              <w:top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Glossary of Oil and Natural Gas Terms</w:t>
              </w:r>
            </w:hyperlink>
          </w:p>
        </w:tc>
        <w:tc>
          <w:tcPr>
            <w:tcW w:w="2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center"/>
              <w:ind w:right="200"/>
              <w:spacing w:after="0"/>
              <w:rPr>
                <w:rFonts w:ascii="Times New Roman" w:cs="Times New Roman" w:eastAsia="Times New Roman" w:hAnsi="Times New Roman"/>
                <w:sz w:val="18"/>
                <w:szCs w:val="18"/>
                <w:u w:val="single" w:color="auto"/>
                <w:color w:val="0000FF"/>
                <w:w w:val="99"/>
              </w:rPr>
            </w:pPr>
            <w:hyperlink w:anchor="page2">
              <w:r>
                <w:rPr>
                  <w:rFonts w:ascii="Times New Roman" w:cs="Times New Roman" w:eastAsia="Times New Roman" w:hAnsi="Times New Roman"/>
                  <w:sz w:val="18"/>
                  <w:szCs w:val="18"/>
                  <w:u w:val="single" w:color="auto"/>
                  <w:color w:val="0000FF"/>
                  <w:w w:val="99"/>
                </w:rPr>
                <w:t>ii</w:t>
              </w:r>
            </w:hyperlink>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Glossary of Certain Other Terms</w:t>
              </w:r>
            </w:hyperlink>
          </w:p>
        </w:tc>
        <w:tc>
          <w:tcPr>
            <w:tcW w:w="200" w:type="dxa"/>
            <w:vAlign w:val="bottom"/>
          </w:tcPr>
          <w:p>
            <w:pPr>
              <w:spacing w:after="0"/>
              <w:rPr>
                <w:sz w:val="19"/>
                <w:szCs w:val="19"/>
                <w:color w:val="auto"/>
              </w:rPr>
            </w:pPr>
          </w:p>
        </w:tc>
        <w:tc>
          <w:tcPr>
            <w:tcW w:w="460" w:type="dxa"/>
            <w:vAlign w:val="bottom"/>
            <w:gridSpan w:val="2"/>
          </w:tcPr>
          <w:p>
            <w:pPr>
              <w:jc w:val="center"/>
              <w:ind w:right="200"/>
              <w:spacing w:after="0"/>
              <w:rPr>
                <w:rFonts w:ascii="Times New Roman" w:cs="Times New Roman" w:eastAsia="Times New Roman" w:hAnsi="Times New Roman"/>
                <w:sz w:val="18"/>
                <w:szCs w:val="18"/>
                <w:u w:val="single" w:color="auto"/>
                <w:color w:val="0000FF"/>
                <w:w w:val="99"/>
              </w:rPr>
            </w:pPr>
            <w:hyperlink w:anchor="page4">
              <w:r>
                <w:rPr>
                  <w:rFonts w:ascii="Times New Roman" w:cs="Times New Roman" w:eastAsia="Times New Roman" w:hAnsi="Times New Roman"/>
                  <w:sz w:val="18"/>
                  <w:szCs w:val="18"/>
                  <w:u w:val="single" w:color="auto"/>
                  <w:color w:val="0000FF"/>
                  <w:w w:val="99"/>
                </w:rPr>
                <w:t>iv</w:t>
              </w:r>
            </w:hyperlink>
          </w:p>
        </w:tc>
        <w:tc>
          <w:tcPr>
            <w:tcW w:w="20" w:type="dxa"/>
            <w:vAlign w:val="bottom"/>
          </w:tcPr>
          <w:p>
            <w:pPr>
              <w:spacing w:after="0"/>
              <w:rPr>
                <w:sz w:val="19"/>
                <w:szCs w:val="19"/>
                <w:color w:val="auto"/>
              </w:rPr>
            </w:pPr>
          </w:p>
        </w:tc>
      </w:tr>
      <w:tr>
        <w:trPr>
          <w:trHeight w:val="229"/>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Cautionary Statement Regarding Forward-Looking Statements</w:t>
              </w:r>
            </w:hyperlink>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20"/>
              <w:spacing w:after="0"/>
              <w:rPr>
                <w:rFonts w:ascii="Times New Roman" w:cs="Times New Roman" w:eastAsia="Times New Roman" w:hAnsi="Times New Roman"/>
                <w:sz w:val="18"/>
                <w:szCs w:val="18"/>
                <w:u w:val="single" w:color="auto"/>
                <w:color w:val="0000FF"/>
                <w:w w:val="88"/>
              </w:rPr>
            </w:pPr>
            <w:hyperlink w:anchor="page5">
              <w:r>
                <w:rPr>
                  <w:rFonts w:ascii="Times New Roman" w:cs="Times New Roman" w:eastAsia="Times New Roman" w:hAnsi="Times New Roman"/>
                  <w:sz w:val="18"/>
                  <w:szCs w:val="18"/>
                  <w:u w:val="single" w:color="auto"/>
                  <w:color w:val="0000FF"/>
                  <w:w w:val="88"/>
                </w:rPr>
                <w:t>v</w:t>
              </w:r>
            </w:hyperlink>
          </w:p>
        </w:tc>
        <w:tc>
          <w:tcPr>
            <w:tcW w:w="20" w:type="dxa"/>
            <w:vAlign w:val="bottom"/>
          </w:tcPr>
          <w:p>
            <w:pPr>
              <w:spacing w:after="0"/>
              <w:rPr>
                <w:sz w:val="19"/>
                <w:szCs w:val="19"/>
                <w:color w:val="auto"/>
              </w:rPr>
            </w:pPr>
          </w:p>
        </w:tc>
      </w:tr>
      <w:tr>
        <w:trPr>
          <w:trHeight w:val="270"/>
        </w:trPr>
        <w:tc>
          <w:tcPr>
            <w:tcW w:w="10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0560" w:type="dxa"/>
            <w:vAlign w:val="bottom"/>
            <w:shd w:val="clear" w:color="auto" w:fill="CCEEFF"/>
          </w:tcPr>
          <w:p>
            <w:pPr>
              <w:jc w:val="center"/>
              <w:ind w:left="570"/>
              <w:spacing w:after="0"/>
              <w:rPr>
                <w:rFonts w:ascii="Times New Roman" w:cs="Times New Roman" w:eastAsia="Times New Roman" w:hAnsi="Times New Roman"/>
                <w:sz w:val="18"/>
                <w:szCs w:val="18"/>
                <w:b w:val="1"/>
                <w:bCs w:val="1"/>
                <w:u w:val="single" w:color="auto"/>
                <w:color w:val="0000FF"/>
                <w:w w:val="95"/>
              </w:rPr>
            </w:pPr>
            <w:hyperlink w:anchor="page7">
              <w:r>
                <w:rPr>
                  <w:rFonts w:ascii="Times New Roman" w:cs="Times New Roman" w:eastAsia="Times New Roman" w:hAnsi="Times New Roman"/>
                  <w:sz w:val="18"/>
                  <w:szCs w:val="18"/>
                  <w:b w:val="1"/>
                  <w:bCs w:val="1"/>
                  <w:u w:val="single" w:color="auto"/>
                  <w:color w:val="0000FF"/>
                  <w:w w:val="95"/>
                </w:rPr>
                <w:t>PART I</w:t>
              </w:r>
            </w:hyperlink>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Items 1 and 2. Business and Properties</w:t>
              </w:r>
            </w:hyperlink>
          </w:p>
        </w:tc>
        <w:tc>
          <w:tcPr>
            <w:tcW w:w="440" w:type="dxa"/>
            <w:vAlign w:val="bottom"/>
            <w:gridSpan w:val="2"/>
          </w:tcPr>
          <w:p>
            <w:pPr>
              <w:jc w:val="center"/>
              <w:ind w:left="110"/>
              <w:spacing w:after="0"/>
              <w:rPr>
                <w:rFonts w:ascii="Times New Roman" w:cs="Times New Roman" w:eastAsia="Times New Roman" w:hAnsi="Times New Roman"/>
                <w:sz w:val="18"/>
                <w:szCs w:val="18"/>
                <w:u w:val="single" w:color="auto"/>
                <w:color w:val="0000FF"/>
                <w:w w:val="88"/>
              </w:rPr>
            </w:pPr>
            <w:hyperlink w:anchor="page8">
              <w:r>
                <w:rPr>
                  <w:rFonts w:ascii="Times New Roman" w:cs="Times New Roman" w:eastAsia="Times New Roman" w:hAnsi="Times New Roman"/>
                  <w:sz w:val="18"/>
                  <w:szCs w:val="18"/>
                  <w:u w:val="single" w:color="auto"/>
                  <w:color w:val="0000FF"/>
                  <w:w w:val="88"/>
                </w:rPr>
                <w:t>1</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Item 1A. Risk Factors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22">
              <w:r>
                <w:rPr>
                  <w:rFonts w:ascii="Times New Roman" w:cs="Times New Roman" w:eastAsia="Times New Roman" w:hAnsi="Times New Roman"/>
                  <w:sz w:val="18"/>
                  <w:szCs w:val="18"/>
                  <w:u w:val="single" w:color="auto"/>
                  <w:color w:val="0000FF"/>
                  <w:w w:val="99"/>
                </w:rPr>
                <w:t>16</w:t>
              </w:r>
            </w:hyperlink>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1B. Unresolved Staff Comments</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30</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3. Legal Proceedings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30</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4. Mine Safety Disclosures</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30</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0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0560" w:type="dxa"/>
            <w:vAlign w:val="bottom"/>
          </w:tcPr>
          <w:p>
            <w:pPr>
              <w:jc w:val="center"/>
              <w:ind w:left="570"/>
              <w:spacing w:after="0"/>
              <w:rPr>
                <w:rFonts w:ascii="Times New Roman" w:cs="Times New Roman" w:eastAsia="Times New Roman" w:hAnsi="Times New Roman"/>
                <w:sz w:val="18"/>
                <w:szCs w:val="18"/>
                <w:b w:val="1"/>
                <w:bCs w:val="1"/>
                <w:u w:val="single" w:color="auto"/>
                <w:color w:val="0000FF"/>
                <w:w w:val="97"/>
              </w:rPr>
            </w:pPr>
            <w:hyperlink w:anchor="page37">
              <w:r>
                <w:rPr>
                  <w:rFonts w:ascii="Times New Roman" w:cs="Times New Roman" w:eastAsia="Times New Roman" w:hAnsi="Times New Roman"/>
                  <w:sz w:val="18"/>
                  <w:szCs w:val="18"/>
                  <w:b w:val="1"/>
                  <w:bCs w:val="1"/>
                  <w:u w:val="single" w:color="auto"/>
                  <w:color w:val="0000FF"/>
                  <w:w w:val="97"/>
                </w:rPr>
                <w:t>PART II</w:t>
              </w:r>
            </w:hyperlink>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Item 5. Market for Registrant's Common Equity, Related Unitholder Matters and Issuer Purchases of Equity Securities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31</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Item 6. Selected Financial Data</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31</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Item 7. Management's Discussion and Analysis of Financial Condition and Results of Operations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32</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Item 7A. Quantitative and Qualitative Disclosures about Market Risk</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51">
              <w:r>
                <w:rPr>
                  <w:rFonts w:ascii="Times New Roman" w:cs="Times New Roman" w:eastAsia="Times New Roman" w:hAnsi="Times New Roman"/>
                  <w:sz w:val="18"/>
                  <w:szCs w:val="18"/>
                  <w:u w:val="single" w:color="auto"/>
                  <w:color w:val="0000FF"/>
                  <w:w w:val="99"/>
                </w:rPr>
                <w:t>44</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8. Financial Statements and Supplementary Data</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45</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9. Changes in and Disagreements with Accountants on Accounting and Financial Disclosure</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45</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9A. Controls and Procedures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46</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9B. Other Information</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49</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0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0560" w:type="dxa"/>
            <w:vAlign w:val="bottom"/>
          </w:tcPr>
          <w:p>
            <w:pPr>
              <w:jc w:val="center"/>
              <w:ind w:left="570"/>
              <w:spacing w:after="0"/>
              <w:rPr>
                <w:rFonts w:ascii="Times New Roman" w:cs="Times New Roman" w:eastAsia="Times New Roman" w:hAnsi="Times New Roman"/>
                <w:sz w:val="18"/>
                <w:szCs w:val="18"/>
                <w:b w:val="1"/>
                <w:bCs w:val="1"/>
                <w:u w:val="single" w:color="auto"/>
                <w:color w:val="0000FF"/>
                <w:w w:val="99"/>
              </w:rPr>
            </w:pPr>
            <w:hyperlink w:anchor="page56">
              <w:r>
                <w:rPr>
                  <w:rFonts w:ascii="Times New Roman" w:cs="Times New Roman" w:eastAsia="Times New Roman" w:hAnsi="Times New Roman"/>
                  <w:sz w:val="18"/>
                  <w:szCs w:val="18"/>
                  <w:b w:val="1"/>
                  <w:bCs w:val="1"/>
                  <w:u w:val="single" w:color="auto"/>
                  <w:color w:val="0000FF"/>
                  <w:w w:val="99"/>
                </w:rPr>
                <w:t>PART III</w:t>
              </w:r>
            </w:hyperlink>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10. Directors, Executive Officers and Corporate Governance</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49</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Item 11. Executive Compensation</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54</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Item 12. Security Ownership of Certain Beneficial Owners and Management and Related Unitholder Matters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64">
              <w:r>
                <w:rPr>
                  <w:rFonts w:ascii="Times New Roman" w:cs="Times New Roman" w:eastAsia="Times New Roman" w:hAnsi="Times New Roman"/>
                  <w:sz w:val="18"/>
                  <w:szCs w:val="18"/>
                  <w:u w:val="single" w:color="auto"/>
                  <w:color w:val="0000FF"/>
                  <w:w w:val="99"/>
                </w:rPr>
                <w:t>57</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Item 13. Certain Relationships and Related Transactions, and Director Independence</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68">
              <w:r>
                <w:rPr>
                  <w:rFonts w:ascii="Times New Roman" w:cs="Times New Roman" w:eastAsia="Times New Roman" w:hAnsi="Times New Roman"/>
                  <w:sz w:val="18"/>
                  <w:szCs w:val="18"/>
                  <w:u w:val="single" w:color="auto"/>
                  <w:color w:val="0000FF"/>
                  <w:w w:val="99"/>
                </w:rPr>
                <w:t>62</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Item 14. Principal Accountant Fees and Services</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70">
              <w:r>
                <w:rPr>
                  <w:rFonts w:ascii="Times New Roman" w:cs="Times New Roman" w:eastAsia="Times New Roman" w:hAnsi="Times New Roman"/>
                  <w:sz w:val="18"/>
                  <w:szCs w:val="18"/>
                  <w:u w:val="single" w:color="auto"/>
                  <w:color w:val="0000FF"/>
                  <w:w w:val="99"/>
                </w:rPr>
                <w:t>63</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0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0560" w:type="dxa"/>
            <w:vAlign w:val="bottom"/>
            <w:shd w:val="clear" w:color="auto" w:fill="CCEEFF"/>
          </w:tcPr>
          <w:p>
            <w:pPr>
              <w:jc w:val="center"/>
              <w:ind w:left="570"/>
              <w:spacing w:after="0"/>
              <w:rPr>
                <w:rFonts w:ascii="Times New Roman" w:cs="Times New Roman" w:eastAsia="Times New Roman" w:hAnsi="Times New Roman"/>
                <w:sz w:val="18"/>
                <w:szCs w:val="18"/>
                <w:b w:val="1"/>
                <w:bCs w:val="1"/>
                <w:u w:val="single" w:color="auto"/>
                <w:color w:val="0000FF"/>
                <w:w w:val="95"/>
              </w:rPr>
            </w:pPr>
            <w:hyperlink w:anchor="page71">
              <w:r>
                <w:rPr>
                  <w:rFonts w:ascii="Times New Roman" w:cs="Times New Roman" w:eastAsia="Times New Roman" w:hAnsi="Times New Roman"/>
                  <w:sz w:val="18"/>
                  <w:szCs w:val="18"/>
                  <w:b w:val="1"/>
                  <w:bCs w:val="1"/>
                  <w:u w:val="single" w:color="auto"/>
                  <w:color w:val="0000FF"/>
                  <w:w w:val="95"/>
                </w:rPr>
                <w:t>PART IV</w:t>
              </w:r>
            </w:hyperlink>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tcPr>
          <w:p>
            <w:pPr>
              <w:ind w:left="2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Item 15. Exhibits and Financial Statement Schedules</w:t>
              </w:r>
            </w:hyperlink>
          </w:p>
        </w:tc>
        <w:tc>
          <w:tcPr>
            <w:tcW w:w="44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99"/>
              </w:rPr>
            </w:pPr>
            <w:hyperlink w:anchor="page72">
              <w:r>
                <w:rPr>
                  <w:rFonts w:ascii="Times New Roman" w:cs="Times New Roman" w:eastAsia="Times New Roman" w:hAnsi="Times New Roman"/>
                  <w:sz w:val="18"/>
                  <w:szCs w:val="18"/>
                  <w:u w:val="single" w:color="auto"/>
                  <w:color w:val="0000FF"/>
                  <w:w w:val="99"/>
                </w:rPr>
                <w:t>65</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Item 16. Form 10-K Summary</w:t>
              </w:r>
            </w:hyperlink>
          </w:p>
        </w:tc>
        <w:tc>
          <w:tcPr>
            <w:tcW w:w="440" w:type="dxa"/>
            <w:vAlign w:val="bottom"/>
            <w:gridSpan w:val="2"/>
            <w:shd w:val="clear" w:color="auto" w:fill="CCEEFF"/>
          </w:tcPr>
          <w:p>
            <w:pPr>
              <w:jc w:val="center"/>
              <w:ind w:left="130"/>
              <w:spacing w:after="0"/>
              <w:rPr>
                <w:rFonts w:ascii="Times New Roman" w:cs="Times New Roman" w:eastAsia="Times New Roman" w:hAnsi="Times New Roman"/>
                <w:sz w:val="18"/>
                <w:szCs w:val="18"/>
                <w:u w:val="single" w:color="auto"/>
                <w:color w:val="0000FF"/>
                <w:w w:val="99"/>
              </w:rPr>
            </w:pPr>
            <w:hyperlink w:anchor="page74">
              <w:r>
                <w:rPr>
                  <w:rFonts w:ascii="Times New Roman" w:cs="Times New Roman" w:eastAsia="Times New Roman" w:hAnsi="Times New Roman"/>
                  <w:sz w:val="18"/>
                  <w:szCs w:val="18"/>
                  <w:u w:val="single" w:color="auto"/>
                  <w:color w:val="0000FF"/>
                  <w:w w:val="99"/>
                </w:rPr>
                <w:t>67</w:t>
              </w:r>
            </w:hyperlink>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1056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Signatures</w:t>
              </w:r>
            </w:hyperlink>
          </w:p>
        </w:tc>
        <w:tc>
          <w:tcPr>
            <w:tcW w:w="200" w:type="dxa"/>
            <w:vAlign w:val="bottom"/>
          </w:tcPr>
          <w:p>
            <w:pPr>
              <w:spacing w:after="0"/>
              <w:rPr>
                <w:sz w:val="16"/>
                <w:szCs w:val="16"/>
                <w:color w:val="auto"/>
              </w:rPr>
            </w:pPr>
          </w:p>
        </w:tc>
        <w:tc>
          <w:tcPr>
            <w:tcW w:w="460" w:type="dxa"/>
            <w:vAlign w:val="bottom"/>
            <w:gridSpan w:val="2"/>
          </w:tcPr>
          <w:p>
            <w:pPr>
              <w:jc w:val="center"/>
              <w:ind w:right="220"/>
              <w:spacing w:after="0" w:line="189" w:lineRule="exact"/>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S-</w:t>
            </w:r>
            <w:hyperlink w:anchor="page74">
              <w:r>
                <w:rPr>
                  <w:rFonts w:ascii="Times New Roman" w:cs="Times New Roman" w:eastAsia="Times New Roman" w:hAnsi="Times New Roman"/>
                  <w:sz w:val="18"/>
                  <w:szCs w:val="18"/>
                  <w:color w:val="0000FF"/>
                  <w:w w:val="95"/>
                </w:rPr>
                <w:t>1</w:t>
              </w:r>
            </w:hyperlink>
          </w:p>
        </w:tc>
        <w:tc>
          <w:tcPr>
            <w:tcW w:w="20" w:type="dxa"/>
            <w:vAlign w:val="bottom"/>
          </w:tcPr>
          <w:p>
            <w:pPr>
              <w:spacing w:after="0"/>
              <w:rPr>
                <w:sz w:val="16"/>
                <w:szCs w:val="16"/>
                <w:color w:val="auto"/>
              </w:rPr>
            </w:pPr>
          </w:p>
        </w:tc>
      </w:tr>
      <w:tr>
        <w:trPr>
          <w:trHeight w:val="1472"/>
        </w:trPr>
        <w:tc>
          <w:tcPr>
            <w:tcW w:w="10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GLOSSARY OF OIL AND NATURAL GAS TERMS</w:t>
      </w:r>
    </w:p>
    <w:p>
      <w:pPr>
        <w:spacing w:after="0" w:line="1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glossary of certain oil and natural gas industry terms used in this Annual Report on Form 10-K (the “Annual Report” or this “report”):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3-D seismic</w:t>
            </w:r>
          </w:p>
        </w:tc>
        <w:tc>
          <w:tcPr>
            <w:tcW w:w="87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Geophysical data that depict the subsurface strata in three dimensions. 3-D seismic typically provides a more detailed and</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accurate interpretation of the subsurface strata than 2-D, or two-dimensional, seismic.</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Basin</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 large depression on the earth’s surface in which sediments accumulate.</w:t>
            </w:r>
          </w:p>
        </w:tc>
      </w:tr>
      <w:tr>
        <w:trPr>
          <w:trHeight w:val="3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Bbl or barrel</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One stock tank barrel, or 42 U.S. gallons liquid volume, used in this report in reference to crude oil or other liquid</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hydrocarbons.</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BOE</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One barrel of crude oil equivalent, with six thousand cubic feet of natural gas being equivalent to one barrel of oil.</w:t>
            </w:r>
          </w:p>
        </w:tc>
      </w:tr>
      <w:tr>
        <w:trPr>
          <w:trHeight w:val="37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BOE/d</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Barrels of oil equivalent per day.</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British Thermal Unit or Btu</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quantity of heat required to raise the temperature of one pound of water by one degree Fahrenheit.</w:t>
            </w:r>
          </w:p>
        </w:tc>
      </w:tr>
      <w:tr>
        <w:trPr>
          <w:trHeight w:val="3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Completion</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The process of treating a drilled well followed by the installation of permanent equipment for the production of natural gas</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or oil, or in the case of a dry hole, the reporting of abandonment to the appropriate agency.</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Condensate</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Liquid hydrocarbons associated with the production that is primarily natural gas.</w:t>
            </w:r>
          </w:p>
        </w:tc>
      </w:tr>
      <w:tr>
        <w:trPr>
          <w:trHeight w:val="37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Liquid hydrocarbons retrieved from geological structures underground to be refined into fuel sources.</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Deterministic method</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method of estimating reserves or resources under which a single value for each parameter (from the geoscience,</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engineering or economic data) in the reserves calculation is used in the reserves estimation procedure.</w:t>
            </w:r>
          </w:p>
        </w:tc>
      </w:tr>
      <w:tr>
        <w:trPr>
          <w:trHeight w:val="37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acreage</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Acreage allocated or assignable to productive wells.</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costs</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 costs incurred in the acquisition, exploitation and exploration of proved oil and natural gas reserves.</w:t>
            </w:r>
          </w:p>
        </w:tc>
      </w:tr>
      <w:tr>
        <w:trPr>
          <w:trHeight w:val="3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well</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 well drilled within the proved area of a natural gas or oil reservoir to the depth of a stratigraphic horizon known to be</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productive.</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Differential</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 adjustment to the price of oil or natural gas from an established spot market price to reflect differences in the quality</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and/or location of oil or natural gas.</w:t>
            </w:r>
          </w:p>
        </w:tc>
      </w:tr>
      <w:tr>
        <w:trPr>
          <w:trHeight w:val="3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Dry hole or dry well</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 well found to be incapable of producing hydrocarbons in sufficient quantities such that proceeds from the sale of such</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production exceed production expenses and taxes.</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Exploitation</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 development or other project which may target proven or unproven reserves (such as probable or possible reserves), but</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which generally has a lower risk than that associated with exploration projects.</w:t>
            </w:r>
          </w:p>
        </w:tc>
      </w:tr>
      <w:tr>
        <w:trPr>
          <w:trHeight w:val="3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 area consisting of either a single reservoir or multiple reservoirs, all grouped on or related to the same individual</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geological structural feature and/or stratigraphic condition.</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Finding and development costs</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Capital costs incurred in the acquisition, exploitation and exploration of proved oil and natural gas reserves divided by</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proved reserve additions and revisions to proved reserves.</w:t>
            </w:r>
          </w:p>
        </w:tc>
      </w:tr>
      <w:tr>
        <w:trPr>
          <w:trHeight w:val="3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Fracturing</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The process of creating and preserving a fracture or system of fractures in a reservoir rock typically by injecting a fluid</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under pressure through a wellbore and into the targeted formation.</w:t>
            </w:r>
          </w:p>
        </w:tc>
      </w:tr>
      <w:tr>
        <w:trPr>
          <w:trHeight w:val="37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acres or gross wells</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total acres or wells, as the case may be, in which a working interest is owned.</w:t>
            </w:r>
          </w:p>
        </w:tc>
      </w:tr>
      <w:tr>
        <w:trPr>
          <w:trHeight w:val="3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Horizontal drilling</w:t>
            </w:r>
          </w:p>
        </w:tc>
        <w:tc>
          <w:tcPr>
            <w:tcW w:w="8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 drilling technique used in certain formations where a well is drilled vertically to a certain depth and then drilled at a right</w:t>
            </w: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angle with a specified interval.</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Horizontal wells</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Wells drilled directionally horizontal to allow for development of structures not reachable through traditional vertical</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drilling mechanisms.</w:t>
            </w:r>
          </w:p>
        </w:tc>
      </w:tr>
      <w:tr>
        <w:trPr>
          <w:trHeight w:val="37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MBbls</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Thousand barrels of crude oil or other liquid hydrocarbons.</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MBOE</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One thousand barrels of crude oil equivalent, determined using a ratio of six Mcf of natural gas to one Bbl of crude oil,</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condensate or natural gas liquids.</w:t>
            </w:r>
          </w:p>
        </w:tc>
      </w:tr>
      <w:tr>
        <w:trPr>
          <w:trHeight w:val="37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Mcf</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One thousand cubic feet of natural gas.</w:t>
            </w:r>
          </w:p>
        </w:tc>
      </w:tr>
      <w:tr>
        <w:trPr>
          <w:trHeight w:val="324"/>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Mineral interests</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interests in ownership of the resource and mineral rights, giving an owner the right to profit from the extracted</w:t>
            </w: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resources.</w:t>
            </w:r>
          </w:p>
        </w:tc>
      </w:tr>
      <w:tr>
        <w:trPr>
          <w:trHeight w:val="37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MMBtu</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One million British Thermal Units.</w:t>
            </w:r>
          </w:p>
        </w:tc>
      </w:tr>
      <w:tr>
        <w:trPr>
          <w:trHeight w:val="376"/>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MMcf</w:t>
            </w:r>
          </w:p>
        </w:tc>
        <w:tc>
          <w:tcPr>
            <w:tcW w:w="87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Million cubic feet of natural gas.</w:t>
            </w:r>
          </w:p>
        </w:tc>
      </w:tr>
    </w:tbl>
    <w:p>
      <w:pPr>
        <w:spacing w:after="0" w:line="200" w:lineRule="exact"/>
        <w:rPr>
          <w:sz w:val="20"/>
          <w:szCs w:val="20"/>
          <w:color w:val="auto"/>
        </w:rPr>
      </w:pPr>
    </w:p>
    <w:p>
      <w:pPr>
        <w:sectPr>
          <w:pgSz w:w="11900" w:h="16838" w:orient="portrait"/>
          <w:cols w:equalWidth="0" w:num="1">
            <w:col w:w="11240"/>
          </w:cols>
          <w:pgMar w:left="320" w:top="121" w:right="339" w:bottom="283"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83"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royalty acres</w:t>
            </w:r>
          </w:p>
        </w:tc>
        <w:tc>
          <w:tcPr>
            <w:tcW w:w="8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acreage multiplied by the average royalty interest.</w:t>
            </w:r>
          </w:p>
        </w:tc>
      </w:tr>
      <w:tr>
        <w:trPr>
          <w:trHeight w:val="377"/>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Oil and natural gas properties</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Tracts of land consisting of properties to be developed for oil and natural gas resource extraction.</w:t>
            </w:r>
          </w:p>
        </w:tc>
      </w:tr>
      <w:tr>
        <w:trPr>
          <w:trHeight w:val="37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Operator</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The individual or company responsible for the exploration and/or production of an oil or natural gas well or lease.</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Play</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 set of discovered or prospective oil and/or natural gas accumulations sharing similar geologic, geographic and temporal</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properties, such as source rock, reservoir structure, timing, trapping mechanism and hydrocarbon type.</w:t>
            </w:r>
          </w:p>
        </w:tc>
      </w:tr>
      <w:tr>
        <w:trPr>
          <w:trHeight w:val="3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Plugging and abandonment</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Refers to the sealing off of fluids in the strata penetrated by a well so that the fluids from one stratum will not escape into</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another or to the surface. Regulations of all states require plugging of abandoned wells.</w:t>
            </w:r>
          </w:p>
        </w:tc>
      </w:tr>
      <w:tr>
        <w:trPr>
          <w:trHeight w:val="377"/>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PUD</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Proved undeveloped.</w:t>
            </w:r>
          </w:p>
        </w:tc>
      </w:tr>
      <w:tr>
        <w:trPr>
          <w:trHeight w:val="3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Productive well</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 well that is found to be capable of producing hydrocarbons in sufficient quantities such that proceeds from the sale of the</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production exceed production expenses and taxes.</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Prospect</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 specific geographic area which, based on supporting geological, geophysical or other data and also preliminary economic</w:t>
            </w:r>
          </w:p>
        </w:tc>
      </w:tr>
      <w:tr>
        <w:trPr>
          <w:trHeight w:val="162"/>
        </w:trPr>
        <w:tc>
          <w:tcPr>
            <w:tcW w:w="2380" w:type="dxa"/>
            <w:vAlign w:val="bottom"/>
          </w:tcPr>
          <w:p>
            <w:pPr>
              <w:spacing w:after="0"/>
              <w:rPr>
                <w:sz w:val="14"/>
                <w:szCs w:val="14"/>
                <w:color w:val="auto"/>
              </w:rPr>
            </w:pPr>
          </w:p>
        </w:tc>
        <w:tc>
          <w:tcPr>
            <w:tcW w:w="8840" w:type="dxa"/>
            <w:vAlign w:val="bottom"/>
          </w:tcPr>
          <w:p>
            <w:pPr>
              <w:ind w:left="340"/>
              <w:spacing w:after="0" w:line="162" w:lineRule="exact"/>
              <w:rPr>
                <w:sz w:val="20"/>
                <w:szCs w:val="20"/>
                <w:color w:val="auto"/>
              </w:rPr>
            </w:pPr>
            <w:r>
              <w:rPr>
                <w:rFonts w:ascii="Times New Roman" w:cs="Times New Roman" w:eastAsia="Times New Roman" w:hAnsi="Times New Roman"/>
                <w:sz w:val="17"/>
                <w:szCs w:val="17"/>
                <w:color w:val="auto"/>
              </w:rPr>
              <w:t>analysis using reasonably anticipated prices and costs, is deemed to have potential for the discovery of commercial</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hydrocarbons.</w:t>
            </w:r>
          </w:p>
        </w:tc>
      </w:tr>
      <w:tr>
        <w:trPr>
          <w:trHeight w:val="3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Proved developed reserves</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Reserves that can be expected to be recovered through existing wells with existing equipment and operating methods.</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Proved reserves</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estimated quantities of oil, natural gas and natural gas liquids which geological and engineering data demonstrate with</w:t>
            </w:r>
          </w:p>
        </w:tc>
      </w:tr>
      <w:tr>
        <w:trPr>
          <w:trHeight w:val="162"/>
        </w:trPr>
        <w:tc>
          <w:tcPr>
            <w:tcW w:w="2380" w:type="dxa"/>
            <w:vAlign w:val="bottom"/>
          </w:tcPr>
          <w:p>
            <w:pPr>
              <w:spacing w:after="0"/>
              <w:rPr>
                <w:sz w:val="14"/>
                <w:szCs w:val="14"/>
                <w:color w:val="auto"/>
              </w:rPr>
            </w:pPr>
          </w:p>
        </w:tc>
        <w:tc>
          <w:tcPr>
            <w:tcW w:w="8840" w:type="dxa"/>
            <w:vAlign w:val="bottom"/>
          </w:tcPr>
          <w:p>
            <w:pPr>
              <w:ind w:left="340"/>
              <w:spacing w:after="0" w:line="162" w:lineRule="exact"/>
              <w:rPr>
                <w:sz w:val="20"/>
                <w:szCs w:val="20"/>
                <w:color w:val="auto"/>
              </w:rPr>
            </w:pPr>
            <w:r>
              <w:rPr>
                <w:rFonts w:ascii="Times New Roman" w:cs="Times New Roman" w:eastAsia="Times New Roman" w:hAnsi="Times New Roman"/>
                <w:sz w:val="17"/>
                <w:szCs w:val="17"/>
                <w:color w:val="auto"/>
              </w:rPr>
              <w:t>reasonable certainty to be commercially recoverable in future years from known reservoirs under existing economic and</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conditions.</w:t>
            </w:r>
          </w:p>
        </w:tc>
      </w:tr>
      <w:tr>
        <w:trPr>
          <w:trHeight w:val="3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Proved undeveloped reserves</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Proved reserves that are expected to be recovered from new wells on undrilled acreage or from existing wells where a</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relatively major expenditure is required for recompletion.</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Recompletion</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process of re-entering an existing wellbore that is either producing or not producing and completing new reservoirs in</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 attempt to establish or increase existing production.</w:t>
            </w:r>
          </w:p>
        </w:tc>
      </w:tr>
      <w:tr>
        <w:trPr>
          <w:trHeight w:val="3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Reserves</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Reserves are estimated remaining quantities of oil and natural gas and related substances anticipated to be economically</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producible, as of a given date, by application of development projects to known accumulations. In addition, there must</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exist, or there must be a reasonable expectation that there will exist, the legal right to produce or a revenue interest in the</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production, installed means of delivering oil and natural gas or related substances to the market and all permits and</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financing required to implement the project. Reserves should not be assigned to adjacent reservoirs isolated by major,</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potentially sealing, faults until those reservoirs are penetrated and evaluated as economically producible. Reserves should</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not be assigned to areas that are clearly separated from a known accumulation by a non-productive reservoir (i.e., absence</w:t>
            </w:r>
          </w:p>
        </w:tc>
      </w:tr>
      <w:tr>
        <w:trPr>
          <w:trHeight w:val="162"/>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7"/>
                <w:szCs w:val="17"/>
                <w:color w:val="auto"/>
              </w:rPr>
              <w:t>of reservoir, structurally low reservoir or negative test results). Such areas may contain prospective resources (i.e.,</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potentially recoverable resources from undiscovered accumulations).</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Reservoir</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 porous and permeable underground formation containing a natural accumulation of producible natural gas and/or crude</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oil that is confined by impermeable rock or water barriers and is separate from other reservoirs.</w:t>
            </w:r>
          </w:p>
        </w:tc>
      </w:tr>
      <w:tr>
        <w:trPr>
          <w:trHeight w:val="3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Resource play</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 set of discovered or prospective oil and/or natural gas accumulations sharing similar geologic, geographic and temporal</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properties, such as source rock, reservoir structure, timing, trapping mechanism and hydrocarbon type.</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Royalty interest</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 interest that gives an owner the right to receive a portion of the resources or revenues without having to carry any costs</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 development, which may be subject to expiration.</w:t>
            </w:r>
          </w:p>
        </w:tc>
      </w:tr>
      <w:tr>
        <w:trPr>
          <w:trHeight w:val="3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Spacing</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The distance between wells producing from the same reservoir. Spacing is often expressed in terms of acres (e.g., 40-acre</w:t>
            </w:r>
          </w:p>
        </w:tc>
      </w:tr>
      <w:tr>
        <w:trPr>
          <w:trHeight w:val="216"/>
        </w:trPr>
        <w:tc>
          <w:tcPr>
            <w:tcW w:w="2380" w:type="dxa"/>
            <w:vAlign w:val="bottom"/>
            <w:shd w:val="clear" w:color="auto" w:fill="CCEEFF"/>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spacing) and is often established by regulatory agencies.</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Standardized measure</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present value of estimated future net revenue to be generated from the production of proved reserves, determined in</w:t>
            </w:r>
          </w:p>
        </w:tc>
      </w:tr>
      <w:tr>
        <w:trPr>
          <w:trHeight w:val="162"/>
        </w:trPr>
        <w:tc>
          <w:tcPr>
            <w:tcW w:w="2380" w:type="dxa"/>
            <w:vAlign w:val="bottom"/>
          </w:tcPr>
          <w:p>
            <w:pPr>
              <w:spacing w:after="0"/>
              <w:rPr>
                <w:sz w:val="14"/>
                <w:szCs w:val="14"/>
                <w:color w:val="auto"/>
              </w:rPr>
            </w:pPr>
          </w:p>
        </w:tc>
        <w:tc>
          <w:tcPr>
            <w:tcW w:w="8840" w:type="dxa"/>
            <w:vAlign w:val="bottom"/>
          </w:tcPr>
          <w:p>
            <w:pPr>
              <w:ind w:left="340"/>
              <w:spacing w:after="0" w:line="162" w:lineRule="exact"/>
              <w:rPr>
                <w:sz w:val="20"/>
                <w:szCs w:val="20"/>
                <w:color w:val="auto"/>
              </w:rPr>
            </w:pPr>
            <w:r>
              <w:rPr>
                <w:rFonts w:ascii="Times New Roman" w:cs="Times New Roman" w:eastAsia="Times New Roman" w:hAnsi="Times New Roman"/>
                <w:sz w:val="17"/>
                <w:szCs w:val="17"/>
                <w:color w:val="auto"/>
              </w:rPr>
              <w:t>accordance with the rules and regulations of the SEC (using prices and costs in effect as of the date of estimation), less</w:t>
            </w:r>
          </w:p>
        </w:tc>
      </w:tr>
      <w:tr>
        <w:trPr>
          <w:trHeight w:val="162"/>
        </w:trPr>
        <w:tc>
          <w:tcPr>
            <w:tcW w:w="2380" w:type="dxa"/>
            <w:vAlign w:val="bottom"/>
          </w:tcPr>
          <w:p>
            <w:pPr>
              <w:spacing w:after="0"/>
              <w:rPr>
                <w:sz w:val="14"/>
                <w:szCs w:val="14"/>
                <w:color w:val="auto"/>
              </w:rPr>
            </w:pPr>
          </w:p>
        </w:tc>
        <w:tc>
          <w:tcPr>
            <w:tcW w:w="8840" w:type="dxa"/>
            <w:vAlign w:val="bottom"/>
          </w:tcPr>
          <w:p>
            <w:pPr>
              <w:ind w:left="340"/>
              <w:spacing w:after="0" w:line="162" w:lineRule="exact"/>
              <w:rPr>
                <w:sz w:val="20"/>
                <w:szCs w:val="20"/>
                <w:color w:val="auto"/>
              </w:rPr>
            </w:pPr>
            <w:r>
              <w:rPr>
                <w:rFonts w:ascii="Times New Roman" w:cs="Times New Roman" w:eastAsia="Times New Roman" w:hAnsi="Times New Roman"/>
                <w:sz w:val="17"/>
                <w:szCs w:val="17"/>
                <w:color w:val="auto"/>
              </w:rPr>
              <w:t>future development, production and income tax expenses, and discounted at 10% per annum to reflect the timing of future</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revenue.</w:t>
            </w:r>
          </w:p>
        </w:tc>
      </w:tr>
      <w:tr>
        <w:trPr>
          <w:trHeight w:val="3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Tight formation</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 formation with low permeability that produces natural gas with very low flow rates for long periods of time.</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Undeveloped acreage</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Lease acreage on which wells have not been drilled or completed to a point that would permit the production of economic</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quantities of oil and natural gas regardless of whether such acreage contains proved reserves.</w:t>
            </w:r>
          </w:p>
        </w:tc>
      </w:tr>
      <w:tr>
        <w:trPr>
          <w:trHeight w:val="3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Wellbore</w:t>
            </w: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The hole drilled by the bit that is equipped for oil or natural gas production on a completed well.</w:t>
            </w:r>
          </w:p>
        </w:tc>
      </w:tr>
      <w:tr>
        <w:trPr>
          <w:trHeight w:val="324"/>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interest</w:t>
            </w: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 operating interest that gives the owner the right to drill, produce and conduct operating activities on the property and</w:t>
            </w:r>
          </w:p>
        </w:tc>
      </w:tr>
      <w:tr>
        <w:trPr>
          <w:trHeight w:val="216"/>
        </w:trPr>
        <w:tc>
          <w:tcPr>
            <w:tcW w:w="238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receive a share of production and requires the owner to pay a share of the costs of drilling and production operations.</w:t>
            </w:r>
          </w:p>
        </w:tc>
      </w:tr>
      <w:tr>
        <w:trPr>
          <w:trHeight w:val="377"/>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WTI</w:t>
            </w:r>
          </w:p>
        </w:tc>
        <w:tc>
          <w:tcPr>
            <w:tcW w:w="88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West Texas Intermediate.</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8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other terms used in this report:</w:t>
            </w:r>
          </w:p>
        </w:tc>
      </w:tr>
      <w:tr>
        <w:trPr>
          <w:trHeight w:val="122"/>
        </w:trPr>
        <w:tc>
          <w:tcPr>
            <w:tcW w:w="22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r>
      <w:tr>
        <w:trPr>
          <w:trHeight w:val="38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Act</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Delaware Revised Uniform Limited Partnership Act.</w:t>
            </w:r>
          </w:p>
        </w:tc>
      </w:tr>
      <w:tr>
        <w:trPr>
          <w:trHeight w:val="39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39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Diamondback E&amp;P LLC</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 subsidiary of Diamondback.</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 Environmental Protection Agency.</w:t>
            </w:r>
          </w:p>
        </w:tc>
      </w:tr>
      <w:tr>
        <w:trPr>
          <w:trHeight w:val="39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39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39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3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the general partner of the Partnership and a</w:t>
            </w:r>
          </w:p>
        </w:tc>
      </w:tr>
      <w:tr>
        <w:trPr>
          <w:trHeight w:val="230"/>
        </w:trPr>
        <w:tc>
          <w:tcPr>
            <w:tcW w:w="2260" w:type="dxa"/>
            <w:vAlign w:val="bottom"/>
          </w:tcPr>
          <w:p>
            <w:pPr>
              <w:spacing w:after="0"/>
              <w:rPr>
                <w:sz w:val="19"/>
                <w:szCs w:val="19"/>
                <w:color w:val="auto"/>
              </w:rPr>
            </w:pP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wholly-owned subsidiary of Diamondback.</w:t>
            </w:r>
          </w:p>
        </w:tc>
      </w:tr>
      <w:tr>
        <w:trPr>
          <w:trHeight w:val="39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partnership’s initial public offering of common units.</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33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Company</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consolidated subsidiary of Viper Energy</w:t>
            </w:r>
          </w:p>
        </w:tc>
      </w:tr>
      <w:tr>
        <w:trPr>
          <w:trHeight w:val="229"/>
        </w:trPr>
        <w:tc>
          <w:tcPr>
            <w:tcW w:w="2260" w:type="dxa"/>
            <w:vAlign w:val="bottom"/>
            <w:shd w:val="clear" w:color="auto" w:fill="CCEEFF"/>
          </w:tcPr>
          <w:p>
            <w:pPr>
              <w:spacing w:after="0"/>
              <w:rPr>
                <w:sz w:val="19"/>
                <w:szCs w:val="19"/>
                <w:color w:val="auto"/>
              </w:rPr>
            </w:pP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Partners LP.</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33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agreement</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second amended and restated agreement of limited partnership, dated as of May 9, 2018, as amended as of May</w:t>
            </w:r>
          </w:p>
        </w:tc>
      </w:tr>
      <w:tr>
        <w:trPr>
          <w:trHeight w:val="230"/>
        </w:trPr>
        <w:tc>
          <w:tcPr>
            <w:tcW w:w="2260" w:type="dxa"/>
            <w:vAlign w:val="bottom"/>
            <w:shd w:val="clear" w:color="auto" w:fill="CCEEFF"/>
          </w:tcPr>
          <w:p>
            <w:pPr>
              <w:spacing w:after="0"/>
              <w:rPr>
                <w:sz w:val="19"/>
                <w:szCs w:val="19"/>
                <w:color w:val="auto"/>
              </w:rPr>
            </w:pP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10, 2018.</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Ryder Scott</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Ryder Scott Company, L.P.</w:t>
            </w:r>
          </w:p>
        </w:tc>
      </w:tr>
      <w:tr>
        <w:trPr>
          <w:trHeight w:val="39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Notes</w:t>
            </w:r>
          </w:p>
        </w:tc>
        <w:tc>
          <w:tcPr>
            <w:tcW w:w="8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$500.0 million in aggregate principal amount of 5.375% Senior Notes due 2027 issued on October 16, 2019.</w:t>
            </w:r>
          </w:p>
        </w:tc>
      </w:tr>
      <w:tr>
        <w:trPr>
          <w:trHeight w:val="392"/>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Wells Fargo</w:t>
            </w:r>
          </w:p>
        </w:tc>
        <w:tc>
          <w:tcPr>
            <w:tcW w:w="8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Various statements contained in this Annual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Annual Report, the words “could,” “believe,” “anticipate,” “intend,” “estimate,” “expect,” “may,” “continue,” “predict,” “potential,” “project,” and similar expressions are intended to identify forward-looking statements, although not all forward-looking statements contain such identifying words.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statements about:</w:t>
      </w:r>
    </w:p>
    <w:p>
      <w:pPr>
        <w:spacing w:after="0" w:line="198" w:lineRule="exact"/>
        <w:rPr>
          <w:sz w:val="20"/>
          <w:szCs w:val="20"/>
          <w:color w:val="auto"/>
        </w:rPr>
      </w:pPr>
    </w:p>
    <w:p>
      <w:pPr>
        <w:ind w:left="1220" w:right="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realized oil and natural gas prices and the extent and duration of price reductions and increased production by the Organization of the Petroleum Exporting Countries, or OPEC, members and other oil exporting nations;</w:t>
      </w:r>
    </w:p>
    <w:p>
      <w:pPr>
        <w:spacing w:after="0" w:line="54" w:lineRule="exact"/>
        <w:rPr>
          <w:rFonts w:ascii="Times New Roman" w:cs="Times New Roman" w:eastAsia="Times New Roman" w:hAnsi="Times New Roman"/>
          <w:sz w:val="18"/>
          <w:szCs w:val="18"/>
          <w:color w:val="auto"/>
        </w:rPr>
      </w:pPr>
    </w:p>
    <w:p>
      <w:pPr>
        <w:jc w:val="both"/>
        <w:ind w:left="1220" w:hanging="321"/>
        <w:spacing w:after="0" w:line="23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occurrence, potential duration or other implications of epidemic or pandemic diseases, including the ongoing COVID-19 pandemic, any government responses thereto and logistical challenges and the supply chain disruptions during the ongoing COVID-19 pandemic;</w:t>
      </w:r>
    </w:p>
    <w:p>
      <w:pPr>
        <w:spacing w:after="0" w:line="64" w:lineRule="exact"/>
        <w:rPr>
          <w:rFonts w:ascii="Times New Roman" w:cs="Times New Roman" w:eastAsia="Times New Roman" w:hAnsi="Times New Roman"/>
          <w:sz w:val="18"/>
          <w:szCs w:val="18"/>
          <w:color w:val="auto"/>
        </w:rPr>
      </w:pPr>
    </w:p>
    <w:p>
      <w:pPr>
        <w:ind w:left="1220" w:hanging="321"/>
        <w:spacing w:after="0" w:line="23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conditions of the U.S. oil and natural gas industry and the effect of U.S. energy, monetary and trade policies;</w:t>
      </w:r>
    </w:p>
    <w:p>
      <w:pPr>
        <w:spacing w:after="0" w:line="5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and our ability to obtain capital on favorable terms or at all;</w:t>
      </w:r>
    </w:p>
    <w:p>
      <w:pPr>
        <w:spacing w:after="0" w:line="76" w:lineRule="exact"/>
        <w:rPr>
          <w:rFonts w:ascii="Times New Roman" w:cs="Times New Roman" w:eastAsia="Times New Roman" w:hAnsi="Times New Roman"/>
          <w:sz w:val="18"/>
          <w:szCs w:val="18"/>
          <w:color w:val="auto"/>
        </w:rPr>
      </w:pPr>
    </w:p>
    <w:p>
      <w:pPr>
        <w:ind w:left="1220" w:hanging="321"/>
        <w:spacing w:after="0" w:line="23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economic conditions and political and economic developments, including the effects of the recent U.S. presidential and congressional elections on energy and environmental policies;</w:t>
      </w:r>
    </w:p>
    <w:p>
      <w:pPr>
        <w:spacing w:after="0" w:line="7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and financial strategies;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production on our properties;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reduced drilling activity on our exploration and development drilling prospects, inventories, projects and programs;</w:t>
      </w:r>
    </w:p>
    <w:p>
      <w:pPr>
        <w:spacing w:after="0" w:line="90" w:lineRule="exact"/>
        <w:rPr>
          <w:rFonts w:ascii="Times New Roman" w:cs="Times New Roman" w:eastAsia="Times New Roman" w:hAnsi="Times New Roman"/>
          <w:sz w:val="18"/>
          <w:szCs w:val="18"/>
          <w:color w:val="auto"/>
        </w:rPr>
      </w:pPr>
    </w:p>
    <w:p>
      <w:pPr>
        <w:ind w:left="1220" w:hanging="321"/>
        <w:spacing w:after="0" w:line="237"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delays or interruptions of production, and any government order, rule or regulation that may impose production limits on properties in which we have mineral and royalty interest;</w:t>
      </w:r>
    </w:p>
    <w:p>
      <w:pPr>
        <w:spacing w:after="0" w:line="212"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third party operators on our mineral and royalty acreage;</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replace our oil and natural gas reserves;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effectively integrate acquisitions of properties or businesses;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operators to obtain capital or financing needed for development and exploration operations;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defects in the properties in which we invest;</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identified drilling locations and estimates of reserves;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cost of rigs, equipment, raw materials, supplies, oilfield services or personnel to our operators;</w:t>
      </w:r>
    </w:p>
    <w:p>
      <w:pPr>
        <w:spacing w:after="0" w:line="90" w:lineRule="exact"/>
        <w:rPr>
          <w:rFonts w:ascii="Times New Roman" w:cs="Times New Roman" w:eastAsia="Times New Roman" w:hAnsi="Times New Roman"/>
          <w:sz w:val="18"/>
          <w:szCs w:val="18"/>
          <w:color w:val="auto"/>
        </w:rPr>
      </w:pPr>
    </w:p>
    <w:p>
      <w:pPr>
        <w:ind w:left="1220" w:right="20" w:hanging="321"/>
        <w:spacing w:after="0" w:line="313"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extreme weather conditions, including the recent severe winter storms in the Permian Basin, on production volumes on our mineral and royalty acreage;</w:t>
      </w: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transportation, pipeline and storage facilities;</w:t>
      </w:r>
    </w:p>
    <w:p>
      <w:pPr>
        <w:spacing w:after="0" w:line="63"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operators to comply with applicable governmental laws and regulations and to obtain permits and governmental approvals;</w:t>
      </w:r>
    </w:p>
    <w:p>
      <w:pPr>
        <w:spacing w:after="0" w:line="54" w:lineRule="exact"/>
        <w:rPr>
          <w:rFonts w:ascii="Times New Roman" w:cs="Times New Roman" w:eastAsia="Times New Roman" w:hAnsi="Times New Roman"/>
          <w:sz w:val="18"/>
          <w:szCs w:val="18"/>
          <w:color w:val="auto"/>
        </w:rPr>
      </w:pPr>
    </w:p>
    <w:p>
      <w:pPr>
        <w:ind w:left="1220" w:right="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 regulations;</w:t>
      </w:r>
    </w:p>
    <w:p>
      <w:pPr>
        <w:spacing w:after="0" w:line="8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results;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distributions to eligible unitholders;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potential impairment charges;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hazards faced by our operators;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operators to keep pace with technological advancements;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terrorist attacks and cyber threats;</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future litigation; and</w:t>
      </w:r>
    </w:p>
    <w:p>
      <w:pPr>
        <w:spacing w:after="0" w:line="36"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factors discussed elsewhere in this report.</w:t>
      </w:r>
    </w:p>
    <w:p>
      <w:pPr>
        <w:spacing w:after="0" w:line="2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References in this Annual Report to (i) “Viper Energy Partners,” “Viper,” “the Partnership,” “our partnership,” “we,” “our,” “us” or like terms refer to Viper Energy Partners LP individually and collectively with its subsidiary, Viper Energy Partners LLC, as the context requires; (ii) “our general partner” refers to Viper Energy Partners GP LLC, our general partner and a wholly owned subsidiary of Diamondback Energy, Inc.; and (iii) the “Operating Company” or “OpCo” refers to Viper Energy Partners LLC, and (iv) “Diamondback” refers collectively to Diamondback Energy, Inc. and its subsidiaries other than the Partnership and its subsidiary.</w:t>
      </w:r>
    </w:p>
    <w:p>
      <w:pPr>
        <w:spacing w:after="0" w:line="20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ITEMS 1 and 2.</w:t>
      </w:r>
      <w:r>
        <w:rPr>
          <w:sz w:val="20"/>
          <w:szCs w:val="20"/>
          <w:color w:val="auto"/>
        </w:rPr>
        <w:tab/>
      </w:r>
      <w:r>
        <w:rPr>
          <w:rFonts w:ascii="Times New Roman" w:cs="Times New Roman" w:eastAsia="Times New Roman" w:hAnsi="Times New Roman"/>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publicly traded Delaware limited partnership formed by Diamondback to own and acquire mineral and royalty interests in oil and natural gas properties primarily in the Permian Basin. Since May 10, 2018, we have been treated as a corporation for U.S. federal income tax purposes.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business objective is to provide an attractive return to our unitholders by focusing on business results, generating robust free cash flow, reducing debt and protecting our balance sheet, while maintaining a best-in-class cost structure. Our initial assets consisted of mineral interests in oil and natural gas properties in the Permian Basin in West Texas, substantially all of which are leased to working interest owners who bear the costs of operation and development. Diamondback contributed these assets to us upon the closing of our IPO on June 23, 2014.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Diamondback, we are currently focused primarily on oil and natural gas properties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our assets consisted of mineral interests underlying 787,264 gross acres and 24,350 net royalty acres in the Permian Basin and Eagle Ford Shale. Diamondback is the operator of approximately 52% of this acreage. As of December 31, 2020, there were 7,167 wells producing on this acreage, of which Diamondback was the operator of 1,694 wells. Net production during the fourth quarter of 2020 was approximately 27,699 BOE/d and net production for the year ended December 31, 2020 averaged 26,551 BOE/d. For the years ended December 31, 2020, 2019 and 2018, royalty revenue generated from these mineral interests was $247.0 million, $293.8 million and $282.7 million, respectively.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proved oil and natural gas reserves of our assets, as of December 31, 2020, were 99,392 MBOE based on a reserve report prepared by Ryder Scott, our independent reserve engineers. Of these reserves, approximately 73% were classified as proved developed producing reserves. Proved undeveloped, or PUD, reserves included in this estimate were from 426 gross horizontal well locations. As of December 31, 2020, our proved reserves were approximately 58% oil, 22% natural gas liquids and 20% natural gas.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Diamondback</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our general partner had a 100% general partner interest in us, and Diamondback owned 731,500 common units and beneficially owned all of our 90,709,946 outstanding Class B units, representing approximately 58% of our total units outstanding. Diamondback also owns and controls our general partner. We believe that the properties held by Diamondback include properties that have, or with additional development will have, production and reserves characteristics that could make them attractive for inclusion in our partnership. We believe Diamondback’s significant ownership in us will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Diamondback views our partnership as part of its business strategy and that Diamondback will be incentivized to pursue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addition, neither we, the Operating Company nor our general partner has any employees. Diamondback provides management, operating and </w:t>
      </w:r>
      <w:hyperlink w:anchor="page38">
        <w:r>
          <w:rPr>
            <w:rFonts w:ascii="Times New Roman" w:cs="Times New Roman" w:eastAsia="Times New Roman" w:hAnsi="Times New Roman"/>
            <w:sz w:val="18"/>
            <w:szCs w:val="18"/>
            <w:color w:val="auto"/>
          </w:rPr>
          <w:t>administrative services to us and our general partner. Please read “</w:t>
        </w:r>
        <w:r>
          <w:rPr>
            <w:rFonts w:ascii="Times New Roman" w:cs="Times New Roman" w:eastAsia="Times New Roman" w:hAnsi="Times New Roman"/>
            <w:sz w:val="18"/>
            <w:szCs w:val="18"/>
            <w:u w:val="single" w:color="auto"/>
            <w:color w:val="0000FF"/>
          </w:rPr>
          <w:t>Item 7. Management’s Discussion and Analysis of Financial Condition and Results of</w:t>
        </w:r>
      </w:hyperlink>
      <w:r>
        <w:rPr>
          <w:rFonts w:ascii="Times New Roman" w:cs="Times New Roman" w:eastAsia="Times New Roman" w:hAnsi="Times New Roman"/>
          <w:sz w:val="18"/>
          <w:szCs w:val="18"/>
          <w:color w:val="auto"/>
        </w:rPr>
        <w:t xml:space="preserve"> </w:t>
      </w:r>
      <w:hyperlink w:anchor="page38">
        <w:r>
          <w:rPr>
            <w:rFonts w:ascii="Times New Roman" w:cs="Times New Roman" w:eastAsia="Times New Roman" w:hAnsi="Times New Roman"/>
            <w:sz w:val="18"/>
            <w:szCs w:val="18"/>
            <w:u w:val="single" w:color="auto"/>
            <w:color w:val="0000FF"/>
          </w:rPr>
          <w:t>Operations</w:t>
        </w:r>
        <w:r>
          <w:rPr>
            <w:rFonts w:ascii="Times New Roman" w:cs="Times New Roman" w:eastAsia="Times New Roman" w:hAnsi="Times New Roman"/>
            <w:sz w:val="18"/>
            <w:szCs w:val="18"/>
            <w:color w:val="000000"/>
          </w:rPr>
          <w:t>” and the</w:t>
        </w:r>
        <w:r>
          <w:rPr>
            <w:rFonts w:ascii="Times New Roman" w:cs="Times New Roman" w:eastAsia="Times New Roman" w:hAnsi="Times New Roman"/>
            <w:sz w:val="18"/>
            <w:szCs w:val="18"/>
            <w:color w:val="0000FF"/>
          </w:rPr>
          <w:t xml:space="preserve"> </w:t>
        </w:r>
      </w:hyperlink>
      <w:hyperlink w:anchor="page77">
        <w:r>
          <w:rPr>
            <w:rFonts w:ascii="Times New Roman" w:cs="Times New Roman" w:eastAsia="Times New Roman" w:hAnsi="Times New Roman"/>
            <w:sz w:val="18"/>
            <w:szCs w:val="18"/>
            <w:u w:val="single" w:color="auto"/>
            <w:color w:val="0000FF"/>
          </w:rPr>
          <w:t xml:space="preserve">consolidated financial statements </w:t>
        </w:r>
      </w:hyperlink>
      <w:hyperlink w:anchor="page38">
        <w:r>
          <w:rPr>
            <w:rFonts w:ascii="Times New Roman" w:cs="Times New Roman" w:eastAsia="Times New Roman" w:hAnsi="Times New Roman"/>
            <w:sz w:val="18"/>
            <w:szCs w:val="18"/>
            <w:color w:val="000000"/>
          </w:rPr>
          <w:t>and related notes, each of which is included elsewhere in this report.</w:t>
        </w:r>
      </w:hyperlink>
    </w:p>
    <w:p>
      <w:pPr>
        <w:spacing w:after="0" w:line="199"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56" w:lineRule="exact"/>
        <w:rPr>
          <w:rFonts w:ascii="Times New Roman" w:cs="Times New Roman" w:eastAsia="Times New Roman" w:hAnsi="Times New Roman"/>
          <w:sz w:val="18"/>
          <w:szCs w:val="18"/>
          <w:color w:val="0000FF"/>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primary business objective is to provide an attractive return to unitholders by focusing on business results, generating robust free cash flow, reducing debt and protecting our balance sheet, while maintaining a best-in-class cost structure. We intend to accomplish this objective by executing the following strategies:</w:t>
      </w:r>
    </w:p>
    <w:p>
      <w:pPr>
        <w:spacing w:after="0" w:line="200" w:lineRule="exact"/>
        <w:rPr>
          <w:rFonts w:ascii="Times New Roman" w:cs="Times New Roman" w:eastAsia="Times New Roman" w:hAnsi="Times New Roman"/>
          <w:sz w:val="18"/>
          <w:szCs w:val="18"/>
          <w:color w:val="0000FF"/>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the development of the properties underlying our mineral interests to grow our cash flow</w:t>
      </w:r>
      <w:r>
        <w:rPr>
          <w:rFonts w:ascii="Times New Roman" w:cs="Times New Roman" w:eastAsia="Times New Roman" w:hAnsi="Times New Roman"/>
          <w:sz w:val="18"/>
          <w:szCs w:val="18"/>
          <w:color w:val="auto"/>
        </w:rPr>
        <w:t>. Our assets primarily consist of mineral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the Permian Basin and the Eagle Ford Shale in Texas. We expect the production from our mineral interests will increase as Diamondback and our other operators continue to drill and develop our acreage. We expect to capitalize on this development, which requires no capital expenditure funding from us, and believe the anticipated increase in our aggregate royalty payment receipts will enable us to grow our cash flows.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our relationship with Diamondback to participate with it in acquisitions of mineral or other interests in producing properties from third parties and to increase the size and scope of our potential third-party acquisition targets</w:t>
      </w:r>
      <w:r>
        <w:rPr>
          <w:rFonts w:ascii="Times New Roman" w:cs="Times New Roman" w:eastAsia="Times New Roman" w:hAnsi="Times New Roman"/>
          <w:sz w:val="18"/>
          <w:szCs w:val="18"/>
          <w:color w:val="auto"/>
        </w:rPr>
        <w:t>. We have in the past and intend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opportunistic acquisitions of mineral interests that have substantial oil-weighted resource potential and organic growth potential. Diamondback was formed, in part, to acquire and develop oil and natural gas properties, some of which will likely meet our acquisition criteria. In addition, Diamondback’s executives have an established track record of evaluating, pursuing and consummating oil and natural gas property acquisitions in North America. Through our relationships with Diamondback and its affiliates, we have access to their significant pool of management talent and industry relationships, which we believe provide us with a competitive advantage in pursuing potential third-party acquisition opportunities. We may have additional opportunities to work jointly with Diamondback to pursue certain acquisitions of mineral or other interests in oil and natural gas properties from third parties. For example, we and Diamondback may jointly pursue an acquisition where we would acquire mineral or other interests in properties and Diamondback would acquire the remaining working and revenue interests in such properties. We believe this arrangement may give us access to third-party acquisition opportunities that we would not otherwise be in a position to pursue.</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Seek to acquire from Diamondback, from time to time, mineral or other interests in producing oil and natural gas properties that meet our acquisition criteria</w:t>
      </w:r>
      <w:r>
        <w:rPr>
          <w:rFonts w:ascii="Times New Roman" w:cs="Times New Roman" w:eastAsia="Times New Roman" w:hAnsi="Times New Roman"/>
          <w:sz w:val="18"/>
          <w:szCs w:val="18"/>
          <w:color w:val="auto"/>
        </w:rPr>
        <w:t>. Since our formation, we have acquired, and may have additional opportunities from time to time in the future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mineral or other interests in producing oil and natural gas properties directly from Diamondback. We believe Diamondback may be incentivized to sell properties to us, as doing so may enhance Diamondback’s economic returns by monetizing long-lived producing properties while potentially retaining a portion of the resulting cash flow through distributions on Diamondback’s limited partner interests in us. However, none of Diamondback or any of its affiliates is contractually obligated to offer or sell any interests in properties to us.</w:t>
      </w:r>
    </w:p>
    <w:p>
      <w:pPr>
        <w:spacing w:after="0" w:line="209"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High-grading our asset base. </w:t>
      </w:r>
      <w:r>
        <w:rPr>
          <w:rFonts w:ascii="Times New Roman" w:cs="Times New Roman" w:eastAsia="Times New Roman" w:hAnsi="Times New Roman"/>
          <w:sz w:val="18"/>
          <w:szCs w:val="18"/>
          <w:color w:val="auto"/>
        </w:rPr>
        <w:t>We intend to continue to high-grade our asset base and selectively divest non-core minerals with limited optionality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 amount negotiated exceeds our projected total value and, then redeploy proceeds into our core areas of focus.</w:t>
      </w:r>
    </w:p>
    <w:p>
      <w:pPr>
        <w:spacing w:after="0" w:line="18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 conservative capital structure to allow financial flexibility. </w:t>
      </w:r>
      <w:r>
        <w:rPr>
          <w:rFonts w:ascii="Times New Roman" w:cs="Times New Roman" w:eastAsia="Times New Roman" w:hAnsi="Times New Roman"/>
          <w:sz w:val="18"/>
          <w:szCs w:val="18"/>
          <w:color w:val="auto"/>
        </w:rPr>
        <w:t>Since our formation, we have maintained a conservative capital 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has allowed us to opportunistically purchase accretive mineral and other interests. We are committed to maintaining a conservative leverage profile, and will continue to seek to opportunistically fund accretive acquisitions. We intend to continue to repay debt using free cash flow to ensure our ability to successfully operate in challenging business and commodity price environments.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Hedging to manage commodity price risk and to protect our balance sheet and cash flow</w:t>
      </w:r>
      <w:r>
        <w:rPr>
          <w:rFonts w:ascii="Times New Roman" w:cs="Times New Roman" w:eastAsia="Times New Roman" w:hAnsi="Times New Roman"/>
          <w:sz w:val="18"/>
          <w:szCs w:val="18"/>
          <w:color w:val="auto"/>
        </w:rPr>
        <w:t>. We use a combination of derivative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fixed price swap contracts, fixed price basis swap contracts, three-way costless collars and both outright put and call options to economically hedge exposure to changes in commodity prices and maintain financial and balance sheet flexibility.</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39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will allow us to successfully execute our business strategies and achieve our primary business objective:</w:t>
      </w:r>
    </w:p>
    <w:p>
      <w:pPr>
        <w:spacing w:after="0" w:line="185"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Oil rich resource base in one of North America’s leading resource plays</w:t>
      </w:r>
      <w:r>
        <w:rPr>
          <w:rFonts w:ascii="Times New Roman" w:cs="Times New Roman" w:eastAsia="Times New Roman" w:hAnsi="Times New Roman"/>
          <w:sz w:val="18"/>
          <w:szCs w:val="18"/>
          <w:color w:val="auto"/>
        </w:rPr>
        <w:t>. The majority of the acreage underlying our mineral interests is located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one of the most prolific oil plays in North America, the Permian Basin in West Texas. As of December 31, 2020, 165 horizontal drilling rigs were operating in the Permian Basin, representing 55% of the total U.S. onshore horizontal rig activity. The majority of our current properties is well positioned in the core of both the Midland and Delaware Basins. Production on our properties for the year ended December 31, 2020 was approximately 61% oil, 19% natural gas liquids and 20% natural gas. As of December 31, 2020, our estimated net proved reserves were comprised of approximately 58% oil, 22% natural gas liquids and 20% natural gas.</w:t>
      </w:r>
    </w:p>
    <w:p>
      <w:pPr>
        <w:spacing w:after="0" w:line="209" w:lineRule="exact"/>
        <w:rPr>
          <w:rFonts w:ascii="Times New Roman" w:cs="Times New Roman" w:eastAsia="Times New Roman" w:hAnsi="Times New Roman"/>
          <w:sz w:val="18"/>
          <w:szCs w:val="18"/>
          <w:color w:val="auto"/>
        </w:rPr>
      </w:pPr>
    </w:p>
    <w:p>
      <w:pPr>
        <w:jc w:val="both"/>
        <w:ind w:left="700" w:right="80" w:hanging="328"/>
        <w:spacing w:after="0" w:line="259" w:lineRule="auto"/>
        <w:tabs>
          <w:tab w:leader="none" w:pos="6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Sustainable, high margin business unburdened by capital expenses with minimal operating expenses. </w:t>
      </w:r>
      <w:r>
        <w:rPr>
          <w:rFonts w:ascii="Times New Roman" w:cs="Times New Roman" w:eastAsia="Times New Roman" w:hAnsi="Times New Roman"/>
          <w:sz w:val="18"/>
          <w:szCs w:val="18"/>
          <w:color w:val="231F20"/>
        </w:rPr>
        <w:t>Our mineral and royalty interests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provide us cash flows without the requirement to fund drilling and completion costs or lease operating expenses. Our operating costs consist of certain royalty taxes, gathering, processing and transportation costs and general and administrative expenses, providing us with a low cost structure and high operating margins that generate increasing free cash flow growth in a stable or rising price environment as the underlying production associated with our royalty interests continues to grow.</w:t>
      </w:r>
    </w:p>
    <w:p>
      <w:pPr>
        <w:spacing w:after="0" w:line="206" w:lineRule="exact"/>
        <w:rPr>
          <w:rFonts w:ascii="Times New Roman" w:cs="Times New Roman" w:eastAsia="Times New Roman" w:hAnsi="Times New Roman"/>
          <w:sz w:val="18"/>
          <w:szCs w:val="18"/>
          <w:color w:val="auto"/>
        </w:rPr>
      </w:pPr>
    </w:p>
    <w:p>
      <w:pPr>
        <w:jc w:val="both"/>
        <w:ind w:left="700" w:right="80" w:hanging="328"/>
        <w:spacing w:after="0" w:line="259" w:lineRule="auto"/>
        <w:tabs>
          <w:tab w:leader="none" w:pos="6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Experienced and proven management team</w:t>
      </w:r>
      <w:r>
        <w:rPr>
          <w:rFonts w:ascii="Times New Roman" w:cs="Times New Roman" w:eastAsia="Times New Roman" w:hAnsi="Times New Roman"/>
          <w:sz w:val="18"/>
          <w:szCs w:val="18"/>
          <w:color w:val="231F20"/>
        </w:rPr>
        <w:t>. The members of our executive team have an average of over 25 years of industry experience, most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which has been focused on resource play development in the Permian Basin. This team has a proven track record of executing on multi-rig development drilling programs and extensive experience in the Permian Basin. In addition, our executive team has significant experience with property acquisition. We expect to benefit from the industry relationships of the management team. We believe the experience of our management team is essential for the execution of our business strategy.</w:t>
      </w:r>
    </w:p>
    <w:p>
      <w:pPr>
        <w:spacing w:after="0" w:line="219" w:lineRule="exact"/>
        <w:rPr>
          <w:rFonts w:ascii="Times New Roman" w:cs="Times New Roman" w:eastAsia="Times New Roman" w:hAnsi="Times New Roman"/>
          <w:sz w:val="18"/>
          <w:szCs w:val="18"/>
          <w:color w:val="auto"/>
        </w:rPr>
      </w:pPr>
    </w:p>
    <w:p>
      <w:pPr>
        <w:jc w:val="both"/>
        <w:ind w:left="700" w:right="80" w:hanging="328"/>
        <w:spacing w:after="0" w:line="257" w:lineRule="auto"/>
        <w:tabs>
          <w:tab w:leader="none" w:pos="6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Favorable and stable operating environment. </w:t>
      </w:r>
      <w:r>
        <w:rPr>
          <w:rFonts w:ascii="Times New Roman" w:cs="Times New Roman" w:eastAsia="Times New Roman" w:hAnsi="Times New Roman"/>
          <w:sz w:val="18"/>
          <w:szCs w:val="18"/>
          <w:color w:val="231F20"/>
        </w:rPr>
        <w:t>We primarily focus our growth in the Permian Basin, one of the oldest, most prolific hydrocarbon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basins in the United States, with a long and well-established production history and developed infrastructure. With over 350,000 wells drilled in the Permian Basin since the 1940s, we believe that the geological and regulatory environment is more stable and predictable, and that we are faced with fewer operational risks, in the Permian Basin as compared to emerging hydrocarbon basins. We believe that the impact of the proven application of new technology, combined with the substantial geological information available about the Permian Basin, also reduces the risk of development and exploration activities as compared to emerging hydrocarbon basins.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Data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Proved Reserves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and Review of Reserves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historical reserve estimates as of December 31, 2020, 2019 and 2018 were prepared by Ryder Scott.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2020 were estimated using a deterministic method.</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quantities of recoverable oil and natural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Approximately 90%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10%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214" w:lineRule="exact"/>
        <w:rPr>
          <w:sz w:val="20"/>
          <w:szCs w:val="20"/>
          <w:color w:val="auto"/>
        </w:rPr>
      </w:pPr>
    </w:p>
    <w:p>
      <w:pPr>
        <w:jc w:val="both"/>
        <w:ind w:firstLine="648"/>
        <w:spacing w:after="0" w:line="253" w:lineRule="auto"/>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auto"/>
          </w:rPr>
          <w:t>The process of estimating oil, natural gas and natural gas liquids reserves is complex and requires significant judgment, as discussed in “</w:t>
        </w:r>
        <w:r>
          <w:rPr>
            <w:rFonts w:ascii="Times New Roman" w:cs="Times New Roman" w:eastAsia="Times New Roman" w:hAnsi="Times New Roman"/>
            <w:sz w:val="18"/>
            <w:szCs w:val="18"/>
            <w:u w:val="single" w:color="auto"/>
            <w:color w:val="0000FF"/>
          </w:rPr>
          <w:t>Item 1A.</w:t>
        </w:r>
      </w:hyperlink>
      <w:r>
        <w:rPr>
          <w:rFonts w:ascii="Times New Roman" w:cs="Times New Roman" w:eastAsia="Times New Roman" w:hAnsi="Times New Roman"/>
          <w:sz w:val="18"/>
          <w:szCs w:val="18"/>
          <w:color w:val="auto"/>
        </w:rPr>
        <w:t xml:space="preserve"> </w:t>
      </w:r>
      <w:hyperlink w:anchor="page22">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000000"/>
          </w:rPr>
          <w:t>” of this report. As a result, our petroleum engineers and geoscience professionals work closely with our independent reserve engineers to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The Executive Vice President– Reservoir Engineering of our general partner is primarily responsible for overseeing the preparation of all of our reserve estimates. The Executive Vice President–Reservoir Engineering of our general partner is a petroleum engineer with over 30 years of reservoir and operations experience and our geoscience staff has an average of approximately 20 years of industry experience per person. Our technical staff uses historical information for our properties such as ownership interest, oil and natural gas production, well test data, commodity prices and operating and development costs.</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verification of historical production data, which data is based on actual production as reported by our operators;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reserve estimates by the Executive Vice President–Reservoir Engineering of our general partner or under his direct supervision;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by the Executive Vice President–Reservoir Engineering of our general partner of all of our reported proved reserves at the close of each quarter, including the review of all significant reserve changes and all new proved undeveloped reserves additions;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reporting responsibilities by the Executive Vice President–Reservoir Engineering of our general partner to the Chief Executive Officer of our general partner;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property ownership by our land department;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employee’s compensation is tied to the amount of reserves booked.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estimated net proved oil and natural gas reserves as of December 31, 2020, 2019 and 2018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tcBorders>
              <w:bottom w:val="single" w:sz="8" w:color="auto"/>
            </w:tcBorders>
          </w:tcPr>
          <w:p>
            <w:pPr>
              <w:spacing w:after="0"/>
              <w:rPr>
                <w:sz w:val="16"/>
                <w:szCs w:val="16"/>
                <w:color w:val="auto"/>
              </w:rPr>
            </w:pPr>
          </w:p>
        </w:tc>
      </w:tr>
      <w:tr>
        <w:trPr>
          <w:trHeight w:val="188"/>
        </w:trPr>
        <w:tc>
          <w:tcPr>
            <w:tcW w:w="62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proved developed reserves: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40,220</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40,857</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29,526</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93,617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80,737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49,681</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16,724</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14,994</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7,965</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(MBOE)</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72,547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69,307</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45,771</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proved undeveloped reserves: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17,310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13,563</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12,352</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25,833</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15,037</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11,916</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5,229</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3,570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3,027</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(MBOE)</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26,845</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19,639</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17,365</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Net Proved Reserves:</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57,530</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54,420</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41,878</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119,450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95,774</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61,597</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21,953</w:t>
            </w:r>
          </w:p>
        </w:tc>
        <w:tc>
          <w:tcPr>
            <w:tcW w:w="2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18,564</w:t>
            </w:r>
          </w:p>
        </w:tc>
        <w:tc>
          <w:tcPr>
            <w:tcW w:w="2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10,992</w:t>
            </w:r>
          </w:p>
        </w:tc>
      </w:tr>
      <w:tr>
        <w:trPr>
          <w:trHeight w:val="229"/>
        </w:trPr>
        <w:tc>
          <w:tcPr>
            <w:tcW w:w="6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(MBOE)</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99,392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88,946</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63,136</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proved developed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71" w:lineRule="exact"/>
        <w:rPr>
          <w:sz w:val="20"/>
          <w:szCs w:val="20"/>
          <w:color w:val="auto"/>
        </w:rPr>
      </w:pPr>
    </w:p>
    <w:p>
      <w:pPr>
        <w:jc w:val="both"/>
        <w:ind w:left="340" w:hanging="332"/>
        <w:spacing w:after="0" w:line="239"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reserves as of December 31, 2020, 2019 and 2018 were prepared using the unweighted arithmetic average of hydrocarbon prices received on a field-by-field basis on the first day of each month within the 12-month periods ended December 31, 2020, 2019 and 2018, respectively, in accordance with SEC guidelines.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 See “</w:t>
      </w:r>
      <w:hyperlink w:anchor="page22">
        <w:r>
          <w:rPr>
            <w:rFonts w:ascii="Times New Roman" w:cs="Times New Roman" w:eastAsia="Times New Roman" w:hAnsi="Times New Roman"/>
            <w:sz w:val="18"/>
            <w:szCs w:val="18"/>
            <w:u w:val="single" w:color="auto"/>
            <w:color w:val="0000FF"/>
          </w:rPr>
          <w:t>Item 1A. Risk Factors</w:t>
        </w:r>
      </w:hyperlink>
      <w:r>
        <w:rPr>
          <w:rFonts w:ascii="Times New Roman" w:cs="Times New Roman" w:eastAsia="Times New Roman" w:hAnsi="Times New Roman"/>
          <w:sz w:val="18"/>
          <w:szCs w:val="18"/>
          <w:color w:val="auto"/>
        </w:rPr>
        <w:t>” for a discussion of risks and uncertainties associated with our estimates of proved reserves and related factors, and see Note 14—</w:t>
      </w:r>
      <w:hyperlink w:anchor="page99">
        <w:r>
          <w:rPr>
            <w:rFonts w:ascii="Times New Roman" w:cs="Times New Roman" w:eastAsia="Times New Roman" w:hAnsi="Times New Roman"/>
            <w:sz w:val="18"/>
            <w:szCs w:val="18"/>
            <w:u w:val="single" w:color="auto"/>
            <w:color w:val="0000FF"/>
          </w:rPr>
          <w:t>Supplemental Information on Oil and Natural Gas Operations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discussion of our reserve estimates and pricing.</w:t>
      </w:r>
    </w:p>
    <w:p>
      <w:pPr>
        <w:spacing w:after="0" w:line="210"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Proved Undeveloped Reserves</w:t>
      </w:r>
    </w:p>
    <w:p>
      <w:pPr>
        <w:spacing w:after="0" w:line="25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our PUD reserves totaled 17,310 MBbls of oil, 25,833 MMcf of natural gas and 5,229 MBbls of natural gas liquids, for a total of 26,845 MBOE. PUDs will be converted from undeveloped to developed as the applicable wells begin production. Our PUD reserves were from 426 horizontal wells, of which Diamondback is the operator of 385 wells with ConocoPhillips (formerly Concho Resources Inc.) and SM Energy operating the majority of the remaining wells. Of the horizontal locations, 173 are Wolfcamp A wells, 86 are Lower Spraberry wells, 84 are Middle Spraberry/Jo Mill wells, 56 are Wolfcamp B wells, 26 are Bone Spring wells and one is a Wolfcamp D well.</w:t>
      </w:r>
    </w:p>
    <w:p>
      <w:pPr>
        <w:spacing w:after="0" w:line="210"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changes in PUD reserves for 2020:</w:t>
      </w:r>
    </w:p>
    <w:p>
      <w:pPr>
        <w:spacing w:after="0" w:line="4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(MBOE)</w:t>
            </w:r>
          </w:p>
        </w:tc>
      </w:tr>
      <w:tr>
        <w:trPr>
          <w:trHeight w:val="22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proved undeveloped reserves at December 31, 2019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Undeveloped reserves transferred to developed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proved undeveloped reserves at December 31,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26,845</w:t>
            </w: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proved undeveloped reserves was primarily attributable to additions of 15,686 MBOE, primarily from 299 horizontal well locations attributable to extensions resulting from strategic drilling of wells to delineate our acreage position and acquisitions of approximately 88 MBOE, partially offset by the conversion of approximately 7,362 MBOE attributable to PUDs into proved developed reserves. Downward revisions of 1,192 MBOE resulted primarily from PUD downgrades and lower benchmark commodity prices.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our PUD drilling locations are scheduled to be drilled within five years from the date they were initially recorded. As of December 31, 2020, none of our total proved reserves were classified as proved developed non-producing.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Production Prices and Production Costs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Price History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the Permian Basin and the Eagle Ford Shale in Texas in one reportable segment engaged in the acquisition of oil and natural gas properties. At December 31, 2020, 2019 and 2018, the Permian Basin contained 15% or more of our total proved reserves. 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Permian Basin</w:t>
            </w:r>
          </w:p>
        </w:tc>
        <w:tc>
          <w:tcPr>
            <w:tcW w:w="15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5,800</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11,098</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388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1,763</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Combined volumes (MBOE)</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9,413</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r>
      <w:tr>
        <w:trPr>
          <w:trHeight w:val="216"/>
        </w:trPr>
        <w:tc>
          <w:tcPr>
            <w:tcW w:w="6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4,890</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7,029</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628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1,339</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Combined volumes (MBOE)</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7,401</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458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57"/>
        </w:trPr>
        <w:tc>
          <w:tcPr>
            <w:tcW w:w="66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4,177</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5,223</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617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30"/>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(MBbl)</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824</w:t>
            </w:r>
          </w:p>
        </w:tc>
        <w:tc>
          <w:tcPr>
            <w:tcW w:w="15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34"/>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Combined volumes (MBOE)</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5,872</w:t>
            </w: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434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r>
    </w:tbl>
    <w:p>
      <w:pPr>
        <w:spacing w:after="0" w:line="13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data for the year ended December 31, 2020, 2019 and 2018 includes the Eagle Ford Shale.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price and cost information for each of the periods indicated:</w:t>
      </w:r>
    </w:p>
    <w:p>
      <w:pPr>
        <w:spacing w:after="0" w:line="20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(per Bbl)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3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(per Mcf)</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liquids (per Bbl)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Combined (per BOE)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16"/>
        </w:trPr>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29"/>
        </w:trPr>
        <w:tc>
          <w:tcPr>
            <w:tcW w:w="6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30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r>
    </w:tbl>
    <w:p>
      <w:pPr>
        <w:ind w:right="20" w:firstLine="8"/>
        <w:spacing w:after="0" w:line="28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of December 31, 2020, we owned an average 3.8% net revenue interest in 7,167 gross productive wells, including an average 3.8% net revenue interest in 6,968 gross oil productive wells and an average 2.1% net revenue interest in 199 gross natural gas productive wells. As of December 31, 2020, we had 11 gross productive wells with an average 12.7% net revenue interest in process of being drilled by Diamondback. The expected timing of these wells is based primarily on permitting by third 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2020 relating to the gross and net royalty acreage of our mineral interests: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Gross Royalty Acreage</w:t>
            </w:r>
          </w:p>
        </w:tc>
        <w:tc>
          <w:tcPr>
            <w:tcW w:w="17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Royalty Acreage</w:t>
            </w: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Midland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376,090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Shale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3"/>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acreage</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787,264</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24,350</w:t>
            </w:r>
          </w:p>
        </w:tc>
      </w:tr>
      <w:tr>
        <w:trPr>
          <w:trHeight w:val="20"/>
        </w:trPr>
        <w:tc>
          <w:tcPr>
            <w:tcW w:w="75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interest in production from our mineral interests is based on lease royalty terms which vary from property to property. Our interest in the majority of these properties is perpetual in nature, however approximately 13% of the net royalty acreage consists of over-riding royalty interests which may be subject to expiration. Net royalty acres are defined as gross acreage multiplied by the average royalty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drilling of an oil or natural gas well,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and cash available for distribution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25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such as, for example, the recent severe winter storms in the Permian Basin,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Partners LP to the extent the partnership were to acquire working interests in the future as well as to any operators of our properties, including our current operators.</w:t>
      </w:r>
    </w:p>
    <w:p>
      <w:pPr>
        <w:spacing w:after="0" w:line="13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business and prospects.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Waste Handling</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Administrative, civil and criminal penalties can be imposed for failure to comply with waste handling requirements. Any legislative or regulatory reclassification of oil and natural gas exploration and production wastes could increase the costs to manage and dispose of wastes.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Remediation of Hazardous Substances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Water Discharges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29, 2015, the EPA and the U.S. Army Corps of Engineers, or the Corps, jointly promulgated final rules redefining the scope of waters protected under the CWA. However, on October 22, 2019, the agencies published a final rule to repeal the 2015 rules. The 2015 rule and the 2019 repeal are subject to several ongoing legal challenges. Also, on April 21, 2020, the EPA and the Corps published a final rule replacing the 2015 rule, and significantly reducing the waters subject to federal regulation under the CWA. As a result of such recent developments, substantial uncertainty exists regarding the scope of waters protected under the CWA. Several state and environmental groups have challenged the replacement rule and, on January 20, 2021, the Biden Administration directed the EPA and the Corps to review the rule. To the extent the rules expand the range of properties subject to the CWA’s jurisdiction, we could face increased costs and delays with respect to obtaining permits for dredge and fill activities in wetland areas.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Non-compliance with the CWA or the OPA may result in substantial administrative, civil and criminal penalties, as well as injunctive obligations.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Air Emissions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The United States has indicated its plan to announce in advance of an April 22, 2021 climate summit its nationally determined contribution, or its commitment to reduce its national greenhouse gas emissions to meet this objective. Furthermore, many state and local leaders have stated their intent to intensify efforts to support the commitments set forth in the international accord.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for example, the recent severe winter storms in the Permian Basin,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Hydraulic Fracturing</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3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in a March 28, 2017 executive order, the Trump Administration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Accordingly, on August 13, 2020, the EPA issued final amendments to the 2012 and 2016 New Source Performance standards to ease regulatory burdens, including rescinding standards applicable to transmission or storage segments and eliminating methane requirements altogether. Various state, municipal and environmental groups have challenged the amendments and, on January 20, 2021, President Biden issued an executive order directing the EPA to review the amendments consistent with several policy objective, including reducing greenhouse gas emissions. Thus substantial uncertainty exists regarding the scope of the New Source Performance standards for oil and natural gas operations. The 2012 and 2016 New Source Performance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2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Several states, including Texas,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 of the Oil and Natural Gas Industry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 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Drilling and Production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operations of our operators are subject to various types of regulation at the federal, state and local level. These types of regulation include requiring permits for the drilling of wells, drilling bonds and reports concerning operations. The states, and some counties and municipalities, in which our operators conduct business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unitholders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Federal, state and local regulations provide detailed requirements for the plugging and abandonment of wells, closure or decommissioning of production facilities and pipelines and for site restoration in areas. Although the Corps does not require bonds or other financial assurances, some state agencies and municipalities do have such requirements.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Natural Gas Sales and Transportation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federal legislation and regulatory controls have affected the price and marketing of natural gas.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FERC also regulates interstate natural gas transportation rates and service conditions and establishes the terms under which we may use interstate natural gas pipeline capacity, which affects the marketing of natural gas that our operators produce, as well as the revenues our operators receive for sales of natural gas and release of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 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operators’ costs of transporting gas to point-of-sale locations.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Oil Sales and Transportation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crude oil, condensate and natural gas liquids are not currently regulated and are made at negotiated prices. Nevertheless, Congress could reenact price controls in the future.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our unitholders that they will not do so in the future. The effect of these regulations may be to limit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oil and natural gas that may be produced from our wells and to limit the number of wells or locations our operators can drill.</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employees. We are managed and operated by the board of directors and executive officers of our general partner. All of the individuals that conduct our business, including our executive officers, are employed by Diamondback.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Midland, Texas and are owned by Diamondback. We believe that these facilities are adequate for our current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Partnership Reports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are available free of charge on the Investor Relations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jc w:val="both"/>
        <w:ind w:firstLine="648"/>
        <w:spacing w:after="0" w:line="241"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w:t>
      </w:r>
      <w:hyperlink w:anchor="page38">
        <w:r>
          <w:rPr>
            <w:rFonts w:ascii="Times New Roman" w:cs="Times New Roman" w:eastAsia="Times New Roman" w:hAnsi="Times New Roman"/>
            <w:sz w:val="18"/>
            <w:szCs w:val="18"/>
            <w:i w:val="1"/>
            <w:iCs w:val="1"/>
            <w:color w:val="auto"/>
          </w:rPr>
          <w:t>Other risks are also described in “</w:t>
        </w:r>
        <w:r>
          <w:rPr>
            <w:rFonts w:ascii="Times New Roman" w:cs="Times New Roman" w:eastAsia="Times New Roman" w:hAnsi="Times New Roman"/>
            <w:sz w:val="18"/>
            <w:szCs w:val="18"/>
            <w:i w:val="1"/>
            <w:iCs w:val="1"/>
            <w:u w:val="single" w:color="auto"/>
            <w:color w:val="0000FF"/>
          </w:rPr>
          <w:t>Items 1 and 2. Business and Properties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0000FF"/>
          </w:rPr>
          <w:t>Item 7. Management’s Discussion and Analysis of Financial Condition and</w:t>
        </w:r>
      </w:hyperlink>
      <w:r>
        <w:rPr>
          <w:rFonts w:ascii="Times New Roman" w:cs="Times New Roman" w:eastAsia="Times New Roman" w:hAnsi="Times New Roman"/>
          <w:sz w:val="18"/>
          <w:szCs w:val="18"/>
          <w:i w:val="1"/>
          <w:iCs w:val="1"/>
          <w:color w:val="auto"/>
        </w:rPr>
        <w:t xml:space="preserve"> </w:t>
      </w:r>
      <w:hyperlink w:anchor="page38">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i w:val="1"/>
            <w:iCs w:val="1"/>
            <w:color w:val="000000"/>
          </w:rPr>
          <w:t>” and “</w:t>
        </w:r>
      </w:hyperlink>
      <w:hyperlink w:anchor="page51">
        <w:r>
          <w:rPr>
            <w:rFonts w:ascii="Times New Roman" w:cs="Times New Roman" w:eastAsia="Times New Roman" w:hAnsi="Times New Roman"/>
            <w:sz w:val="18"/>
            <w:szCs w:val="18"/>
            <w:i w:val="1"/>
            <w:iCs w:val="1"/>
            <w:u w:val="single" w:color="auto"/>
            <w:color w:val="0000FF"/>
          </w:rPr>
          <w:t>Item 7A. Quantitative and Qualitative Disclosures About Market Risk</w:t>
        </w:r>
      </w:hyperlink>
      <w:hyperlink w:anchor="page38">
        <w:r>
          <w:rPr>
            <w:rFonts w:ascii="Times New Roman" w:cs="Times New Roman" w:eastAsia="Times New Roman" w:hAnsi="Times New Roman"/>
            <w:sz w:val="18"/>
            <w:szCs w:val="18"/>
            <w:i w:val="1"/>
            <w:iCs w:val="1"/>
            <w:color w:val="000000"/>
          </w:rPr>
          <w:t>.”</w:t>
        </w:r>
      </w:hyperlink>
    </w:p>
    <w:p>
      <w:pPr>
        <w:spacing w:after="0" w:line="209" w:lineRule="exact"/>
        <w:rPr>
          <w:rFonts w:ascii="Times New Roman" w:cs="Times New Roman" w:eastAsia="Times New Roman" w:hAnsi="Times New Roman"/>
          <w:sz w:val="18"/>
          <w:szCs w:val="18"/>
          <w:i w:val="1"/>
          <w:iCs w:val="1"/>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rFonts w:ascii="Times New Roman" w:cs="Times New Roman" w:eastAsia="Times New Roman" w:hAnsi="Times New Roman"/>
          <w:sz w:val="18"/>
          <w:szCs w:val="18"/>
          <w:i w:val="1"/>
          <w:iCs w:val="1"/>
          <w:color w:val="0000FF"/>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will likely continue to be adversely affected by the ongoing COVID-19 coronavirus pandemic.</w:t>
      </w:r>
    </w:p>
    <w:p>
      <w:pPr>
        <w:spacing w:after="0" w:line="256" w:lineRule="exact"/>
        <w:rPr>
          <w:rFonts w:ascii="Times New Roman" w:cs="Times New Roman" w:eastAsia="Times New Roman" w:hAnsi="Times New Roman"/>
          <w:sz w:val="18"/>
          <w:szCs w:val="18"/>
          <w:i w:val="1"/>
          <w:iCs w:val="1"/>
          <w:color w:val="0000FF"/>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spread of COVID-19 caused, and is continuing to cause, severe disruptions in the worldwide and U.S. economy, including the global and domestic demand for oil and natural gas, which could have an adverse effect on our operators and, in turn, on our business, financial condition and cash flows. Moreover, since the beginning of January 2020, the COVID-19 pandemic has caused significant disruption in the financial markets both globally and in the United States. The continued spread of COVID-19 could also negatively impact the availability of key personnel necessary to conduct our business. If COVID-19 continues to spread or the response to contain or mitigate the COVID-19 pandemic through the development and availability of effective treatments and vaccines, including the vaccines recently approved by the FDA for emergency use in the U.S., is unsuccessful, we could continue to experience material adverse effects on our business, financial condition and cash available for distribution to our unitholders. Due to the rapid development and fluidity of this situation, we cannot make any prediction as to the ultimate material adverse impact of the COVID -19 pandemic on our business, financial condition and cash available for distribution to our unitholders.</w:t>
      </w:r>
    </w:p>
    <w:p>
      <w:pPr>
        <w:spacing w:after="0" w:line="214" w:lineRule="exact"/>
        <w:rPr>
          <w:rFonts w:ascii="Times New Roman" w:cs="Times New Roman" w:eastAsia="Times New Roman" w:hAnsi="Times New Roman"/>
          <w:sz w:val="18"/>
          <w:szCs w:val="18"/>
          <w:i w:val="1"/>
          <w:iCs w:val="1"/>
          <w:color w:val="0000FF"/>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sharp decline in oil and natural gas prices and continued volatility in the oil and natural gas markets have negatively impacted, and are likely to continue to negatively impact, exploration and production activities of our operators and, as a result, our revenue and cash available for distribution to our unitholders. In addition, lower oil and natural gas prices may adversely affect the borrowing base under our revolving credit facility and estimates of our proved reserves.</w:t>
      </w:r>
    </w:p>
    <w:p>
      <w:pPr>
        <w:spacing w:after="0" w:line="208" w:lineRule="exact"/>
        <w:rPr>
          <w:rFonts w:ascii="Times New Roman" w:cs="Times New Roman" w:eastAsia="Times New Roman" w:hAnsi="Times New Roman"/>
          <w:sz w:val="18"/>
          <w:szCs w:val="18"/>
          <w:i w:val="1"/>
          <w:iCs w:val="1"/>
          <w:color w:val="0000FF"/>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early March 2020, oil prices dropped sharply and then continued to decline reaching negative levels.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and subsequently extended such production cuts through December 2020, which helped to reduce a portion of the excess supply in the market and improve crude oil prices, they agreed to increase production by 500,000 barrels per day beginning in January</w:t>
      </w:r>
    </w:p>
    <w:p>
      <w:pPr>
        <w:spacing w:after="0" w:line="8" w:lineRule="exact"/>
        <w:rPr>
          <w:rFonts w:ascii="Times New Roman" w:cs="Times New Roman" w:eastAsia="Times New Roman" w:hAnsi="Times New Roman"/>
          <w:sz w:val="18"/>
          <w:szCs w:val="18"/>
          <w:i w:val="1"/>
          <w:iCs w:val="1"/>
          <w:color w:val="0000FF"/>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2021. As a result, downward pressure on commodity prices has continued and could continue for the foreseeable future. We cannot predict if or when commodity prices will stabilize and at what levels.</w:t>
      </w:r>
    </w:p>
    <w:p>
      <w:pPr>
        <w:spacing w:after="0" w:line="189" w:lineRule="exact"/>
        <w:rPr>
          <w:rFonts w:ascii="Times New Roman" w:cs="Times New Roman" w:eastAsia="Times New Roman" w:hAnsi="Times New Roman"/>
          <w:sz w:val="18"/>
          <w:szCs w:val="18"/>
          <w:i w:val="1"/>
          <w:iCs w:val="1"/>
          <w:color w:val="0000FF"/>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worsen. Although Diamondback and certain of our other operators have moved to restore curtailed production, actions taken by our operators in response to the COVID-19 pandemic and depressed commodity pricing environment have had and are expected to continue to have an adverse effect on our business, financial results and cash flows.</w:t>
      </w:r>
    </w:p>
    <w:p>
      <w:pPr>
        <w:spacing w:after="0" w:line="214" w:lineRule="exact"/>
        <w:rPr>
          <w:rFonts w:ascii="Times New Roman" w:cs="Times New Roman" w:eastAsia="Times New Roman" w:hAnsi="Times New Roman"/>
          <w:sz w:val="18"/>
          <w:szCs w:val="18"/>
          <w:i w:val="1"/>
          <w:iCs w:val="1"/>
          <w:color w:val="0000FF"/>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Based on the results of the quarterly ceiling test, we were required to record an impairment on our proved oil and natural gas interests for the year ended December 31, 2020. If commodity prices fall below current levels, we may be required to record impairments in future periods and such impairments could be material. Further, if commodity prices decrease, our production, proved reserves and cash flows will be adversely impacted. Lower oil and natural gas prices may also result in a reduction in the borrowing base under the Operating Company’s revolving credit facility, which may be determined at the discretion of our lenders.</w:t>
      </w:r>
    </w:p>
    <w:p>
      <w:pPr>
        <w:spacing w:after="0" w:line="212" w:lineRule="exact"/>
        <w:rPr>
          <w:rFonts w:ascii="Times New Roman" w:cs="Times New Roman" w:eastAsia="Times New Roman" w:hAnsi="Times New Roman"/>
          <w:sz w:val="18"/>
          <w:szCs w:val="18"/>
          <w:i w:val="1"/>
          <w:iCs w:val="1"/>
          <w:color w:val="0000FF"/>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significant factors that are likely to continue to affect commodity prices in future periods include, but are not limited to, actions by OPEC members and other oil exporting nations, the effect of U.S. energy, monetary and trade policies, U.S. and global economic conditions, U.S. and global political and economic developments, including the Biden Administration’s energy and environmental policies and the impact of the ongoing COVID-19 pandemic on conditions in the</w:t>
      </w:r>
    </w:p>
    <w:p>
      <w:pPr>
        <w:spacing w:after="0" w:line="200" w:lineRule="exact"/>
        <w:rPr>
          <w:rFonts w:ascii="Times New Roman" w:cs="Times New Roman" w:eastAsia="Times New Roman" w:hAnsi="Times New Roman"/>
          <w:sz w:val="18"/>
          <w:szCs w:val="18"/>
          <w:i w:val="1"/>
          <w:iCs w:val="1"/>
          <w:color w:val="0000FF"/>
        </w:rPr>
      </w:pPr>
    </w:p>
    <w:p>
      <w:pPr>
        <w:spacing w:after="0" w:line="317" w:lineRule="exact"/>
        <w:rPr>
          <w:rFonts w:ascii="Times New Roman" w:cs="Times New Roman" w:eastAsia="Times New Roman" w:hAnsi="Times New Roman"/>
          <w:sz w:val="18"/>
          <w:szCs w:val="18"/>
          <w:i w:val="1"/>
          <w:iCs w:val="1"/>
          <w:color w:val="0000FF"/>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oil and natural gas industry, all of which are beyond our control. Our business may be also adversely impacted by any future government rule, regulation or order that may impose production limits, as well as pipeline capacity and storage constraints, in the Permian Basin or Eagle Ford Shale where we have mineral and royalty interests. We cannot predict the ultimate impact of these factors on our business, financial condition and cash available for distribution to our unitholders.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costs of capital could adversely affect our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available cash to pay any quarterly distribution on our common units, our cash available for distribution may vary significantly from quarter to quarter and the board of directors of our general partner has recently modified, and may in the future further modify or revoke, our cash distribution policy at any time at its discretion. Our distribution policy could limit our ability to grow and make acquisitions.</w:t>
      </w:r>
    </w:p>
    <w:p>
      <w:pPr>
        <w:spacing w:after="0" w:line="203" w:lineRule="exact"/>
        <w:rPr>
          <w:sz w:val="20"/>
          <w:szCs w:val="20"/>
          <w:color w:val="auto"/>
        </w:rPr>
      </w:pPr>
    </w:p>
    <w:p>
      <w:pPr>
        <w:jc w:val="both"/>
        <w:ind w:firstLine="648"/>
        <w:spacing w:after="0" w:line="23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We may not have sufficient available cash each quarter to enable us to pay any distributions to our common unitholders. Furthermore, our partnership agreement does not require us to pay distributions on a quarterly basis or otherwise. The amount of cash we have to distribute each quarter principally depends primarily upon the amount of royalty income we generate, which are dependent upon the volumes of production sold and the prices that our operators realize from the sale of such production. In addition, the actual amount of cash we will have to distribute each quarter under our cash distribution policy will be reduced by replacement capital expenditures, payments in respect of debt service and other contractual obligations and fixed charges and increases in reserves for future operating or capital needs that the board of directors may determine is appropriate. During 2020, our general partner made certain modifications to our distribution policy that reduced the distribution amount and may in the future further modify or revoke our </w:t>
      </w:r>
      <w:hyperlink w:anchor="page38">
        <w:r>
          <w:rPr>
            <w:rFonts w:ascii="Times New Roman" w:cs="Times New Roman" w:eastAsia="Times New Roman" w:hAnsi="Times New Roman"/>
            <w:sz w:val="18"/>
            <w:szCs w:val="18"/>
            <w:color w:val="auto"/>
          </w:rPr>
          <w:t>distribution policy at any time at its discretion. For information regarding our distribution policy and the recent modifications, see “</w:t>
        </w:r>
        <w:r>
          <w:rPr>
            <w:rFonts w:ascii="Times New Roman" w:cs="Times New Roman" w:eastAsia="Times New Roman" w:hAnsi="Times New Roman"/>
            <w:sz w:val="18"/>
            <w:szCs w:val="18"/>
            <w:u w:val="single" w:color="auto"/>
            <w:color w:val="0000FF"/>
          </w:rPr>
          <w:t>Item 7. Management’s</w:t>
        </w:r>
      </w:hyperlink>
      <w:r>
        <w:rPr>
          <w:rFonts w:ascii="Times New Roman" w:cs="Times New Roman" w:eastAsia="Times New Roman" w:hAnsi="Times New Roman"/>
          <w:sz w:val="18"/>
          <w:szCs w:val="18"/>
          <w:color w:val="auto"/>
        </w:rPr>
        <w:t xml:space="preserve"> </w:t>
      </w:r>
      <w:hyperlink w:anchor="page38">
        <w:r>
          <w:rPr>
            <w:rFonts w:ascii="Times New Roman" w:cs="Times New Roman" w:eastAsia="Times New Roman" w:hAnsi="Times New Roman"/>
            <w:sz w:val="18"/>
            <w:szCs w:val="18"/>
            <w:u w:val="single" w:color="auto"/>
            <w:color w:val="0000FF"/>
          </w:rPr>
          <w:t>Discussion and Analysis of Financial Condition and Results of Operations.</w:t>
        </w:r>
        <w:r>
          <w:rPr>
            <w:rFonts w:ascii="Times New Roman" w:cs="Times New Roman" w:eastAsia="Times New Roman" w:hAnsi="Times New Roman"/>
            <w:sz w:val="18"/>
            <w:szCs w:val="18"/>
            <w:color w:val="000000"/>
          </w:rPr>
          <w:t>” As a result, quarterly distributions paid to our unitholders may vary</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significantly from quarter to quarter and may be zero.</w:t>
      </w:r>
    </w:p>
    <w:p>
      <w:pPr>
        <w:spacing w:after="0" w:line="21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a result of our cash distribution policy, we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distribution policy will significantly impair our ability to grow.</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 the extent we issue additional units in connection with any acquisitions or growth capital expenditures or as in-kind distributions,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derivative instruments to economically hedge exposure to changes in commodity price and, as a result, are exposed to credit risk and market risk.</w:t>
      </w:r>
    </w:p>
    <w:p>
      <w:pPr>
        <w:spacing w:after="0" w:line="18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use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 By using derivative instruments to economically hedge exposure to changes in commodity prices, we expose ourselves to credit risk and market risk due to the failure of the counterparty to perform under the terms of the derivative contract. When the fair value of a derivative contract is positive, the counterparty owes us, which creates credit risk. Our counterparties have been determined to have an acceptable credit risk; therefore, we do not require collateral from our counterparties. By using derivative instruments, we also may not realize the benefit of any short-term increase in the price of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two operators for a substantial portion of the development and production on the properties underlying our mineral interests. A reduction in the expected number of wells to be drilled on our acreage by these operators or the failure of either operator to adequately and efficiently develop and operate our acreage could have an adverse effect on our expected growth and our results of operations.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we received approximately 64% and 11% of our royalty revenue from properties operated by Diamondback and Concho Resources, respectively. The failure of Diamondback or Concho Resources to adequately or efficiently perform operations or an operator’s failure to act in ways that are in our best interests could reduce production and revenues.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of suitable drilling equipment, production and transportation infrastructure and qualified operating personnel;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operators may elect not to undertake development activities, or may undertake such activities in an unanticipated fashion, which may result in significant fluctuations in our royalty revenues and cash available for distribution to our unitholders.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our proved undeveloped reserves may take longer and may require higher levels of capital expenditures than we currently anticipate.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Approximately 27% of our total estimated proved reserves as of December 31, 2020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finding, developing or acquiring additional reserves.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upon our ability to find, develop or acquire additional oil and natural gas reserves that are economically recoverable. Our proved reserves will generally decline as reserves are depleted, except to the extent that successful exploration or development activities are conducted on our properties or we acquire properties containing proved reserves, or both. To increase reserves and production, we would need to undertake development, exploration and other replacement activities or use third parties to accomplish these activities. Substantial capital expenditures will be necessary for the development, production, exploration and acquisition of oil and natural gas reserves. Neither we nor our third-party operators may have sufficient resources to acquire additional reserves or to undertake exploration, development, production or other replacement activities, such activities may not result in significant additional reserves and efforts to drill productive wells at low finding and development costs may be unsuccessful. In addition, we do not expect to retain cash from our operations for replacement capital expenditures. Furthermore, although our revenues and cash available for distribution may increase if prevailing oil and natural gas prices increase significantly, finding costs for additional reserves could also increase.</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failure on the part of the operators to make royalty payments gives us the right to terminate the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producing properties are primarily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such as the recent severe winter storms in the Permian Basin, and their adverse impact on production volumes, availability of electric power, road accessibility and transportation facilities.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geographic concentration of our producing properties described above, as of December 31, 2020, all of our proved reserves were attributable to the Midland and Delaware basins and the Eagle Ford Shale.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identify, complete and integrate acquisitions of properties or businesses could slow our growth and adversely affect our results of operations and cash available for distribution.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 Unless our operators further develop our existing properties, we will depend on acquisitions to grow our reserves, production and cash flow.</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assurance can be given that we will be able to identify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results of operations and cash available for distribution. The inability to effectively manage the integration of acquisitions could reduce our focus 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acquisitions and current operations, which, in turn, could negatively impact our growth, results of operations and cash available for distribution.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losses as a result of title defects in the properties in which we have an interest.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acquiring oil and natural gas leases, we may not elect to incur the expense of retaining lawyers to examine the title to the mineral interest. Rather, we may rely upon the judgment of oil and gas lease brokers or landmen who perform the fieldwork in examining records in the appropriate governmental office before attempting to acquire a lease in a specific mineral interest. The existence of a material title deficiency can render an interest worthless and can adversely affect our results of operations, financial condition and cash available for distribution.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areas on our properties, which are in various stages of development, may not yield oil or natural gas in commercially viable quantities.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distribution may be materially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method of accounting for investments in oil and natural gas properties may result in impairments in future periods.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Depletion of evaluated oil and natural gas properties is computed on the units of production method, whereby capitalized costs are amortized over total proved reserves.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210"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We recorded an impairment for the year ended December 31, 2020. No impairments on proved oil and natural gas properties were recorded for the years ended December 31, 2019 and 2018. See “</w:t>
      </w:r>
      <w:hyperlink w:anchor="page49">
        <w:r>
          <w:rPr>
            <w:rFonts w:ascii="Times New Roman" w:cs="Times New Roman" w:eastAsia="Times New Roman" w:hAnsi="Times New Roman"/>
            <w:sz w:val="18"/>
            <w:szCs w:val="18"/>
            <w:u w:val="single" w:color="auto"/>
            <w:color w:val="0000FF"/>
          </w:rPr>
          <w:t>Item 7. Management’s Discussion and Analysis of Financial Condition and Results of Operations—Critical</w:t>
        </w:r>
      </w:hyperlink>
      <w:r>
        <w:rPr>
          <w:rFonts w:ascii="Times New Roman" w:cs="Times New Roman" w:eastAsia="Times New Roman" w:hAnsi="Times New Roman"/>
          <w:sz w:val="18"/>
          <w:szCs w:val="18"/>
          <w:color w:val="auto"/>
        </w:rPr>
        <w:t xml:space="preserve"> </w:t>
      </w:r>
      <w:hyperlink w:anchor="page49">
        <w:r>
          <w:rPr>
            <w:rFonts w:ascii="Times New Roman" w:cs="Times New Roman" w:eastAsia="Times New Roman" w:hAnsi="Times New Roman"/>
            <w:sz w:val="18"/>
            <w:szCs w:val="18"/>
            <w:u w:val="single" w:color="auto"/>
            <w:color w:val="0000FF"/>
          </w:rPr>
          <w:t>Accounting Policies</w:t>
        </w:r>
      </w:hyperlink>
      <w:r>
        <w:rPr>
          <w:rFonts w:ascii="Times New Roman" w:cs="Times New Roman" w:eastAsia="Times New Roman" w:hAnsi="Times New Roman"/>
          <w:sz w:val="18"/>
          <w:szCs w:val="18"/>
          <w:color w:val="000000"/>
        </w:rPr>
        <w:t>—Method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Accounting for Oil and Natural Gas Properties.” If the prices of oil and natural gas continue to decline, we may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required to further write-down the value of our oil and natural gas properties in the future, which could negatively affect our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Conservation measures and technological advances could reduce demand for oil and natural gas.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for distribution.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the 2020 U.S. presidential and congressional elections may create regulatory uncertainty for the oil and natural gas industry. Changes in environmental laws could increase our operators’ costs and adversely impact our business, financial condition and cash flows.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results of the 2020 U.S. presidential election, as well as a closely divided Congress, may create regulatory uncertainty in the oil and natural gas industry. During his first weeks in office, President Biden has issued several executive orders promoting various programs and initiatives designed to, among other things, curtail climate change, control the release of methane from new and existing oil and natural gas operations, and pause new oil and natural gas leasing on public lands. It remains unclear what additional actions President Biden will take and what support he will have for any potential legislative changes from Congress. Further, it is uncertain to what extent any new environmental laws or regulations, or any repeal of existing environmental laws or regulations, may affect our or our operators’ business. However, such actions could significantly increase our operators’ costs or impair their ability to explore and develop other projects, which could adversely impact our business, financial condition and cash flows.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electrical power, internet and telecommunication infrastructure and information and computer systems. If any of these systems are compromised or unavailable, our business could be adversely affected.</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are dependent on electric power, internet and telecommunication infrastructure and our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8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oil and natural gas industry has become increasingly dependent on digital technologies to conduct certain exploration, development, production, and processing activities, including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and our operators’ technologies, systems, networks, and those of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activities. In addition, certain cyber incidents, such as surveillance, may remain undetected for an extended period. Our systems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business, financial condition and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we expect in the future to incur borrowings under the Operating Company’s revolving credit facility. Unless we are able to repay borrowings under the revolving credit facility with cash flow from operations and proceeds from equity offerings, implementing our capital programs may require an increase in our total leverage through additional debt issuances. In addition, a reduction in availability under the revolving credit facility and the inability to otherwise obtain financing for our capital programs could require us to curtail our capital expenditures.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our cash distribution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adversely affect our financial condition and prevent us from fulfilling our obligations under the Notes and our other indebtedness.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we had total long-term debt of $563.9 million, consisting of $479.9 million aggregate principal amount of our outstanding 5.375% senior notes due 2027, which we refer to herein as the Notes, and $84.0 million in outstanding borrowings under the Operating Company’s revolving credit facility which has a maximum credit amount of $2.0 billion and the borrowing base (based on our oil and natural gas reserves and other factors) was set at $580.0 million, borrowings subject to scheduled semi-annual and other borrowing base redeterminations. We and the Operating Company may in the future incur significant additional indebtedness under our revolving credit facilities or otherwise in order to make acquisitions or for other purposes.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level of indebtedness could have important consequences to you and affect our operations in several ways, including the following: it may become more difficult for us to satisfy our obligations with respect to the notes, including any repurchase obligations that may arise thereunder; a significant portion of our cash flows could be used to service the Notes and our other indebtedness, which could reduce the funds available to us for operations and other purposes; our vulnerability to general adverse economic and industry conditions could potentially increase; the covenants contained in the agreements governing our outstanding indebtedness will limit our ability to borrow additional funds, dispose of assets, pay distributions and make certain investments; we may be placed at a competitive disadvantage compared to our competitors that are less leveraged and, therefore, our competitors may be able to take advantage of opportunities that our indebtedness would prevent us from pursuing; our debt covenants may also limit management’s discretion in operating our business and our flexibility in planning for, and reacting to, changes in the economy and in our industry; it may become more likely that a reduction in the borrowing base following a periodic redetermination could require us and the Operating Company to repay a portion of the then-outstanding bank borrowings; potentially could limit our ability to access the capital markets to raise capital on favorable terms; it may impair our ability to obtain additional financing in the future for working capital, capital expenditures, acquisitions, general corporate or other purposes; and we may be vulnerable to interest rate increases, as the borrowings under the Operating Company’s revolving credit facility are at variable interest rates.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may still be able to incur substantial additional indebtedness in the future, which could further exacerbate the risks that we and our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w:t>
      </w:r>
    </w:p>
    <w:p>
      <w:pPr>
        <w:spacing w:after="0" w:line="2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Operating Company’s revolving credit facility, the indenture governing the Notes and future debt instruments may limit our ability to respond to changes in market conditions or pursue business opportunities.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Operating Company’s revolving credit facility and the indenture governing the Notes outstanding contain, and the terms of any future indebtedness may contain, restrictive covenants that limit our and the Operating Company’s ability to, among other things: incur or guarantee additional indebtedness; make certain investments; create additional liens; sell or transfer assets; lease property as a lessee; issue redeemable or preferred equity; voluntarily redeem or prepay debt (including the Notes); merge or consolidate with another entity; pay dividends or make distributions; designate certain of our subsidiaries as unrestricted subsidiaries; create unrestricted subsidiaries; engage in transactions with affiliates; enter into gas imbalance, take-or-pay and similar agreements; and enter into certain swap agreements.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prevented from taking advantage of business opportunities that arise because of the limitations imposed on us and the Operating Company by the restrictive covenants contained in the revolving credit facility and the indenture that govern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spacing w:after="0" w:line="210"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reduction in the borrowing base under the Operating Company’s revolving credit facility as a result of the periodic borrowing base redeterminations or otherwise may negatively impact our ability to fund our operations, and we may not have sufficient funds to repay borrowings under the revolving credit facility if required as a result of a borrowing base redetermination.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decline in commodity prices could result in a redetermination that lowers the borrowing base. Any significant reduction in the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the revolving credit facility were to exceed the borrowing base as a result of any such redetermination, we and the Operating Company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Operating Company’s revolving credit facility and the indenture governing the Notes outstanding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or the Operating Company’s borrowing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borrowings under the Operating Company’s revolving credit facility expose us to interest rate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earnings are exposed to interest rate risk associated with borrowings under the Operating Company’s revolving credit facility which provides for interest on borrowings at a floating rate equal to, an alternative base rate tied to LIBOR. LIBOR tends to fluctuate based on multiple facts, including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for any particular period will fluctuate based on LIBOR and other variable interest rates. If interest rates increase, so will our interest costs, which may have a material adverse effect on our results of operations and financial condition.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It is not possible to predict the effect of these changes, other reforms or the establishment of alternative reference rates in the United States or elsewhere.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Operators and Other Working Interest Owners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operators of our properties are subject to additional risks and uncertainties, including those described below, and, as the owner of mineral interests, we are indirectly exposed to the same risks and uncertainties.</w:t>
      </w:r>
    </w:p>
    <w:p>
      <w:pPr>
        <w:spacing w:after="0" w:line="187"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exploration operations require substantial capital and our operators may be unable to obtain needed capital or financing on satisfactory terms or at all, which could lead to a loss of properties and a decline in our oil and natural gas reserves;</w:t>
      </w:r>
    </w:p>
    <w:p>
      <w:pPr>
        <w:spacing w:after="0" w:line="22"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drilling locations identified by the operators of our properties are susceptible to uncertainties that could materially alter the occurrence or timing of their drilling;</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Acreage must be drilled before lease expiration, generally within three to five years, to hold the acreage by production. Our operators’ failure to drill sufficient wells to hold acreage may result in a loss of the lease and prospective drilling opportunities;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unavailability, high cost or shortages of rigs, equipment, raw materials, supplies, oilfield services or personnel may restrict operations on our properties;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on the ability of our operators to obtain water may have an adverse effect on our cash flows;</w:t>
      </w:r>
    </w:p>
    <w:p>
      <w:pPr>
        <w:spacing w:after="0" w:line="1" w:lineRule="exact"/>
        <w:rPr>
          <w:rFonts w:ascii="Arial" w:cs="Arial" w:eastAsia="Arial" w:hAnsi="Arial"/>
          <w:sz w:val="22"/>
          <w:szCs w:val="22"/>
          <w:color w:val="auto"/>
        </w:rPr>
      </w:pPr>
    </w:p>
    <w:p>
      <w:pPr>
        <w:ind w:left="660" w:hanging="328"/>
        <w:spacing w:after="0" w:line="24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operators’ exploratory drilling in shale plays will be subject to risks associated with drilling and completion techniques and drilling results may not meet our expectations for reserves or production;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marketability of oil and natural gas production is dependent upon transportation and other facilities, certain of which neither we nor the operators of our properties control. If these facilities are unavailable, our operators’ operations could be interrupted and our financial results and cash available for distribution could be adversely affected;</w:t>
      </w:r>
    </w:p>
    <w:p>
      <w:pPr>
        <w:spacing w:after="0" w:line="24" w:lineRule="exact"/>
        <w:rPr>
          <w:rFonts w:ascii="Arial" w:cs="Arial" w:eastAsia="Arial" w:hAnsi="Arial"/>
          <w:sz w:val="22"/>
          <w:szCs w:val="22"/>
          <w:color w:val="auto"/>
        </w:rPr>
      </w:pPr>
    </w:p>
    <w:p>
      <w:pPr>
        <w:jc w:val="both"/>
        <w:ind w:left="660" w:hanging="328"/>
        <w:spacing w:after="0" w:line="25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Oil and natural gas operations are subject to various governmental laws and regulations which require compliance that can be burdensome and expensive and could result in significant liabilities. See “Items 1 and 2. Business and Properties-Regulation” for a description of the laws and regulations that affect our operators;</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Drilling for and producing oil and natural gas are high-risk activities with many uncertainties that may adversely affect our and our operators’ business and financial condition and our cash available for distribution;</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hazards and uninsured risks may result in substantial losses and could adversely affect our results of operations and cash available for distribution;</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operators’ use of 2-D and 3-D seismic data is subject to interpretation and may not accurately identify the presence of oil and natural gas, which could adversely affect the results of their drilling operations;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operators may not be able to keep pace with technological developments in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unitholders.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beneficial to Diamondback. Therefore, conflicts of interest may arise between Diamondback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conflicts include the following situations, among others. Our general partner is allowed to take into account the interests of parties other than us, such as Diamondback, in exercising certain rights under our partnership agreement. Neither our partnership agreement nor any other agreement requires Diamondback to pursue a business strategy that favors us. 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 Except in limited circumstances, our general partner has the power and authority to conduct our business without unitholder approval. Our general partner determines the amount and timing of asset purchases and sales, borrowings, issuances of additional partnership securities and the level of cash reserves, each of which can affect the amount of cash that is distributed to our unitholders. Our general partner determines which costs incurred by it and its affiliates are reimbursable by us. Our partnership agreement does not restrict our general partner from causing us to pay it or its affiliates for any services rendered to us or entering into additional contractual arrangements with its affiliates on our behalf. Our general partner intends to limit its liability regarding our contractual and other obligations. Our general partner may exercise its right to call and purchase common units if it and its affiliates own more than 80% of the common units. Our general partner controls the enforcement of obligations that it and its affiliates owe to us. Our general partner decides whether to retain separate counsel, accountants or others to perform services for us. In addition, Diamondback or its affiliates, may compete with us.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we nor our general partner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Neither we nor our general partner have any employees and we rely solely on Diamondback to operate our assets and perform other management, administrative and operating services for us and our general partner. Diamondback provides similar activities with respect to its own assets and operations and those of certain of its affiliates. Because Diamondback provides services to us that are similar to those performed for itself and its affiliates, Diamondback may not have sufficient human, technical and other resources to provide those services at a level that Diamondback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unitholders may be reduced. Many key responsibilities within our business have been assigned to a small number of individuals. The loss of their services could adversely affect our business. In particular, the loss of the services of one or more members of the executive team of our general partner, including the Chief Executive Officer, President and Chief Financial Officer of our general partner, Travis D. Stice, Kaes Van’t Hof and Teresa L. Dick, respectively, could disrupt our business. Further, we do not maintain “key person” life insurance policies on any of our executive team or other key personnel. As a result, we are not insured against any losses resulting from the death of these key individuals.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replaces our general partner’s fiduciary duties to our unitholders.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 how to allocate business opportunities among us and its affiliates, whether to exercise its call right, how to exercise its voting rights with respect to the units it owns, whether to exercise its registration rights and whether or not to consent to any merger or consolidation of the partnership or any amendment to the partnership agreement.</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purchasing a common unit, a unitholder is treated as having consented to the provisions in the partnership agreement, including the provisions discussed above.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 (i) whenever our general partner makes a determination or takes, or declines to take, 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 (ii) our general partner and its executive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executive officers or directors engaged in bad faith, willful misconduct or fraud or, with respect to any criminal conduct, with knowledge that such conduct was unlawful; and</w:t>
      </w:r>
    </w:p>
    <w:p>
      <w:pPr>
        <w:spacing w:after="0" w:line="5" w:lineRule="exact"/>
        <w:rPr>
          <w:sz w:val="20"/>
          <w:szCs w:val="20"/>
          <w:color w:val="auto"/>
        </w:rPr>
      </w:pPr>
    </w:p>
    <w:p>
      <w:pPr>
        <w:jc w:val="both"/>
        <w:ind w:firstLine="8"/>
        <w:spacing w:after="0" w:line="25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will not be in breach of its obligations under the partnership agreement or its duties to us or our limited partners if a transaction, even a transaction with an affiliate or the resolution of a conflict of interest, is (a) approved by the conflicts committee of the board of directors of our general partner, although our general partner is not obligated to seek such approval or (b) approved by the vote of a majority of the outstanding common units, excluding any common units owned by our general partner and its affiliates.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unitholders or the conflicts committee then it will be presumed that, in making its decision, taking any action or failing to act, the board of directors of our general partner acted in good faith, and in any proceeding brought by or on behalf of any limited partner or the partnership, the person bringing or prosecuting such proceeding will have the burden of overcoming such presumption.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and other affiliates of our general partner may compete with us.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is restricted from engaging in any business activities other than acting as our general partner, engaging in activities incidental to its ownership interest in us and providing management, advisory and administrative services to its affiliates or to other persons. However, affiliates of our general partner, including Diamondback, are not prohibited from engaging in other businesses or activities, including those that might be in direct competition with us. In addition, Diamondback may compete with us for investment opportunities and may own an interest in entities that compete with us. Further, Diamondback and its affiliates, may acquire, develop or dispose of additional oil and natural gas properties or other assets in the future, without any obligation to offer us the opportunity to purchase or develop any of those assets.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is an established participant in the oil and natural gas industry and has resources greater than ours, which factors may make it more difficult for us to compete with Diamondback with respect to commercial activities as well as for potential acquisitions. As a result, competition from Diamondback and its affiliates could adversely impact our results of operations and cash available for distribution to our common unitholders.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our partnership agreement, the doctrine of corporate opportunity, or any analogous doctrine, does not apply to our general partner or any of its affiliates, including its executive officers and directors, and Diamondback.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units have limited voting rights and are not entitled to elect our general partner or its directors, which could reduce the price at which our common units will trade.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Unlike the holders of common stock in a corporation, unitholders have only limited voting rights on matters affecting our business and, therefore, limited ability to influence management’s decisions regarding our business.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unitholders. Unlike publicly traded corporations, we do not conduct annual meetings of our unitholders to elect directors or conduct other matters routinely conducted at annual meetings of stockholders of corporations. As a result of these limitations, the price at which the common units will trade could be diminished because of the absence or reduction of a takeover premium in the trading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holders of our units are dissatisfied, they cannot initially remove our general partner without its consent.</w:t>
      </w:r>
    </w:p>
    <w:p>
      <w:pPr>
        <w:spacing w:after="0" w:line="2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If our unitholders are dissatisfied with the performance of our general partner, they have limited ability to remove our general partner. Unitholders will be unable to remove our general partner without its consent because affiliates of our general partner own sufficient units to be able to prevent its removal. The vote of the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all outstanding units, voting as a single class, is required to remove our general partner.</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voting rights of unitholders owning 20% or more of our units (other than our general partner and its affiliates and permitted transferees).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partnership agreement restricts unitholders’ voting rights by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may not vote on any matter. Our partnership agreement also contains provisions limiting the ability of unitholders to call meetings or to acquire information about our operations, as well as other provisions limiting the ability of our unitholders to influence the manner or direction of management.</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and its affiliates for services provided to us or on our behalf will reduce cash available for distribution to our common unitholders. There is no limit on the amount of expenses for which our general partner and its affiliates may be reimbursed. The amount and timing of such reimbursements will be determined by our general partner.</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making any distribution to its unitholders, including us, the Operating Company will reimburse our general partner and its affiliates for all expenses they incur and payments they make on our behalf. There is no limit on the amount of expenses for which our general partner and its affiliates may be reimbursed, and the amounts may be substantial. These expenses include salary, bonus, incentive compensation and other amounts paid to persons who perform services for us or on our behalf and expenses allocated to our general partner by its affiliates. Our general partner will determine the expenses that are allocable to us. The reimbursement of expenses and payment of fees, if any, to our general partner and its affiliates will reduce the amount of cash available for distribution from the Operating Company to us and from us to our common unitholders.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with respect to taxable periods including or beginning on the closing date of our IPO.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interest or the control of our general partner may be transferred to a third party without unitholder consent.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unitholders may have liability to repay distributions and in certain circumstances may be personally liable for the obligations of the partnership.</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certain circumstances, common unitholders may have to repay amounts wrongfully returned or distributed to them. Under Section 17-607 of the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unitholders to sell their common units at an undesirable time or price.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at any time our general partner and its affiliates (including Diamondback) own more than 80% of the units, our general partner will have the right, which it may assign to any of its affiliates or to us, but not the obligation, to acquire all, but not less than all, of the common units held by unaffiliated persons at a price equal to the greater of (i) the average of the daily closing price of the common units over the 20 trading days preceding the date three days before notice of exercise of the call right is first mailed and (ii)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 The common units and Class B units are considered limited partner interests of a single class for these provisions. As of December 31, 2020, Diamondback owned approximately 58% of our total units outstanding.</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units and other equity interests without unitholder approval, which would dilute existing unitholder ownership interests.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 the proportionate ownership interest of unitholders in us immediately prior to the issuance will decrease, the amount of cash distributions on each common unit may decrease, the ratio of our taxable income to distributions may increase, the relative voting strength of each previously outstanding common unit may be diminished, and the market price of the common units may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limitations in our partnership agreement on our ability to issue units ranking senior to the common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units could be adversely affected by sales of substantial amounts of our common units in the public or private markets.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registration rights to Diamondback. Pursuant to these registration rights, we have registered, under the Securities Act, all of the common units owned by Diamondback for resale (including common units issuable in respect of the Class B units and the OpCo units). Under our partnership agreement, our general partner and its affiliates have registration rights relating to the offer and sale of any common units that they hold.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does not require a publicly traded limited partnership like us to comply with certain of its corporate governance requirements.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Accordingly, unitholders do not have the same protections afforded to stockholders of certain corporations that are subject to all of Nasdaq’s corporate governance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general partner may amend our partnership agreement, as it determines necessary or advisable, to obtain proof of the U.S. federal income tax status and/or the nationality, citizenship or other related status of our limited partners (and their owners, to the extent relevant) and to permit our general partner to redeem the units held by any person (i) whose tax status has or is reasonably likely to have a material adverse effect on the maximum applicable rates chargeable to our customers, (ii) whose nationality, citizenship or related status creates substantial risk of cancellation or forfeiture of any of our property and/or (iii)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treated as a corporation for U.S. federal income tax purposes and our cash available for distribution to our common unitholders may be substantially reduced.</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are a Delaware limited partnership and, prior to May 10, 2018, we were treated as a pass-through entity for federal income tax purposes. On May 10, 2018, we elected to be treated as a corporation for U.S. federal income tax purposes. As a result, we are now subject to tax as a corporation at the corporate tax rate of 21%. While we may not have taxable income in the next three years due to an agreement between Diamondback and us to specially allocate to Diamondback priority allocations of the Operating Company’s income and gains over losses and deductions (but before depletion), there is no guarantee that we will not have any taxable income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common unitholders may be taxable as 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U.S. tax legislations may adversely affect our business, results of operations, financial condition and cash flow.</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12—Commitments and Contingencies.</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UNITHOLDER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Holders of Record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units are listed on the Nasdaq Global Select Market under the symbol “VNOM.” There were four holders of record of our common units on February 19,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Beginning with the first quarter of 2020, the board of directors of our general partner revised the distribution policy to provide that the Operating Company would distribute 25% of its available cash in the first and second quarters of 2020 to its unitholders (including Diamondback and us) rather than all of its available cash as it had previously done. The Operating Company’s distribution policy was further revised in October 2020 to provide for the distribution of 50% of its available cash beginning with the third quarter of 2020 to its unitholders. We in turn distribute all of the available cash we receive from the Operating Company to our common unitholders. Our available cash, and the available cash of the Operating Company, for each quarter is determined by the board of directors of our general partner following the end of such quarter. The Operating Company’s available cash generally equals our Adjusted EBITDA for the quarter, less cash needed for debt service and other contractual obligations, fixed charges and reserves for future operating or capital needs that the board of directors of our general partner deems necessary or appropriate, if any. Our available cash for each quarter generally equals our Adjusted EBITDA (which is our proportional share of the available cash of the Operating Company for the quarter), less cash needed for the payment of income taxes by us, if any, and the preferred distribution. Immediately prior to the revisions to the distribution policy described above, the Operating Company’s policy was to distribute all of its available cash quarterly to its unitholders. The distribution policy changes noted above were made to enable the Operating Company to continue to retain cash flow to help strengthen our balance sheet, while also expanding the return of capital program through our common unit repurchase program.</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a minimum quarterly distribution or employ structures intended to consistently maintain or increase distributions over time. The board of directors of our general partner may change our distribution policy at any time. Our partnership agreement does not require us to pay distributions to our common unitholders on a quarterly or other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unit repurchase activity for the three months ended December 31, 2020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3"/>
                <w:szCs w:val="13"/>
                <w:color w:val="auto"/>
              </w:rPr>
            </w:pPr>
          </w:p>
        </w:tc>
        <w:tc>
          <w:tcPr>
            <w:tcW w:w="25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Total Number of Units Purchased as</w:t>
            </w:r>
          </w:p>
        </w:tc>
        <w:tc>
          <w:tcPr>
            <w:tcW w:w="220" w:type="dxa"/>
            <w:vAlign w:val="bottom"/>
          </w:tcPr>
          <w:p>
            <w:pPr>
              <w:spacing w:after="0"/>
              <w:rPr>
                <w:sz w:val="13"/>
                <w:szCs w:val="13"/>
                <w:color w:val="auto"/>
              </w:rPr>
            </w:pPr>
          </w:p>
        </w:tc>
        <w:tc>
          <w:tcPr>
            <w:tcW w:w="1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39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b w:val="1"/>
                <w:bCs w:val="1"/>
                <w:color w:val="auto"/>
              </w:rPr>
              <w:t>Units that May Yet Be</w:t>
            </w:r>
          </w:p>
        </w:tc>
        <w:tc>
          <w:tcPr>
            <w:tcW w:w="0" w:type="dxa"/>
            <w:vAlign w:val="bottom"/>
          </w:tcPr>
          <w:p>
            <w:pPr>
              <w:spacing w:after="0"/>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Paid Per Unit</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6"/>
                <w:szCs w:val="16"/>
                <w:color w:val="auto"/>
              </w:rPr>
            </w:pPr>
          </w:p>
        </w:tc>
        <w:tc>
          <w:tcPr>
            <w:tcW w:w="2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Part of Publicly Announced Plan</w:t>
            </w:r>
          </w:p>
        </w:tc>
        <w:tc>
          <w:tcPr>
            <w:tcW w:w="220" w:type="dxa"/>
            <w:vAlign w:val="bottom"/>
          </w:tcPr>
          <w:p>
            <w:pPr>
              <w:spacing w:after="0"/>
              <w:rPr>
                <w:sz w:val="16"/>
                <w:szCs w:val="16"/>
                <w:color w:val="auto"/>
              </w:rPr>
            </w:pPr>
          </w:p>
        </w:tc>
        <w:tc>
          <w:tcPr>
            <w:tcW w:w="1900" w:type="dxa"/>
            <w:vAlign w:val="bottom"/>
          </w:tcPr>
          <w:p>
            <w:pPr>
              <w:jc w:val="center"/>
              <w:ind w:right="19"/>
              <w:spacing w:after="0" w:line="189" w:lineRule="exact"/>
              <w:rPr>
                <w:sz w:val="20"/>
                <w:szCs w:val="20"/>
                <w:color w:val="auto"/>
              </w:rPr>
            </w:pPr>
            <w:r>
              <w:rPr>
                <w:rFonts w:ascii="Times New Roman" w:cs="Times New Roman" w:eastAsia="Times New Roman" w:hAnsi="Times New Roman"/>
                <w:sz w:val="14"/>
                <w:szCs w:val="14"/>
                <w:b w:val="1"/>
                <w:bCs w:val="1"/>
                <w:color w:val="auto"/>
              </w:rPr>
              <w:t>Purchased Under the Plan</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83"/>
        </w:trPr>
        <w:tc>
          <w:tcPr>
            <w:tcW w:w="3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thousands, except unit amounts)</w:t>
            </w:r>
          </w:p>
        </w:tc>
        <w:tc>
          <w:tcPr>
            <w:tcW w:w="2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 October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2020 - November 30,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92,441</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2020 - December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1,325,000</w:t>
            </w:r>
          </w:p>
        </w:tc>
        <w:tc>
          <w:tcPr>
            <w:tcW w:w="4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75,974</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2,045,000</w:t>
            </w: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19"/>
                <w:szCs w:val="19"/>
                <w:color w:val="auto"/>
              </w:rPr>
            </w:pPr>
          </w:p>
        </w:tc>
        <w:tc>
          <w:tcPr>
            <w:tcW w:w="2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2,045,000</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unit is net of any commissions paid to repurchase common unit.</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our board of directors approved a common unit repurchase program to acquire up to $100.0 million of our outstanding common units through December 31, 2021. This repurchase program may be suspended from time to time, modified, extended or discontinued by the board of directors of our general partner at any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22">
        <w:r>
          <w:rPr>
            <w:rFonts w:ascii="Times New Roman" w:cs="Times New Roman" w:eastAsia="Times New Roman" w:hAnsi="Times New Roman"/>
            <w:sz w:val="18"/>
            <w:szCs w:val="18"/>
            <w:i w:val="1"/>
            <w:iCs w:val="1"/>
            <w:u w:val="single" w:color="auto"/>
            <w:color w:val="0000FF"/>
          </w:rPr>
          <w:t>Item 1A. Risk Factors</w:t>
        </w:r>
      </w:hyperlink>
      <w:r>
        <w:rPr>
          <w:rFonts w:ascii="Times New Roman" w:cs="Times New Roman" w:eastAsia="Times New Roman" w:hAnsi="Times New Roman"/>
          <w:sz w:val="18"/>
          <w:szCs w:val="18"/>
          <w:i w:val="1"/>
          <w:iCs w:val="1"/>
          <w:color w:val="auto"/>
        </w:rPr>
        <w:t>” and “</w:t>
      </w:r>
      <w:hyperlink w:anchor="page5">
        <w:r>
          <w:rPr>
            <w:rFonts w:ascii="Times New Roman" w:cs="Times New Roman" w:eastAsia="Times New Roman" w:hAnsi="Times New Roman"/>
            <w:sz w:val="18"/>
            <w:szCs w:val="18"/>
            <w:i w:val="1"/>
            <w:iCs w:val="1"/>
            <w:u w:val="single" w:color="auto"/>
            <w:color w:val="0000FF"/>
          </w:rPr>
          <w:t>Cautionary Statement Regarding Forward-Looking Statements</w:t>
        </w:r>
      </w:hyperlink>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a publicly traded Delaware limited partnership formed by Diamondback to own and acquire mineral and royalty interests in oil and natural gas properties primarily in the Permian Basin. We operate in one reportable segment. Since </w:t>
      </w:r>
      <w:r>
        <w:rPr>
          <w:rFonts w:ascii="Times New Roman" w:cs="Times New Roman" w:eastAsia="Times New Roman" w:hAnsi="Times New Roman"/>
          <w:sz w:val="18"/>
          <w:szCs w:val="18"/>
          <w:color w:val="231F20"/>
        </w:rPr>
        <w:t>May 10, 2018, we have been treated as a corporation for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federal income tax purposes.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our general partner held a 100% general partner interest in us, and Diamondback, either directly or through one of its subsidiaries, owned 731,500 common units and beneficially owned all of our 90,709,946 outstanding Class B units, representing approximately 58% of our total units outstanding. Diamondback also owns and controls our general partner.</w:t>
      </w:r>
    </w:p>
    <w:p>
      <w:pPr>
        <w:spacing w:after="0" w:line="203" w:lineRule="exact"/>
        <w:rPr>
          <w:sz w:val="20"/>
          <w:szCs w:val="20"/>
          <w:color w:val="auto"/>
        </w:rPr>
      </w:pPr>
    </w:p>
    <w:p>
      <w:pPr>
        <w:jc w:val="both"/>
        <w:ind w:firstLine="64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includes a comparison of our results of operations, including changes in our operating income, and liquidity and capital resources for fiscal year 2020 and fiscal year 2019. A discussion of changes in our results of operations from fiscal year 2018 to fiscal year 2019 has been omitted from this report, but may be found in </w:t>
      </w:r>
      <w:hyperlink r:id="rId55">
        <w:r>
          <w:rPr>
            <w:rFonts w:ascii="Times New Roman" w:cs="Times New Roman" w:eastAsia="Times New Roman" w:hAnsi="Times New Roman"/>
            <w:sz w:val="18"/>
            <w:szCs w:val="18"/>
            <w:u w:val="single" w:color="auto"/>
            <w:color w:val="0000FF"/>
          </w:rPr>
          <w:t>“Item 7. Management’s Discussion and Analysis of Financial Condition and Results of Operations” of our</w:t>
        </w:r>
      </w:hyperlink>
    </w:p>
    <w:p>
      <w:pPr>
        <w:spacing w:after="0" w:line="1" w:lineRule="exact"/>
        <w:rPr>
          <w:sz w:val="20"/>
          <w:szCs w:val="20"/>
          <w:color w:val="auto"/>
        </w:rPr>
      </w:pPr>
    </w:p>
    <w:p>
      <w:pPr>
        <w:jc w:val="both"/>
        <w:ind w:right="20"/>
        <w:spacing w:after="0" w:line="260" w:lineRule="auto"/>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u w:val="single" w:color="auto"/>
            <w:color w:val="0000FF"/>
          </w:rPr>
          <w:t>Annual Report on Form 10-K for the fiscal year ended December 31,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 on February 18, 2020, and is incorporated by reference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this report from such prior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Transactions and 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and Collapse in Commodity Prices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early March 2020, oil prices dropped sharply and continued to decline reaching negative levels. During 2020, the posted price for West Texas intermediate light sweet crude oil, or NYMEX WTI, price for crude oil has ranged from $(37.63) to $63.27 Bbl, and the NYMEX Henry Hub price of natural gas has ranged from $1.48 to $3.35 per MMBtu. On January 29, 2021, the NYMEX WTI price for crude oil was $52.20 per Bbl and the NYMEX Henry Hub price of natural gas was $2.56 per MMBtu. In response to recent volatility in commodity prices, many producers have reduced their capital expenditure budgets.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and subsequently extended such production cuts through December 2020, which helped to reduce a portion of the excess supply in the market and improve crude oil prices, they agreed to increase production by 500,000 barrels per day beginning in January 2021. As a result, downward pressure on commodity prices has continued and could continue for the foreseeable future. We cannot predict if or when commodity prices will stabilize and at what levels.</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worsen. Although Diamondback and certain of our other operators have restored curtailed production, actions taken by our operators in response to the COVID-19 pandemic and depressed commodity pricing environment have had and are expected to continue to have an adverse effect on our business, financial results and cash flows.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Based on the results of the quarterly ceiling test, we recorded an impairment expense of $69.2 million as a result of the decline in commodity prices for the year ended December 31, 2020. If commodity prices fall below current levels, we may be required to record impairments in future periods and such impairments could be material. Further, if commodity prices fail to stabilize or decrease further, our production, proved reserves and cash flows will be adversely impacted. Our business may be also further adversely impacted by any pipeline capacity and storage constraints.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Given the dynamic nature of the events described above, we cannot reasonably estimate the period of time that the ongoing COVID-19 pandemic, the depressed commodity prices, the reduce demand for oil and the adverse macroeconomic will persist, the full extent of the impact they will have on our industry and our business, financial condition or cash flows, or the pace or extent of any subsequent recovery.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Update</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2020, we acquired, from unrelated third-party sellers, mineral interests representing 4,948 gross (417 net royalty) acres for an aggregate of approximately $64.2 million. We funded these acquisitions with cash on hand and borrowings under the Operating Company’s revolving credit facility. We divested 370 net royalty acres for an aggregate of approximately $38.4 million, leaving our footprint of mineral and royalty interests at a total of 24,350 net royalty acres at December 31, 2020.</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third and fourth quarters of 2020, we divested our equity interest in a limited partnership for approximately $10.8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 Update</w:t>
      </w:r>
    </w:p>
    <w:p>
      <w:pPr>
        <w:spacing w:after="0" w:line="256" w:lineRule="exact"/>
        <w:rPr>
          <w:sz w:val="20"/>
          <w:szCs w:val="20"/>
          <w:color w:val="auto"/>
        </w:rPr>
      </w:pPr>
    </w:p>
    <w:p>
      <w:pPr>
        <w:jc w:val="both"/>
        <w:ind w:left="40" w:right="80" w:firstLine="608"/>
        <w:spacing w:after="0" w:line="256" w:lineRule="auto"/>
        <w:rPr>
          <w:sz w:val="20"/>
          <w:szCs w:val="20"/>
          <w:color w:val="auto"/>
        </w:rPr>
      </w:pPr>
      <w:r>
        <w:rPr>
          <w:rFonts w:ascii="Times New Roman" w:cs="Times New Roman" w:eastAsia="Times New Roman" w:hAnsi="Times New Roman"/>
          <w:sz w:val="18"/>
          <w:szCs w:val="18"/>
          <w:color w:val="auto"/>
        </w:rPr>
        <w:t>On February 19, 2021, the board of directors of our general partner declared a cash distribution for the three months ended December 31, 2020 of $0.14 per common unit, maintaining our distribution for the fourth quarter of 2020 at 50% of cash available for distribution. The distribution is payable on March 11, 2021 to eligible common unitholders of record at the close of business on March 4, 2021. With net debt decreasing in the fourth quarter of 2020 from peak levels due to strong free cash flow generation, as well as an improved forward outlook for production, realized pricing and free cash flow yield, driven primarily by Diamondback’s anticipated development plan and benefiting from our hedging arrangements rolling off in 2021, we expect to increase our return on capital to common unitholders in future quarters.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Common Unit Repurchase Program</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November 6, 2020, the board of directors of our general partner approved an expansion of our return of capital program with the implementation of a common unit repurchase program to acquire up to $100.0 million of our outstanding common units. During the year ended December 31, 2020, we repurchased approximately $24.0 million of common units under our repurchase program. As of December 31, 2020, $76.0 million remains available for us to repurchase units under our common unit repurchase program. The common unit repurchase program is authorized to extend through December 31, 2021 and we intend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our general partner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Operational Update</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business has rebounded strongly from the unprecedented volatility experienced throughout 2020 as commodity prices increased and activity has returned to our acreage. There are currently 27 gross rigs operating on our mineral and royalty acreage, four of which are operated by Diamondback. Our production and free cash flow outlook is expected to be driven by Diamondback’s continued focus on developing our acreage, as well as our exposure to other well-capitalized operators in the Permian Basin. We expect that the production impact from the recent winter storms in the Permian Basin will be in the range of four to five days of total net production lost during February 2021 for Diamondback operated properties, with a slightly higher negative impact expected for third party operated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well information: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Diamondback Operated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Third Party Operated</w:t>
            </w: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6980" w:type="dxa"/>
            <w:vAlign w:val="bottom"/>
            <w:tcBorders>
              <w:top w:val="single" w:sz="8" w:color="CCEEFF"/>
            </w:tcBorders>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Horizontal wells turned to production (fourth quarter 2020)</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69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Horizontal wells turned to production (year ended December 31, 2020)</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6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Horizontal producing well count (fourth quarter 2020):</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69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Horizontal active development well count (as of February 8, 2021)</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6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Line of sight wells (as of February 8, 2021)</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20"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10,012.</w:t>
      </w:r>
    </w:p>
    <w:p>
      <w:pPr>
        <w:spacing w:after="0" w:line="15"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9,395.</w:t>
      </w:r>
    </w:p>
    <w:p>
      <w:pPr>
        <w:ind w:left="260" w:hanging="252"/>
        <w:spacing w:after="0" w:line="234"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529 gross wells currently in the process of active development are those wells that have been spud and are expected to be turned to production within approximately the next six to eight months.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38" w:lineRule="auto"/>
        <w:tabs>
          <w:tab w:leader="none" w:pos="2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538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current depressed oil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4"/>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293,811</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8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298,283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78,178</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23"/>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revaluation of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23"/>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179,628</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174,929</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Viper Energy Partners LP</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46,281</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7"/>
        </w:trPr>
        <w:tc>
          <w:tcPr>
            <w:tcW w:w="78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r>
      <w:tr>
        <w:trPr>
          <w:trHeight w:val="183"/>
        </w:trPr>
        <w:tc>
          <w:tcPr>
            <w:tcW w:w="7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7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57"/>
        </w:trPr>
        <w:tc>
          <w:tcPr>
            <w:tcW w:w="7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7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daily oil volumes (BO/d)</w:t>
            </w:r>
            <w:r>
              <w:rPr>
                <w:rFonts w:ascii="Times New Roman" w:cs="Times New Roman" w:eastAsia="Times New Roman" w:hAnsi="Times New Roman"/>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14,035</w:t>
            </w:r>
          </w:p>
        </w:tc>
      </w:tr>
      <w:tr>
        <w:trPr>
          <w:trHeight w:val="229"/>
        </w:trPr>
        <w:tc>
          <w:tcPr>
            <w:tcW w:w="7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daily combined volumes (BOE/d)</w:t>
            </w:r>
            <w:r>
              <w:rPr>
                <w:rFonts w:ascii="Times New Roman" w:cs="Times New Roman" w:eastAsia="Times New Roman" w:hAnsi="Times New Roman"/>
                <w:sz w:val="23"/>
                <w:szCs w:val="23"/>
                <w:color w:val="auto"/>
                <w:vertAlign w:val="superscript"/>
              </w:rPr>
              <w:t>(2)</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26,551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21,529</w:t>
            </w:r>
          </w:p>
        </w:tc>
      </w:tr>
      <w:tr>
        <w:trPr>
          <w:trHeight w:val="257"/>
        </w:trPr>
        <w:tc>
          <w:tcPr>
            <w:tcW w:w="78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29"/>
        </w:trPr>
        <w:tc>
          <w:tcPr>
            <w:tcW w:w="7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Average sales prices</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30"/>
        </w:trPr>
        <w:tc>
          <w:tcPr>
            <w:tcW w:w="7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($/Mcf)</w:t>
            </w:r>
            <w:r>
              <w:rPr>
                <w:rFonts w:ascii="Times New Roman" w:cs="Times New Roman" w:eastAsia="Times New Roman" w:hAnsi="Times New Roman"/>
                <w:sz w:val="23"/>
                <w:szCs w:val="23"/>
                <w:color w:val="auto"/>
                <w:vertAlign w:val="superscript"/>
              </w:rPr>
              <w:t>(3)</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56"/>
        </w:trPr>
        <w:tc>
          <w:tcPr>
            <w:tcW w:w="78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30"/>
        </w:trPr>
        <w:tc>
          <w:tcPr>
            <w:tcW w:w="7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(4)</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29"/>
        </w:trPr>
        <w:tc>
          <w:tcPr>
            <w:tcW w:w="78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(4)</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(4)</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78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(4)</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57"/>
        </w:trPr>
        <w:tc>
          <w:tcPr>
            <w:tcW w:w="7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costs ($/BOE):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8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 cash component</w:t>
            </w:r>
            <w:r>
              <w:rPr>
                <w:rFonts w:ascii="Times New Roman" w:cs="Times New Roman" w:eastAsia="Times New Roman" w:hAnsi="Times New Roman"/>
                <w:sz w:val="23"/>
                <w:szCs w:val="23"/>
                <w:color w:val="auto"/>
                <w:vertAlign w:val="superscript"/>
              </w:rPr>
              <w:t>(5)</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non-cash unit compensation expense</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4"/>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Depletion</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bl>
    <w:p>
      <w:pPr>
        <w:spacing w:after="0" w:line="5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volumes and average sales prices presented are based on actual production volumes and not calculated utilizing the rounded production volumes presented in the table above.</w:t>
      </w:r>
    </w:p>
    <w:p>
      <w:pPr>
        <w:jc w:val="both"/>
        <w:ind w:left="34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realized price of natural gas was calculated in accordance with the pricing terms under our operators’ natural gas delivery contracts, which are generally tied to the NYMEX price quoted at Henry Hub. Actual volumetric prices realized from the sale of natural gas, however, differ from the quoted NYMEX price as a result of quality and location differentials. Our operators may have varying terms under which they sell their natural gas, but we are primarily impacted by location differences resulting from supply and demand imbalances and limited takeaway capacity within the Permian Basin.</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on our matured commodity derivative transactions on our average sales prices. We did not have any derivative contracts prior to February of 2020.</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non-cash unit compensation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royalty income is a function of oil, natural gas liquids and natural gas production volumes sold and average prices received for those volumes.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impact of pricing and production changes on our royalty income for the years ended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Change in prices</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Production volumes</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1"/>
                <w:szCs w:val="11"/>
                <w:color w:val="auto"/>
              </w:rPr>
            </w:pPr>
          </w:p>
        </w:tc>
        <w:tc>
          <w:tcPr>
            <w:tcW w:w="15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Total net dollar effect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gridSpan w:val="6"/>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(Dollars in thousands except change in prices)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price: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3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Natural gas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65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Natural gas liquids</w:t>
            </w:r>
          </w:p>
        </w:tc>
        <w:tc>
          <w:tcPr>
            <w:tcW w:w="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due to change in price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18"/>
              <w:spacing w:after="0" w:line="134" w:lineRule="exact"/>
              <w:rPr>
                <w:sz w:val="20"/>
                <w:szCs w:val="20"/>
                <w:color w:val="auto"/>
              </w:rPr>
            </w:pPr>
            <w:r>
              <w:rPr>
                <w:rFonts w:ascii="Times New Roman" w:cs="Times New Roman" w:eastAsia="Times New Roman" w:hAnsi="Times New Roman"/>
                <w:sz w:val="14"/>
                <w:szCs w:val="14"/>
                <w:b w:val="1"/>
                <w:bCs w:val="1"/>
                <w:color w:val="auto"/>
              </w:rPr>
              <w:t>Change in production</w:t>
            </w:r>
          </w:p>
        </w:tc>
        <w:tc>
          <w:tcPr>
            <w:tcW w:w="140" w:type="dxa"/>
            <w:vAlign w:val="bottom"/>
          </w:tcPr>
          <w:p>
            <w:pPr>
              <w:spacing w:after="0"/>
              <w:rPr>
                <w:sz w:val="11"/>
                <w:szCs w:val="11"/>
                <w:color w:val="auto"/>
              </w:rPr>
            </w:pPr>
          </w:p>
        </w:tc>
        <w:tc>
          <w:tcPr>
            <w:tcW w:w="14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Prior period average</w:t>
            </w:r>
          </w:p>
        </w:tc>
        <w:tc>
          <w:tcPr>
            <w:tcW w:w="40" w:type="dxa"/>
            <w:vAlign w:val="bottom"/>
          </w:tcPr>
          <w:p>
            <w:pPr>
              <w:spacing w:after="0"/>
              <w:rPr>
                <w:sz w:val="11"/>
                <w:szCs w:val="11"/>
                <w:color w:val="auto"/>
              </w:rPr>
            </w:pPr>
          </w:p>
        </w:tc>
        <w:tc>
          <w:tcPr>
            <w:tcW w:w="15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Total net dollar effect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volumes</w:t>
            </w:r>
            <w:r>
              <w:rPr>
                <w:rFonts w:ascii="Times New Roman" w:cs="Times New Roman" w:eastAsia="Times New Roman" w:hAnsi="Times New Roman"/>
                <w:sz w:val="9"/>
                <w:szCs w:val="9"/>
                <w:b w:val="1"/>
                <w:bCs w:val="1"/>
                <w:color w:val="auto"/>
              </w:rPr>
              <w:t>(1)</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average prices)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production volumes: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Oil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3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Natural gas liquids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due to change in production volumes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change in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volumes are presented in MBbls for oil and natural gas liquids and MMcf for natural gas.</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production and ad valorem taxes for the years ended December 31, 2020 and 2019:</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BOE</w:t>
            </w:r>
          </w:p>
        </w:tc>
        <w:tc>
          <w:tcPr>
            <w:tcW w:w="13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 Income</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4.9 %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4.9 %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8.0 %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6.5 %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Production taxes as a percentage of royalty income for the year ended December 31, 2020 compared to the year ended December 31, 2019 remained relatively flat. Ad valorem taxes as a percentage of royalty income for the same period in 2020 compared to 2019 increased due to an increase in the valuation of oil and natural gas interests period over period, primarily due to acquisitions and drilling activity, while royalty income declined due to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Depletion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$22.3 million, or 29%, increase in depletion expense for the year ended December 31, 2020 compared to the same period in 2019 was due primarily to an increase in the depletion rate to $10.34 for the year ended December 31, 2020 compared to $9.95 for the year ended December 31, 2019, which largely resulted from higher production levels and an increase in net book value on new reserves added to the depletion base.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recorded an impairment expense of $69.2 million as a result of the decline in commodity prices for the year ended December 31, 2020. There was no impairment recorded for the year ended December 31, 2019.</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256"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Net interest expense for the years ended December 31, 2020 and 2019 was $33.0 million and $21.1 million, respectively. The increase of $11.9 million was due to increased borrowings during 2020 compared to 2019, as a result of issuing the Notes during the fourth quarter of 2019. This increase was partially offset by repayments of borrowings under the Operating Company’s revolving credit facility and the Notes.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a loss on derivative instruments for the year ended December 31, 2020 of $63.6 million, which includes cash payments of $37.0 million on settlements of commodity derivative contracts during the period. We had no derivative instruments outstanding during the year ended December 31, 2019.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Gain (loss) on revaluation of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loss on revaluation of investment of $8.6 million for the year ended December 31, 2020 and a gain of $4.8 million for the year ended December 31, 2019. The decrease of $13.4 million was due to a decrease in current fair value prior to the divestiture of our equity interest in a limited partnership during the third and fourth quarters of 2020.</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income tax expense of $142.5 million and an income tax benefit of $41.6 million for the years ended December 31, 2020 and 2019, respectively. The change in our income tax provision was primarily due to the application of a valuation allowance on our deferred tax assets during the year ended December 31, 2020, and the revision during the year ended December 31, 2019 of estimated deferred taxes recognized as a result of our change in federal income tax status. The total income tax provision for the year ended December 31, 2020 differed from amounts computed by applying the federal statutory tax rate to pre-tax loss for the period primarily due to impact of recording a valuation allowance on our deferred tax assets and net income attributable to the non-controlling interest. See Note 9—</w:t>
      </w:r>
      <w:hyperlink w:anchor="page94">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2019 and 2018</w:t>
      </w:r>
    </w:p>
    <w:p>
      <w:pPr>
        <w:spacing w:after="0" w:line="256" w:lineRule="exact"/>
        <w:rPr>
          <w:sz w:val="20"/>
          <w:szCs w:val="20"/>
          <w:color w:val="auto"/>
        </w:rPr>
      </w:pPr>
    </w:p>
    <w:p>
      <w:pPr>
        <w:jc w:val="both"/>
        <w:ind w:right="2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w:t>
      </w:r>
      <w:hyperlink r:id="rId55">
        <w:r>
          <w:rPr>
            <w:rFonts w:ascii="Times New Roman" w:cs="Times New Roman" w:eastAsia="Times New Roman" w:hAnsi="Times New Roman"/>
            <w:sz w:val="18"/>
            <w:szCs w:val="18"/>
            <w:u w:val="single" w:color="auto"/>
            <w:color w:val="0000FF"/>
          </w:rPr>
          <w:t>Item 7. Management’s Discussion and Analysis of Financial Condition and Results of Operations” of our Annual Report on Form 10-K</w:t>
        </w:r>
      </w:hyperlink>
      <w:r>
        <w:rPr>
          <w:rFonts w:ascii="Times New Roman" w:cs="Times New Roman" w:eastAsia="Times New Roman" w:hAnsi="Times New Roman"/>
          <w:sz w:val="18"/>
          <w:szCs w:val="18"/>
          <w:color w:val="auto"/>
        </w:rPr>
        <w:t xml:space="preserve"> for the year ended December 31, 2019 for a discussion of our 2019 results compared to 2018, which discussion is incorporated herein by reference.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is a supplemental non-GAAP financial measure that is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period to period without regard to our financing methods or capital structure. In addition, management uses Adjusted EBITDA in evaluating cash flow that will be available to pay distributions to our common unitholders.</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interest expense, net, non-cash unit-based compensation expense, depletion expense, impairment expense, (gain) loss on revaluation of investment, non-cash (gain) loss on derivative instruments, (gain) loss on extinguishment of debt and provision for (benefit from) income taxes. Adjusted EBITDA is not a measure of net income (loss) as determined by GAAP.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or more meaningful than, net income (loss), royalty income, cash flow from operating activities or any other measure of financial performance or liquidity presented as determined in accordance with GAAP. Our computations of Adjusted EBITDA may not be comparable to other similarly titled measures of other companies.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and cash available for distribution, to net income (loss), our most directly comparable GAAP financial measure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8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(193,413)</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221,210</w:t>
            </w: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unit-based compensation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100,501</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78,178</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revaluation of investment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(gain) loss on derivative instruments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3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188,183</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275,872</w:t>
            </w:r>
          </w:p>
        </w:tc>
      </w:tr>
      <w:tr>
        <w:trPr>
          <w:trHeight w:val="230"/>
        </w:trPr>
        <w:tc>
          <w:tcPr>
            <w:tcW w:w="8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Adjusted EBITDA attributable to non-controlling interest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3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attributable to Viper Energy Partners LP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80,324</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124,374</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Adjusted EBITDA to cash available for distribution: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service, contractual obligations, fixed charges and reserves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repurchased for tax withholding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 dividend equivalent rights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distributions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to Viper Energy Partners LP unitholders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66,562</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limited partner units outstanding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65,817</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67,806</w:t>
            </w:r>
          </w:p>
        </w:tc>
      </w:tr>
      <w:tr>
        <w:trPr>
          <w:trHeight w:val="257"/>
        </w:trPr>
        <w:tc>
          <w:tcPr>
            <w:tcW w:w="8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per limited partner unit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per unit approved for distribution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Does not take into account special income allocation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56"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for the fourth quarter of 2020 is payable on March 11, 2021 to common unitholders of record at the close of business on March 4, 2021. Based on the common units and Operating Company units held by Diamondback on February 22, 2021, the distribution payable to Diamondback for the fourth quarter of 2020 on March 11, 2021 will be approximately $12.8 million. See Note 7—</w:t>
      </w:r>
      <w:hyperlink w:anchor="page91">
        <w:r>
          <w:rPr>
            <w:rFonts w:ascii="Times New Roman" w:cs="Times New Roman" w:eastAsia="Times New Roman" w:hAnsi="Times New Roman"/>
            <w:sz w:val="18"/>
            <w:szCs w:val="18"/>
            <w:u w:val="single" w:color="auto"/>
            <w:color w:val="0000FF"/>
          </w:rPr>
          <w:t>Unitholders' Equity and Distributions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discussion of our distributions.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operations, proceeds from sales of non-core assets and investments, equity and debt offerings and borrowings under our credit agreement. Our primary uses of cash have been distributions to our unitholders, repayments of debt, capital expenditures for the acquisition of our mineral interests and royalty interests in oil and natural gas properties, and repurchases of our common units. We intend to finance future expenditures through a combination of cash on hand, borrowings under our credit agreement and, subject to market conditions and other factors, proceeds from one or more capital market transactions, which may include debt or equity offerings. Our ability to generate cash is subject to several factors, some of which are beyond our control, including commodity prices and general economic, financial, competitive, legislative, regulatory and other factors, including extreme weather conditions, such as, for example, the recent severe winter storms in the Permian Basin that have impacted production volumes on our mineral and royalty acreage.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236,691</w:t>
            </w: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(530,572)</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274,807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decrease in net cash provided by operating activities during the year ended December 31, 2020, was primarily due to a decrease in royalty income as discussed in “</w:t>
      </w:r>
      <w:hyperlink w:anchor="page41">
        <w:r>
          <w:rPr>
            <w:rFonts w:ascii="Times New Roman" w:cs="Times New Roman" w:eastAsia="Times New Roman" w:hAnsi="Times New Roman"/>
            <w:sz w:val="18"/>
            <w:szCs w:val="18"/>
            <w:u w:val="single" w:color="auto"/>
            <w:color w:val="0000FF"/>
          </w:rPr>
          <w:t>—Results of Operations</w:t>
        </w:r>
      </w:hyperlink>
      <w:r>
        <w:rPr>
          <w:rFonts w:ascii="Times New Roman" w:cs="Times New Roman" w:eastAsia="Times New Roman" w:hAnsi="Times New Roman"/>
          <w:sz w:val="18"/>
          <w:szCs w:val="18"/>
          <w:color w:val="auto"/>
        </w:rPr>
        <w:t>” above, and an increase in cash paid for derivative contract settlements. This decrease was partially offset by changes in our working capital accounts, most notably in our accounts receivable.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2020, was primarily related to acquisitions of oil and natural gas interests, partially offset by proceeds from the sale of oil and natural gas assets and investments.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was primarily related to acquisitions of oil and natural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2020, was primarily related to distributions of $108.0 million to our unitholders, $24.0 million of common units repurchased as part of our unit repurchase program, repurchases of the Notes totaling $19.7 million, net of discounts during the second quarter of 2020, and net payments for borrowings under the Operating Company’s revolving credit facility of $12.5 million.</w:t>
      </w:r>
    </w:p>
    <w:p>
      <w:pPr>
        <w:spacing w:after="0" w:line="203"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Net cash provided by financing activities during the year ended December 31, 2019, was primarily related to issuance of $500.0 million of the Notes and net proceeds of $340.9 million from our public offerings of common units, partially offset by net repayments of $314.5 million of borrowings </w:t>
      </w:r>
      <w:hyperlink w:anchor="page91">
        <w:r>
          <w:rPr>
            <w:rFonts w:ascii="Times New Roman" w:cs="Times New Roman" w:eastAsia="Times New Roman" w:hAnsi="Times New Roman"/>
            <w:sz w:val="18"/>
            <w:szCs w:val="18"/>
            <w:color w:val="auto"/>
          </w:rPr>
          <w:t>under the Operating Company’s revolving credit facility and distributions of $240.4 million to our unitholders during 2019. See Note 7—</w:t>
        </w:r>
        <w:r>
          <w:rPr>
            <w:rFonts w:ascii="Times New Roman" w:cs="Times New Roman" w:eastAsia="Times New Roman" w:hAnsi="Times New Roman"/>
            <w:sz w:val="18"/>
            <w:szCs w:val="18"/>
            <w:u w:val="single" w:color="auto"/>
            <w:color w:val="0000FF"/>
          </w:rPr>
          <w:t>Unitholders'</w:t>
        </w:r>
      </w:hyperlink>
      <w:r>
        <w:rPr>
          <w:rFonts w:ascii="Times New Roman" w:cs="Times New Roman" w:eastAsia="Times New Roman" w:hAnsi="Times New Roman"/>
          <w:sz w:val="18"/>
          <w:szCs w:val="18"/>
          <w:color w:val="auto"/>
        </w:rPr>
        <w:t xml:space="preserve"> </w:t>
      </w:r>
      <w:hyperlink w:anchor="page91">
        <w:r>
          <w:rPr>
            <w:rFonts w:ascii="Times New Roman" w:cs="Times New Roman" w:eastAsia="Times New Roman" w:hAnsi="Times New Roman"/>
            <w:sz w:val="18"/>
            <w:szCs w:val="18"/>
            <w:u w:val="single" w:color="auto"/>
            <w:color w:val="0000FF"/>
          </w:rPr>
          <w:t>Equity and Distributions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discussion of our 2019 equity offering.</w:t>
        </w:r>
      </w:hyperlink>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Operating Company’s Revolving Credit Facility</w:t>
      </w:r>
    </w:p>
    <w:p>
      <w:pPr>
        <w:spacing w:after="0" w:line="254" w:lineRule="exact"/>
        <w:rPr>
          <w:sz w:val="20"/>
          <w:szCs w:val="20"/>
          <w:color w:val="auto"/>
        </w:rPr>
      </w:pPr>
    </w:p>
    <w:p>
      <w:pPr>
        <w:jc w:val="both"/>
        <w:ind w:left="40" w:firstLine="648"/>
        <w:spacing w:after="0" w:line="255" w:lineRule="auto"/>
        <w:rPr>
          <w:sz w:val="20"/>
          <w:szCs w:val="20"/>
          <w:color w:val="auto"/>
        </w:rPr>
      </w:pPr>
      <w:r>
        <w:rPr>
          <w:rFonts w:ascii="Times New Roman" w:cs="Times New Roman" w:eastAsia="Times New Roman" w:hAnsi="Times New Roman"/>
          <w:sz w:val="18"/>
          <w:szCs w:val="18"/>
          <w:color w:val="auto"/>
        </w:rPr>
        <w:t>On July 20, 2018, we, as guarantor, entered into an amended and restated credit agreement with the Operating Company, as borrower, Wells Fargo, as administrative agent, and the other lenders. The credit agreement, as amended to date, provides for a revolving credit facility in the maximum credit amount of $2.0 billion, with a borrowing base of $580.0 million as of December 31, 2020, and a maturity date of November 1, 2022. The Operating Company had $84.0 million of outstanding borrowings and $496.0 million available for future borrowings under the Operating Company’s revolving credit facility as of December 31, 2020. The borrowing base of $580.0 million was reaffirmed by the lenders during the regularly scheduled (semi-annual) fall 2020 redetermination in November 2020. The next semi-annual redetermination is scheduled to occur in May 2021. During the year ended December 31, 2020, the weighted average interest rate on borrowings under the Operating Company’s revolving credit facility was 2.20%.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the Operating Company was in compliance with all financial maintenance covenants under its credit agreement.</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Notes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16, 2019, we issued our 5.375% senior notes due 2027 in the aggregate principal amount of $500.0 million. We received net proceeds of approximately $490.0 million from the Notes Offering and loaned the gross proceeds from this offering to the Operating Company, which used them to repay then outstanding borrowings under its revolving credit facility. Interest on the Notes accrues at a rate of 5.375% per annum, payable semi-annually on May 1 and November 1 of each year, commencing on May 1, 2020. The Notes will mature on November 1, 2027.</w:t>
      </w:r>
    </w:p>
    <w:p>
      <w:pPr>
        <w:spacing w:after="0" w:line="20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we repurchased $20.1 million of the outstanding principal of the Notes at cash prices ranging from 97.5% to 98.5% of the aggregate principal amount, which resulted in an immaterial gain on extinguishment of debt, and $479.9 million in aggregate principal amount remained outstanding.</w:t>
      </w:r>
    </w:p>
    <w:p>
      <w:pPr>
        <w:spacing w:after="0" w:line="204"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additional discussion in Note 6—</w:t>
      </w:r>
      <w:hyperlink w:anchor="page89">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2020:</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8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5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Credit agreement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479,938</w:t>
            </w:r>
          </w:p>
        </w:tc>
      </w:tr>
      <w:tr>
        <w:trPr>
          <w:trHeight w:val="229"/>
        </w:trPr>
        <w:tc>
          <w:tcPr>
            <w:tcW w:w="5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Interest expense related to the senior notes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r>
      <w:tr>
        <w:trPr>
          <w:trHeight w:val="223"/>
        </w:trPr>
        <w:tc>
          <w:tcPr>
            <w:tcW w:w="5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531,531</w:t>
            </w: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26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outstanding principal amount under the credit agreement, the table does not include interest expense or other fees payable under this floating rate facility as we cannot predict the timing of future borrowings and repayments or interest rates to be charged.</w:t>
      </w: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represents the scheduled cash payments on the Notes.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GAAP.</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Critical accounting policies cover accounting estimates that are inherently uncertain because the future resolution of such matters is unknown and actual results could differ from those estimates.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 Significant items subject to such estimates and assumptions include</w:t>
      </w:r>
    </w:p>
    <w:p>
      <w:pPr>
        <w:spacing w:after="0" w:line="1" w:lineRule="exact"/>
        <w:rPr>
          <w:sz w:val="20"/>
          <w:szCs w:val="20"/>
          <w:color w:val="auto"/>
        </w:rPr>
      </w:pPr>
    </w:p>
    <w:p>
      <w:pPr>
        <w:jc w:val="both"/>
        <w:ind w:firstLine="8"/>
        <w:spacing w:after="0" w:line="255" w:lineRule="auto"/>
        <w:tabs>
          <w:tab w:leader="none" w:pos="2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accounting for our oil and natural gas properties, (ii) estimates of proved oil and natural gas reserves and related present value estimates of future net cash flows therefrom, (iii) impairments of the carrying value of oil and natural gas properties, (iv) fair value of derivatives, and (v) estimates of income taxes.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we have provided expanded discussion of our more significant accounting policies, estimates and judgments.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and Revenue Recognition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Partnership records revenue in the month production is delivered to the purchaser. However, settlement statements for certain oil, natural gas and natural gas liquids sales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Partnership’s interest. The Partnership records the differences between its estimates and the actual amounts received for royalties in the month that payment is received from the producer. The Partnership has existing internal controls for its revenue estimation process and related accruals, and any identified differences between its revenue estimates and actual revenue received historically have not been significant, but could differ materially in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 of Accounting for Oil and Natural Gas Properties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oil and natural gas producing activities using the full cost method of accounting. Accordingly, all costs incurred in the acquisition of proved oil and natural gas properties, including the costs of abandoned properties are capitalized. Sales or other dispositions of oil and natural gas properties are accounted for as adjustments to capitalized costs, with no gain or loss recorded unless the ratio of cost to proved reserves would significantly change.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Depletion of evaluated oil and natural gas properties is computed on the units of production method, whereby capitalized costs are depleted over total proved reserves. If our production remains at approximately the same level from year to year, depletion expense may be significantly different if our estimate of remaining reserves changes significantly.</w:t>
      </w:r>
    </w:p>
    <w:p>
      <w:pPr>
        <w:spacing w:after="0" w:line="20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impairment and deferred income taxes exceed the discounted future net revenues of proved oil and natural gas reserves, less any related income tax effects, the excess capitalized costs are charged to expense. Significant inputs included in the calculation of future net revenues discounted at 10% used in the impairment analysis include our estimate of operating and development costs, anticipated production of proved reserves and other relevant data. Impairments of our evaluated oil and natural gas properties are not reversible.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Reserve Quantities and Standardized Measure of Discounted Future Net Cash Flows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independent engineers and technical staff prepare our estimates of oil and natural gas reserves and associated future net cash flows. The SEC has defined proved reserves as the estimated quantities of oil and natural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established index prices and other sources which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May 10, 2018, we were treated as a pass-through entity for federal income tax purposes. On May 10, 2018, we elected to be treated as a corporation for U.S. federal income tax purposes.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During the year ended December 31, 2020, we established a valuation allowance for the full amount of our deferred tax assets.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w:t>
      </w:r>
      <w:hyperlink w:anchor="page83">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consolidated financial statements included elsewhere in this Annual Report for a full listing of our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have no off-balance sheet arrangements.</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5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Further, oil prices dropped sharply in early March 2020 and then continued to decline reaching negative levels. This was as a result of multiple factors affecting supply and demand in the global oil and gas markets, including actions taken by OPEC members and other exporting nations and impacting commodity price and production levels and a significant decrease in demand due to the ongoing COVID-19 pandemic, which resulted in a widespread health crisis and significant volatility, uncertainty and turmoil in the global economy, financial markets and oil and natural gas industry. While OPEC members and certain other nations agreed in April of 2020 to cut production, which helped to reduce a portion of the excess supply in the market and improve oil prices, demand for crude oil has remained below historic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levels and downward pressure on commodity prices has continued and could continue for the foreseeable future. We cannot predict if or when commodity prices will stabilize and at what levels.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2020, we used fixed price swap contracts, fixed price basis swap contracts and costless collars with corresponding put and call options to reduce price volatility associated with certain of our royalty income. With respect to our fixed price swap contracts and fixed price basis swap contracts, the counterparty is required to make a payment to us if the settlement price for any settlement period is less than the swap or basis price, and we are required to make a payment to the counterparty if the settlement price for any settlement period is greater than the swap or basis price. With respect to the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2020, we had a net liability derivative position related to our commodity price derivatives of $26.6 million, related to our costless collars. We did not have any derivative contracts prior to February 2020. Utilizing actual derivative contractual volumes under our contracts as of December 31, 2020, a 10% increase in forward curves associated with the underlying commodity would have increased the net liability position to $29.7 million, an increase of $3.1 million, while a 10% decrease in forward curves associated with the underlying commodity would have decreased the net liability derivative position to $23.5 million, a decrease of $3.1 million. However, any cash derivative gain or loss would be substantially offset by a decrease or increase, respectively, in the actual sales value of production covered by the derivative instrument.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We are subject to risk resulting from the concentration of royalty interest revenues in producing oil and natural gas properties and receivables with a limited number of several significant purchasers. For the year ended December 31, 2020, four purchasers accounted for more than 10% of our revenue. </w:t>
      </w:r>
      <w:hyperlink w:anchor="page83">
        <w:r>
          <w:rPr>
            <w:rFonts w:ascii="Times New Roman" w:cs="Times New Roman" w:eastAsia="Times New Roman" w:hAnsi="Times New Roman"/>
            <w:sz w:val="18"/>
            <w:szCs w:val="18"/>
            <w:color w:val="auto"/>
          </w:rPr>
          <w:t>For the years ended December 31, 2019 and 2018, three purchasers each accounted for more than 10% of our revenue. See Note 2—</w:t>
        </w:r>
        <w:r>
          <w:rPr>
            <w:rFonts w:ascii="Times New Roman" w:cs="Times New Roman" w:eastAsia="Times New Roman" w:hAnsi="Times New Roman"/>
            <w:sz w:val="18"/>
            <w:szCs w:val="18"/>
            <w:u w:val="single" w:color="auto"/>
            <w:color w:val="0000FF"/>
          </w:rPr>
          <w:t>Summary of</w:t>
        </w:r>
      </w:hyperlink>
      <w:r>
        <w:rPr>
          <w:rFonts w:ascii="Times New Roman" w:cs="Times New Roman" w:eastAsia="Times New Roman" w:hAnsi="Times New Roman"/>
          <w:sz w:val="18"/>
          <w:szCs w:val="18"/>
          <w:color w:val="auto"/>
        </w:rPr>
        <w:t xml:space="preserve"> </w:t>
      </w:r>
      <w:hyperlink w:anchor="page83">
        <w:r>
          <w:rPr>
            <w:rFonts w:ascii="Times New Roman" w:cs="Times New Roman" w:eastAsia="Times New Roman" w:hAnsi="Times New Roman"/>
            <w:sz w:val="18"/>
            <w:szCs w:val="18"/>
            <w:u w:val="single" w:color="auto"/>
            <w:color w:val="0000FF"/>
          </w:rPr>
          <w:t>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details. We do not require collateral and the failure or inability of our significant purchasers to meet their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obligations to us due to their liquidity issues, bankruptcy, insolvency or liquidation may adversely affect our financial results. The ongoing COVID-19 pandemic, depressed commodity pricing environment and adverse macroeconomic conditions may enhance our purchaser credit risk.</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0.75% to 1.75% in the case of the alternative base rate and from 1.75% to 2.75% per annum in the case of LIBOR, in each case depending on the amount of the loans outstanding in relation to the borrowing base. We entered into this credit agreement on July 8, 2014, as subsequently amended and restated, and as of December 31, 2020, we had $84.0 million in outstanding borrowings. Our weighted average interest rate was 2.20% for the year ended December 31, 2020.</w:t>
      </w:r>
    </w:p>
    <w:p>
      <w:pPr>
        <w:spacing w:after="0" w:line="2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appears beginning on page F-1 of this report.</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Evaluation of Disclosure Control and Procedures</w:t>
      </w:r>
      <w:r>
        <w:rPr>
          <w:rFonts w:ascii="Times New Roman" w:cs="Times New Roman" w:eastAsia="Times New Roman" w:hAnsi="Times New Roman"/>
          <w:sz w:val="18"/>
          <w:szCs w:val="18"/>
          <w:color w:val="auto"/>
        </w:rPr>
        <w:t>. Under the direction of the Chief Executive Officer and Chief Financial Officer of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2020, our disclosure controls and procedures are effective.</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December 31, 2020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 reporting and determined that the Partnership maintained effective internal control over financial reporting as of December 31, 2020.</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audited the consolidated financial statements of the Partnership included in this Annual Report on Form 10-K, has issued their report on the effectiveness of the Partnership’s internal control over financial reporting at December 31, 2020. The report, which expresses an unqualified opinion on the effectiveness of the Partnership’s internal control over financial reporting at December 31, 2020,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Viper Energy Partners LP (a Delaware limited partnership) and subsidiary (collectively, the “Partnership”) as of December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2020, and our report dated February 25, 2021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Viper Energy Partners LP</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managed and operated by the board of directors and the executive officers of our general partner, the latter of whom are employed by Diamondback.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owns all of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executive officers of our general partner manage the day-to-day affairs of our business. All of the executive officers of our general partner also serve as executive officers of Diamondback. The executive officers listed below allocate their time between managing our business and the business of Diamondback. In addition, Messrs. Stice, Van’t Hof and Zmigrosky and Ms. Dick allocate a portion of their time to Rattler Midstream LP, Diamondback’s other publicly traded subsidiary, which we refer to as Rattler.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Our General Partner</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following table shows information for the executive officers and directors of our general partner as of January 31, 2021.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Age</w:t>
            </w:r>
          </w:p>
        </w:tc>
        <w:tc>
          <w:tcPr>
            <w:tcW w:w="830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4"/>
                <w:szCs w:val="14"/>
                <w:b w:val="1"/>
                <w:bCs w:val="1"/>
                <w:color w:val="auto"/>
              </w:rPr>
              <w:t>Position With Our General Partner</w:t>
            </w:r>
          </w:p>
        </w:tc>
      </w:tr>
      <w:tr>
        <w:trPr>
          <w:trHeight w:val="22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59</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34</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Teresa L. Dick</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51</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 Executive Vice President and Assistant Secretary</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Pantermuehl</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61</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F. Hawkins</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67</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President—Land</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Zmigrosky</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42</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E. West</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60</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Wesley Perry</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64</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Spencer D. Armour</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66</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 Rubin</w:t>
            </w:r>
          </w:p>
        </w:tc>
        <w:tc>
          <w:tcPr>
            <w:tcW w:w="7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36</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Rosalind Redfern Grover</w:t>
            </w:r>
          </w:p>
        </w:tc>
        <w:tc>
          <w:tcPr>
            <w:tcW w:w="7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79</w:t>
            </w:r>
          </w:p>
        </w:tc>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Travis D. Stice. </w:t>
      </w:r>
      <w:r>
        <w:rPr>
          <w:rFonts w:ascii="Times New Roman" w:cs="Times New Roman" w:eastAsia="Times New Roman" w:hAnsi="Times New Roman"/>
          <w:sz w:val="18"/>
          <w:szCs w:val="18"/>
          <w:color w:val="auto"/>
        </w:rPr>
        <w:t>Mr. Stice has served as Chief Executive Officer and a director of our general partner since February 2014. He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Diamondback since January 2012 and as a director since November 2012. Mr. Stice has also served as the Chief Executive Officer and a director of the general partner of Rattler since July 2018. Prior to these positions with our general partner, Diamondback and Rattler’s general partner, Mr. Stice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company, from September 2008 to September 2010 and as a Development Manager of ConocoPhillips/Burlington Resources Mid-Continent Business Unit, an oil and gas exploration company, from April 2006 until August 2008.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35 years of experience in production operations, reservoir engineering, production engineering and unconventional oil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gas exploration and over 20 years of management experience. Mr. Stice graduated from Texas A&amp;M University with a Bachelor of Science degree in Petroleum Engineering. He is a registered engineer in the State of Texas, and is a 35-year member of the Society of Petroleum Engineers.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Mr. Stice’s expertise and extensive industry and executive management experience, including at Diamondback, make him a valuable asset to the board of directors of our general partner.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Kaes Van’t Hof. </w:t>
      </w:r>
      <w:r>
        <w:rPr>
          <w:rFonts w:ascii="Times New Roman" w:cs="Times New Roman" w:eastAsia="Times New Roman" w:hAnsi="Times New Roman"/>
          <w:sz w:val="18"/>
          <w:szCs w:val="18"/>
          <w:color w:val="auto"/>
        </w:rPr>
        <w:t>Mr. Van't Hof has served as President of our general partner since March 2017. He has served as Diamondback’s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Executive Vice President of Business Development since March 2019 after joining Diamondback in July 2016 as Vice President and serving as its Senior Vice President—Strategy and Corporate Development from February 2017 to February 2019. Mr. Van’t Hof has also served as President and director of the general partner of Rattler since July 2018. Prior to his positions with our general partner, Diamondback and Rattler’s general partner, Mr. Van't Hof served as Chief Executive Officer for Bison Drilling and Field Services from September 2012 to June 2016. From August 2011 to August 2012, Mr. Van't Hof was an analyst for Wexford Capital LP responsible for developing operating models and business plans, including in connection with our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in Accounting and Business Administration from the University of Southern California.</w:t>
      </w:r>
    </w:p>
    <w:p>
      <w:pPr>
        <w:spacing w:after="0" w:line="2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Teresa L. Dick. </w:t>
      </w:r>
      <w:r>
        <w:rPr>
          <w:rFonts w:ascii="Times New Roman" w:cs="Times New Roman" w:eastAsia="Times New Roman" w:hAnsi="Times New Roman"/>
          <w:sz w:val="18"/>
          <w:szCs w:val="18"/>
          <w:color w:val="auto"/>
        </w:rPr>
        <w:t>Ms. Dick has served as Chief Financial Officer, Executive Vice President and Assistant Secretary of our general partner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2017 and served as Chief Financial Officer, Senior Vice President and Assistant Secretary from February 2014 to February 2017.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Ms. Dick has also served as Chief Financial Officer, Executive Vice President and Assistant Secretary of the general partner of Rattler since July 2018. From June 2006 to November 2007, Ms. Dick held a key management position as the Controller/Tax Director at Hiland Partners, a publicly traded midstream energy master limited partnership. Ms. Dick has over 20 years of accounting experience, including over nine years of public company experience in both audit and tax areas.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Pantermuehl. </w:t>
      </w:r>
      <w:r>
        <w:rPr>
          <w:rFonts w:ascii="Times New Roman" w:cs="Times New Roman" w:eastAsia="Times New Roman" w:hAnsi="Times New Roman"/>
          <w:sz w:val="18"/>
          <w:szCs w:val="18"/>
          <w:color w:val="auto"/>
        </w:rPr>
        <w:t>Mr. Pantermuehl has served as Executive Vice President and Chief Engineer of our general partner and Diamondback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2019. Mr. Pantermuehl served as Executive Vice President—Reservoir Engineering of our general partner from February 2017 to February 2019 and served as Vice President—Reservoir Engineering from February 2014 to February 2017. He has also served as Diamondback’s Executive Vice President— Reservoir Engineering from February 2017 to March 2019, and served as Vice President-Reservoir Engineering from August 2011 to February 2017. Prior to his positions with us and Diamondback, Mr. Pantermuehl served as a reservoir engineering supervisor for Concho Resources Inc., an oil and gas exploration company, from March 2010 to August 2011. Mr. Pantermuehl worked for ConocoPhillips Company as a reservoir engineering advisor from January 2005 to March 2010. Mr. Pantermuehl also worked as an independent consultant in the oil and gas industry from March 2000 to December 2004. He received a Bachelor of Science degree in Petroleum Engineering from Texas A&amp;M University.</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F. Hawkins. </w:t>
      </w:r>
      <w:r>
        <w:rPr>
          <w:rFonts w:ascii="Times New Roman" w:cs="Times New Roman" w:eastAsia="Times New Roman" w:hAnsi="Times New Roman"/>
          <w:sz w:val="18"/>
          <w:szCs w:val="18"/>
          <w:color w:val="auto"/>
        </w:rPr>
        <w:t>Mr. Hawkins has served as Executive Vice President—Land of our general partner and Diamondback since March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these positions, he served as Senior Vice President—Land of our general partner and Diamondback from March 2017 to February 2019. Prior to his positions with us and Diamondback, Mr. Hawkins was an independent consultant for land activities from July 2016 to February 2017. Mr. Hawkins has over 40 years of experience in the oil and gas industry. Mr. Hawkins spent seven years with Oasis Petroleum Inc., an oil and gas company, as its Senior Vice President of Land or in related capacities from March 2009 to June 2016. Until February 2009, Mr. Hawkins spent 31 years with ConocoPhillips and Burlington Resources (which ConocoPhillips acquired in 2006). During that time, Mr. Hawkins held various operations and managerial positions in the land, marketing, planning and the corporate acquisitions and divestitures groups. Mr. Hawkins has worked in several major regions in the continental United States, including the San Juan Basin, the Williston Basin and the Austin Chalk/Wilcox Trends in South Texas. Mr. Hawkins holds a Bachelor of Business Administration in Finance from the University of Texas at El Paso.</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 Zmigrosky. </w:t>
      </w:r>
      <w:r>
        <w:rPr>
          <w:rFonts w:ascii="Times New Roman" w:cs="Times New Roman" w:eastAsia="Times New Roman" w:hAnsi="Times New Roman"/>
          <w:sz w:val="18"/>
          <w:szCs w:val="18"/>
          <w:color w:val="auto"/>
        </w:rPr>
        <w:t>Mr. Zmigrosky has served as Executive Vice President, General Counsel and Secretary of our general partner since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Since February 2019, Mr. Zmigrosky has also served as Executive Vice President, General Counsel and Secretary of both Diamondback and the general partner of Rattler. Before joining us, Diamondback and Rattler’s general partner, Mr. Zmigrosky was in the private practice of law, most recently as a partner in the corporate section of Akin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Gump Strauss Hauer &amp; Feld LLP from October 2012 to February 2019,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E. West. </w:t>
      </w:r>
      <w:r>
        <w:rPr>
          <w:rFonts w:ascii="Times New Roman" w:cs="Times New Roman" w:eastAsia="Times New Roman" w:hAnsi="Times New Roman"/>
          <w:sz w:val="18"/>
          <w:szCs w:val="18"/>
          <w:color w:val="auto"/>
        </w:rPr>
        <w:t>Mr. West has served as Chairman of the Board of our general partner since February 2014 and as a director and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partner of Rattler since May 2019. Mr. West has also served as a director of Diamondback since December 2011 and as its Chairman of the Board since October 2012. He served as Diamondback's Chief Executive Officer from January 1, 2009 to December 31,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Wesley Perry. </w:t>
      </w:r>
      <w:r>
        <w:rPr>
          <w:rFonts w:ascii="Times New Roman" w:cs="Times New Roman" w:eastAsia="Times New Roman" w:hAnsi="Times New Roman"/>
          <w:sz w:val="18"/>
          <w:szCs w:val="18"/>
          <w:color w:val="auto"/>
        </w:rPr>
        <w:t>Mr. Perry has been a member of the board of directors of our general partner since June 2014. Mr. Perry has served as a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Genie Energy Ltd., an independent retail energy provider, since October 2011, currently serves as the chair of its audit committee and a member of its compensation, nominating, corporate governance and technology committees and has served as the chairman of the board of directors of Genie Energy International Corporation since September 2009. Mr. Perry also serves as manager of PBEX, LLC, an oil and gas exploration and development company, a position he has held since July 2012. Mr. Perry has served as manager of S.E.S. Investments, Ltd., an oil and gas investment company, since 1985. He served as Chief Executive Officer of E.G.L. Resources, Inc., an oil and gas production company, from July 2008 until December 2019 and served as its President from 2003 to July 2008. Mr. Perry was a director of UTG, Inc., an insurance holding company, from 2001 to 2013 and served on its Audit Committee. Mr. Perry served on the Midland City Council from 2002 to 2008 and as Mayor of Midland from 2008 through 2014. He is the Chairman of the Milagros Foundation and a trustee of the Abell-Hangar Foundation. He has a Bachelor of Science degree in Engineering from the University of Oklahoma.</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Perry’s extensive experience in the oil and gas industry and his strong financial background qualify him to serve on the board of directors of our general partner.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Spencer D. Armour. </w:t>
      </w:r>
      <w:r>
        <w:rPr>
          <w:rFonts w:ascii="Times New Roman" w:cs="Times New Roman" w:eastAsia="Times New Roman" w:hAnsi="Times New Roman"/>
          <w:sz w:val="18"/>
          <w:szCs w:val="18"/>
          <w:color w:val="auto"/>
        </w:rPr>
        <w:t>Mr. Armour has been a member of the board of directors of our general partner since July 2017. Mr. Armour has over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executive and entrepreneurial experience in the energy services industry. Mr. Armour has served as a partner of Geneses Investments since February 2019. He served as President of PT Petroleum LLC in Midland, Texas from March 2013 until January 2019. He was the Vice President of Corporate Development for Basic Energy Services, Inc. from 2007 to 2008, which acquired Sledge Drilling Corp., a company Mr. Armour co-founded and served as Chief Executive Officer for from 2005 to 2006. From 1998 through 2005, he served as Executive Vice President of Patterson-UTI Energy, Inc., which acquired Lone Star Mud, Inc., a company Mr. Armour founded and served as President from 1986 to 1997. Mr. Armour has served as a director of ProPetro Holding Corp. since February 2013 and as a director of CES Energy since December 2018. Mr. Armour also served on the Patterson-UTI Board of Directors from 1999 through 2001. Mr. Armour received a Bachelor of Science in Economics from the University of Houston and was appointed to the University of Houston System Board of Regents in 2011 by former Texas Governor Rick Perry.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believe that Mr. Armour’s extensive experience in the oil and gas industry qualify him to serve on the board of directors of our general partner.</w:t>
      </w:r>
    </w:p>
    <w:p>
      <w:pPr>
        <w:spacing w:after="0" w:line="26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L. Rubin. </w:t>
      </w:r>
      <w:r>
        <w:rPr>
          <w:rFonts w:ascii="Times New Roman" w:cs="Times New Roman" w:eastAsia="Times New Roman" w:hAnsi="Times New Roman"/>
          <w:sz w:val="18"/>
          <w:szCs w:val="18"/>
          <w:color w:val="auto"/>
        </w:rPr>
        <w:t>Mr. Rubin has been a member of the board of directors of our general partner since June 2014. He has served as a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Wexford since 2012 and currently serves as Portfolio Manager and Co-Head of Equities and as a member of Wexford’s hedge fund investment committee. From 2006 to 2012, he served as an analyst and later as Vice President, focusing on Wexford’s public and private energy investments. Mr. Rubin graduated cum laude from Yale University with a Bachelor of Arts degree with honors in political science and economics.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Mr. Rubin’s strong financial background qualifies him to serve on the board of directors of our general partner.</w:t>
      </w:r>
    </w:p>
    <w:p>
      <w:pPr>
        <w:spacing w:after="0" w:line="24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Rosalind Redfern Grover. </w:t>
      </w:r>
      <w:r>
        <w:rPr>
          <w:rFonts w:ascii="Times New Roman" w:cs="Times New Roman" w:eastAsia="Times New Roman" w:hAnsi="Times New Roman"/>
          <w:sz w:val="18"/>
          <w:szCs w:val="18"/>
          <w:color w:val="auto"/>
        </w:rPr>
        <w:t>Ms. Grover has been a member of the board of directors of our general partner since December 2014. Ms. Grover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Chairman of the Board of Flag-Redfern Oil Company until the company was sold to Kerr-McGee Corporation in 1988. She has served as the President of Redfern Enterprises, Inc., an independent oil and gas producer, since 1989 and as the Chief Executive Officer of Redfern &amp; Grover Resources, LLC, an independent oil and gas producer, since 2014. Ms. Grover holds Bachelors and Masters degrees from the University of Arizona.</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Ms. Grover’s extensive experience in the oil and gas industry, including with oil and gas partnerships, qualifies her to serve on the board of directors of our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of our general partner has six directors, four of whom are independent as defined under the independence standards established by Nasdaq and the Exchange Act. Steven E. West, W. Wesley Perry, Spencer D. Armour and Rosalind Redfern Grover serve as the independent members of the board of directors of our general partner. Although a majority of the board of directors of our general partner is independent, Nasdaq does not require a listed publicly traded partnership, such as ours, to have a majority of independent directors on the board of directors of our general partner or to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Leadership of our general partner’s board of directors is vested in the chairman of the board. Steven E. West serves as the chairman of the board of directors of our general partner and as chairman of the board of Diamondback. Our general partner’s board of directors has determined that the combined roles of chairman of the board of directors of our general partner and chairman of the board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extreme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the partnership.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the partnership with senior management.</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board of directors of our general partner is ultimately responsible for risk oversight at the partnership,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2020, the board of directors of our general partner met six times. Each director attended 100% of the meetings of the board and the committees of the board on which he or she served that occurred during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Viper Energy Partners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unrestricted access to the audit committee and our management, as necessary. The audit committee has adopted a charter, which is available on our website under the “corporate governance” section at http://ir.viperenergy.com.</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 Wesley Perry, Spencer D. Armour and Rosalind Redfern Grover currently serve on the audit committee, and Mr. Perry serves as the chairman. The board of directors of our general partner has determined that each of W. Wesley Perry, Spencer D. Armour and Rosalind Redfern Grover meet the independence and experience standards established by the Nasdaq and the Exchange Act and that Mr. Perry is an “audit committee financial expert” as defined under SEC rules.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W. Wesley Perry, Spencer D. Armour and Rosalind Redfern Grover are the members of the conflicts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http://ir.viperenergy.com.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our General Partner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the executive officers that are responsible for managing our day-to-day affairs are also current executive officers of Diamondback.</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the executive officers of our general partner have responsibilities to us, Diamondback and Rattler, Diamondback’s other publicly traded subsidiary, and allocate their time between managing our business and managing the businesses of Diamondback and Rattler. Since all of these executive officers are employed by Diamondback or one of its subsidiaries, the responsibility and authority for compensation-related decisions for them resides with Diamondback’s compensation committee. Diamondback has the ultimate decision-making authority with respect to the total compensation of the executive officers that are employed by Diamondback including, subject to the terms of the partnership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that are made to executive officers, key employees and non-employee directors under the LTIP are made by the board of directors of our general partner. Please see the description of the LTIP below under the heading “Long-Term Incentive Plan.”</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and Rattler’s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did not establish and do not direct the compensation policies or practices of Diamondback. Except with respect to awards granted under the LTIP, compensation paid or awarded by us in 2020 consisted only of the portion of compensation paid by Diamondback that is allocated to us and our general partner pursuant to Diamondback’s allocation methodology and subject to the terms of the partnership agreement.</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full discussion of the compensation programs for Diamondback’s executive officers and the policies and philosophy of the compensation committee of Diamondback’s board of directors will be set forth in Diamondback’s 2021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included in Diamondback’s 2021 proxy statement, with awards outstanding pursuant to our LTIP separately identified.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5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In order to incentivize our management and directors to continue to grow our business, the board of directors of our general partner adopted the LTIP for employees, officers, consultants and directors of our general partner and any of its affiliates, including Diamondback, who perform services for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(collectively, “awards”). These awards are intended to align the interests of employees, officers, consultants and directors with those of our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2020, our general partner made grants under the LTIP of phantom units to the non-employee directors of our general partner (see “Director Compensation” below for information regarding those awards). No grants under the LTIP were made to the executive officers of our general partner in 2020.</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 “change in control” (as defined in the LTIP), the committee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committee deems appropriate to reflect the change in control.</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or Service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Report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the board of directors of our general partner has a compensation committee.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8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The Board of Directors of Viper Energy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24765</wp:posOffset>
            </wp:positionV>
            <wp:extent cx="354012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40125" cy="154305"/>
                    </a:xfrm>
                    <a:prstGeom prst="rect">
                      <a:avLst/>
                    </a:prstGeom>
                    <a:noFill/>
                  </pic:spPr>
                </pic:pic>
              </a:graphicData>
            </a:graphic>
          </wp:anchor>
        </w:drawing>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Travis D. Stice</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Steven 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14605</wp:posOffset>
            </wp:positionV>
            <wp:extent cx="354012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40125" cy="146050"/>
                    </a:xfrm>
                    <a:prstGeom prst="rect">
                      <a:avLst/>
                    </a:prstGeom>
                    <a:noFill/>
                  </pic:spPr>
                </pic:pic>
              </a:graphicData>
            </a:graphic>
          </wp:anchor>
        </w:drawing>
      </w:r>
    </w:p>
    <w:p>
      <w:pPr>
        <w:spacing w:after="0" w:line="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 Wesley Perry</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Spencer D. Armour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14605</wp:posOffset>
            </wp:positionV>
            <wp:extent cx="354012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40125" cy="146050"/>
                    </a:xfrm>
                    <a:prstGeom prst="rect">
                      <a:avLst/>
                    </a:prstGeom>
                    <a:noFill/>
                  </pic:spPr>
                </pic:pic>
              </a:graphicData>
            </a:graphic>
          </wp:anchor>
        </w:drawing>
      </w:r>
    </w:p>
    <w:p>
      <w:pPr>
        <w:spacing w:after="0" w:line="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James L. Rubin</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Rosalind Redfern Grover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non-employee director receives a compensation package that consists of an annual cash retainer of $60,000 plus an additional annual payment of $15,000 for the chairperson and $10,000 for each other member of the audit committee and $10,000 for the chairperson and $5,000 for each other member of each other committee. In addition, each non-employee director receives an equity award of phantom units under the LTIP granted annually at the close of business on July 10th of each year or, if not a business day, the first business day thereafter. The number of phantom units awarded is calculated by dividing $100,000 by the average closing price of our common units for the five trading days immediately preceding the date of grant. The awards vest on the first anniversary of the grate date. Our directors are also reimbursed for out-of-pocket expenses in connection with attending meetings of the board of directors or its committees.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member of the board of directors of our general partner is indemnified for his or her actions associated with being a director to the fullest extent permitted under Delaware law.</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dollar amount of all fees paid to each of the non-employee directors of our general partner during 2020 for their services on the board: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40" w:type="dxa"/>
            <w:vAlign w:val="bottom"/>
            <w:gridSpan w:val="2"/>
          </w:tcPr>
          <w:p>
            <w:pPr>
              <w:ind w:left="242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80" w:type="dxa"/>
            <w:vAlign w:val="bottom"/>
          </w:tcPr>
          <w:p>
            <w:pPr>
              <w:spacing w:after="0"/>
              <w:rPr>
                <w:sz w:val="13"/>
                <w:szCs w:val="13"/>
                <w:color w:val="auto"/>
              </w:rPr>
            </w:pPr>
          </w:p>
        </w:tc>
        <w:tc>
          <w:tcPr>
            <w:tcW w:w="12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Unit Awards(b)</w:t>
            </w:r>
          </w:p>
        </w:tc>
        <w:tc>
          <w:tcPr>
            <w:tcW w:w="360" w:type="dxa"/>
            <w:vAlign w:val="bottom"/>
          </w:tcPr>
          <w:p>
            <w:pPr>
              <w:spacing w:after="0"/>
              <w:rPr>
                <w:sz w:val="13"/>
                <w:szCs w:val="13"/>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cash(a)</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Spencer D. Armour</w:t>
            </w:r>
            <w:r>
              <w:rPr>
                <w:rFonts w:ascii="Times New Roman" w:cs="Times New Roman" w:eastAsia="Times New Roman" w:hAnsi="Times New Roman"/>
                <w:sz w:val="23"/>
                <w:szCs w:val="23"/>
                <w:color w:val="auto"/>
                <w:vertAlign w:val="superscript"/>
              </w:rPr>
              <w:t>(c)(d)</w:t>
            </w:r>
          </w:p>
        </w:tc>
        <w:tc>
          <w:tcPr>
            <w:tcW w:w="270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Rosalind Redfern Grover</w:t>
            </w:r>
            <w:r>
              <w:rPr>
                <w:rFonts w:ascii="Times New Roman" w:cs="Times New Roman" w:eastAsia="Times New Roman" w:hAnsi="Times New Roman"/>
                <w:sz w:val="23"/>
                <w:szCs w:val="23"/>
                <w:color w:val="auto"/>
                <w:vertAlign w:val="superscript"/>
              </w:rPr>
              <w:t>(c)(d)</w:t>
            </w:r>
          </w:p>
        </w:tc>
        <w:tc>
          <w:tcPr>
            <w:tcW w:w="27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 Wesley Perry</w:t>
            </w:r>
            <w:r>
              <w:rPr>
                <w:rFonts w:ascii="Times New Roman" w:cs="Times New Roman" w:eastAsia="Times New Roman" w:hAnsi="Times New Roman"/>
                <w:sz w:val="23"/>
                <w:szCs w:val="23"/>
                <w:color w:val="auto"/>
                <w:vertAlign w:val="superscript"/>
              </w:rPr>
              <w:t>(c)(d)</w:t>
            </w:r>
          </w:p>
        </w:tc>
        <w:tc>
          <w:tcPr>
            <w:tcW w:w="270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L. Rubin</w:t>
            </w:r>
            <w:r>
              <w:rPr>
                <w:rFonts w:ascii="Times New Roman" w:cs="Times New Roman" w:eastAsia="Times New Roman" w:hAnsi="Times New Roman"/>
                <w:sz w:val="23"/>
                <w:szCs w:val="23"/>
                <w:color w:val="auto"/>
                <w:vertAlign w:val="superscript"/>
              </w:rPr>
              <w:t>(c)(d)</w:t>
            </w:r>
          </w:p>
        </w:tc>
        <w:tc>
          <w:tcPr>
            <w:tcW w:w="27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Steven E. West</w:t>
            </w:r>
            <w:r>
              <w:rPr>
                <w:rFonts w:ascii="Times New Roman" w:cs="Times New Roman" w:eastAsia="Times New Roman" w:hAnsi="Times New Roman"/>
                <w:sz w:val="23"/>
                <w:szCs w:val="23"/>
                <w:color w:val="auto"/>
                <w:vertAlign w:val="superscript"/>
              </w:rPr>
              <w:t>(c)(d)</w:t>
            </w:r>
          </w:p>
        </w:tc>
        <w:tc>
          <w:tcPr>
            <w:tcW w:w="270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value of a director’s annual retainer.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 Distribution equivalent rights are not reflected in the aggregate grant date fair value of phantom unit awards.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Ms. Grover and Messrs. Armour, Perry, Rubin and West received a grant of 3,257 phantom units on July 10, 2019, which vested and settled on July 10, 2020, pursuant to the LTIP, with each unit having a grant date fair value of $31.96. Each phantom unit is the economic equivalent of one of our common units.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Ms. Grover and Messrs. Armour, Perry, Rubin and West received a grant of 9,970 phantom units on July 10, 2020, which will vest and settle on July 10, 2021, pursuant to the LTIP, with each unit having a grant date fair value of $9.82. Each phantom unit is the economic equivalent of one of our common units.</w:t>
      </w:r>
    </w:p>
    <w:p>
      <w:pPr>
        <w:spacing w:after="0" w:line="2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Stice is a director of our general partner, but is also an executive officer of our general partner and Mr. Stice is an employee of Diamondback E&amp;P LLC. Mr. Stice has received awards pursuant to the LTIP for his service as an executive officer or employee, respectively, and unrelated to his service as director. These awards are reflected in the tables contained in Diamondback’s 2021 proxy statement under the heading “Compensation Discussion and Analysis.”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noted, our general partner’s board of directors is not required to maintain, and does not maintain, a separate compensation committee. Mr. Stice, a director and executive officer of our general partner, is also a director and executive officer of Diamondback. However, all compensation decisions with respect to Mr. Stice are made by Diamondback and Mr. Stice does not receive any compensation directly from us or our general partner except for awards under our LTIP. As described in “–Compensation Discussion and Analysis,” decisions regarding the compensation of our general partner’s executive officers are made by Diamondback. Please read “Items 1 and 2. Business and Properties–Our Relationship with Diamondback” and “Item 13. Certain Relationships and Related Transactions, and Director Independence” for more information about relationships among us, our general partner and Diamondback.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employees. We are managed and operated by the directors and officers of our general partner and employees of Diamondback perform services on our behalf. Please read “–Compensation Discussion and Analysis” and “Items 1 and 2. Business and Properties–Our Relationship with Diamondback” for more information about this arrangement. For an analysis of any risks arising from Diamondback’s compensation policies and practices, please read Diamondback’s 2021 proxy statement. We have made awards of unit options subject to time-based vesting under our LTIP, which we believe drive a long-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 perspective and which we believe make it less likely that executive officers will take unreasonable risks because the unit options retain value even in a depressed market.</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Holdings of Officers and Directors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beneficial ownership of our common units as of January 31, 2021 by:</w:t>
      </w:r>
    </w:p>
    <w:p>
      <w:pPr>
        <w:spacing w:after="0" w:line="252" w:lineRule="exact"/>
        <w:rPr>
          <w:sz w:val="20"/>
          <w:szCs w:val="20"/>
          <w:color w:val="auto"/>
        </w:rPr>
      </w:pPr>
    </w:p>
    <w:p>
      <w:pPr>
        <w:ind w:left="780" w:hanging="327"/>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w:t>
      </w:r>
    </w:p>
    <w:p>
      <w:pPr>
        <w:spacing w:after="0" w:line="117"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general partner’s directors and executive officers; and</w:t>
      </w:r>
    </w:p>
    <w:p>
      <w:pPr>
        <w:spacing w:after="0" w:line="117"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general partner’s directors and executive officers as a group.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 Units</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tcPr>
          <w:p>
            <w:pPr>
              <w:jc w:val="right"/>
              <w:ind w:right="52"/>
              <w:spacing w:after="0" w:line="189"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18"/>
                <w:szCs w:val="18"/>
                <w:b w:val="1"/>
                <w:bCs w:val="1"/>
                <w:color w:val="auto"/>
                <w:vertAlign w:val="superscript"/>
              </w:rPr>
              <w:t>(1)</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Diamondback Energy, Inc.</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731,500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Travis D. Stice</w:t>
            </w:r>
            <w:r>
              <w:rPr>
                <w:rFonts w:ascii="Times New Roman" w:cs="Times New Roman" w:eastAsia="Times New Roman" w:hAnsi="Times New Roman"/>
                <w:sz w:val="23"/>
                <w:szCs w:val="23"/>
                <w:color w:val="auto"/>
                <w:vertAlign w:val="superscript"/>
              </w:rPr>
              <w:t>(2)</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106,169</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Teresa L. Dick</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Pantermuehl</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F. Hawkins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Matt Zmigrosky</w:t>
            </w:r>
            <w:r>
              <w:rPr>
                <w:rFonts w:ascii="Times New Roman" w:cs="Times New Roman" w:eastAsia="Times New Roman" w:hAnsi="Times New Roman"/>
                <w:sz w:val="23"/>
                <w:szCs w:val="23"/>
                <w:color w:val="auto"/>
                <w:vertAlign w:val="superscript"/>
              </w:rPr>
              <w:t>(3)</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Steven E. West</w:t>
            </w:r>
            <w:r>
              <w:rPr>
                <w:rFonts w:ascii="Times New Roman" w:cs="Times New Roman" w:eastAsia="Times New Roman" w:hAnsi="Times New Roman"/>
                <w:sz w:val="23"/>
                <w:szCs w:val="23"/>
                <w:color w:val="auto"/>
                <w:vertAlign w:val="superscript"/>
              </w:rPr>
              <w:t>(4)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62,807</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 Wesley Perry</w:t>
            </w:r>
            <w:r>
              <w:rPr>
                <w:rFonts w:ascii="Times New Roman" w:cs="Times New Roman" w:eastAsia="Times New Roman" w:hAnsi="Times New Roman"/>
                <w:sz w:val="23"/>
                <w:szCs w:val="23"/>
                <w:color w:val="auto"/>
                <w:vertAlign w:val="superscript"/>
              </w:rPr>
              <w:t>(4)</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Spencer D. Armour</w:t>
            </w:r>
            <w:r>
              <w:rPr>
                <w:rFonts w:ascii="Times New Roman" w:cs="Times New Roman" w:eastAsia="Times New Roman" w:hAnsi="Times New Roman"/>
                <w:sz w:val="23"/>
                <w:szCs w:val="23"/>
                <w:color w:val="auto"/>
                <w:vertAlign w:val="superscript"/>
              </w:rPr>
              <w:t>(4)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L. Rubin</w:t>
            </w:r>
            <w:r>
              <w:rPr>
                <w:rFonts w:ascii="Times New Roman" w:cs="Times New Roman" w:eastAsia="Times New Roman" w:hAnsi="Times New Roman"/>
                <w:sz w:val="23"/>
                <w:szCs w:val="23"/>
                <w:color w:val="auto"/>
                <w:vertAlign w:val="superscript"/>
              </w:rPr>
              <w:t>(5)</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Rosalind Redfern Grover</w:t>
            </w:r>
            <w:r>
              <w:rPr>
                <w:rFonts w:ascii="Times New Roman" w:cs="Times New Roman" w:eastAsia="Times New Roman" w:hAnsi="Times New Roman"/>
                <w:sz w:val="23"/>
                <w:szCs w:val="23"/>
                <w:color w:val="auto"/>
                <w:vertAlign w:val="superscript"/>
              </w:rPr>
              <w:t>(4)</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357,233</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27" w:lineRule="exact"/>
        <w:rPr>
          <w:sz w:val="20"/>
          <w:szCs w:val="20"/>
          <w:color w:val="auto"/>
        </w:rPr>
      </w:pPr>
    </w:p>
    <w:p>
      <w:pPr>
        <w:jc w:val="both"/>
        <w:ind w:left="34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In computing percentage ownership of each person, (i) common units subject to options held by that person that are exercisable as of January 31, 2021 and (ii) common units subject to options or phantom units held by that person that are exercisable or vesting within 60 days of January 31, 2021 are all deemed to be beneficially owned. These common units, however, are not deemed outstanding for the purpose of computing the percentage ownership of each other person. The percentage of common units beneficially owned is based on 65,462,281 common units outstanding as of January 31, 2021. Unless otherwise indicated, all amounts exclude common units issuable upon the exercise of outstanding options and vesting of phantom units that are not exercisable and/or vested as of January 31, 2021 or within 60 days of January 31, 2021. Unless otherwise noted, the address for each beneficial owner listed below is 500 West Texas Avenue, Suite 1200, Midland, Texas 79701. Except as noted, each unitholder in the above table is believed to have sole voting and sole investment power with respect to the units beneficially held.</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units are held by Stice Investments, Ltd., which is managed by Stice Management, LLC, its general partner. Mr. Stice and his spouse hold 100% of the membership interests in Stice Management, LLC, of which Mr. Stice is the manager.</w:t>
      </w: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3,667 phantom units that are scheduled to vest on March 1, 2021.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9,970 phantom units that are scheduled to vest on July 10, 2021.</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29,762 common units (representing vested phantom units previously granted to Mr. Rubin) and 9,970 phantom units that are scheduled to vest on July 10, 2021, all of which have been assigned by Mr. Rubin to Wexford under the terms of his employment with Wexford.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January 31, 2021, the number of shares of common stock of Diamondback beneficially owned by each of the directors and executive officers of our general partner and all directors and executive officers of our general partner as a group.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4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 of Diamondback Common Stock Beneficially Owned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28"/>
        </w:trPr>
        <w:tc>
          <w:tcPr>
            <w:tcW w:w="670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660" w:type="dxa"/>
            <w:vAlign w:val="bottom"/>
          </w:tcPr>
          <w:p>
            <w:pPr>
              <w:jc w:val="right"/>
              <w:ind w:right="394"/>
              <w:spacing w:after="0" w:line="129" w:lineRule="exact"/>
              <w:rPr>
                <w:sz w:val="20"/>
                <w:szCs w:val="20"/>
                <w:color w:val="auto"/>
              </w:rPr>
            </w:pPr>
            <w:r>
              <w:rPr>
                <w:rFonts w:ascii="Times New Roman" w:cs="Times New Roman" w:eastAsia="Times New Roman" w:hAnsi="Times New Roman"/>
                <w:sz w:val="14"/>
                <w:szCs w:val="14"/>
                <w:b w:val="1"/>
                <w:bCs w:val="1"/>
                <w:color w:val="auto"/>
              </w:rPr>
              <w:t>Amount and Nature of Beneficial</w:t>
            </w:r>
          </w:p>
        </w:tc>
        <w:tc>
          <w:tcPr>
            <w:tcW w:w="1840" w:type="dxa"/>
            <w:vAlign w:val="bottom"/>
          </w:tcPr>
          <w:p>
            <w:pPr>
              <w:jc w:val="center"/>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Travis D. Stice</w:t>
            </w:r>
            <w:r>
              <w:rPr>
                <w:rFonts w:ascii="Times New Roman" w:cs="Times New Roman" w:eastAsia="Times New Roman" w:hAnsi="Times New Roman"/>
                <w:sz w:val="23"/>
                <w:szCs w:val="23"/>
                <w:color w:val="auto"/>
                <w:vertAlign w:val="superscript"/>
              </w:rPr>
              <w:t>(2)</w:t>
            </w:r>
          </w:p>
        </w:tc>
        <w:tc>
          <w:tcPr>
            <w:tcW w:w="26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462,480</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Kaes Van't Hof</w:t>
            </w:r>
            <w:r>
              <w:rPr>
                <w:rFonts w:ascii="Times New Roman" w:cs="Times New Roman" w:eastAsia="Times New Roman" w:hAnsi="Times New Roman"/>
                <w:sz w:val="23"/>
                <w:szCs w:val="23"/>
                <w:color w:val="auto"/>
                <w:vertAlign w:val="superscript"/>
              </w:rPr>
              <w:t>(3)</w:t>
            </w:r>
          </w:p>
        </w:tc>
        <w:tc>
          <w:tcPr>
            <w:tcW w:w="26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38,222</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Teresa L. Dick</w:t>
            </w:r>
            <w:r>
              <w:rPr>
                <w:rFonts w:ascii="Times New Roman" w:cs="Times New Roman" w:eastAsia="Times New Roman" w:hAnsi="Times New Roman"/>
                <w:sz w:val="23"/>
                <w:szCs w:val="23"/>
                <w:color w:val="auto"/>
                <w:vertAlign w:val="superscript"/>
              </w:rPr>
              <w:t>(4)</w:t>
            </w:r>
          </w:p>
        </w:tc>
        <w:tc>
          <w:tcPr>
            <w:tcW w:w="26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50,603</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Russell Pantermuehl</w:t>
            </w:r>
            <w:r>
              <w:rPr>
                <w:rFonts w:ascii="Times New Roman" w:cs="Times New Roman" w:eastAsia="Times New Roman" w:hAnsi="Times New Roman"/>
                <w:sz w:val="23"/>
                <w:szCs w:val="23"/>
                <w:color w:val="auto"/>
                <w:vertAlign w:val="superscript"/>
              </w:rPr>
              <w:t>(5)</w:t>
            </w:r>
          </w:p>
        </w:tc>
        <w:tc>
          <w:tcPr>
            <w:tcW w:w="26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125,146</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Thomas F. Hawkins</w:t>
            </w:r>
            <w:r>
              <w:rPr>
                <w:rFonts w:ascii="Times New Roman" w:cs="Times New Roman" w:eastAsia="Times New Roman" w:hAnsi="Times New Roman"/>
                <w:sz w:val="23"/>
                <w:szCs w:val="23"/>
                <w:color w:val="auto"/>
                <w:vertAlign w:val="superscript"/>
              </w:rPr>
              <w:t>(6)</w:t>
            </w:r>
          </w:p>
        </w:tc>
        <w:tc>
          <w:tcPr>
            <w:tcW w:w="26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21,902</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Matt Zmigrosky</w:t>
            </w:r>
            <w:r>
              <w:rPr>
                <w:rFonts w:ascii="Times New Roman" w:cs="Times New Roman" w:eastAsia="Times New Roman" w:hAnsi="Times New Roman"/>
                <w:sz w:val="23"/>
                <w:szCs w:val="23"/>
                <w:color w:val="auto"/>
                <w:vertAlign w:val="superscript"/>
              </w:rPr>
              <w:t>(7)</w:t>
            </w:r>
          </w:p>
        </w:tc>
        <w:tc>
          <w:tcPr>
            <w:tcW w:w="26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10,499</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Steven E. West</w:t>
            </w:r>
            <w:r>
              <w:rPr>
                <w:rFonts w:ascii="Times New Roman" w:cs="Times New Roman" w:eastAsia="Times New Roman" w:hAnsi="Times New Roman"/>
                <w:sz w:val="23"/>
                <w:szCs w:val="23"/>
                <w:color w:val="auto"/>
                <w:vertAlign w:val="superscript"/>
              </w:rPr>
              <w:t>(8)</w:t>
            </w:r>
          </w:p>
        </w:tc>
        <w:tc>
          <w:tcPr>
            <w:tcW w:w="26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9,291</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Wesley Perry</w:t>
            </w:r>
          </w:p>
        </w:tc>
        <w:tc>
          <w:tcPr>
            <w:tcW w:w="266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Spencer D. Armour</w:t>
            </w:r>
          </w:p>
        </w:tc>
        <w:tc>
          <w:tcPr>
            <w:tcW w:w="26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 Rubin</w:t>
            </w:r>
          </w:p>
        </w:tc>
        <w:tc>
          <w:tcPr>
            <w:tcW w:w="266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Rosalind Redfern Grover</w:t>
            </w:r>
          </w:p>
        </w:tc>
        <w:tc>
          <w:tcPr>
            <w:tcW w:w="26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w:t>
            </w:r>
          </w:p>
        </w:tc>
        <w:tc>
          <w:tcPr>
            <w:tcW w:w="26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718,143</w:t>
            </w:r>
          </w:p>
        </w:tc>
        <w:tc>
          <w:tcPr>
            <w:tcW w:w="184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27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460" w:hanging="412"/>
        <w:spacing w:after="0" w:line="250" w:lineRule="auto"/>
        <w:tabs>
          <w:tab w:leader="none" w:pos="4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In computing percentage ownership of each person, (i) shares of common stock subject to options held by that person that are exercisable as of January 31, 2021 and (ii) shares of common stock subject to options or restricted stock units held by that person that are exercisable or vesting within 60 days of January 31, 2021, are all deemed to be beneficially owned. These shares, however, are not deemed outstanding for the purpose of computing the percentage ownership of each other person. The percentage of shares beneficially owned is based on 158,002,899 shares of common stock outstanding as of January 31, 2021. Unless otherwise indicated, all amounts exclude shares issuable upon the exercise of outstanding options and vesting of restricted stock units that are not exercisable and/or vested as of January 31, 2021 or within 60 days of January 31, 2021. Except as noted, each stockholder in the above table is believed to have sole voting and sole investment power with respect to the shares of common stock beneficially held.</w:t>
      </w:r>
    </w:p>
    <w:p>
      <w:pPr>
        <w:spacing w:after="0" w:line="3"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are held by Stice Investments, Ltd., which is managed by Stice Management, LLC, its general partner. Mr. Stice and his spouse hold 100% of the membership interests in Stice Management, LLC, of which Mr. Stice is the manager. Includes 25,811 restricted stock units, that are scheduled to vest on March 1, 2021. Excludes 14,825 restricted stock units, that are scheduled to vest on March 1, 2022. Also excludes (i) 34,133 performance-based restricted stock units awarded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49,436 performance-based restricted stock units awarded to Mr. Stice on March 1, 2019, which are subject to the satisfaction of certain stockholder return performance conditions relative to Diamondback’s peer group during the three-year performance period ending on December 31, 2021 and</w:t>
      </w:r>
    </w:p>
    <w:p>
      <w:pPr>
        <w:spacing w:after="0" w:line="3" w:lineRule="exact"/>
        <w:rPr>
          <w:rFonts w:ascii="Times New Roman" w:cs="Times New Roman" w:eastAsia="Times New Roman" w:hAnsi="Times New Roman"/>
          <w:sz w:val="18"/>
          <w:szCs w:val="18"/>
          <w:color w:val="auto"/>
        </w:rPr>
      </w:pPr>
    </w:p>
    <w:p>
      <w:pPr>
        <w:jc w:val="both"/>
        <w:ind w:left="500" w:hanging="6"/>
        <w:spacing w:after="0" w:line="250" w:lineRule="auto"/>
        <w:tabs>
          <w:tab w:leader="none" w:pos="84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66,714 performance-based restricted stock units awarded to Mr. Stice on March 1, 2020, which are subject to the satisfaction of certain stockholder return performance conditions relative to Diamondback’s peer group during the three-year performance period ending on December 31, 2022.</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51"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12,046 restricted stock units, that are scheduled to vest on March 1, 2021. Excludes (i) 6,918 restricted stock units, that are scheduled to vest on March 1, 2022, (ii) 8,790 restricted stock units, that are scheduled to vest in five equal annual installments beginning on March 1, 2025, (iii) 6,693 performance-based restricted stock units awarded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(iv) 23,070 performance-based restricted stock units awarded on March 1, 2019, that are subject to the satisfaction of certain stockholder return performance conditions relative to Diamondback’s peer group during the three-year performance period ending on December 31, 2021, (v) 13,183 performance-based restricted stock units awarded to Mr. Van’t Hof on March 1, 2019, that are subject to the satisfaction of certain stockholder return performance conditions relative to Diamondback’s peer group during the three-year performance period ending on December 31, 2021 and are scheduled to vest in five equal annual installments beginning on March 1, 2025 and (vi) 31,133 performance-based restricted stock units awarded to Mr. Van’t Hof on March 1, 2020, that are subject to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satisfaction of certain stockholder return performance conditions relative to Diamondback’s peer group during the three-year performance period ending on December 31, 2022.</w:t>
      </w:r>
    </w:p>
    <w:p>
      <w:pPr>
        <w:jc w:val="both"/>
        <w:ind w:left="500" w:hanging="492"/>
        <w:spacing w:after="0" w:line="250"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6,883 restricted stock units, that are scheduled to vest on March 1, 2021. Excludes 3,953 restricted stock units, that are scheduled to vest on March 1, 2022. Also excludes (i) 9,370 performance-based restricted stock units awarded to Ms. Dick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13,183 performance-based restricted stock units awarded to Ms. Dick on March 1, 2019, which awards are subject to the satisfaction of certain stockholder return performance conditions relative to Diamondback’s peer group during the three-year performance period ending December 31, 2021 and (iii) 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w:t>
      </w:r>
    </w:p>
    <w:p>
      <w:pPr>
        <w:spacing w:after="0" w:line="3" w:lineRule="exact"/>
        <w:rPr>
          <w:rFonts w:ascii="Times New Roman" w:cs="Times New Roman" w:eastAsia="Times New Roman" w:hAnsi="Times New Roman"/>
          <w:sz w:val="18"/>
          <w:szCs w:val="18"/>
          <w:color w:val="auto"/>
        </w:rPr>
      </w:pPr>
    </w:p>
    <w:p>
      <w:pPr>
        <w:jc w:val="both"/>
        <w:ind w:left="460" w:hanging="412"/>
        <w:spacing w:after="0" w:line="250" w:lineRule="auto"/>
        <w:tabs>
          <w:tab w:leader="none" w:pos="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12,046 restricted stock units that are scheduled to vest on March 1, 2021. Excludes 6,198 restricted stock units that are scheduled to vest on March 1, 2022. Also excludes (i) 17,134 performance-based restricted stock units awarded to Mr. Pantermuehl on March 1, 2019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23,070 performance-based restricted stock units awarded to Mr. Pantermuehl on March 1, 2019 that are subject to the satisfaction of certain stockholder return performance conditions relative to Diamondback’s peer group during the three-year performance period ending on December 31, 2021 and (iii) excludes 31,133 performance-based restricted stock units awarded to Mr. Pantermuehl on March 1, 2020 that are subject to the satisfaction of certain stockholder return performance conditions relative to Diamondback’s peer group during the three-year performance period ending on December 31, 2022.</w:t>
      </w:r>
    </w:p>
    <w:p>
      <w:pPr>
        <w:spacing w:after="0" w:line="3" w:lineRule="exact"/>
        <w:rPr>
          <w:rFonts w:ascii="Times New Roman" w:cs="Times New Roman" w:eastAsia="Times New Roman" w:hAnsi="Times New Roman"/>
          <w:sz w:val="18"/>
          <w:szCs w:val="18"/>
          <w:color w:val="auto"/>
        </w:rPr>
      </w:pPr>
    </w:p>
    <w:p>
      <w:pPr>
        <w:jc w:val="both"/>
        <w:ind w:left="460" w:hanging="412"/>
        <w:spacing w:after="0" w:line="250" w:lineRule="auto"/>
        <w:tabs>
          <w:tab w:leader="none" w:pos="4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4,475 restricted stock units that are scheduled to vest on March 1, 2021. Excludes 2,569 restricted stock units that are scheduled to vest on March 1, 2022. Also excludes 6,425 performance-based restricted stock units awarded to Mr. Hawkins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8,569 performance-based restricted stock units awarded to Mr. Hawkins on March 1, 2019 that are subject to the satisfaction of certain stockholder return performance conditions relative to Diamondback’s peer group during the three-year performance period ending on December 31, 2021 and (iii) 11,564 performance-based restricted stock units awarded to Mr. Hawkins on March 1, 2020 that are subject to the satisfaction of certain stockholder return performance conditions relative to Diamondback’s peer group during the three-</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performance period ending on December 31, 2022.</w:t>
      </w:r>
    </w:p>
    <w:p>
      <w:pPr>
        <w:spacing w:after="0" w:line="9" w:lineRule="exact"/>
        <w:rPr>
          <w:sz w:val="20"/>
          <w:szCs w:val="20"/>
          <w:color w:val="auto"/>
        </w:rPr>
      </w:pPr>
    </w:p>
    <w:p>
      <w:pPr>
        <w:jc w:val="both"/>
        <w:ind w:left="500" w:hanging="492"/>
        <w:spacing w:after="0" w:line="250"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5,507 restricted stock units, that are scheduled to vest on March 1, 2021. Excludes 3,162 restricted stock units, that are scheduled to vest on March 1, 2022. Also excludes (i) 10,546 performance-based restricted stock units awarded to Mr. Zmigrosky on March 1, 2019, that are subject to the satisfaction of certain stockholder return performance conditions relative to Diamondback’s peer group during the three-year performance period ending on December 31, 2021 and (ii) 14,232 performance-based restricted stock units awarded to Mr. Zmigrosky on March 1, 2020, that are subject to the satisfaction of certain stockholder return performance conditions relative to Diamondback’s peer group during the three-year performance period ending on December 31, 2022.</w:t>
      </w:r>
    </w:p>
    <w:p>
      <w:pPr>
        <w:spacing w:after="0" w:line="2" w:lineRule="exact"/>
        <w:rPr>
          <w:rFonts w:ascii="Times New Roman" w:cs="Times New Roman" w:eastAsia="Times New Roman" w:hAnsi="Times New Roman"/>
          <w:sz w:val="18"/>
          <w:szCs w:val="18"/>
          <w:color w:val="auto"/>
        </w:rPr>
      </w:pPr>
    </w:p>
    <w:p>
      <w:pPr>
        <w:ind w:left="460" w:hanging="412"/>
        <w:spacing w:after="0" w:line="260" w:lineRule="auto"/>
        <w:tabs>
          <w:tab w:leader="none" w:pos="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2,965 restricted stock units that are scheduled to vest on the earlier of the one-year anniversary of the date of grant and the date of the 2021 annual meeting of stockholders of Diamondback.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Holdings of Major Stockholders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units and Class B units as of January 31, 2020 by each unitholder known by us to beneficially own 5% or more of our common units or Class B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Diamondback Energy, Inc.</w:t>
      </w:r>
      <w:r>
        <w:rPr>
          <w:rFonts w:ascii="Times New Roman" w:cs="Times New Roman" w:eastAsia="Times New Roman" w:hAnsi="Times New Roman"/>
          <w:sz w:val="23"/>
          <w:szCs w:val="23"/>
          <w:color w:val="auto"/>
          <w:vertAlign w:val="superscript"/>
        </w:rPr>
        <w:t>(2)</w:t>
      </w:r>
    </w:p>
    <w:p>
      <w:pPr>
        <w:ind w:left="300"/>
        <w:spacing w:after="0"/>
        <w:rPr>
          <w:sz w:val="20"/>
          <w:szCs w:val="20"/>
          <w:color w:val="auto"/>
        </w:rPr>
      </w:pPr>
      <w:r>
        <w:rPr>
          <w:rFonts w:ascii="Times New Roman" w:cs="Times New Roman" w:eastAsia="Times New Roman" w:hAnsi="Times New Roman"/>
          <w:sz w:val="18"/>
          <w:szCs w:val="18"/>
          <w:color w:val="auto"/>
        </w:rPr>
        <w:t>500 West Texas Avenue, Suite 1200</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Wellington Management Group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 Wellington Management Company LLP</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280 Congress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Santa Elena Minerals, LP</w:t>
      </w:r>
      <w:r>
        <w:rPr>
          <w:rFonts w:ascii="Times New Roman" w:cs="Times New Roman" w:eastAsia="Times New Roman" w:hAnsi="Times New Roman"/>
          <w:sz w:val="23"/>
          <w:szCs w:val="23"/>
          <w:color w:val="auto"/>
          <w:vertAlign w:val="superscript"/>
        </w:rPr>
        <w:t>(4)</w:t>
      </w:r>
    </w:p>
    <w:p>
      <w:pPr>
        <w:ind w:left="300"/>
        <w:spacing w:after="0"/>
        <w:rPr>
          <w:sz w:val="20"/>
          <w:szCs w:val="20"/>
          <w:color w:val="auto"/>
        </w:rPr>
      </w:pPr>
      <w:r>
        <w:rPr>
          <w:rFonts w:ascii="Times New Roman" w:cs="Times New Roman" w:eastAsia="Times New Roman" w:hAnsi="Times New Roman"/>
          <w:sz w:val="18"/>
          <w:szCs w:val="18"/>
          <w:color w:val="auto"/>
        </w:rPr>
        <w:t>400 W. Illinois, Suite 1300</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Goldman Sachs Asset Management</w:t>
      </w:r>
      <w:r>
        <w:rPr>
          <w:rFonts w:ascii="Times New Roman" w:cs="Times New Roman" w:eastAsia="Times New Roman" w:hAnsi="Times New Roman"/>
          <w:sz w:val="23"/>
          <w:szCs w:val="23"/>
          <w:color w:val="auto"/>
          <w:vertAlign w:val="superscript"/>
        </w:rPr>
        <w:t>(5)</w:t>
      </w:r>
    </w:p>
    <w:p>
      <w:pPr>
        <w:ind w:left="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5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MAJOR UNITHOLDER TABLE</w:t>
            </w: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02"/>
        </w:trPr>
        <w:tc>
          <w:tcPr>
            <w:tcW w:w="3420" w:type="dxa"/>
            <w:vAlign w:val="bottom"/>
            <w:tcBorders>
              <w:bottom w:val="single" w:sz="8" w:color="auto"/>
            </w:tcBorders>
            <w:gridSpan w:val="2"/>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24"/>
                <w:szCs w:val="24"/>
                <w:color w:val="auto"/>
              </w:rPr>
            </w:pPr>
          </w:p>
        </w:tc>
        <w:tc>
          <w:tcPr>
            <w:tcW w:w="3440" w:type="dxa"/>
            <w:vAlign w:val="bottom"/>
            <w:tcBorders>
              <w:bottom w:val="single" w:sz="8" w:color="auto"/>
            </w:tcBorders>
            <w:gridSpan w:val="2"/>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Class B Units</w:t>
            </w:r>
          </w:p>
        </w:tc>
      </w:tr>
      <w:tr>
        <w:trPr>
          <w:trHeight w:val="188"/>
        </w:trPr>
        <w:tc>
          <w:tcPr>
            <w:tcW w:w="1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17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Percentage of Class</w:t>
            </w:r>
          </w:p>
        </w:tc>
      </w:tr>
      <w:tr>
        <w:trPr>
          <w:trHeight w:val="248"/>
        </w:trPr>
        <w:tc>
          <w:tcPr>
            <w:tcW w:w="1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8"/>
                <w:szCs w:val="18"/>
                <w:b w:val="1"/>
                <w:bCs w:val="1"/>
                <w:color w:val="auto"/>
                <w:vertAlign w:val="superscript"/>
              </w:rPr>
              <w:t>(1)</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8"/>
                <w:szCs w:val="18"/>
                <w:b w:val="1"/>
                <w:bCs w:val="1"/>
                <w:color w:val="auto"/>
                <w:vertAlign w:val="superscript"/>
              </w:rPr>
              <w:t>(1)</w:t>
            </w: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643"/>
        </w:trPr>
        <w:tc>
          <w:tcPr>
            <w:tcW w:w="1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731,500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4"/>
                <w:szCs w:val="24"/>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90,709,946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960"/>
        </w:trPr>
        <w:tc>
          <w:tcPr>
            <w:tcW w:w="1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9,539,455</w:t>
            </w:r>
            <w:r>
              <w:rPr>
                <w:rFonts w:ascii="Times New Roman" w:cs="Times New Roman" w:eastAsia="Times New Roman" w:hAnsi="Times New Roman"/>
                <w:sz w:val="23"/>
                <w:szCs w:val="23"/>
                <w:color w:val="auto"/>
                <w:vertAlign w:val="superscript"/>
              </w:rPr>
              <w:t>(3)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24"/>
                <w:szCs w:val="24"/>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r>
        <w:trPr>
          <w:trHeight w:val="660"/>
        </w:trPr>
        <w:tc>
          <w:tcPr>
            <w:tcW w:w="1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5,152,124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4"/>
                <w:szCs w:val="24"/>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r>
        <w:trPr>
          <w:trHeight w:val="744"/>
        </w:trPr>
        <w:tc>
          <w:tcPr>
            <w:tcW w:w="17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3,554,960</w:t>
            </w:r>
            <w:r>
              <w:rPr>
                <w:rFonts w:ascii="Times New Roman" w:cs="Times New Roman" w:eastAsia="Times New Roman" w:hAnsi="Times New Roman"/>
                <w:sz w:val="23"/>
                <w:szCs w:val="23"/>
                <w:color w:val="auto"/>
                <w:vertAlign w:val="superscript"/>
              </w:rPr>
              <w:t>(6)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4"/>
                <w:szCs w:val="24"/>
                <w:color w:val="auto"/>
              </w:rPr>
            </w:pPr>
          </w:p>
        </w:tc>
        <w:tc>
          <w:tcPr>
            <w:tcW w:w="17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-1946275</wp:posOffset>
            </wp:positionV>
            <wp:extent cx="7132320" cy="445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-917575</wp:posOffset>
            </wp:positionV>
            <wp:extent cx="7132320"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6980"/>
          </w:cols>
          <w:pgMar w:left="320" w:top="121" w:right="339" w:bottom="1440" w:gutter="0" w:footer="0" w:header="0"/>
          <w:type w:val="continuous"/>
        </w:sectPr>
      </w:pPr>
    </w:p>
    <w:p>
      <w:pPr>
        <w:spacing w:after="0" w:line="64" w:lineRule="exact"/>
        <w:rPr>
          <w:sz w:val="20"/>
          <w:szCs w:val="20"/>
          <w:color w:val="auto"/>
        </w:rPr>
      </w:pPr>
    </w:p>
    <w:p>
      <w:pPr>
        <w:jc w:val="both"/>
        <w:ind w:left="460" w:hanging="412"/>
        <w:spacing w:after="0" w:line="257" w:lineRule="auto"/>
        <w:tabs>
          <w:tab w:leader="none" w:pos="4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The percentage of common units beneficially owned is based on 65,462,281 common units outstanding as of January 31, 2021. Except as noted, each unitholder in the above table is believed to have sole voting and sole investment power with respect to the common units and Class B units beneficially held.</w:t>
      </w:r>
    </w:p>
    <w:p>
      <w:pPr>
        <w:spacing w:after="0" w:line="1" w:lineRule="exact"/>
        <w:rPr>
          <w:rFonts w:ascii="Times New Roman" w:cs="Times New Roman" w:eastAsia="Times New Roman" w:hAnsi="Times New Roman"/>
          <w:sz w:val="18"/>
          <w:szCs w:val="18"/>
          <w:color w:val="auto"/>
        </w:rPr>
      </w:pPr>
    </w:p>
    <w:p>
      <w:pPr>
        <w:jc w:val="both"/>
        <w:ind w:left="460" w:hanging="412"/>
        <w:spacing w:after="0" w:line="250" w:lineRule="auto"/>
        <w:tabs>
          <w:tab w:leader="none" w:pos="4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Energy, Inc. is a publicly traded company and holds 731,500 common units and 81,765,429 Class B units directly. Diamondback also has the beneficial ownership of 8,944,517 Class B units, which are held by Energen Resources Corporation, its indirect wholly-owned subsidiary (“Energen Resources”). An aggregate of 90,709,946 Class B units, together with the same aggregate number of units of the Operating Company (each, an “OpCo unit”), held by Diamondback and Energen Resources, are exchangeable from time to time, in their discretion, for common units (that is, one OpCo unit and one Class B unit, together, are exchangeable for one common unit), and, as a result, Diamondback may be deemed to have the beneficial ownership of such common units. Diamondback has sole voting and dispositive power with respect to the common units and Class B units it holds directly. Diamondback also has shared voting and dispositive power of 8,944,517 Class B units held by Energen Resources, which represent approximately 9.9% of the outstanding Class B units. The directors of Diamondback are Travis D. Stice, Steven E. West, Michael P. Cross, David L. Houston, Mark L. Plaumann and Melanie M. Trent. Travis D. Stice is the sole director of Energen Resources.</w:t>
      </w:r>
    </w:p>
    <w:p>
      <w:pPr>
        <w:spacing w:after="0" w:line="3" w:lineRule="exact"/>
        <w:rPr>
          <w:rFonts w:ascii="Times New Roman" w:cs="Times New Roman" w:eastAsia="Times New Roman" w:hAnsi="Times New Roman"/>
          <w:sz w:val="18"/>
          <w:szCs w:val="18"/>
          <w:color w:val="auto"/>
        </w:rPr>
      </w:pPr>
    </w:p>
    <w:p>
      <w:pPr>
        <w:jc w:val="both"/>
        <w:ind w:left="460" w:hanging="412"/>
        <w:spacing w:after="0" w:line="250" w:lineRule="auto"/>
        <w:tabs>
          <w:tab w:leader="none" w:pos="4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jointly filed with the SEC on February 4, 2021 by Wellington Management Group LLP (“Wellington Management”), Wellington Group Holdings LLP (“Wellington Holdings”), Wellington Investment Advisors Holdings LLP (“Wellington Advisors”) and Wellington Management Company LLP (“Wellington Company”). These units are owned of record by clients of Wellington Company, Wellington Management Canada LLC, Wellington Management Singapore Pte Ltd, Wellington Management Hong Kong Ltd, Wellington Management International Ltd, Wellington Management Japan Pte Ltd and Wellington Management Australia Pty Ltd (collectively, the “Wellington Investment Advisers”). Wellington Advisors controls directly, or indirectly through Wellington Management Global Holdings Ltd., the Wellington Investment Advisers. Wellington Advisors is owned by Wellington Holdings, which is in turn owned by Wellington Management. The clients of the Wellington Investment Advisers have the right to receive, or the power to direct the receipt of, dividends from, or the proceeds from the sale of, such securities. No such client is known to have such right or power with respect to more than five percent of this class of securities. Each of Wellington Management, Wellington Holdings and Wellington Advisors reported shared voting power over 9,210,709 common units and shared dispositive power over 9,539,455 common units. Wellington Company reported shared voting power over 8,931,945 common units and shared dispositive power over 9,224,175 common units.</w:t>
      </w:r>
    </w:p>
    <w:p>
      <w:pPr>
        <w:spacing w:after="0" w:line="4"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Viper’s records.</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Sachs Asset Management, L.P. together with GS Investment Strategies, LLC reported as “Goldman Sachs Asset Management.”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ind w:left="460" w:hanging="412"/>
        <w:spacing w:after="0" w:line="258" w:lineRule="auto"/>
        <w:tabs>
          <w:tab w:leader="none" w:pos="4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with the SEC on February 10, 2021 by Goldman Sachs Asset Management. Goldman Sachs Asset Management reported shared voting power with respect to 3,355,212 common units and shared dispositive power with respect to 3,554,960 common units. Clients of the reporting person(s) have or may have the right to receive or the power to direct the receipt of dividends from, or the proceeds from the sale of, common units held in their accounts. No such client is known to have such right or power with respect to more than five percent of such common units.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76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40" w:type="dxa"/>
            <w:vAlign w:val="bottom"/>
          </w:tcPr>
          <w:p>
            <w:pPr>
              <w:spacing w:after="0"/>
              <w:rPr>
                <w:sz w:val="13"/>
                <w:szCs w:val="13"/>
                <w:color w:val="auto"/>
              </w:rPr>
            </w:pPr>
          </w:p>
        </w:tc>
        <w:tc>
          <w:tcPr>
            <w:tcW w:w="22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35"/>
        </w:trPr>
        <w:tc>
          <w:tcPr>
            <w:tcW w:w="34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60" w:type="dxa"/>
            <w:vAlign w:val="bottom"/>
          </w:tcPr>
          <w:p>
            <w:pPr>
              <w:jc w:val="center"/>
              <w:ind w:left="84"/>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 options, warrants</w:t>
            </w:r>
          </w:p>
        </w:tc>
        <w:tc>
          <w:tcPr>
            <w:tcW w:w="140" w:type="dxa"/>
            <w:vAlign w:val="bottom"/>
          </w:tcPr>
          <w:p>
            <w:pPr>
              <w:spacing w:after="0"/>
              <w:rPr>
                <w:sz w:val="11"/>
                <w:szCs w:val="11"/>
                <w:color w:val="auto"/>
              </w:rPr>
            </w:pPr>
          </w:p>
        </w:tc>
        <w:tc>
          <w:tcPr>
            <w:tcW w:w="224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Incentive Plan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8,657,057</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Our general partner adopted the LTIP in connection with the IPO in June 2014.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with respect to the treatment of the unvested equity awards, which were granted to the executive officers of our general partner and were outstanding as of December 31, 2020 under the LTIP, in connection with certain termination events, including a termination related to a change of control of Viper or Diamondback.</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phantom unit awards made to Mr. Zmigrosky of our general partner under the LTIP, all unvested phantom unit awards granted to Mr. Zmigrosky will accelerate and immediately vest upon the change of control of Viper or Diamondback, provided that Diamondback is the sole general partner or Viper, or upon Mr. Zmigrosky’s death or disability. As of December 31, 2020, Mr. Zmigrosky held 3,667 unvested phantom units granted under the LTIP, all of which are scheduled to vest on March 1, 2021 and had an aggregate value of $42,611 as of December 31, 2020.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executive officers of our general partner held unvested equity awards under the LTIP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Transactions with Affiliates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certain agreements and transactions with Diamondback and its affiliates, as described in more detail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Payments to our General Partner and its Affiliates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partnership agreement, we are required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2020, our general partner received $3.7 million in reimbursements from the Partnership.</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paid to Diamondback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Diamondback is entitled to receive its pro rata portion of the distributions we make on our common units and the Operating Company makes in respect of the OpCo units. Holders of the Partnership’s Class B units are not entitled to receive cash distributions except to the extent of the cash preferred distributions equal to 8% per annum payable quarterly on the $1.0 million capital contribution made to us by Diamondback pursuant to the recapitalization agreement in connection with the issuance of the Class B units in the recapitalization transaction. During the year ended December 31, 2020, Diamondback received distributions from us and the Operating Company in the aggregate amount of $62.3 million.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2014, in connection with the IPO, we entered into a registration rights agreement with Diamondback. Pursuant to this registration rights agreement, we filed a registration statement on Form S-3 registering, under the Securities Act, the common units issued to Diamondback for resale. The registration rights agreement also includes provisions dealing with holdback agreements, indemnification and contribution and allocation of expenses. These registration rights are transferable to affiliates and, in certain circumstances, to third parties.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previously reported recapitalization transaction completed in May 2018, we and Diamondback entered into an amended and restated registration rights agreement, dated as of May 9, 2018, which amended and restated our original registration rights agreement with Diamondback entered into on June 23, 2014 in connection with our IPO. The amended and restated registration rights agreement amended the definition of “registrable securities” to include common units acquired or that may be acquired by Diamondback in accordance with our exchange agreement with Diamondback. In addition, whenever a holder has requested that any registrable securities be registered under the amended and restated registration rights agreement or has initiated an underwritten offering, the amended and restated registration rights agreement requires such holder, if applicable, to cause such registrable securities to be exchanged into common units in accordance with the terms of the exchange agreement before or substantially concurrently with the sale of such registrable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2018, we filed a registration statement on Form S-3ASR pursuant to which, among other things, in accordance with the amended and restated registration rights agreement, we registered for resale by Diamondback (i) common units issuable to Diamondback upon exercise by Diamondback of its exchange right pursuant to the exchange agreement and Diamondback’s tender to us of an equivalent number of our outstanding Class B units and outstanding OpCo Units, in each case then held by Diamondback and (ii) common units then held by Diamondback.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IPO, we entered into a tax sharing agreement with Diamondback, dated June 23, 2014, pursuant to which we agreed to reimburse Diamondback for our share of state and local income and other taxes for which our results are included in a combined or consolidated tax return filed by Diamondback with respect to taxable periods including or beginning on June 23, 2014. The amount of any such reimbursement is limited to the tax that we would have paid had we not been included in a combined group with Diamondback. Diamondback may use its tax attributes to cause its combined or consolidated group, of which we may be a member for this purpose, to owe less or no tax. In such a situation,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agreed to reimburse Diamondback for the tax we would have owed had the tax attributes not been available or used for our benefit, even though Diamondback had no cash tax expense for that period. For the year ended December 31, 2020, we did not accrue any state income tax expense.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Payments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Diamondback paid us $0.4 million in lease bonus payments to extend the term of seven leases and $2.1 million in lease bonus payments for three new leases.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Surface Use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periodically pays us for surface use charges and right of way easements related to properties that Diamondback leases from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2020, Diamondback paid the Partnership $0.7 million for such purposes.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our general partner has adopted policies for the review, approval and ratification of transactions with related persons. The board has adopted a written code of business conduct and ethics, under which a director is expected to bring to the attention of the chief executive officer or the board any conflict or potential conflict of interest that may arise between the director or any affiliate of the director, on the one hand, and us or our general partner on the other. The resolution of any such conflict or potential conflict should, at the discretion of the board in light of the circumstances, be determined by a majority of the disinterested directors.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of our general partner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executive officer is required to avoid conflicts of interest unless approved by the board of directors of our general partner.</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code of business conduct and ethics described above was initially adopted in connection with the closing of the IPO as a result, the transactions described above that were effective at the time of the IPO were not reviewed according to such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Item 407(a) of Regulation S-K is included in “Item 10. Directors, Executive Officers and Corporate Governance”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of our general partner selected Grant Thornton LLP, an independent registered public accounting firm, to audit our consolidated financial statements for the years ended December 31, 2020 and 2019.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2020 and 2019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aggregate Grant Thornton LLP fees that were allocated to us for independent auditing, tax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5"/>
                <w:szCs w:val="15"/>
                <w:color w:val="auto"/>
              </w:rPr>
            </w:pP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8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hanging="332"/>
        <w:spacing w:after="0" w:line="261"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aggregate fees for audit services, which relate to the fiscal year consolidated audit, quarterly reviews, registration statements, and comfort letters.</w:t>
      </w: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fees for an acquired business audit required pursuant to Regulation S-X, Rule 3-05.</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amounts billed in each of the years presented for professional services rendered in connection with tax compliance, tax advice, and tax planning.</w:t>
      </w: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w:t>
              </w:r>
            </w:hyperlink>
            <w:r>
              <w:rPr>
                <w:rFonts w:ascii="Times New Roman" w:cs="Times New Roman" w:eastAsia="Times New Roman" w:hAnsi="Times New Roman"/>
                <w:sz w:val="18"/>
                <w:szCs w:val="18"/>
                <w:color w:val="0000FF"/>
              </w:rPr>
              <w:t xml:space="preserve">of </w:t>
            </w:r>
            <w:hyperlink w:anchor="page1">
              <w:r>
                <w:rPr>
                  <w:rFonts w:ascii="Times New Roman" w:cs="Times New Roman" w:eastAsia="Times New Roman" w:hAnsi="Times New Roman"/>
                  <w:sz w:val="18"/>
                  <w:szCs w:val="18"/>
                  <w:color w:val="0000FF"/>
                </w:rPr>
                <w:t>Content</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1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40" w:type="dxa"/>
            <w:vAlign w:val="bottom"/>
            <w:gridSpan w:val="4"/>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5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56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(a)  Documents included in this report: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560" w:type="dxa"/>
            <w:vAlign w:val="bottom"/>
            <w:gridSpan w:val="15"/>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1. Financial Statements</w:t>
            </w: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gridSpan w:val="15"/>
          </w:tcPr>
          <w:p>
            <w:pPr>
              <w:ind w:left="54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Report of Independent Registered Public Accounting Firm</w:t>
              </w:r>
            </w:hyperlink>
          </w:p>
        </w:tc>
        <w:tc>
          <w:tcPr>
            <w:tcW w:w="640" w:type="dxa"/>
            <w:vAlign w:val="bottom"/>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75">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gridSpan w:val="15"/>
            <w:shd w:val="clear" w:color="auto" w:fill="CCEEFF"/>
          </w:tcPr>
          <w:p>
            <w:pPr>
              <w:ind w:left="54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Balance Sheets</w:t>
              </w:r>
            </w:hyperlink>
          </w:p>
        </w:tc>
        <w:tc>
          <w:tcPr>
            <w:tcW w:w="640" w:type="dxa"/>
            <w:vAlign w:val="bottom"/>
            <w:shd w:val="clear" w:color="auto" w:fill="CCEEFF"/>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78">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gridSpan w:val="15"/>
          </w:tcPr>
          <w:p>
            <w:pPr>
              <w:ind w:left="54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Statements of Operations</w:t>
              </w:r>
            </w:hyperlink>
          </w:p>
        </w:tc>
        <w:tc>
          <w:tcPr>
            <w:tcW w:w="640" w:type="dxa"/>
            <w:vAlign w:val="bottom"/>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78">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560" w:type="dxa"/>
            <w:vAlign w:val="bottom"/>
            <w:gridSpan w:val="15"/>
            <w:shd w:val="clear" w:color="auto" w:fill="CCEEFF"/>
          </w:tcPr>
          <w:p>
            <w:pPr>
              <w:ind w:left="54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Consolidated Statement of Unitholders’ Equity</w:t>
              </w:r>
            </w:hyperlink>
          </w:p>
        </w:tc>
        <w:tc>
          <w:tcPr>
            <w:tcW w:w="640" w:type="dxa"/>
            <w:vAlign w:val="bottom"/>
            <w:shd w:val="clear" w:color="auto" w:fill="CCEEFF"/>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79">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gridSpan w:val="15"/>
          </w:tcPr>
          <w:p>
            <w:pPr>
              <w:ind w:left="54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Consolidated Statements of Cash Flows</w:t>
              </w:r>
            </w:hyperlink>
          </w:p>
        </w:tc>
        <w:tc>
          <w:tcPr>
            <w:tcW w:w="640" w:type="dxa"/>
            <w:vAlign w:val="bottom"/>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81">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560" w:type="dxa"/>
            <w:vAlign w:val="bottom"/>
            <w:gridSpan w:val="15"/>
            <w:shd w:val="clear" w:color="auto" w:fill="CCEEFF"/>
          </w:tcPr>
          <w:p>
            <w:pPr>
              <w:ind w:left="54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Notes to Consolidated Financial Statements</w:t>
              </w:r>
            </w:hyperlink>
          </w:p>
        </w:tc>
        <w:tc>
          <w:tcPr>
            <w:tcW w:w="640" w:type="dxa"/>
            <w:vAlign w:val="bottom"/>
            <w:shd w:val="clear" w:color="auto" w:fill="CCEEFF"/>
          </w:tcPr>
          <w:p>
            <w:pPr>
              <w:ind w:left="100"/>
              <w:spacing w:after="0"/>
              <w:rPr>
                <w:rFonts w:ascii="Times New Roman" w:cs="Times New Roman" w:eastAsia="Times New Roman" w:hAnsi="Times New Roman"/>
                <w:sz w:val="18"/>
                <w:szCs w:val="18"/>
                <w:color w:val="3051F2"/>
              </w:rPr>
            </w:pPr>
            <w:r>
              <w:rPr>
                <w:rFonts w:ascii="Times New Roman" w:cs="Times New Roman" w:eastAsia="Times New Roman" w:hAnsi="Times New Roman"/>
                <w:sz w:val="18"/>
                <w:szCs w:val="18"/>
                <w:color w:val="3051F2"/>
              </w:rPr>
              <w:t>F-</w:t>
            </w:r>
            <w:hyperlink w:anchor="page82">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380" w:type="dxa"/>
            <w:vAlign w:val="bottom"/>
            <w:gridSpan w:val="2"/>
          </w:tcPr>
          <w:p>
            <w:pPr>
              <w:spacing w:after="0"/>
              <w:rPr>
                <w:sz w:val="23"/>
                <w:szCs w:val="23"/>
                <w:color w:val="auto"/>
              </w:rPr>
            </w:pPr>
          </w:p>
        </w:tc>
        <w:tc>
          <w:tcPr>
            <w:tcW w:w="160" w:type="dxa"/>
            <w:vAlign w:val="bottom"/>
            <w:gridSpan w:val="2"/>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0560" w:type="dxa"/>
            <w:vAlign w:val="bottom"/>
            <w:gridSpan w:val="15"/>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0560" w:type="dxa"/>
            <w:vAlign w:val="bottom"/>
            <w:gridSpan w:val="15"/>
          </w:tcPr>
          <w:p>
            <w:pPr>
              <w:ind w:left="540"/>
              <w:spacing w:after="0" w:line="176" w:lineRule="exact"/>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not applicable or the information required to be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10560" w:type="dxa"/>
            <w:vAlign w:val="bottom"/>
            <w:gridSpan w:val="15"/>
          </w:tcPr>
          <w:p>
            <w:pPr>
              <w:ind w:left="540"/>
              <w:spacing w:after="0"/>
              <w:rPr>
                <w:sz w:val="20"/>
                <w:szCs w:val="20"/>
                <w:color w:val="auto"/>
              </w:rPr>
            </w:pPr>
            <w:r>
              <w:rPr>
                <w:rFonts w:ascii="Times New Roman" w:cs="Times New Roman" w:eastAsia="Times New Roman" w:hAnsi="Times New Roman"/>
                <w:sz w:val="18"/>
                <w:szCs w:val="18"/>
                <w:color w:val="auto"/>
              </w:rPr>
              <w:t>presented is included in the Partnership’s consolidated financial statements and related notes.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9"/>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3. Exhibits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4"/>
                <w:szCs w:val="24"/>
                <w:color w:val="auto"/>
              </w:rPr>
            </w:pPr>
          </w:p>
        </w:tc>
        <w:tc>
          <w:tcPr>
            <w:tcW w:w="902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83"/>
        </w:trPr>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0" w:type="dxa"/>
            <w:vAlign w:val="bottom"/>
            <w:gridSpan w:val="19"/>
            <w:shd w:val="clear" w:color="auto" w:fill="CCEEFF"/>
          </w:tcPr>
          <w:p>
            <w:pPr>
              <w:spacing w:after="0" w:line="182"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Certificate of Limited Partnership of Viper Energy Partners LP (incorporated by reference to Exhibit 3.1 of the Partnership’s</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Registration Statement on Form S-1 (File No. 333-195769) filed on May 7, 2014).</w:t>
              </w:r>
            </w:hyperlink>
          </w:p>
        </w:tc>
        <w:tc>
          <w:tcPr>
            <w:tcW w:w="6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First Amended and Restated Agreement of Limited Partnership of Viper Energy Partners LP (incorporated by reference to Exhibit 3.1</w:t>
              </w:r>
            </w:hyperlink>
          </w:p>
        </w:tc>
      </w:tr>
      <w:tr>
        <w:trPr>
          <w:trHeight w:val="155"/>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of the Partnership’s Current Report on Form 8-K (File No. 001-36505) filed on June 23, 2014).</w:t>
              </w:r>
            </w:hyperlink>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First Amendment to Second Amended and Restated Agreement of Limited Partnership of Viper Energy Partners LP, dated as of May</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10, 2018. (incorporated by reference to Exhibit 3.2 of the Partnership’s Current Report on Form 8-K (File 001-36505) filed on May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15, 2018).</w:t>
              </w:r>
            </w:hyperlink>
          </w:p>
        </w:tc>
        <w:tc>
          <w:tcPr>
            <w:tcW w:w="640" w:type="dxa"/>
            <w:vAlign w:val="bottom"/>
            <w:tcBorders>
              <w:top w:val="single" w:sz="8" w:color="0000FF"/>
              <w:bottom w:val="single" w:sz="8" w:color="CCEEFF"/>
            </w:tcBorders>
            <w:shd w:val="clear" w:color="auto" w:fill="CCEEFF"/>
          </w:tcPr>
          <w:p>
            <w:pPr>
              <w:spacing w:after="0"/>
              <w:rPr>
                <w:sz w:val="15"/>
                <w:szCs w:val="15"/>
                <w:color w:val="auto"/>
              </w:rPr>
            </w:pPr>
          </w:p>
        </w:tc>
        <w:tc>
          <w:tcPr>
            <w:tcW w:w="88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58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1880" w:type="dxa"/>
            <w:vAlign w:val="bottom"/>
            <w:tcBorders>
              <w:top w:val="single" w:sz="8" w:color="0000FF"/>
              <w:bottom w:val="single" w:sz="8" w:color="CCEEFF"/>
            </w:tcBorders>
            <w:shd w:val="clear" w:color="auto" w:fill="CCEEFF"/>
          </w:tcPr>
          <w:p>
            <w:pPr>
              <w:spacing w:after="0"/>
              <w:rPr>
                <w:sz w:val="15"/>
                <w:szCs w:val="15"/>
                <w:color w:val="auto"/>
              </w:rPr>
            </w:pPr>
          </w:p>
        </w:tc>
        <w:tc>
          <w:tcPr>
            <w:tcW w:w="920" w:type="dxa"/>
            <w:vAlign w:val="bottom"/>
            <w:tcBorders>
              <w:top w:val="single" w:sz="8" w:color="0000FF"/>
              <w:bottom w:val="single" w:sz="8" w:color="CCEEFF"/>
            </w:tcBorders>
            <w:shd w:val="clear" w:color="auto" w:fill="CCEEFF"/>
          </w:tcPr>
          <w:p>
            <w:pPr>
              <w:spacing w:after="0"/>
              <w:rPr>
                <w:sz w:val="15"/>
                <w:szCs w:val="15"/>
                <w:color w:val="auto"/>
              </w:rPr>
            </w:pPr>
          </w:p>
        </w:tc>
        <w:tc>
          <w:tcPr>
            <w:tcW w:w="2180" w:type="dxa"/>
            <w:vAlign w:val="bottom"/>
            <w:tcBorders>
              <w:top w:val="single" w:sz="8" w:color="0000FF"/>
              <w:bottom w:val="single" w:sz="8" w:color="CCEEFF"/>
            </w:tcBorders>
            <w:shd w:val="clear" w:color="auto" w:fill="CCEEFF"/>
          </w:tcPr>
          <w:p>
            <w:pPr>
              <w:spacing w:after="0"/>
              <w:rPr>
                <w:sz w:val="15"/>
                <w:szCs w:val="15"/>
                <w:color w:val="auto"/>
              </w:rPr>
            </w:pPr>
          </w:p>
        </w:tc>
        <w:tc>
          <w:tcPr>
            <w:tcW w:w="6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Second Amended and Restated Agreement of Limited Partnership of Viper Energy Partners LP, dated as of May 9, 2018, as amended</w:t>
              </w:r>
            </w:hyperlink>
          </w:p>
        </w:tc>
      </w:tr>
      <w:tr>
        <w:trPr>
          <w:trHeight w:val="156"/>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as of May 10, 2018 (incorporated by reference to 3.1 of the Partnership’s Current Report on Form 8-K (File 001-36505) filed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15, 2018).</w:t>
              </w:r>
            </w:hyperlink>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First Amendment to Second Amended and Restated Limited Liability Company Agreement of Viper Energy Partners LLC, dated as</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of March 30, 2020.</w:t>
              </w:r>
            </w:hyperlink>
          </w:p>
        </w:tc>
        <w:tc>
          <w:tcPr>
            <w:tcW w:w="6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Description of Securities of the Partnership (incorporated by reference to Exhibit 4.1 to the Partnership’s Annual Report on Form 10-</w:t>
              </w:r>
            </w:hyperlink>
          </w:p>
        </w:tc>
      </w:tr>
      <w:tr>
        <w:trPr>
          <w:trHeight w:val="156"/>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K (File 001-36505) filed on February 18, 2020).</w:t>
              </w:r>
            </w:hyperlink>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Registration Rights Agreement, dated as of May 9, 2018, by and between Viper Energy Partners LP and</w:t>
              </w:r>
            </w:hyperlink>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68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Diamondback Energy, Inc. (incorporated by reference to Exhibit 4.1 of the Partnership’s Current Report on Form 8-K (File 001-</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r>
      <w:tr>
        <w:trPr>
          <w:trHeight w:val="156"/>
        </w:trPr>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20" w:type="dxa"/>
            <w:vAlign w:val="bottom"/>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36505) filed on May 15, 2018).</w:t>
              </w:r>
            </w:hyperlink>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Indenture, dated as of October 16, 2019, among Viper Energy Partners LP, as issuer, Viper Energy Partners LLC, as guarantor and</w:t>
              </w:r>
            </w:hyperlink>
          </w:p>
        </w:tc>
      </w:tr>
      <w:tr>
        <w:trPr>
          <w:trHeight w:val="156"/>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Wells Fargo Bank, National Association, as trustee (including the form of Viper Energy Partners LP’s 5.375% Senior Notes due 2027)</w:t>
              </w:r>
            </w:hyperlink>
          </w:p>
        </w:tc>
        <w:tc>
          <w:tcPr>
            <w:tcW w:w="2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(incorporated by reference to Exhibit 4.1 of the Partnership’s Current Report on Form 8-K (File 001-36505) filed on October 17,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01">
              <w:r>
                <w:rPr>
                  <w:rFonts w:ascii="Times New Roman" w:cs="Times New Roman" w:eastAsia="Times New Roman" w:hAnsi="Times New Roman"/>
                  <w:sz w:val="18"/>
                  <w:szCs w:val="18"/>
                  <w:color w:val="0000FF"/>
                  <w:w w:val="94"/>
                </w:rPr>
                <w:t>2019).</w:t>
              </w:r>
            </w:hyperlink>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Credit Agreement, dated as of July 20, 2018, by and among, Viper Energy Partners LLC, as borrower, Viper</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Energy Partners LP, as guarantor, Wells Fargo Bank, National Association, as administrative agent, and the lenders party thereto</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6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(incorporated by reference to Exhibit 10.1 of the Partnership’s Current Report on Form 8-K (File 001-36505) filed on July 26, 2018).</w:t>
              </w:r>
            </w:hyperlink>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Viper Energy Partners LP Long Term Incentive Plan (incorporated by reference to Exhibit 10.2 of the Partnership’s Current Report on</w:t>
              </w:r>
            </w:hyperlink>
          </w:p>
        </w:tc>
      </w:tr>
      <w:tr>
        <w:trPr>
          <w:trHeight w:val="155"/>
        </w:trPr>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8-K (File No. 001-36505) filed on June 23, 2014).</w:t>
              </w:r>
            </w:hyperlink>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Indemnification Agreement (incorporated by reference to Exhibit 10.4 of the Partnership’s Current Report on Form 8-K (File</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No. 001-36505) filed on June 23, 2014).</w:t>
              </w:r>
            </w:hyperlink>
          </w:p>
        </w:tc>
        <w:tc>
          <w:tcPr>
            <w:tcW w:w="6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9"/>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Tax Sharing Agreement, dated June 23, 2014, by and between Viper Energy Partners LP and Diamondback Energy, Inc. (incorporated</w:t>
              </w:r>
            </w:hyperlink>
          </w:p>
        </w:tc>
      </w:tr>
      <w:tr>
        <w:trPr>
          <w:trHeight w:val="196"/>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by reference to Exhibit 10.5 of the Partnership’s Current Report on Form 8-K (File No. 001-36505) filed on June 23, 2014).</w:t>
              </w:r>
            </w:hyperlink>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Unit Option Agreement (incorporated by reference to Exhibit 10.6 of the Partnership’s Current Report on Form 8-K (File No.</w:t>
              </w:r>
            </w:hyperlink>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001-36505) filed on June 23, 2014).</w:t>
              </w:r>
            </w:hyperlink>
          </w:p>
        </w:tc>
        <w:tc>
          <w:tcPr>
            <w:tcW w:w="64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6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026"/>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10"/>
          </w:tcPr>
          <w:p>
            <w:pPr>
              <w:jc w:val="right"/>
              <w:ind w:right="174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40" w:type="dxa"/>
            <w:vAlign w:val="bottom"/>
            <w:gridSpan w:val="3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3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Phantom Unit Agreement (incorporated by reference to Exhibit 10.8 of the Partnership’s Annual Report on Form 10-K (File</w:t>
              </w:r>
            </w:hyperlink>
          </w:p>
        </w:tc>
      </w:tr>
      <w:tr>
        <w:trPr>
          <w:trHeight w:val="156"/>
        </w:trPr>
        <w:tc>
          <w:tcPr>
            <w:tcW w:w="1540" w:type="dxa"/>
            <w:vAlign w:val="bottom"/>
          </w:tcPr>
          <w:p>
            <w:pPr>
              <w:spacing w:after="0"/>
              <w:rPr>
                <w:sz w:val="13"/>
                <w:szCs w:val="13"/>
                <w:color w:val="auto"/>
              </w:rPr>
            </w:pPr>
          </w:p>
        </w:tc>
        <w:tc>
          <w:tcPr>
            <w:tcW w:w="96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No. 001-36505) filed on February 18,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Recapitalization Agreement, dated as of March 28, 2018, by and among Diamondback Energy, Inc., Viper Energy Partners LLC,</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Viper Energy Partners GP LLC and Viper Energy Partners LP (incorporated by reference to Annex C to the Partnership’s Definitive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6280" w:type="dxa"/>
            <w:vAlign w:val="bottom"/>
            <w:tcBorders>
              <w:top w:val="single" w:sz="8" w:color="0000FF"/>
              <w:bottom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Information Statement on Schedule 14C (File No. 001-36505) filed on April 17, 2018).</w:t>
              </w:r>
            </w:hyperlink>
          </w:p>
        </w:tc>
        <w:tc>
          <w:tcPr>
            <w:tcW w:w="360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First Amendment to Recapitalization Agreement dated as of May 9, 2018, by and among Diamondback Energy, Inc., Viper Energy</w:t>
              </w:r>
            </w:hyperlink>
          </w:p>
        </w:tc>
      </w:tr>
      <w:tr>
        <w:trPr>
          <w:trHeight w:val="156"/>
        </w:trPr>
        <w:tc>
          <w:tcPr>
            <w:tcW w:w="154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Partners LLC, Viper Energy Partners GP LLC and Viper Energy Partners LP. (incorporated by reference to Exhibit 10.4 of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10000" w:type="dxa"/>
            <w:vAlign w:val="bottom"/>
            <w:gridSpan w:val="3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Partnership’s Current Report on Form 8-K (File 001-36505) 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Exchange Agreement, dated as of May 9, 2018, by and among Diamondback Energy, Inc., Viper Energy Partners LLC, Viper Energy</w:t>
              </w:r>
            </w:hyperlink>
          </w:p>
        </w:tc>
      </w:tr>
      <w:tr>
        <w:trPr>
          <w:trHeight w:val="155"/>
        </w:trPr>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Partners GP LLC and Viper Energy Partners LP. (incorporated by reference to Exhibit 10.1 of the Partnership’s Current Report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54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Form 8-K (File 001-36505) filed on May 15, 2018).</w:t>
              </w:r>
            </w:hyperlink>
          </w:p>
        </w:tc>
        <w:tc>
          <w:tcPr>
            <w:tcW w:w="6220" w:type="dxa"/>
            <w:vAlign w:val="bottom"/>
            <w:tcBorders>
              <w:bottom w:val="single" w:sz="8" w:color="CCEEFF"/>
            </w:tcBorders>
            <w:gridSpan w:val="28"/>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First Amendment to Exchange Agreement, dated as of May 10, 2018, by and among Diamondback Energy, Inc., Viper Energy</w:t>
              </w:r>
            </w:hyperlink>
          </w:p>
        </w:tc>
      </w:tr>
      <w:tr>
        <w:trPr>
          <w:trHeight w:val="156"/>
        </w:trPr>
        <w:tc>
          <w:tcPr>
            <w:tcW w:w="154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Partners LLC, Viper Energy Partners GP LLC and Viper Energy Partners LP. (incorporated by reference to Exhibit 10.2 of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Partnership’s Current Report on Form 8-K (File 001-36505) 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Amendment to Amended and Restated Senior Secured Revolving Credit Agreement, dated as of September 24, 2019, among</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Viper Energy Partners LLC, as borrower, Viper Energy Partners LP, as parent guarantor, Wells Fargo Bank, National Association, as</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966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administrative agent, and the lender party thereto (incorporated by reference to Exhibit 10.1 of the Partnership’s Current Report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540" w:type="dxa"/>
            <w:vAlign w:val="bottom"/>
            <w:tcBorders>
              <w:bottom w:val="single" w:sz="8" w:color="CCEEFF"/>
            </w:tcBorders>
            <w:shd w:val="clear" w:color="auto" w:fill="CCEEFF"/>
          </w:tcPr>
          <w:p>
            <w:pPr>
              <w:spacing w:after="0"/>
              <w:rPr>
                <w:sz w:val="15"/>
                <w:szCs w:val="15"/>
                <w:color w:val="auto"/>
              </w:rPr>
            </w:pPr>
          </w:p>
        </w:tc>
        <w:tc>
          <w:tcPr>
            <w:tcW w:w="4180" w:type="dxa"/>
            <w:vAlign w:val="bottom"/>
            <w:tcBorders>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Form 8-K (File 001-36505) filed on September 30, 2019).</w:t>
              </w:r>
            </w:hyperlink>
          </w:p>
        </w:tc>
        <w:tc>
          <w:tcPr>
            <w:tcW w:w="5520" w:type="dxa"/>
            <w:vAlign w:val="bottom"/>
            <w:tcBorders>
              <w:bottom w:val="single" w:sz="8" w:color="CCEEFF"/>
            </w:tcBorders>
            <w:gridSpan w:val="1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5"/>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Third Amendment to Amended and Restated Senior Secured Revolving Credit Agreement, dated as of October 8, 2019, among Viper</w:t>
              </w:r>
            </w:hyperlink>
          </w:p>
        </w:tc>
      </w:tr>
      <w:tr>
        <w:trPr>
          <w:trHeight w:val="156"/>
        </w:trPr>
        <w:tc>
          <w:tcPr>
            <w:tcW w:w="154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Energy Partners LLC, as borrower, Viper Energy Partners LP, as parent guarantor, Wells Fargo Bank, National Association,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administrative agent, and the lender party thereto (incorporated by reference to Exhibit 10.1 of the Partnership’s Current Report on</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8-K (File 001-36505) filed on October 10, 2019).</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Fourth Amendment to Amended and Restated Senior Secured Revolving Credit Agreement, dated as of November 29, 2019, among</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Viper Energy Partners LLC, as borrower, Viper Energy Partners LP, as parent guarantor, Wells Fargo Bank, National Association, as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966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administrative agent, and the lenders party thereto (incorporated by reference to Exhibit 10.1 of the Partnership’s Current Report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540" w:type="dxa"/>
            <w:vAlign w:val="bottom"/>
            <w:shd w:val="clear" w:color="auto" w:fill="CCEEFF"/>
          </w:tcPr>
          <w:p>
            <w:pPr>
              <w:spacing w:after="0"/>
              <w:rPr>
                <w:sz w:val="13"/>
                <w:szCs w:val="13"/>
                <w:color w:val="auto"/>
              </w:rPr>
            </w:pPr>
          </w:p>
        </w:tc>
        <w:tc>
          <w:tcPr>
            <w:tcW w:w="9800" w:type="dxa"/>
            <w:vAlign w:val="bottom"/>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8-K (File No. 001-36505) filed on December 5, 2019).</w:t>
              </w:r>
            </w:hyperlink>
          </w:p>
        </w:tc>
        <w:tc>
          <w:tcPr>
            <w:tcW w:w="60" w:type="dxa"/>
            <w:vAlign w:val="bottom"/>
            <w:gridSpan w:val="3"/>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gridSpan w:val="5"/>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5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Fifth Amendment to Amended and Restated Senior Secured Revolving Credit Agreement, dated as of May 11, 2020, among Viper</w:t>
              </w:r>
            </w:hyperlink>
          </w:p>
        </w:tc>
      </w:tr>
      <w:tr>
        <w:trPr>
          <w:trHeight w:val="156"/>
        </w:trPr>
        <w:tc>
          <w:tcPr>
            <w:tcW w:w="154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Energy Partners LLC, as borrower, Viper Energy Partners LP, as parent guarantor, Wells Fargo Bank, National Association, as</w:t>
              </w:r>
            </w:hyperlink>
          </w:p>
        </w:tc>
        <w:tc>
          <w:tcPr>
            <w:tcW w:w="30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10040" w:type="dxa"/>
            <w:vAlign w:val="bottom"/>
            <w:gridSpan w:val="3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administrative agent, and the lenders party thereto (incorporated by reference to Exhibit 10.1 of the Partnership’s Current Report on</w:t>
              </w:r>
            </w:hyperlink>
          </w:p>
        </w:tc>
      </w:tr>
      <w:tr>
        <w:trPr>
          <w:trHeight w:val="155"/>
        </w:trPr>
        <w:tc>
          <w:tcPr>
            <w:tcW w:w="1540" w:type="dxa"/>
            <w:vAlign w:val="bottom"/>
          </w:tcPr>
          <w:p>
            <w:pPr>
              <w:spacing w:after="0"/>
              <w:rPr>
                <w:sz w:val="13"/>
                <w:szCs w:val="13"/>
                <w:color w:val="auto"/>
              </w:rPr>
            </w:pPr>
          </w:p>
        </w:tc>
        <w:tc>
          <w:tcPr>
            <w:tcW w:w="94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8-K (File 001-36505) filed on May 15, 2020).</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Sixth Amendment to Amended and Restated Senior Secured Revolving Credit Agreement, dated as of November 6, 2020, among</w:t>
              </w:r>
            </w:hyperlink>
          </w:p>
        </w:tc>
      </w:tr>
      <w:tr>
        <w:trPr>
          <w:trHeight w:val="155"/>
        </w:trPr>
        <w:tc>
          <w:tcPr>
            <w:tcW w:w="1540" w:type="dxa"/>
            <w:vAlign w:val="bottom"/>
            <w:tcBorders>
              <w:top w:val="single" w:sz="8" w:color="CCEEFF"/>
            </w:tcBorders>
            <w:shd w:val="clear" w:color="auto" w:fill="CCEEFF"/>
          </w:tcPr>
          <w:p>
            <w:pPr>
              <w:spacing w:after="0"/>
              <w:rPr>
                <w:sz w:val="13"/>
                <w:szCs w:val="13"/>
                <w:color w:val="auto"/>
              </w:rPr>
            </w:pPr>
          </w:p>
        </w:tc>
        <w:tc>
          <w:tcPr>
            <w:tcW w:w="932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Viper Energy Partners LLC, as borrower, Viper Energy Partners LP, as parent guarantor, Wells Fargo Bank, National Association,</w:t>
              </w:r>
            </w:hyperlink>
          </w:p>
        </w:tc>
        <w:tc>
          <w:tcPr>
            <w:tcW w:w="720" w:type="dxa"/>
            <w:vAlign w:val="bottom"/>
            <w:tcBorders>
              <w:top w:val="single" w:sz="8" w:color="CCEEFF"/>
            </w:tcBorders>
            <w:gridSpan w:val="23"/>
            <w:shd w:val="clear" w:color="auto" w:fill="CCEEFF"/>
          </w:tcPr>
          <w:p>
            <w:pPr>
              <w:ind w:left="60"/>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as</w:t>
              </w:r>
            </w:hyperlink>
          </w:p>
        </w:tc>
      </w:tr>
      <w:tr>
        <w:trPr>
          <w:trHeight w:val="155"/>
        </w:trPr>
        <w:tc>
          <w:tcPr>
            <w:tcW w:w="154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administrative agent, and the lenders party thereto (incorporated by reference to Exhibit 10.1 of the Partnership’s Current Report on</w:t>
              </w:r>
            </w:hyperlink>
          </w:p>
        </w:tc>
        <w:tc>
          <w:tcPr>
            <w:tcW w:w="16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9"/>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448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8-K (File No. 001-36505) filed on November 12, 2020).</w:t>
              </w:r>
            </w:hyperlink>
          </w:p>
        </w:tc>
        <w:tc>
          <w:tcPr>
            <w:tcW w:w="500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Subordinated Promissory Note, dated as of October 16, 2019, by Viper Energy Partners LLC in favor of Viper Energy Partners LP</w:t>
              </w:r>
            </w:hyperlink>
          </w:p>
        </w:tc>
      </w:tr>
      <w:tr>
        <w:trPr>
          <w:trHeight w:val="155"/>
        </w:trPr>
        <w:tc>
          <w:tcPr>
            <w:tcW w:w="1540" w:type="dxa"/>
            <w:vAlign w:val="bottom"/>
          </w:tcPr>
          <w:p>
            <w:pPr>
              <w:spacing w:after="0"/>
              <w:rPr>
                <w:sz w:val="13"/>
                <w:szCs w:val="13"/>
                <w:color w:val="auto"/>
              </w:rPr>
            </w:pPr>
          </w:p>
        </w:tc>
        <w:tc>
          <w:tcPr>
            <w:tcW w:w="98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(incorporated by reference to Exhibit 10.2 of the Partnership’s Current Report on Form 8-K (File 001-36505) filed on October 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9">
              <w:r>
                <w:rPr>
                  <w:rFonts w:ascii="Times New Roman" w:cs="Times New Roman" w:eastAsia="Times New Roman" w:hAnsi="Times New Roman"/>
                  <w:sz w:val="18"/>
                  <w:szCs w:val="18"/>
                  <w:color w:val="0000FF"/>
                  <w:w w:val="94"/>
                </w:rPr>
                <w:t>2019).</w:t>
              </w:r>
            </w:hyperlink>
          </w:p>
        </w:tc>
        <w:tc>
          <w:tcPr>
            <w:tcW w:w="24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36"/>
            <w:shd w:val="clear" w:color="auto" w:fill="CCEEFF"/>
          </w:tcPr>
          <w:p>
            <w:pPr>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List of Subsidiaries of Viper Energy Partners LP.</w:t>
              </w:r>
            </w:hyperlink>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36"/>
          </w:tcPr>
          <w:p>
            <w:pPr>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Consent of Grant Thornton LLP.</w:t>
              </w:r>
            </w:hyperlink>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40" w:type="dxa"/>
            <w:vAlign w:val="bottom"/>
            <w:gridSpan w:val="36"/>
            <w:shd w:val="clear" w:color="auto" w:fill="CCEEFF"/>
          </w:tcPr>
          <w:p>
            <w:pPr>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Consent of Ryder Scott Company, LP.</w:t>
              </w:r>
            </w:hyperlink>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Certification of Chief Executive Officer pursuant to Rule 13a-14(a) promulgated under the Securities Exchange Act of 1934, as</w:t>
              </w:r>
            </w:hyperlink>
          </w:p>
        </w:tc>
      </w:tr>
      <w:tr>
        <w:trPr>
          <w:trHeight w:val="155"/>
        </w:trPr>
        <w:tc>
          <w:tcPr>
            <w:tcW w:w="1540" w:type="dxa"/>
            <w:vAlign w:val="bottom"/>
          </w:tcPr>
          <w:p>
            <w:pPr>
              <w:spacing w:after="0"/>
              <w:rPr>
                <w:sz w:val="13"/>
                <w:szCs w:val="13"/>
                <w:color w:val="auto"/>
              </w:rPr>
            </w:pPr>
          </w:p>
        </w:tc>
        <w:tc>
          <w:tcPr>
            <w:tcW w:w="99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amended.</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Certification of Chief Financial Officer pursuant to Rule 13a-14(a) promulgated under the Securities Exchange Act of 1934, as</w:t>
              </w:r>
            </w:hyperlink>
          </w:p>
        </w:tc>
      </w:tr>
      <w:tr>
        <w:trPr>
          <w:trHeight w:val="176"/>
        </w:trPr>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7"/>
              </w:rPr>
            </w:pPr>
            <w:hyperlink w:anchor="page107">
              <w:r>
                <w:rPr>
                  <w:rFonts w:ascii="Times New Roman" w:cs="Times New Roman" w:eastAsia="Times New Roman" w:hAnsi="Times New Roman"/>
                  <w:sz w:val="18"/>
                  <w:szCs w:val="18"/>
                  <w:color w:val="0000FF"/>
                  <w:w w:val="97"/>
                </w:rPr>
                <w:t>amended.</w:t>
              </w:r>
            </w:hyperlink>
          </w:p>
        </w:tc>
        <w:tc>
          <w:tcPr>
            <w:tcW w:w="932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36"/>
          </w:tcPr>
          <w:p>
            <w:pPr>
              <w:spacing w:after="0" w:line="189"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Certification of Chief Executive Officer and Chief Financial Officer pursuant to Rule 13a-14(b) promulgated under the Securities</w:t>
              </w:r>
            </w:hyperlink>
          </w:p>
        </w:tc>
      </w:tr>
      <w:tr>
        <w:trPr>
          <w:trHeight w:val="155"/>
        </w:trPr>
        <w:tc>
          <w:tcPr>
            <w:tcW w:w="1540" w:type="dxa"/>
            <w:vAlign w:val="bottom"/>
          </w:tcPr>
          <w:p>
            <w:pPr>
              <w:spacing w:after="0"/>
              <w:rPr>
                <w:sz w:val="13"/>
                <w:szCs w:val="13"/>
                <w:color w:val="auto"/>
              </w:rPr>
            </w:pPr>
          </w:p>
        </w:tc>
        <w:tc>
          <w:tcPr>
            <w:tcW w:w="99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Exchange Act of 1934, as amended, and Section 1350 of Chapter 63 of Title 18 of the United States Code.</w:t>
              </w:r>
            </w:hyperlink>
          </w:p>
        </w:tc>
        <w:tc>
          <w:tcPr>
            <w:tcW w:w="120" w:type="dxa"/>
            <w:vAlign w:val="bottom"/>
            <w:gridSpan w:val="6"/>
          </w:tcPr>
          <w:p>
            <w:pPr>
              <w:spacing w:after="0"/>
              <w:rPr>
                <w:sz w:val="13"/>
                <w:szCs w:val="13"/>
                <w:color w:val="auto"/>
              </w:rPr>
            </w:pPr>
          </w:p>
        </w:tc>
      </w:tr>
      <w:tr>
        <w:trPr>
          <w:trHeight w:val="21"/>
        </w:trPr>
        <w:tc>
          <w:tcPr>
            <w:tcW w:w="15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1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0040" w:type="dxa"/>
            <w:vAlign w:val="bottom"/>
            <w:gridSpan w:val="36"/>
            <w:shd w:val="clear" w:color="auto" w:fill="CCEEFF"/>
          </w:tcPr>
          <w:p>
            <w:pPr>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Reserve Report of Ryder Scott Company, L.P.</w:t>
              </w:r>
            </w:hyperlink>
          </w:p>
        </w:tc>
      </w:tr>
      <w:tr>
        <w:trPr>
          <w:trHeight w:val="103"/>
        </w:trPr>
        <w:tc>
          <w:tcPr>
            <w:tcW w:w="15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26" w:lineRule="exact"/>
        <w:rPr>
          <w:sz w:val="20"/>
          <w:szCs w:val="20"/>
          <w:color w:val="auto"/>
        </w:rPr>
      </w:pPr>
    </w:p>
    <w:p>
      <w:pPr>
        <w:ind w:left="60"/>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42" w:lineRule="exact"/>
        <w:rPr>
          <w:sz w:val="20"/>
          <w:szCs w:val="20"/>
          <w:color w:val="auto"/>
        </w:rPr>
      </w:pPr>
    </w:p>
    <w:p>
      <w:pPr>
        <w:jc w:val="both"/>
        <w:ind w:left="1580" w:hanging="1554"/>
        <w:spacing w:after="0" w:line="226" w:lineRule="auto"/>
        <w:tabs>
          <w:tab w:leader="none" w:pos="1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December 31, 2020, formatted in Inline XBRL: (i) Consolidated Balance Sheets, (ii) Consolidated Statements of Operations, (iii) Consolidated Statement of Changes in Unitholders’ Equity, (iv) Consolidated Statements of Cash Flows and (v) Notes to Consolidated Financial Statements.</w:t>
      </w:r>
    </w:p>
    <w:p>
      <w:pPr>
        <w:spacing w:after="0" w:line="36"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81" w:lineRule="exact"/>
        <w:rPr>
          <w:sz w:val="20"/>
          <w:szCs w:val="20"/>
          <w:color w:val="auto"/>
        </w:rPr>
      </w:pPr>
    </w:p>
    <w:p>
      <w:pPr>
        <w:ind w:left="540" w:hanging="47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1" w:lineRule="exact"/>
        <w:rPr>
          <w:sz w:val="20"/>
          <w:szCs w:val="20"/>
          <w:color w:val="auto"/>
        </w:rPr>
      </w:pPr>
    </w:p>
    <w:p>
      <w:pPr>
        <w:ind w:left="540" w:hanging="47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131" w:lineRule="exact"/>
        <w:rPr>
          <w:sz w:val="20"/>
          <w:szCs w:val="20"/>
          <w:color w:val="auto"/>
        </w:rPr>
      </w:pPr>
    </w:p>
    <w:p>
      <w:pPr>
        <w:ind w:left="540" w:right="140" w:hanging="474"/>
        <w:spacing w:after="0" w:line="22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4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VIPER ENERGY PARTNERS LP</w:t>
            </w: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4520" w:type="dxa"/>
            <w:vAlign w:val="bottom"/>
          </w:tcPr>
          <w:p>
            <w:pPr>
              <w:spacing w:after="0"/>
              <w:rPr>
                <w:sz w:val="19"/>
                <w:szCs w:val="19"/>
                <w:color w:val="auto"/>
              </w:rPr>
            </w:pPr>
          </w:p>
        </w:tc>
      </w:tr>
      <w:tr>
        <w:trPr>
          <w:trHeight w:val="230"/>
        </w:trPr>
        <w:tc>
          <w:tcPr>
            <w:tcW w:w="596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9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86"/>
        </w:trPr>
        <w:tc>
          <w:tcPr>
            <w:tcW w:w="596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96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596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040" w:type="dxa"/>
            <w:vAlign w:val="bottom"/>
          </w:tcPr>
          <w:p>
            <w:pPr>
              <w:spacing w:after="0"/>
              <w:rPr>
                <w:sz w:val="17"/>
                <w:szCs w:val="17"/>
                <w:color w:val="auto"/>
              </w:rPr>
            </w:pPr>
          </w:p>
        </w:tc>
        <w:tc>
          <w:tcPr>
            <w:tcW w:w="5380" w:type="dxa"/>
            <w:vAlign w:val="bottom"/>
            <w:gridSpan w:val="3"/>
          </w:tcPr>
          <w:p>
            <w:pPr>
              <w:ind w:left="3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4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Teresa L. Dick</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Steven E. West</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Steven E. West</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Wesley Perry</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Wesley Perry</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Spencer D. Armour</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Spencer D. Armour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L. Rubin</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L. Rubin</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Rosalind Redfern Grover</w:t>
            </w:r>
          </w:p>
        </w:tc>
        <w:tc>
          <w:tcPr>
            <w:tcW w:w="53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Director</w:t>
            </w:r>
          </w:p>
        </w:tc>
        <w:tc>
          <w:tcPr>
            <w:tcW w:w="278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color w:val="auto"/>
                <w:w w:val="99"/>
              </w:rPr>
              <w:t>February 25, 2021</w:t>
            </w:r>
          </w:p>
        </w:tc>
      </w:tr>
      <w:tr>
        <w:trPr>
          <w:trHeight w:val="22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Rosalind Redfern Grover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Viper Energy Partners LP (a Delaware limited partnership) and subsidiary (collectively, the “Partnership”) as of December 31, 2020 and 2019, the related consolidated statements of operations, unitholders’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25, 2021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 of proved reserves as it relates to the calculation and recognition of depletion expense and the evaluation of impairment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in Note 2 to the financial statements, the Partnership accounts for its oil and gas properties using the full cost method of accounting which requires management to make estimates of proved reserve volumes and future revenues to record depletion expense and measure its oil and gas properties for potential impairment. To estimate the volume of proved reserves and future revenues, management makes significant estimates and assumptions including forecasting the production decline rate of producing properties, forecasting the timing and volume of production associated with the operator’s development plan for proved undeveloped properties.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gas properties, due to its impact on depletion expense and impairment evaluation, as a critical audit matter.</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estimation of proved reserves is a critical audit matter is that relatively minor changes in certain inputs and assumptions, which require a high degree of subjectivity, necessary to estimate the volume and future revenues of the Partnership’s proved reserves could have a significant impact on the measurement of depletion expense or impairment expense. In turn, auditing those inputs and assumptions required subjective and complex auditor judgment.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 xml:space="preserve">Table </w:t>
        </w:r>
      </w:hyperlink>
      <w:r>
        <w:rPr>
          <w:rFonts w:ascii="Times New Roman" w:cs="Times New Roman" w:eastAsia="Times New Roman" w:hAnsi="Times New Roman"/>
          <w:sz w:val="18"/>
          <w:szCs w:val="18"/>
          <w:u w:val="single" w:color="auto"/>
          <w:color w:val="0000FF"/>
        </w:rPr>
        <w:t xml:space="preserve">of </w:t>
      </w:r>
      <w:hyperlink w:anchor="page1">
        <w:r>
          <w:rPr>
            <w:rFonts w:ascii="Times New Roman" w:cs="Times New Roman" w:eastAsia="Times New Roman" w:hAnsi="Times New Roman"/>
            <w:sz w:val="18"/>
            <w:szCs w:val="18"/>
            <w:u w:val="single" w:color="auto"/>
            <w:color w:val="0000FF"/>
          </w:rPr>
          <w:t>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proved reserves included the following, among others.</w:t>
      </w:r>
    </w:p>
    <w:p>
      <w:pPr>
        <w:spacing w:after="0" w:line="252" w:lineRule="exact"/>
        <w:rPr>
          <w:sz w:val="20"/>
          <w:szCs w:val="20"/>
          <w:color w:val="auto"/>
        </w:rPr>
      </w:pPr>
    </w:p>
    <w:p>
      <w:pPr>
        <w:jc w:val="both"/>
        <w:ind w:left="66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relating to the preparation of the ceiling test calculation and management’s estimation of proved reserves for the purpose of estimating depletion expense and assessing the Partnership’s oil and gas properties for potential impairment. Specifically, these controls related to the use of historical information in the estimation of proved reserves derived from the Partnership’s accounting records and the management review controls on information provided to the reservoir engineering specialists and the management review controls on the final proved reserve report prepared by the Partnership’s specialists.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level of knowledge, skill, and ability of the Partnership’s reservoir engineering specialists and their relationship to the Partnership, made inquiries of those reservoir engineers regarding the process followed and judgments made to estimate the Partnership’s proved reserve volumes, and read the reserve report prepared by the Partnership’s specialists.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key, sensitive inputs and assumptions used to determine proved reserve volumes and other cash flow inputs and assumptions are derived from the Partnership’s accounting records, such as historical pricing differentials and ownership interests, we tested management’s process for determining the assumptions, including examining the underlying support, on a sample basis. Specifically, our audit procedures involved testing management’s assumptions as follows:</w:t>
      </w:r>
    </w:p>
    <w:p>
      <w:pPr>
        <w:spacing w:after="0" w:line="206"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estimated pricing differentials used in the reserve report to realized prices related to revenue transactions recorded in the current year and examined contractual support for the pricing differentials;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net revenue interests used in the reserve report by inspecting a sample of land and division order records;</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Partnership’s evidence supporting the amount of proved undeveloped properties reflected in the reserve report by examining historical conversion rates and support for the operator’s intent to develop the proved undeveloped properties;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estimated ultimate recovery of proved undeveloped properties to the estimated ultimate recovery of comparable proved developed producing properties;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analytical procedures to the reserve report by comparing to historical actual results and to the prior year reserve report.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 thousands, except unit amounts)</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receivable (net of allowance for credit losses)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Oil and natural gas interests, full cost method of accounting ($1,364,906 and $1,551,767 excluded</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2,895,542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2,868,459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depletion at December 31, 2020 and December 31, 2019, respectively)</w:t>
            </w: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(326,474)</w:t>
            </w:r>
          </w:p>
        </w:tc>
        <w:tc>
          <w:tcPr>
            <w:tcW w:w="0" w:type="dxa"/>
            <w:vAlign w:val="bottom"/>
          </w:tcPr>
          <w:p>
            <w:pPr>
              <w:spacing w:after="0"/>
              <w:rPr>
                <w:sz w:val="1"/>
                <w:szCs w:val="1"/>
                <w:color w:val="auto"/>
              </w:rPr>
            </w:pPr>
          </w:p>
        </w:tc>
      </w:tr>
      <w:tr>
        <w:trPr>
          <w:trHeight w:val="223"/>
        </w:trPr>
        <w:tc>
          <w:tcPr>
            <w:tcW w:w="7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net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2,547,673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 of allowance)</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586,774</w:t>
            </w:r>
          </w:p>
        </w:tc>
        <w:tc>
          <w:tcPr>
            <w:tcW w:w="0" w:type="dxa"/>
            <w:vAlign w:val="bottom"/>
          </w:tcPr>
          <w:p>
            <w:pPr>
              <w:spacing w:after="0"/>
              <w:rPr>
                <w:sz w:val="1"/>
                <w:szCs w:val="1"/>
                <w:color w:val="auto"/>
              </w:rPr>
            </w:pPr>
          </w:p>
        </w:tc>
      </w:tr>
      <w:tr>
        <w:trPr>
          <w:trHeight w:val="223"/>
        </w:trPr>
        <w:tc>
          <w:tcPr>
            <w:tcW w:w="7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Unitholders’ equity:</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partner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75"/>
        </w:trPr>
        <w:tc>
          <w:tcPr>
            <w:tcW w:w="76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units (65,817,281 units issued and outstanding as of December 31, 2020 and 67,805,707</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633,415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929,116</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 issued and outstanding as of December 31, 2019)</w:t>
            </w: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units (90,709,946 units issued and outstanding December 31, 2020 and December 31, 2019)</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7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Viper Energy Partners LP unitholders’ equity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931,135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1,225,578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1,254,285</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2,185,420</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unitholders’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319"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type w:val="continuous"/>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gridSpan w:val="6"/>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(In thousands, except per unit amounts)</w:t>
            </w:r>
          </w:p>
        </w:tc>
        <w:tc>
          <w:tcPr>
            <w:tcW w:w="940" w:type="dxa"/>
            <w:vAlign w:val="bottom"/>
          </w:tcPr>
          <w:p>
            <w:pPr>
              <w:spacing w:after="0"/>
              <w:rPr>
                <w:sz w:val="15"/>
                <w:szCs w:val="15"/>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293,811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282,661</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58,830</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w:t>
            </w:r>
          </w:p>
        </w:tc>
      </w:tr>
      <w:tr>
        <w:trPr>
          <w:trHeight w:val="223"/>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revaluation of investment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3"/>
        </w:trPr>
        <w:tc>
          <w:tcPr>
            <w:tcW w:w="67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262,877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Viper Energy Partners LP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limited partner units: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limited partner units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r>
      <w:tr>
        <w:trPr>
          <w:trHeight w:val="234"/>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Consolidated Unitholders’ Equity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40" w:type="dxa"/>
            <w:vAlign w:val="bottom"/>
          </w:tcPr>
          <w:p>
            <w:pPr>
              <w:spacing w:after="0"/>
              <w:rPr>
                <w:sz w:val="19"/>
                <w:szCs w:val="19"/>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913,908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913,908</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adoption of ASU 2016-01</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Unit exchange related to tax</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Recapitalization related to tax</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proceeds from the issuance of</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303,121</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303,121</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units - public</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 options 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public</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(155,109)</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Change in ownership of consolidated</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(91,667)</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 net</w:t>
            </w:r>
          </w:p>
        </w:tc>
        <w:tc>
          <w:tcPr>
            <w:tcW w:w="11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143,958</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262,877</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540,112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1,237,042</w:t>
            </w:r>
          </w:p>
        </w:tc>
        <w:tc>
          <w:tcPr>
            <w:tcW w:w="0" w:type="dxa"/>
            <w:vAlign w:val="bottom"/>
          </w:tcPr>
          <w:p>
            <w:pPr>
              <w:spacing w:after="0"/>
              <w:rPr>
                <w:sz w:val="1"/>
                <w:szCs w:val="1"/>
                <w:color w:val="auto"/>
              </w:rPr>
            </w:pPr>
          </w:p>
        </w:tc>
      </w:tr>
      <w:tr>
        <w:trPr>
          <w:trHeight w:val="175"/>
        </w:trPr>
        <w:tc>
          <w:tcPr>
            <w:tcW w:w="3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proceeds from the issuance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340,860</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340,860</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units - public</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units issued for acquisition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124,012</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Offering costs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Unit-based compensation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175"/>
        </w:trPr>
        <w:tc>
          <w:tcPr>
            <w:tcW w:w="3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Class B and OpCo units issued for the</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497,162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497,412</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Drop-Down acquisition</w:t>
            </w: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public</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(107,074)</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(133,211)</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3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Change in ownership of consolidated</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net</w:t>
            </w: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Units repurchased for tax withholding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221,210</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929,116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Consolidated Unitholders’ Equity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2,185,420</w:t>
            </w:r>
          </w:p>
        </w:tc>
        <w:tc>
          <w:tcPr>
            <w:tcW w:w="0" w:type="dxa"/>
            <w:vAlign w:val="bottom"/>
          </w:tcPr>
          <w:p>
            <w:pPr>
              <w:spacing w:after="0"/>
              <w:rPr>
                <w:sz w:val="1"/>
                <w:szCs w:val="1"/>
                <w:color w:val="auto"/>
              </w:rPr>
            </w:pPr>
          </w:p>
        </w:tc>
      </w:tr>
      <w:tr>
        <w:trPr>
          <w:trHeight w:val="229"/>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Distribution equivalent rights</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1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(45,630)</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(45,630)</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229"/>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Change in ownership of consolidated</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 net</w:t>
            </w:r>
          </w:p>
        </w:tc>
        <w:tc>
          <w:tcPr>
            <w:tcW w:w="11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Units repurchased for tax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(193,413)</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1,860,833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221,210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262,877</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(72,516)</w:t>
            </w: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Depletion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58,830</w:t>
            </w: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Impairment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loss on derivative instruments,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payments on derivatives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loss on revaluation of investment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Royalty income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w:t>
            </w: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Royalty income receivable—related party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244,493</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 of oil and natural gas interests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(610,131)</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land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(530,572)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(614,253)</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under credit facility</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691,500</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on credit facility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(374,000)</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senior notes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issuance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public offerings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305,773</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Repurchased units as part of unit buyback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public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(98,333)</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Diamondback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(155,109)</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368,239</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24,197</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12,438</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OpCo units issued for the Drop-Down transaction (Note 4)</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units issued for acquisition</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Viper Energy Partners LP (the “Partnership”) is a publicly traded Delaware limited partnership focused on owning and acquiring mineral interests and royalty interests in oil and natural gas properties primarily in the Permian Basin. Since May 10, 2018, the Partnership has been treated as a corporation for U.S. federal income tax purposes.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Viper Energy Partners GP LLC (the “General Partner”), held a 100% general partner interest in the Partnership and Diamondback beneficially owned an approximate 58% of the Partnership’s total limited partner units outstanding. Diamondback owns and controls the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thereto were prepared in conformity with accounting principles generally accepted in the United States (“GAAP”). All material intercompany balances and transactions are eliminated in consolidation.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as the oil and natural gas industry experiences challenges resulting from negative pricing pressure from the effects of COVID-19 and actions by OPEC members and other exporting nations on the supply and demand in global oil and natural gas markets. Many companies in the oil and natural gas industry have changed near term business plans in response to changing market conditions. The aforementioned circumstances generally increase uncertainty in the Partnership’s accounting estimates, particularly those involving financial forecasts.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Partnership evaluates these estimates on an ongoing basis, using historical experience, consultation with experts and other methods the Partnership considers reasonable in the particular circumstances.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the recoverability of costs of unevaluated properties, the fair value determination of assets and liabilities, fair value estimates of commodity derivatives and estimate of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represent unrestricted cash on hand and include all highly liquid investments purchased with a maturity of three months or less and money market funds. The Partnership maintains cash and cash equivalents in bank deposit accounts which, at times, may exceed the federally insured limits. The Partnership has not experienced any significant losses from such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Partnership adopted Accounting Standards Update (“ASU”) 2016-13 and the subsequent applicable modifications to the rule on January 1, 2020. Accounts receivable are stated at amounts due from purchasers,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The adoption of ASU 2016-13 did not result in a material change to the Partnership’s allowance, and no cumulative-effect adjustment was made to beginning unitholders’ equity. At December 31, 2020, the Partnership recorded an immaterial allowance for expected losses and did not record such an allowance at December 31, 2019.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Virtually all of the pricing provisions in the Partnership’s contracts are tied to a market index.</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Royalty income from oil, natural gas and natural gas liquids sales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Partnership’s oil, natural gas and natural gas liquids sales contracts are generally structured whereby the producer of the properties in which the Partnership owns a royalty interest sells the Partnership’s proportionate share of oil, natural gas and natural gas liquids production to the purchaser and the Partnership collects its percentage royalty based on the revenue generated by the sale of the oil, natural gas and natural gas liquids. In this scenario, the Partnership recognizes revenue when control transfers to the purchaser at the wellhead or at the gas processing facility based on the Partnership’s percentage ownership share of the revenue, net of any deductions for gathering and transportation.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Partnership’s right to royalty income does not originate until production occurs and, therefore, is not considered to exist beyond each day’s production. Therefore, there are no remaining performance obligations under any of our royalty income contracts.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Partnership’s royalty income contracts, it would have the right to receive royalty income from the producer once production has occurred, at which point payment is unconditional. Accordingly, the Partnership’s royalty income contracts do not give rise to contract assets or liabilities under Accounting Standards Codification 606.</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Prior-period performance obligations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Partnership records revenue in the month production is delivered to the purchaser. However, settlement statements for certain oil, natural gas and natural gas liquids sales may not be received for 30 to 90 days after the date production is delivered, and as a result, the Partnership is required to estimate the amount of royalty income to be received based upon the Partnership’s interest. The Partnership records the differences between its estimates and the actual amounts received for royalties in the month that payment is received from the producer. The Partnership has existing internal controls for its revenue estimation process and related accruals, and any identified differences between its revenue estimates and actual revenue received historically have not been significant. The Partnership believes that the pricing provisions of its oil, natural gas and natural gas liquids contracts are customary in the industry. To the extent actual volumes and prices of oil and natural gas sales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unavailable for a given reporting period because of timing or information not received from third parties, the royalties related to expected sales volumes and prices for those properties are estimated and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Properties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Partnership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2020 and 2019, the Partnership’s oil and natural gas properties consist solely of mineral interests in oil and natural gas properties.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Depletion of evaluated oil and natural gas properties is computed on the units of production method, whereby capitalized costs are amortized over total proved reserves. The average depletion rate per barrel equivalent unit of production was $10.34, $9.95 and $9.33 for the years ended December 31, 2020, 2019 and 2018, respectively. Depletion for oil and natural gas properties was $100.5 million, $78.2 million and $58.8 million for the years ended December 31, 2020, 2019 and 2018, respectively.</w:t>
      </w:r>
    </w:p>
    <w:p>
      <w:pPr>
        <w:spacing w:after="0" w:line="207"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Under the full cost method of accounting, the Partnership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The Partnership recorded an impairment of $69.2 million on proved oil and natural gas interests for the year ended December 31, 2020. No impairment on proved oil and natural gas properties was recorded for the year ended December 31, 2019 and 2018.</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Costs associated with unevaluated properties are excluded from the full cost pool until the Partnership has made a determination as to the existence of proved reserves. The Partnership assesses all items classified as unevaluated property on an annual basis for possible impairment. The Partnership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assets include capitalized costs related to the credit facility of $6.7 million, $6.6 million and $5.5 million, net of accumulated amortization of $4.4 million, $3.1 million and $2.2 million as of December 31, 2020, 2019 and 2018, respectively. The costs are associated with the Partnership’s credit agreement and are being amortized over the term of the credit agreement.</w:t>
      </w:r>
    </w:p>
    <w:p>
      <w:pPr>
        <w:spacing w:after="0" w:line="203"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includes insignificant capitalized costs related to the Notes. The costs associated with the Notes are being netted against the Notes balances and are being amortized over the term of the Notes using the effective interest method. See Note 6—</w:t>
      </w:r>
      <w:hyperlink w:anchor="page89">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8"/>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instruments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Partnership is subject to risk resulting from the concentration of the Partnership’s royalty interest revenues in producing oil and natural gas properties and receivables with several significant purchasers. For the year ended December 31, 2020, four purchasers each accounted for more than 10% of royalty interest revenue: Trafigura Trading LLC (23%), Vitol Midstream Pipeline LLC (14%), Shell Trading (US) Company (“Shell Trading”) (13%), and Concho Resources (11%). For the year ended December 31, 2019, three purchasers each accounted for more than 10% of royalty interest revenue: Trafigura Trading LLC (27%), Concho Resources, Inc. (16%) and Shell Trading (12%). For the year ended December 31, 2018, three purchasers each accounted for more than 10% of royalty interest revenue: Shell Trading (31%), Concho Resources (16%), and Trafigura Trading LLC (11%). The Partnership does not require collateral and does not believe the loss of any single purchaser would materially impact the Partnership’s operating results, as crude oil and natural gas are fungible products with well-established markets and numerous purchasers.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Unit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unit applicable to limited partners is computed utilizing the “if-converted” method which by dividing limited partners’ interest in net income by the weighted average number of outstanding common units outstanding. The treasury-stock method is utilized to determine the dilutive effect, if any, of unvested common units granted under the Partnership’s long-term incentive plan (“LTIP”)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Partnership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14"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continuing its practice of recognizing interest and penalties related to income tax matters as interest expense and general and administrative expenses, respectively. During the years ended December 31, 2020, 2019 and 2018, there was no interest or penalties associated with uncertain tax positions recognized in the Partnership’s consolidated financial statements. See Note 9—</w:t>
      </w:r>
      <w:hyperlink w:anchor="page94">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 equity, tax effected, will occur. Because these changes in the Partnership’s ownership interest in the Operating Company did not result in a change of control, the transactions were accounted for as equity transactions under ASC Topic 810, “Consolidation.” This guidance requires that any differences between the carrying value of the Partnership’s basis in the Operating Company and the fair value of the consideration received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recognized directly in equity and attributed to the controlling interest. See Note 7—</w:t>
      </w:r>
      <w:hyperlink w:anchor="page91">
        <w:r>
          <w:rPr>
            <w:rFonts w:ascii="Times New Roman" w:cs="Times New Roman" w:eastAsia="Times New Roman" w:hAnsi="Times New Roman"/>
            <w:sz w:val="18"/>
            <w:szCs w:val="18"/>
            <w:u w:val="single" w:color="auto"/>
            <w:color w:val="0000FF"/>
          </w:rPr>
          <w:t>Unitholders' Equity and Partnership Distributions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discussion of the change in ownership.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The Partnership adopted this update effective January 1, 2020. The adoption of this update did not have a material impact on its financial position, results of operations or liquidity since it does not have a history of credit losses.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This update is effective for public business entities beginning after December 15, 2020 with early adoption permitted. The Partnership does not believe the adoption of this standard will have an impact on its financial position, results of operations or liquidity.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considers the applicability and impact of all ASUs. ASUs not listed above were assessed and determined to be either not applicable or clarifications of ASUs previously disclosed.</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any revenues recognized in the current reporting period for performance obligations satisfied in prior reporting periods was not material.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Partnership’s total royalty income by product type: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88"/>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217,859</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264,376</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royalty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246,981</w:t>
            </w:r>
          </w:p>
        </w:tc>
        <w:tc>
          <w:tcPr>
            <w:tcW w:w="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293,811</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282,661</w:t>
            </w:r>
          </w:p>
        </w:tc>
      </w:tr>
      <w:tr>
        <w:trPr>
          <w:trHeight w:val="21"/>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Activity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Partnership acquired, from unrelated third-party sellers, mineral and royalty interests representing 4,948 gross (417 net royalty) acres in the Permian Basin for an aggregate purchase price of approximately $64.2 million, subject to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Non-Core Assets and Investments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2020, the Partnership divested its equity interest in a limited partnership for approximately $10.8 million. This divestiture resulted in an immaterial loss.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the Partnership completed its divestiture of 370 net royalty acres of certain non-core Permian assets for an aggregate sale price of $38.4 million. This divestiture did not result in a gain or loss because it did not have a significant effect on the Partnership’s reserve base or depreciation, depletion and amortization 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Activity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Drop-Down Acquisition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31F20"/>
        </w:rPr>
        <w:t>October 1, 2019, the Partnership completed the acquisition of</w:t>
      </w:r>
      <w:r>
        <w:rPr>
          <w:rFonts w:ascii="Times New Roman" w:cs="Times New Roman" w:eastAsia="Times New Roman" w:hAnsi="Times New Roman"/>
          <w:sz w:val="18"/>
          <w:szCs w:val="18"/>
          <w:color w:val="auto"/>
        </w:rPr>
        <w:t xml:space="preserve"> certain mineral and royalty interests from subsidiaries of Diamondback for approximately 18.3 million of its newly-issued Class B units, approximately 18.3 million newly-issued units of the Operating Company with </w:t>
      </w:r>
      <w:r>
        <w:rPr>
          <w:rFonts w:ascii="Times New Roman" w:cs="Times New Roman" w:eastAsia="Times New Roman" w:hAnsi="Times New Roman"/>
          <w:sz w:val="18"/>
          <w:szCs w:val="18"/>
          <w:color w:val="231F20"/>
        </w:rPr>
        <w:t>a fair value of</w:t>
      </w:r>
      <w:r>
        <w:rPr>
          <w:rFonts w:ascii="Times New Roman" w:cs="Times New Roman" w:eastAsia="Times New Roman" w:hAnsi="Times New Roman"/>
          <w:sz w:val="18"/>
          <w:szCs w:val="18"/>
          <w:color w:val="auto"/>
        </w:rPr>
        <w:t xml:space="preserve"> $497.2 million and $190.2 million in cash, after giving effect to closing adjustments for net title benefits (the ‘‘Drop-Down Acquisition’’). The mineral and royalty interests acquired in the Drop-Down Acquisition represent approximately 5,490 net royalty acres across the Midland and Delaware Basins, of which over 95% are operated by Diamondback, and have an average net royalty interest of approximately 3.2% (the ‘‘Drop-Down Assets’’). The Partnership completed the acquisition on October 1, 2019 and funded the cash portion of the purchase price for the Drop-Down Assets through a combination of cash on hand and borrowings under the Operating Company’s revolving credit facility.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Santa Elena Acquisition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On October 31, 2019, the Partnership completed the acquisition of </w:t>
      </w:r>
      <w:r>
        <w:rPr>
          <w:rFonts w:ascii="Times New Roman" w:cs="Times New Roman" w:eastAsia="Times New Roman" w:hAnsi="Times New Roman"/>
          <w:sz w:val="18"/>
          <w:szCs w:val="18"/>
          <w:color w:val="000000"/>
        </w:rPr>
        <w:t>certain mineral and royalty interests from Santa Elena (the ‘‘Santa Elena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Acquisition’’), which assets were immediately contributed by the Partnership to the Operating Company. The assets acquired in the Santa Elena Acquisition represent approximately 1,366 net royalty acres across the Midland Basin with an average net royalty interest of approximately 5.6% and are primarily operated by Diamondback in Glasscock and Martin counties (the ‘‘Santa Elena Assets’’).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closing, the Partnership issued to Santa Elena approximately 5.2 million common units representing limited partner interests in the Partnership as consideration for the Santa Elena Assets, and the Operating Company issued to the Partnership approximately 5.2 million new units of the Operating Company with a fair value of $124.0 million.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2019 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during the year ended December 31, 2019, the Partnership acquired, from unrelated third-party sellers, mineral interests representing 136,012 gross (2,607 net royalty) acres for an aggregate of approximately $343.7 million. The Partnership funded these acquisitions with cash on hand, a portion of the net proceeds from its first quarter 2019 offering of common units and borrowings under the Operating Company’s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Activity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Partnership acquired mineral interests from unrelated third parties underlying 3,585 net royalty acres for an aggregate of approximately $440.4 million. The Partnership funded these acquisitions primarily with cash on hand and borrowings under its revolving credit facility.</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15, 2018, the Partnership acquired mineral interests from Diamondback underlying 32,424 gross (1,696 net royalty) acres primarily in Pecos County, Texas, in the Permian Basin, approximately 80% of which are operated by Diamondback, for $175.0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Oil and natural gas interests include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5"/>
                <w:szCs w:val="15"/>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depletion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1,530,636</w:t>
            </w:r>
          </w:p>
        </w:tc>
        <w:tc>
          <w:tcPr>
            <w:tcW w:w="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1,316,692</w:t>
            </w: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 subject to depletion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1,364,906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1,551,767</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2,895,542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2,868,459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2,399,366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2,541,985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 of accumulated depletion and impairment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2,405,054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2,547,673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costs not subject to depletion:</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Incurred in 2020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Incurred in 2019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Incurred in 2018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Incurred in 2017</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not subject to depletion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associated with unevaluated properties are excluded from the full cost pool until a determination as to the existence of proved reserves can be made. The inclusion of the Partnership’s unevaluated costs into the amortization base is expected to be completed within five to ten years.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quarterly ceiling tests resulted in the Partnership recording impairment expense of $69.2 million for the year ended December 31, 2020 as a result of the decline in commodity prices. There were no impairments recorded for the years ended December 31, 2019 and 2018.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continue to fall as compared to the commodity prices used in prior quarters, the Partnership will have write-downs in subsequent quarters, which may be material.</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88"/>
        </w:trPr>
        <w:tc>
          <w:tcPr>
            <w:tcW w:w="7180" w:type="dxa"/>
            <w:vAlign w:val="bottom"/>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7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5"/>
                <w:szCs w:val="15"/>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2027</w:t>
            </w: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96,500</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586,774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16, 2019, the Partnership completed an offering (the “Notes Offering”) of $500.0 million in aggregate principal amount of its 5.375% senior notes due 2027 (the “Notes”). The Partnership received net proceeds of approximately $490.0 million from the Notes Offering. The Partnership loaned the gross proceeds to the Operating Company, which used the proceeds from the Notes Offering to pay down borrowings under its revolving credit facility. During the year ended December 31, 2020, the Partnership repurchased $20.1 million of the outstanding principal of the Notes at cash prices ranging from 97.5% to 98.5% of the aggregate principal amount, which resulted in an immaterial gain on extinguishment of debt. As of December 31, 2020, the remaining outstanding principal amount of the Notes totaled $479.9 million and will mature on November 1, 2027.</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of the Partnership, are initially guaranteed on a senior unsecured basis by the Operating Company and pay interest semi-annually. Neither Diamondback nor the general partner guarantee the Notes. In the future, each of the Partnership’s restricted subsidiaries that either (1) guarantees any of its or a guarantor’s other indebtedness or (2) is a domestic restricted subsidiary and is an obligor with respect to any indebtedness under any credit facility will be required to guarantee the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Intercompany Promissory Note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In connection with and upon closing of the Notes Offering, the Partnership loaned the gross proceeds from the Notes Offering to the Operating Company under the terms of that certain Subordinated Promissory Note, dated as of October 16, 2019, by the Operating Company in favor of the Partnership (the “Intercompany Promissory Note”). The Intercompany Promissory Note requires the Operating Company to repay the underlying loan to the Partnership on the same terms and in the same amounts as the Notes and has the same maturity date, interest rate, change of control repurchase and redemption provisions. The Partnership’s right to receive payment under the Intercompany Promissory Note is contractually subordinated to the Operating Company’s guarantee of the notes and is structurally subordinated to all of the Operating Company’s secured indebtedness (including all borrowings and other obligations under the Operating Company’s revolving credit facility) to the extent of the value of the collateral securing such indebtedness.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Company’s Revolving Credit Facility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20, 2018, the Partnership, as guarantor, entered into an amended and restated credit agreement with the Operating Company, as borrower, Wells Fargo National Bank (“Wells Fargo”), as administrative agent, and the other lenders. The credit agreement, as amended to date, provides for a revolving credit facility in the maximum credit amount of $2.0 billion and a borrowing base based on the Operating Company’s oil and natural gas reserves and other factors of $580.0 million. The borrowing base is scheduled to be re-determined semi-annually with effective dates of May 1st and November 1st. In addition, the Operating Company and Wells Fargo each may request up to three interim redeterminations of the borrowing base during any 12-month period. The Operating Company’s borrowing base was reaffirmed at $580.0 million by the lenders during the regularly scheduled (semi-annual) fall 2020 redetermination in November 2020. As of December 31, 2020, there was $496.0 million available for future borrowings under the Operating Company’s revolving credit facility.</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rate elected by the Operating Company that is equal to an alternative base rate (which is equal to the greatest of the prime rate, the Federal Funds effective rate plus 0.50% and 3-month LIBOR plus 1.0%) or LIBOR, in each case plus the applicable margin. The applicable margin ranges from 0.75% to 1.75% per annum in the case of the alternative base rate and from 1.75% to 2.75% per annum in the case of LIBOR, in each case depending on the amount of the loans outstanding in relation to the borrowing base. The Operating Company is obligated to pay a quarterly commitment fee ranging from 0.375% to 0.500% per year on the unused portion of the commitment, which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the assets of the Partnership and the Operating Company. For the years ended December 31, 2020, 2019 and 2018, the weighted average interest rate on borrowings under the Operating Company’s revolving credit facility was 2.20%, 4.51%, and 4.37%,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Covenant</w:t>
            </w:r>
          </w:p>
        </w:tc>
        <w:tc>
          <w:tcPr>
            <w:tcW w:w="4140" w:type="dxa"/>
            <w:vAlign w:val="bottom"/>
            <w:tcBorders>
              <w:bottom w:val="single" w:sz="8" w:color="auto"/>
            </w:tcBorders>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rPr>
              <w:t>Required Ratio</w:t>
            </w:r>
          </w:p>
        </w:tc>
      </w:tr>
      <w:tr>
        <w:trPr>
          <w:trHeight w:val="22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140" w:type="dxa"/>
            <w:vAlign w:val="bottom"/>
            <w:shd w:val="clear" w:color="auto" w:fill="CCEEFF"/>
          </w:tcPr>
          <w:p>
            <w:pPr>
              <w:jc w:val="center"/>
              <w:ind w:left="1576"/>
              <w:spacing w:after="0"/>
              <w:rPr>
                <w:sz w:val="20"/>
                <w:szCs w:val="20"/>
                <w:color w:val="auto"/>
              </w:rPr>
            </w:pPr>
            <w:r>
              <w:rPr>
                <w:rFonts w:ascii="Times New Roman" w:cs="Times New Roman" w:eastAsia="Times New Roman" w:hAnsi="Times New Roman"/>
                <w:sz w:val="18"/>
                <w:szCs w:val="18"/>
                <w:color w:val="auto"/>
                <w:w w:val="99"/>
              </w:rPr>
              <w:t>Not greater than 4.0 to 1.0</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140" w:type="dxa"/>
            <w:vAlign w:val="bottom"/>
          </w:tcPr>
          <w:p>
            <w:pPr>
              <w:jc w:val="center"/>
              <w:ind w:left="1576"/>
              <w:spacing w:after="0"/>
              <w:rPr>
                <w:sz w:val="20"/>
                <w:szCs w:val="20"/>
                <w:color w:val="auto"/>
              </w:rPr>
            </w:pPr>
            <w:r>
              <w:rPr>
                <w:rFonts w:ascii="Times New Roman" w:cs="Times New Roman" w:eastAsia="Times New Roman" w:hAnsi="Times New Roman"/>
                <w:sz w:val="18"/>
                <w:szCs w:val="18"/>
                <w:color w:val="auto"/>
              </w:rPr>
              <w:t>Not less than 1.0 to 1.0</w:t>
            </w:r>
          </w:p>
        </w:tc>
      </w:tr>
    </w:tbl>
    <w:p>
      <w:pPr>
        <w:spacing w:after="0" w:line="3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2020, the Operating Company was in compliance with all financial maintenance covenants under its credit agreement. The lenders may accelerate all of the indebtedness under the Operating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Partnership has general partner and limited partner units. At December 31, 2020, the Partnership had a total of 65,817,281 common units and 90,709,946 Class B units issued and outstanding, of which 731,500 common units and 90,709,946 Class B units were beneficially owned by Diamondback, representing approximately 58% of the Partnership’s total units outstanding. Diamondback also beneficially owns 90,709,946 Operating Company units, representing a 58%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Offerings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2019, the Partnership completed an underwritten public offering of 10,925,000 common units, which included 1,425,000 common units issued pursuant to an option to purchase additional common units granted to the underwriters. Following this offering, Diamondback owned approximately 54% of the total Partnership units then outstanding. The Partnership received net proceeds from this offering of approximately $340.6 million, after deducting underwriting discounts and commissions and offering expenses. The Partnership used the net proceeds to purchase units of the Operating Company. The Operating Company in turn used the net proceeds to repay a portion of the outstanding borrowings under its revolving credit facility and finance acquisitions during the period.</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the Partnership completed an underwritten public offering of 10,080,000 common units, which included 1,080,000 common units issued pursuant to an option to purchase additional common units granted to the underwriters. Following this offering, Diamondback owned approximately 59% of the total Partnership units then outstanding. The Partnership received net proceeds from this offering of approximately $303.1 million, after deducting underwriting discounts, commissions and offering expenses. The Partnership used the net proceeds to purchase units of the Operating Company. The Operating Company in turn used the net proceeds to repay a portion of the $361.5 million then outstanding borrowings under the revolving credit facility.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Common Unit Repurchase Program</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November 6, 2020, the board of directors of the Partnership’s general partner approved an expansion of the Partnership’s return of capital program with the implementation of a common unit repurchase program to acquire up to $100.0 million of the Partnership’s outstanding common units. During the year ended December 31, 2020, the Partnership repurchased approximately $24.0 million of common units under the repurchase program. As of December 31, 2020, $76.0 million remains available for use to repurchase units under the repurchase program. The common unit repurchase program is authorized to extend through December 31, 2021 and the Partnership intends to purchase common units under the repurchase program opportunistically with funds from cash on hand, free cash flow from operations and potential liquidity events such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assets. This repurchase program may be suspended from time to time, modified, extended or discontinued by the board of directors of the Partnership’s general partner at any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in the number of Partnership’s Class B units during the year ended December 31,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Ownership of Consolidated Subsidiaries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subsidiary changes during the period: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Partnership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6"/>
              </w:rPr>
              <w:t>46,281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143,958</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(91,667)</w:t>
            </w:r>
          </w:p>
        </w:tc>
        <w:tc>
          <w:tcPr>
            <w:tcW w:w="0" w:type="dxa"/>
            <w:vAlign w:val="bottom"/>
          </w:tcPr>
          <w:p>
            <w:pPr>
              <w:spacing w:after="0"/>
              <w:rPr>
                <w:sz w:val="1"/>
                <w:szCs w:val="1"/>
                <w:color w:val="auto"/>
              </w:rPr>
            </w:pPr>
          </w:p>
        </w:tc>
      </w:tr>
      <w:tr>
        <w:trPr>
          <w:trHeight w:val="155"/>
        </w:trPr>
        <w:tc>
          <w:tcPr>
            <w:tcW w:w="6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(loss) attributable to the Partnership's unitholders and transfers to</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6"/>
              </w:rPr>
              <w:t>31,227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2020, the Partnership recorded an adjustment to non-controlling interest and common unitholder equity of $34.1 million to reflect the ownership structure that was effective at December 31, 2020. These adjustments were made to reflect the changes in the ownership of the consolidated subsidiary which arose from the repurchase of subsidiary units under the 2020 repurchase program and other equity related transactions. The adjustment had no impact on earnings for the year ended December 31, 2020.</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2019, the Partnership recorded an adjustment to non-controlling interest of $19.1 million, common unitholder equity of $15.1 million, and deferred tax asset of $4.0 million to reflect the ownership structure that was effective at December 31, 2019. These adjustments were made to reflect the changes in the ownership of the consolidated subsidiary which arose from the issuance of units that occurred during the year and other equity related transactions. The adjustment had no impact on earnings for the year ended December 31, 2019.</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2018, the Partnership recorded an adjustment to non-controlling interest of $116.0 million, common unitholder equity of $91.7 million, and deferred tax asset of $24.4 million to reflect the ownership structure that was effective at December 31, 2018. These adjustments were made to reflect the changes in the ownership of the consolidated subsidiary which arose from the issuance of units that occurred during the year and other equity related transactions. The adjustment had no impact on earnings for the year ended December 31, 2018.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Beginning with the first quarter of 2020, the board of directors of the General Partner revised the distribution policy to provide that the Operating Company would distribute 25% of its available cash in the first and second quarters of 2020 to its unitholders (including Diamondback and the Partnership) rather than all of its available cash as it had previously done. The Operating Company’s distribution policy was further revised in October 2020 to provide for the distribution of 50% of its available cash to its unitholders beginning with the third quarter of 2020.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its Adjusted EBITDA (which is the Partnership’s proportional share of its available cash of the Operating Company for the quarter), less cash needed for the payment of income taxes by it, if any, and the preferred distribution. Immediately prior to the revisions to the distribution policy described above, the Operating Company’s policy was to distribute all of its available cash quarterly to its unitholders. The distribution policy changes noted above were made to enable the Operating Company to retain cash flow to help strengthen the Partnership’s balance sheet while also expanding the return of capital program through the Partnership’s common unit repurchase program.</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the General Partner may change the distribution policies at any time.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cash distributions approved by the board of directors of the General Partner for the periods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3"/>
                <w:szCs w:val="13"/>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per Common Unit</w:t>
            </w:r>
          </w:p>
        </w:tc>
        <w:tc>
          <w:tcPr>
            <w:tcW w:w="21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3"/>
                <w:szCs w:val="13"/>
                <w:color w:val="auto"/>
              </w:rPr>
            </w:pPr>
          </w:p>
        </w:tc>
        <w:tc>
          <w:tcPr>
            <w:tcW w:w="18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 Distributed to</w:t>
            </w:r>
          </w:p>
        </w:tc>
        <w:tc>
          <w:tcPr>
            <w:tcW w:w="0" w:type="dxa"/>
            <w:vAlign w:val="bottom"/>
          </w:tcPr>
          <w:p>
            <w:pPr>
              <w:spacing w:after="0"/>
              <w:rPr>
                <w:sz w:val="1"/>
                <w:szCs w:val="1"/>
                <w:color w:val="auto"/>
              </w:rPr>
            </w:pPr>
          </w:p>
        </w:tc>
      </w:tr>
      <w:tr>
        <w:trPr>
          <w:trHeight w:val="189"/>
        </w:trPr>
        <w:tc>
          <w:tcPr>
            <w:tcW w:w="26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Diamondback</w:t>
            </w:r>
          </w:p>
        </w:tc>
        <w:tc>
          <w:tcPr>
            <w:tcW w:w="0" w:type="dxa"/>
            <w:vAlign w:val="bottom"/>
          </w:tcPr>
          <w:p>
            <w:pPr>
              <w:spacing w:after="0"/>
              <w:rPr>
                <w:sz w:val="1"/>
                <w:szCs w:val="1"/>
                <w:color w:val="auto"/>
              </w:rPr>
            </w:pPr>
          </w:p>
        </w:tc>
      </w:tr>
      <w:tr>
        <w:trPr>
          <w:trHeight w:val="183"/>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5,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27, 2018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35,112</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27, 2018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0.600</w:t>
            </w:r>
          </w:p>
        </w:tc>
        <w:tc>
          <w:tcPr>
            <w:tcW w:w="12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 2018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19, 2018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0.510</w:t>
            </w:r>
          </w:p>
        </w:tc>
        <w:tc>
          <w:tcPr>
            <w:tcW w:w="12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25, 2019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37,326</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25,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20, 2019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28, 2019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0.470</w:t>
            </w:r>
          </w:p>
        </w:tc>
        <w:tc>
          <w:tcPr>
            <w:tcW w:w="12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21, 2019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25,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15, 2019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7,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0.450</w:t>
            </w:r>
          </w:p>
        </w:tc>
        <w:tc>
          <w:tcPr>
            <w:tcW w:w="12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28, 2020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21, 2020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29, 2020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Q2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12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 2020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28,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19, 2020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distributions will be made to the common unitholders of record on the applicable record date, generally within 60 days after the end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LLC Agreement - Tax Allocation</w:t>
      </w:r>
    </w:p>
    <w:p>
      <w:pPr>
        <w:spacing w:after="0" w:line="2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On March 30, 2020, the Partnership, as managing member of the Operating Company, entered into the First Amendment to the Second Amended and Restated Limited Liability Company Agreement of the Operating Company to extend the remaining period of special allocations to Diamondback of the Operating Company’s income and gains over losses and deductions (but before depletion) from two to four years.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income (loss) per common unit on the consolidated statements of operations is based on the net income (loss) of the Partnership for the years ended December 31, 2020, 2019 and 2018, since this is the amount of net income (loss) that is attributable to the Partnership’s common units.</w:t>
      </w:r>
    </w:p>
    <w:p>
      <w:pPr>
        <w:spacing w:after="0" w:line="189"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Partnership’s net income (loss) is allocated wholly to the common units, as the General Partner does not have an economic interest. Payments </w:t>
      </w:r>
      <w:hyperlink w:anchor="page91">
        <w:r>
          <w:rPr>
            <w:rFonts w:ascii="Times New Roman" w:cs="Times New Roman" w:eastAsia="Times New Roman" w:hAnsi="Times New Roman"/>
            <w:sz w:val="18"/>
            <w:szCs w:val="18"/>
            <w:color w:val="auto"/>
          </w:rPr>
          <w:t>made to the Partnership’s unitholders are determined in relation to the cash distribution policy described in Note 7—</w:t>
        </w:r>
        <w:r>
          <w:rPr>
            <w:rFonts w:ascii="Times New Roman" w:cs="Times New Roman" w:eastAsia="Times New Roman" w:hAnsi="Times New Roman"/>
            <w:sz w:val="18"/>
            <w:szCs w:val="18"/>
            <w:u w:val="single" w:color="auto"/>
            <w:color w:val="0000FF"/>
          </w:rPr>
          <w:t>Unitholders' Equity and Partnership</w:t>
        </w:r>
      </w:hyperlink>
      <w:r>
        <w:rPr>
          <w:rFonts w:ascii="Times New Roman" w:cs="Times New Roman" w:eastAsia="Times New Roman" w:hAnsi="Times New Roman"/>
          <w:sz w:val="18"/>
          <w:szCs w:val="18"/>
          <w:color w:val="auto"/>
        </w:rPr>
        <w:t xml:space="preserve"> </w:t>
      </w:r>
      <w:hyperlink w:anchor="page91">
        <w:r>
          <w:rPr>
            <w:rFonts w:ascii="Times New Roman" w:cs="Times New Roman" w:eastAsia="Times New Roman" w:hAnsi="Times New Roman"/>
            <w:sz w:val="18"/>
            <w:szCs w:val="18"/>
            <w:u w:val="single" w:color="auto"/>
            <w:color w:val="0000FF"/>
          </w:rPr>
          <w:t>Distributions</w:t>
        </w:r>
        <w:r>
          <w:rPr>
            <w:rFonts w:ascii="Times New Roman" w:cs="Times New Roman" w:eastAsia="Times New Roman" w:hAnsi="Times New Roman"/>
            <w:sz w:val="18"/>
            <w:szCs w:val="18"/>
            <w:color w:val="000000"/>
          </w:rPr>
          <w:t>.</w:t>
        </w:r>
      </w:hyperlink>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unit is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7"/>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 except per unit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143,958</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net gain (loss) allocated to participating securities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1"/>
        </w:trPr>
        <w:tc>
          <w:tcPr>
            <w:tcW w:w="69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(192,348)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46,164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143,828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Potential common units issuable</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equivalent rights granted to employees are considered participating securities.</w:t>
      </w:r>
    </w:p>
    <w:p>
      <w:pPr>
        <w:spacing w:after="0" w:line="27" w:lineRule="exact"/>
        <w:rPr>
          <w:rFonts w:ascii="Times New Roman" w:cs="Times New Roman" w:eastAsia="Times New Roman" w:hAnsi="Times New Roman"/>
          <w:sz w:val="18"/>
          <w:szCs w:val="18"/>
          <w:color w:val="auto"/>
        </w:rPr>
      </w:pPr>
    </w:p>
    <w:p>
      <w:pPr>
        <w:ind w:left="340" w:hanging="332"/>
        <w:spacing w:after="0" w:line="255"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no potential common units were included in the computation of diluted earnings per common unit because their inclusion would have been anti-dilutive under the treasury stock method for the periods presented but could potentially dilute basic earnings per common unit in future periods.</w:t>
      </w: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Partnership’s effective income tax rate exceeded 100% for the year ended December 31, 2020 due to the impact of recording a valuation allowance as discussed further below, and was (23.1)% and (38.0)% for the years ended December 31, 2019 and 2018, respectively. Total income tax expense for the year ended December 31, 2020 differed from amounts computed by applying the United States federal statutory tax rate to pre-tax income for the period, primarily due to net income (loss) attributable to the non-controlling interest and the impact of recording a valuation allowance on the Partnership’s deferred tax assets. Total income tax benefit for the year ended December 31, 2019 differed from amounts computed by applying the United States federal statutory tax rate to pre-tax income for the period primarily due to net income attributable to the non-controlling interest and the revision of estimated deferred taxes recognized as a result of the Partnership’s change in tax status. Total income tax benefit for the year ended December 31, 2018 differed from amounts computed by applying the United States federal statutory rate to pre-tax income for the period primarily due to (i) net income attributable to the non-controlling interest, (ii) net income attributable to the period prior to the Partnership’s change in tax status, and (iii) the impact of deferred taxes recognized as a result of the Partnership’s change in tax status.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2020, 2019 and 2018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(41,582)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(72,516)</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income tax provision (benefit)</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(41,582)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(72,516)</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from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(41,582)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federal income tax amount to the recorded expense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 (21%)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net income attributable to the pre-incorporation period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nontaxable noncontrolling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expense (benefit), net of federal tax effect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related to change in tax status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(72,787)</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Partnership’s deferred tax assets and liabilities as of December 31, 2020 and 2019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5"/>
                <w:szCs w:val="15"/>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operating loss and interest expense carryforwards (indefinite life carryforward)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r>
      <w:tr>
        <w:trPr>
          <w:trHeight w:val="229"/>
        </w:trPr>
        <w:tc>
          <w:tcPr>
            <w:tcW w:w="7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Investment in the Operating Company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134,272</w:t>
            </w:r>
          </w:p>
        </w:tc>
      </w:tr>
      <w:tr>
        <w:trPr>
          <w:trHeight w:val="230"/>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798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142,467</w:t>
            </w:r>
          </w:p>
        </w:tc>
      </w:tr>
      <w:tr>
        <w:trPr>
          <w:trHeight w:val="230"/>
        </w:trPr>
        <w:tc>
          <w:tcPr>
            <w:tcW w:w="79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142,466</w:t>
            </w:r>
          </w:p>
        </w:tc>
      </w:tr>
      <w:tr>
        <w:trPr>
          <w:trHeight w:val="223"/>
        </w:trPr>
        <w:tc>
          <w:tcPr>
            <w:tcW w:w="79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142,466</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2020, the Partnership had no net deferred tax assets or deferred tax liabilities. As of December 31, 2019, the Partnership had net deferred tax assets of approximately $142.5 million and no deferred tax liabilities. At December 31, 2020, the Partnership had federal net operating loss carryforwards of approximately $49.9 million which may be carried forward indefinitely to offset future taxable income.</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2020, the Partnership had a valuation allowance of approximately $160.6 million related to deferred tax assets the Partnership does not believe are more likely than not to be realized. Management considers the likelihood that the Partnership’s net operating losses and other deferred tax attributes will be utilized prior to their expiration, if applicable. The determination to record a valuation allowance was based on management’s assessment of all available evidence, both positive and negative, supporting realizability of the Partnership’s deferred tax assets as required by applicable accounting standards. In light of those criteria for recognizing the tax benefit of deferred tax assets, the Partnership’s assessment resulted in application of a valuation allowance against the Partnership’s federal deferred tax assets as of March 31, 2020 and subsequent balance sheet dates within the year ended December 31, 2020. In addition, a valuation allowance was maintained against state net operating loss carryforwards not anticipated to be utilized prior to expiration.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federal income tax provisions applicable to the Partnership’s change in tax status, the Partnership’s basis for federal income tax purposes in its interest in the Operating Company consisted primarily of the sum of the Partnership’s unitholders’ tax basis in their interests in the Partnership on the date of the tax status change. The Partnership prepared its best estimate of the resultant tax basis in the Operating Company for purposes of the Partnership’s income tax provision for the period of the change, but information necessary for the partnership to finalize its determination was not available until unitholders’ tax basis information was fully reported and the Partnership finalized its federal income tax computations for 2018. Based on information available, the Partnership revised its estimate of the difference between its tax basis and its basis for financial accounting purposes in the Operating Company on the date of the tax status change, resulting in deferred income tax benefit of $42.4 million included in the Partnership’s income tax provision for the year ended December 31, 2019.</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principally operates in the state of Texas. For the years ended December 31, 2020 and 2019, the Partnership did not accrue any state income tax expenses for its share of Texas margin tax attributable to the Partnership’s results which are included in a combined tax return filed by Diamondback. At December 31, 2020, the Partnership did not have any significant uncertain tax positions requiring recognition in the financial statements. In addition to the 2020 and 2019 tax years, our 2017 and 2018 tax years, periods during which we were organized as a pass-through entity for income tax purposes, remain open to examination by tax authorities.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Partnership has considered the impact of this legislation in the period of enactment and concluded there was not a material impact to the Partnership’s current or deferred income tax balances.</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5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2020, the Partnership used fixed price swap contracts, fixed price basis swap contracts and costless collars with corresponding put and call options to reduce price volatility associated with certain of its royalty income. 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Partnership’s derivative contracts are based upon reported settlement prices on commodity exchanges, with crude oil derivative settlements based on New York Mercantile Exchange West Texas Intermediate pricing (Cushing).</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the Partnership had the following outstanding derivative contracts. When aggregating multiple contracts, the weighted average contract price is disclosed.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0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Collars</w:t>
            </w:r>
          </w:p>
        </w:tc>
        <w:tc>
          <w:tcPr>
            <w:tcW w:w="0" w:type="dxa"/>
            <w:vAlign w:val="bottom"/>
          </w:tcPr>
          <w:p>
            <w:pPr>
              <w:spacing w:after="0"/>
              <w:rPr>
                <w:sz w:val="1"/>
                <w:szCs w:val="1"/>
                <w:color w:val="auto"/>
              </w:rPr>
            </w:pPr>
          </w:p>
        </w:tc>
      </w:tr>
      <w:tr>
        <w:trPr>
          <w:trHeight w:val="133"/>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Month</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Year</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16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Bbls/Mcf Per Day</w:t>
            </w:r>
          </w:p>
        </w:tc>
        <w:tc>
          <w:tcPr>
            <w:tcW w:w="1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6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Floor</w:t>
            </w:r>
          </w:p>
        </w:tc>
        <w:tc>
          <w:tcPr>
            <w:tcW w:w="17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Ceiling</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OIL</w:t>
            </w:r>
          </w:p>
        </w:tc>
        <w:tc>
          <w:tcPr>
            <w:tcW w:w="1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 - Mar.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Collars</w:t>
            </w: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rPr>
              <w:t>12,000</w:t>
            </w:r>
          </w:p>
        </w:tc>
        <w:tc>
          <w:tcPr>
            <w:tcW w:w="180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WTI Cushing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Dec.</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Collars</w:t>
            </w:r>
          </w:p>
        </w:tc>
        <w:tc>
          <w:tcPr>
            <w:tcW w:w="16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WTI Cushing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5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97">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Derivative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included in the consolidated statements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7"/>
        </w:trPr>
        <w:tc>
          <w:tcPr>
            <w:tcW w:w="9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9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(63,591)</w:t>
            </w: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payments on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(36,998)</w:t>
            </w: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Partnership did not have any derivatives prior to February 2020.</w:t>
      </w:r>
    </w:p>
    <w:p>
      <w:pPr>
        <w:spacing w:after="0" w:line="27"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3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Partnership’s derivative instruments and investment. The Partnership measured its previously outstanding investment utilizing the fair value option, and as such the investment was classified as Level 1 in the fair value hierarchy, and included in other assets on the consolidated balance sheets at December 31, 2019.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7" w:lineRule="exact"/>
        <w:rPr>
          <w:sz w:val="20"/>
          <w:szCs w:val="20"/>
          <w:color w:val="auto"/>
        </w:rPr>
      </w:pPr>
    </w:p>
    <w:p>
      <w:pPr>
        <w:jc w:val="both"/>
        <w:ind w:firstLine="8"/>
        <w:spacing w:after="0" w:line="255"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in the Partnership’s consolidated balance sheets as of December 31, 2020 and December 31, 2019. The net amounts are classified as current or noncurrent based on their anticipated settlement dates.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2"/>
            <w:vMerge w:val="restart"/>
          </w:tcPr>
          <w:p>
            <w:pPr>
              <w:jc w:val="center"/>
              <w:ind w:left="762"/>
              <w:spacing w:after="0"/>
              <w:rPr>
                <w:sz w:val="20"/>
                <w:szCs w:val="20"/>
                <w:color w:val="auto"/>
              </w:rPr>
            </w:pPr>
            <w:r>
              <w:rPr>
                <w:rFonts w:ascii="Times New Roman" w:cs="Times New Roman" w:eastAsia="Times New Roman" w:hAnsi="Times New Roman"/>
                <w:sz w:val="14"/>
                <w:szCs w:val="14"/>
                <w:b w:val="1"/>
                <w:bCs w:val="1"/>
                <w:color w:val="auto"/>
              </w:rPr>
              <w:t>Total Gross Fair</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60" w:type="dxa"/>
            <w:vAlign w:val="bottom"/>
          </w:tcPr>
          <w:p>
            <w:pPr>
              <w:spacing w:after="0"/>
              <w:rPr>
                <w:sz w:val="11"/>
                <w:szCs w:val="11"/>
                <w:color w:val="auto"/>
              </w:rPr>
            </w:pPr>
          </w:p>
        </w:tc>
        <w:tc>
          <w:tcPr>
            <w:tcW w:w="1400" w:type="dxa"/>
            <w:vAlign w:val="bottom"/>
          </w:tcPr>
          <w:p>
            <w:pPr>
              <w:jc w:val="center"/>
              <w:ind w:right="62"/>
              <w:spacing w:after="0" w:line="134" w:lineRule="exact"/>
              <w:rPr>
                <w:sz w:val="20"/>
                <w:szCs w:val="20"/>
                <w:color w:val="auto"/>
              </w:rPr>
            </w:pPr>
            <w:r>
              <w:rPr>
                <w:rFonts w:ascii="Times New Roman" w:cs="Times New Roman" w:eastAsia="Times New Roman" w:hAnsi="Times New Roman"/>
                <w:sz w:val="14"/>
                <w:szCs w:val="14"/>
                <w:b w:val="1"/>
                <w:bCs w:val="1"/>
                <w:color w:val="auto"/>
              </w:rPr>
              <w:t>Net Fair Value</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Balance</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Balance Sheet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26,593</w:t>
            </w:r>
          </w:p>
        </w:tc>
        <w:tc>
          <w:tcPr>
            <w:tcW w:w="0" w:type="dxa"/>
            <w:vAlign w:val="bottom"/>
          </w:tcPr>
          <w:p>
            <w:pPr>
              <w:spacing w:after="0"/>
              <w:rPr>
                <w:sz w:val="1"/>
                <w:szCs w:val="1"/>
                <w:color w:val="auto"/>
              </w:rPr>
            </w:pPr>
          </w:p>
        </w:tc>
      </w:tr>
      <w:tr>
        <w:trPr>
          <w:trHeight w:val="530"/>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Total Gross Fair</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Offset</w:t>
            </w:r>
          </w:p>
        </w:tc>
        <w:tc>
          <w:tcPr>
            <w:tcW w:w="160" w:type="dxa"/>
            <w:vAlign w:val="bottom"/>
          </w:tcPr>
          <w:p>
            <w:pPr>
              <w:spacing w:after="0"/>
              <w:rPr>
                <w:sz w:val="11"/>
                <w:szCs w:val="11"/>
                <w:color w:val="auto"/>
              </w:rPr>
            </w:pPr>
          </w:p>
        </w:tc>
        <w:tc>
          <w:tcPr>
            <w:tcW w:w="1400" w:type="dxa"/>
            <w:vAlign w:val="bottom"/>
          </w:tcPr>
          <w:p>
            <w:pPr>
              <w:jc w:val="center"/>
              <w:ind w:right="22"/>
              <w:spacing w:after="0" w:line="134" w:lineRule="exact"/>
              <w:rPr>
                <w:sz w:val="20"/>
                <w:szCs w:val="20"/>
                <w:color w:val="auto"/>
              </w:rPr>
            </w:pPr>
            <w:r>
              <w:rPr>
                <w:rFonts w:ascii="Times New Roman" w:cs="Times New Roman" w:eastAsia="Times New Roman" w:hAnsi="Times New Roman"/>
                <w:sz w:val="14"/>
                <w:szCs w:val="14"/>
                <w:b w:val="1"/>
                <w:bCs w:val="1"/>
                <w:color w:val="auto"/>
              </w:rPr>
              <w:t>Net Fair Value</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Balance</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Balance Sheet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19,357</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Partnership did not have any derivatives prior to February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6"/>
                <w:szCs w:val="16"/>
                <w:color w:val="auto"/>
              </w:rPr>
            </w:pPr>
          </w:p>
        </w:tc>
        <w:tc>
          <w:tcPr>
            <w:tcW w:w="3140" w:type="dxa"/>
            <w:vAlign w:val="bottom"/>
            <w:gridSpan w:val="3"/>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44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8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96,500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5.375% senior notes due 2027</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471,644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490,274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December 31, 2020 quoted market price, a Level 1 classification in the fair value hierarchy.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17" w:lineRule="exact"/>
        <w:rPr>
          <w:sz w:val="20"/>
          <w:szCs w:val="20"/>
          <w:color w:val="auto"/>
        </w:rPr>
      </w:pPr>
    </w:p>
    <w:p>
      <w:pPr>
        <w:ind w:left="660" w:right="8860" w:hanging="652"/>
        <w:spacing w:after="0" w:line="565" w:lineRule="auto"/>
        <w:tabs>
          <w:tab w:leader="none" w:pos="417"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Cash Distribution</w:t>
      </w:r>
    </w:p>
    <w:p>
      <w:pPr>
        <w:spacing w:after="0" w:line="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19, 2021, the board of directors of the General Partner approved a cash distribution for the fourth quarter of 2020 of $0.14 per common unit, payable on March 11, 2021, to unitholders of record at the close of business on March 4, 2021.</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SUPPLEMENTAL INFORMATION ON OIL AND NATURAL GAS OPERATIONS (Unaudited)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Partnership’s oil and natural gas reserves are attributable solely to properties within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oil and natural gas costs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Aggregate capitalized costs related to oil and natural gas production activities with applicable accumulated depreciation, depletion and amortization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5"/>
                <w:szCs w:val="15"/>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1,530,636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1,316,692</w:t>
            </w: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Unproved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1,364,906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1,551,767</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2,895,542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2,868,459</w:t>
            </w: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oil and natural gas interests capitalized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2,399,366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2,541,985</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in oil and natural gas activities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incurred in oil and natural gas property acquisition, exploration and development activities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3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Proved properties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497,766</w:t>
            </w:r>
          </w:p>
        </w:tc>
      </w:tr>
      <w:tr>
        <w:trPr>
          <w:trHeight w:val="230"/>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Unproved properties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115,491</w:t>
            </w:r>
          </w:p>
        </w:tc>
      </w:tr>
      <w:tr>
        <w:trPr>
          <w:trHeight w:val="223"/>
        </w:trPr>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613,257</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from Oil and Natural Gas Producing Activities</w:t>
      </w:r>
    </w:p>
    <w:p>
      <w:pPr>
        <w:spacing w:after="0" w:line="256"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auto"/>
          </w:rPr>
          <w:t xml:space="preserve">Substantially all of the Partnership’s producing activities are from oil and natural gas activities and are included in the </w:t>
        </w:r>
        <w:r>
          <w:rPr>
            <w:rFonts w:ascii="Times New Roman" w:cs="Times New Roman" w:eastAsia="Times New Roman" w:hAnsi="Times New Roman"/>
            <w:sz w:val="18"/>
            <w:szCs w:val="18"/>
            <w:u w:val="single" w:color="auto"/>
            <w:color w:val="0000FF"/>
          </w:rPr>
          <w:t>Consolidated Statements of</w:t>
        </w:r>
      </w:hyperlink>
      <w:r>
        <w:rPr>
          <w:rFonts w:ascii="Times New Roman" w:cs="Times New Roman" w:eastAsia="Times New Roman" w:hAnsi="Times New Roman"/>
          <w:sz w:val="18"/>
          <w:szCs w:val="18"/>
          <w:color w:val="auto"/>
        </w:rPr>
        <w:t xml:space="preserve"> </w:t>
      </w:r>
      <w:hyperlink w:anchor="page78">
        <w:r>
          <w:rPr>
            <w:rFonts w:ascii="Times New Roman" w:cs="Times New Roman" w:eastAsia="Times New Roman" w:hAnsi="Times New Roman"/>
            <w:sz w:val="18"/>
            <w:szCs w:val="18"/>
            <w:u w:val="single" w:color="auto"/>
            <w:color w:val="0000FF"/>
          </w:rPr>
          <w:t>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above.</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Reserves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Proved oil and natural gas reserve estimates as of December 31, 2020, 2019 and 2018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estimated proved reserves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4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Oil</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Natural Gas Liquids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Natural Gas</w:t>
            </w:r>
          </w:p>
        </w:tc>
      </w:tr>
      <w:tr>
        <w:trPr>
          <w:trHeight w:val="189"/>
        </w:trPr>
        <w:tc>
          <w:tcPr>
            <w:tcW w:w="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4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(Bbls)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(Bbls)</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(Mcf)</w:t>
            </w:r>
          </w:p>
        </w:tc>
      </w:tr>
      <w:tr>
        <w:trPr>
          <w:trHeight w:val="183"/>
        </w:trPr>
        <w:tc>
          <w:tcPr>
            <w:tcW w:w="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6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61,597</w:t>
            </w: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Purchase of reserves in place</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12,949</w:t>
            </w:r>
          </w:p>
        </w:tc>
        <w:tc>
          <w:tcPr>
            <w:tcW w:w="100" w:type="dxa"/>
            <w:vAlign w:val="bottom"/>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24,423</w:t>
            </w:r>
          </w:p>
        </w:tc>
        <w:tc>
          <w:tcPr>
            <w:tcW w:w="60" w:type="dxa"/>
            <w:vAlign w:val="bottom"/>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95,774</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Divestitures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119,450</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49,681</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31, 2019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80,737</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60" w:type="dxa"/>
            <w:vAlign w:val="bottom"/>
          </w:tcPr>
          <w:p>
            <w:pPr>
              <w:spacing w:after="0"/>
              <w:rPr>
                <w:sz w:val="19"/>
                <w:szCs w:val="19"/>
                <w:color w:val="auto"/>
              </w:rPr>
            </w:pPr>
          </w:p>
        </w:tc>
      </w:tr>
      <w:tr>
        <w:trPr>
          <w:trHeight w:val="270"/>
        </w:trPr>
        <w:tc>
          <w:tcPr>
            <w:tcW w:w="6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31, 2018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60" w:type="dxa"/>
            <w:vAlign w:val="bottom"/>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December 31, 2020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25,833</w:t>
            </w:r>
          </w:p>
        </w:tc>
        <w:tc>
          <w:tcPr>
            <w:tcW w:w="60" w:type="dxa"/>
            <w:vAlign w:val="bottom"/>
          </w:tcPr>
          <w:p>
            <w:pPr>
              <w:spacing w:after="0"/>
              <w:rPr>
                <w:sz w:val="20"/>
                <w:szCs w:val="20"/>
                <w:color w:val="auto"/>
              </w:rPr>
            </w:pPr>
          </w:p>
        </w:tc>
      </w:tr>
      <w:tr>
        <w:trPr>
          <w:trHeight w:val="846"/>
        </w:trPr>
        <w:tc>
          <w:tcPr>
            <w:tcW w:w="60" w:type="dxa"/>
            <w:vAlign w:val="bottom"/>
          </w:tcPr>
          <w:p>
            <w:pPr>
              <w:spacing w:after="0"/>
              <w:rPr>
                <w:sz w:val="24"/>
                <w:szCs w:val="24"/>
                <w:color w:val="auto"/>
              </w:rPr>
            </w:pPr>
          </w:p>
        </w:tc>
        <w:tc>
          <w:tcPr>
            <w:tcW w:w="70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F-25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the Partnership’s extensions and discoveries of 23,836 MBOE resulted primarily from the drilling of 652 new wells and from 299 new proved undeveloped locations added. The Partnership’s negative revisions of previous estimated quantities of 4,082 MBOE were due to negative price revisions and PUD downgrades. 114 MBOE of PUDs were downgraded from non-operated properties and 804 MBOE of PUDs were downgraded from Diamondback-operated properties, with the Diamondback-operated downgrades due to changes in the development plan and optimization of the inventory. The purchase of reserves in place of 689 MBOE was due to multiple acquisitions of certain mineral and royalty interests.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the Partnership’s extensions and discoveries of 17,091 MBOE resulted primarily from the drilling of 829 new wells and from 97 new proved undeveloped locations added. The Partnership’s negative revisions of previous estimated quantities of 5,337 MBOE were due to proved undeveloped reserves downgrades and realized prices, which were partially offset by extensions and performance. The purchase of reserves in place of 21,914 MBOE were due to multiple acquisitions, primarily the Drop-Down transaction from Diamondback and the acquisition of certain mineral and royalty interests from Santa Elena Minerals, LP.</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the Partnership’s extensions and discoveries of 19,549 MBOE resulted primarily from the drilling of 133 new wells and from 138 new proved undeveloped locations added. The Partnership’s positive revisions of previous estimated quantities of 2,342 MBOE were primarily due to changes in type curves and realized prices. The purchase of reserves in place of 9,305 MBOE were due to multiple acquisitions with the largest being located in Pecos, Reeves and Howard counties within the Permian Basin as well as an acquisition in the Eagle Ford Shale.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are based on the unweighted average, first-day-of-the-month price. The projections should not be viewed as realistic estimates of future cash flows, nor should the “standardized measure” be interpreted as representing current value to the Partnership.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standardized measure of discounted future net cash flows attributable to the Partnership’s proved oil and natural gas reserves as of December 31, 2020, 2019 and 2018:</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8"/>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cash inflows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2,962,386</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production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(273,643)</w:t>
            </w: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2,488,664</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discount to reflect timing of cash flows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(1,349,282)</w:t>
            </w: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1,139,382</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 average first-day-of–the-month prices for oil, natural gas and natural gas liquids utilized in the computation of future cash inflows: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(per Bbl)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(per Mcf)</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(per Bbl)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1" w:name="page102"/>
    <w:bookmarkEnd w:id="10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changes in the standardized measure of discounted future net cash flows attributable to the Partnership’s proved reserves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Standardized measure of discounted future net cash flows at the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625,348</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minerals in place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Divestiture of reserves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of oil and natural gas, net of production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(274,735)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(266,055)</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Extensions and discoveries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423,540</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changes in prices and production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(301,182)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Revisions of previous quantity estimates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(114,409)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52,487</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changes in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of discount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Net changes in timing of production and 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Standardized measure of discounted future net cash flows at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1,139,382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7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gridSpan w:val="2"/>
          </w:tcPr>
          <w:p>
            <w:pPr>
              <w:ind w:left="70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216"/>
        </w:trPr>
        <w:tc>
          <w:tcPr>
            <w:tcW w:w="3300" w:type="dxa"/>
            <w:vAlign w:val="bottom"/>
          </w:tcPr>
          <w:p>
            <w:pPr>
              <w:spacing w:after="0"/>
              <w:rPr>
                <w:sz w:val="18"/>
                <w:szCs w:val="18"/>
                <w:color w:val="auto"/>
              </w:rPr>
            </w:pPr>
          </w:p>
        </w:tc>
        <w:tc>
          <w:tcPr>
            <w:tcW w:w="79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Viper Energy Partners LP</w:t>
            </w:r>
          </w:p>
        </w:tc>
      </w:tr>
      <w:tr>
        <w:trPr>
          <w:trHeight w:val="238"/>
        </w:trPr>
        <w:tc>
          <w:tcPr>
            <w:tcW w:w="3300" w:type="dxa"/>
            <w:vAlign w:val="bottom"/>
          </w:tcPr>
          <w:p>
            <w:pPr>
              <w:spacing w:after="0"/>
              <w:rPr>
                <w:sz w:val="20"/>
                <w:szCs w:val="20"/>
                <w:color w:val="auto"/>
              </w:rPr>
            </w:pPr>
          </w:p>
        </w:tc>
        <w:tc>
          <w:tcPr>
            <w:tcW w:w="79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122"/>
        </w:trPr>
        <w:tc>
          <w:tcPr>
            <w:tcW w:w="3300" w:type="dxa"/>
            <w:vAlign w:val="bottom"/>
          </w:tcPr>
          <w:p>
            <w:pPr>
              <w:spacing w:after="0"/>
              <w:rPr>
                <w:sz w:val="10"/>
                <w:szCs w:val="10"/>
                <w:color w:val="auto"/>
              </w:rPr>
            </w:pPr>
          </w:p>
        </w:tc>
        <w:tc>
          <w:tcPr>
            <w:tcW w:w="7940" w:type="dxa"/>
            <w:vAlign w:val="bottom"/>
            <w:gridSpan w:val="2"/>
          </w:tcPr>
          <w:p>
            <w:pPr>
              <w:spacing w:after="0"/>
              <w:rPr>
                <w:sz w:val="10"/>
                <w:szCs w:val="10"/>
                <w:color w:val="auto"/>
              </w:rPr>
            </w:pPr>
          </w:p>
        </w:tc>
      </w:tr>
      <w:tr>
        <w:trPr>
          <w:trHeight w:val="223"/>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900" w:type="dxa"/>
            <w:vAlign w:val="bottom"/>
            <w:tcBorders>
              <w:top w:val="single" w:sz="8" w:color="auto"/>
              <w:bottom w:val="single" w:sz="8" w:color="auto"/>
            </w:tcBorders>
          </w:tcPr>
          <w:p>
            <w:pPr>
              <w:jc w:val="center"/>
              <w:ind w:left="517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40" w:type="dxa"/>
            <w:vAlign w:val="bottom"/>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Viper Energy Partners LLC</w:t>
            </w:r>
          </w:p>
        </w:tc>
        <w:tc>
          <w:tcPr>
            <w:tcW w:w="7900" w:type="dxa"/>
            <w:vAlign w:val="bottom"/>
            <w:shd w:val="clear" w:color="auto" w:fill="CCEEFF"/>
          </w:tcPr>
          <w:p>
            <w:pPr>
              <w:jc w:val="center"/>
              <w:ind w:left="5170"/>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issued our reports dated February 25, 2021, with respect to the consolidated financial statements and internal control over financial reporting included in the Annual Report of Viper Energy Partners LP on Form 10-K for the year ended December 31, 2020. We consent to the incorporation by reference of said reports in the Registration Statements of Viper Energy Partners LP on Form S-3 ASR (File No. 333-226411, effective July 30, 2018) and Form S-8 (File No. 333-196971, effective June 23, 2014).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2021</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RYDER SCOTT COMPANY, L.P.</w:t>
      </w:r>
    </w:p>
    <w:p>
      <w:pPr>
        <w:spacing w:after="0" w:line="2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issued our report dated January 7, 2021 on estimates of proved reserves, future production and income attributable to certain royalty interests of Viper Energy Partners LP (“Viper”), a subsidiary of Diamondback Energy, Inc., as of December 31, 2020. As independent oil and gas consultants, we hereby consent to the inclusion of our report and the information contained therein and information from our prior reserve reports referenced in this Annual Report on Form 10-K of Viper (this “Annual Report”) and to all references to our firm in this Annual Report. We hereby also consent to the incorporation by reference of such reports and the information contained therein in the Registration Statements of Viper on Form S-8 (File No. 333-196971, effective June 23, 2014) and Form S-3 ASR (File No. 333-226411, effective July 30, 2018).</w:t>
      </w:r>
    </w:p>
    <w:p>
      <w:pPr>
        <w:spacing w:after="0" w:line="10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003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RYDER SCOTT COMPANY, L.P.</w:t>
      </w:r>
    </w:p>
    <w:p>
      <w:pPr>
        <w:spacing w:after="0" w:line="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TBPE Firm Registration No. F-1580</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94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Viper Energy Partners LP (the “registrant”).</w:t>
      </w:r>
    </w:p>
    <w:p>
      <w:pPr>
        <w:spacing w:after="0" w:line="9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bl>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Viper Energy Partners LP (the “registrant”).</w:t>
      </w:r>
    </w:p>
    <w:p>
      <w:pPr>
        <w:spacing w:after="0" w:line="9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bl>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r>
        <w:trPr>
          <w:trHeight w:val="48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29"/>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bl>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7"/>
              </w:rPr>
              <w:t>/s/ Val Rick Robinson</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8"/>
              </w:rPr>
              <w:t>/s/ Syed R. Rizvi</w:t>
            </w:r>
          </w:p>
        </w:tc>
      </w:tr>
      <w:tr>
        <w:trPr>
          <w:trHeight w:val="220"/>
        </w:trPr>
        <w:tc>
          <w:tcPr>
            <w:tcW w:w="5500" w:type="dxa"/>
            <w:vAlign w:val="bottom"/>
            <w:tcBorders>
              <w:top w:val="single" w:sz="8" w:color="auto"/>
            </w:tcBorders>
          </w:tcPr>
          <w:p>
            <w:pPr>
              <w:jc w:val="center"/>
              <w:spacing w:after="0" w:line="220" w:lineRule="exact"/>
              <w:rPr>
                <w:sz w:val="20"/>
                <w:szCs w:val="20"/>
                <w:color w:val="auto"/>
              </w:rPr>
            </w:pPr>
            <w:r>
              <w:rPr>
                <w:rFonts w:ascii="Arial" w:cs="Arial" w:eastAsia="Arial" w:hAnsi="Arial"/>
                <w:sz w:val="20"/>
                <w:szCs w:val="20"/>
                <w:color w:val="auto"/>
                <w:w w:val="97"/>
              </w:rPr>
              <w:t>Val Rick Robinson, P.E.</w:t>
            </w:r>
          </w:p>
        </w:tc>
        <w:tc>
          <w:tcPr>
            <w:tcW w:w="2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1421"/>
              <w:spacing w:after="0" w:line="220" w:lineRule="exact"/>
              <w:rPr>
                <w:sz w:val="20"/>
                <w:szCs w:val="20"/>
                <w:color w:val="auto"/>
              </w:rPr>
            </w:pPr>
            <w:r>
              <w:rPr>
                <w:rFonts w:ascii="Arial" w:cs="Arial" w:eastAsia="Arial" w:hAnsi="Arial"/>
                <w:sz w:val="20"/>
                <w:szCs w:val="20"/>
                <w:color w:val="auto"/>
                <w:w w:val="99"/>
              </w:rPr>
              <w:t>Syed R. Rizvi</w:t>
            </w:r>
          </w:p>
        </w:tc>
      </w:tr>
      <w:tr>
        <w:trPr>
          <w:trHeight w:val="243"/>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9"/>
              </w:rPr>
              <w:t>TBPE License No. 105137</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8"/>
              </w:rPr>
              <w:t>Senior Petroleum Engineer</w:t>
            </w:r>
          </w:p>
        </w:tc>
      </w:tr>
      <w:tr>
        <w:trPr>
          <w:trHeight w:val="269"/>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8"/>
              </w:rPr>
              <w:t>Managing Senior Vice President</w:t>
            </w:r>
          </w:p>
        </w:tc>
        <w:tc>
          <w:tcPr>
            <w:tcW w:w="4000" w:type="dxa"/>
            <w:vAlign w:val="bottom"/>
          </w:tcPr>
          <w:p>
            <w:pPr>
              <w:spacing w:after="0"/>
              <w:rPr>
                <w:sz w:val="23"/>
                <w:szCs w:val="23"/>
                <w:color w:val="auto"/>
              </w:rPr>
            </w:pPr>
          </w:p>
        </w:tc>
      </w:tr>
      <w:tr>
        <w:trPr>
          <w:trHeight w:val="269"/>
        </w:trPr>
        <w:tc>
          <w:tcPr>
            <w:tcW w:w="7240" w:type="dxa"/>
            <w:vAlign w:val="bottom"/>
            <w:gridSpan w:val="3"/>
          </w:tcPr>
          <w:p>
            <w:pPr>
              <w:spacing w:after="0"/>
              <w:rPr>
                <w:sz w:val="20"/>
                <w:szCs w:val="20"/>
                <w:color w:val="auto"/>
              </w:rPr>
            </w:pPr>
            <w:r>
              <w:rPr>
                <w:rFonts w:ascii="Arial" w:cs="Arial" w:eastAsia="Arial" w:hAnsi="Arial"/>
                <w:sz w:val="20"/>
                <w:szCs w:val="20"/>
                <w:b w:val="1"/>
                <w:bCs w:val="1"/>
                <w:color w:val="auto"/>
              </w:rPr>
              <w:t>[SEAL]</w:t>
            </w:r>
          </w:p>
        </w:tc>
        <w:tc>
          <w:tcPr>
            <w:tcW w:w="4000" w:type="dxa"/>
            <w:vAlign w:val="bottom"/>
          </w:tcPr>
          <w:p>
            <w:pPr>
              <w:spacing w:after="0"/>
              <w:rPr>
                <w:sz w:val="23"/>
                <w:szCs w:val="23"/>
                <w:color w:val="auto"/>
              </w:rPr>
            </w:pPr>
          </w:p>
        </w:tc>
      </w:tr>
      <w:tr>
        <w:trPr>
          <w:trHeight w:val="231"/>
        </w:trPr>
        <w:tc>
          <w:tcPr>
            <w:tcW w:w="7240" w:type="dxa"/>
            <w:vAlign w:val="bottom"/>
            <w:gridSpan w:val="3"/>
          </w:tcPr>
          <w:p>
            <w:pPr>
              <w:jc w:val="center"/>
              <w:ind w:left="3901"/>
              <w:spacing w:after="0"/>
              <w:rPr>
                <w:sz w:val="20"/>
                <w:szCs w:val="20"/>
                <w:color w:val="auto"/>
              </w:rPr>
            </w:pPr>
            <w:r>
              <w:rPr>
                <w:rFonts w:ascii="Arial" w:cs="Arial" w:eastAsia="Arial" w:hAnsi="Arial"/>
                <w:sz w:val="20"/>
                <w:szCs w:val="20"/>
                <w:b w:val="1"/>
                <w:bCs w:val="1"/>
                <w:color w:val="auto"/>
                <w:w w:val="96"/>
              </w:rPr>
              <w:t>RYDER SCOTT COMPANY, L.P.</w:t>
            </w:r>
          </w:p>
        </w:tc>
        <w:tc>
          <w:tcPr>
            <w:tcW w:w="4000" w:type="dxa"/>
            <w:vAlign w:val="bottom"/>
          </w:tcPr>
          <w:p>
            <w:pPr>
              <w:spacing w:after="0"/>
              <w:rPr>
                <w:sz w:val="20"/>
                <w:szCs w:val="20"/>
                <w:color w:val="auto"/>
              </w:rPr>
            </w:pPr>
          </w:p>
        </w:tc>
      </w:tr>
      <w:tr>
        <w:trPr>
          <w:trHeight w:val="269"/>
        </w:trPr>
        <w:tc>
          <w:tcPr>
            <w:tcW w:w="7240" w:type="dxa"/>
            <w:vAlign w:val="bottom"/>
            <w:gridSpan w:val="3"/>
          </w:tcPr>
          <w:p>
            <w:pPr>
              <w:jc w:val="center"/>
              <w:ind w:left="3901"/>
              <w:spacing w:after="0"/>
              <w:rPr>
                <w:sz w:val="20"/>
                <w:szCs w:val="20"/>
                <w:color w:val="auto"/>
              </w:rPr>
            </w:pPr>
            <w:r>
              <w:rPr>
                <w:rFonts w:ascii="Arial" w:cs="Arial" w:eastAsia="Arial" w:hAnsi="Arial"/>
                <w:sz w:val="20"/>
                <w:szCs w:val="20"/>
                <w:color w:val="auto"/>
                <w:w w:val="98"/>
              </w:rPr>
              <w:t>TBPE Firm Registration No. F-1580</w:t>
            </w:r>
          </w:p>
        </w:tc>
        <w:tc>
          <w:tcPr>
            <w:tcW w:w="4000" w:type="dxa"/>
            <w:vAlign w:val="bottom"/>
          </w:tcPr>
          <w:p>
            <w:pPr>
              <w:spacing w:after="0"/>
              <w:rPr>
                <w:sz w:val="23"/>
                <w:szCs w:val="23"/>
                <w:color w:val="auto"/>
              </w:rPr>
            </w:pPr>
          </w:p>
        </w:tc>
      </w:tr>
    </w:tbl>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887"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7,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2020.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7, 2021 and presented herein, was prepared for public disclosure by Viper in filings made with the SEC in accordance with the disclosure requirements set forth in the SEC regulations.</w:t>
      </w:r>
    </w:p>
    <w:p>
      <w:pPr>
        <w:spacing w:after="0" w:line="20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2020.</w:t>
      </w:r>
    </w:p>
    <w:p>
      <w:pPr>
        <w:spacing w:after="0" w:line="16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The estimated reserves and future net income amounts presented in this report, as of December 31, 2020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80" w:right="2340" w:hanging="735"/>
        <w:spacing w:after="0" w:line="299" w:lineRule="auto"/>
        <w:rPr>
          <w:sz w:val="20"/>
          <w:szCs w:val="20"/>
          <w:color w:val="auto"/>
        </w:rPr>
      </w:pPr>
      <w:r>
        <w:rPr>
          <w:rFonts w:ascii="Times New Roman" w:cs="Times New Roman" w:eastAsia="Times New Roman" w:hAnsi="Times New Roman"/>
          <w:sz w:val="13"/>
          <w:szCs w:val="13"/>
          <w:color w:val="auto"/>
        </w:rPr>
        <w:t>SUITE 800, 350 7TH AVENUE, S.W.</w:t>
      </w:r>
      <w:r>
        <w:rPr>
          <w:sz w:val="20"/>
          <w:szCs w:val="20"/>
          <w:color w:val="auto"/>
        </w:rPr>
        <w:t xml:space="preserve"> </w:t>
      </w:r>
      <w:r>
        <w:rPr>
          <w:rFonts w:ascii="Times New Roman" w:cs="Times New Roman" w:eastAsia="Times New Roman" w:hAnsi="Times New Roman"/>
          <w:sz w:val="13"/>
          <w:szCs w:val="13"/>
          <w:color w:val="auto"/>
        </w:rPr>
        <w:t>CALGARY, ALBERTA T2P 3N9 TEL (403) 262-2799 FAX (403) 262-2790 633 17TH STREET, SUITE 1700 DENVER, COLORADO 80202 TEL (303) 339-8110</w:t>
      </w:r>
    </w:p>
    <w:p>
      <w:pPr>
        <w:sectPr>
          <w:pgSz w:w="11900" w:h="16838" w:orient="portrait"/>
          <w:cols w:equalWidth="0" w:num="1">
            <w:col w:w="11240"/>
          </w:cols>
          <w:pgMar w:left="320" w:top="111"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b w:val="1"/>
          <w:bCs w:val="1"/>
          <w:color w:val="auto"/>
        </w:rPr>
        <w:t>Viper Energy Partners, LP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19685</wp:posOffset>
            </wp:positionV>
            <wp:extent cx="45002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Proved</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Developed</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9"/>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20"/>
                <w:szCs w:val="20"/>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Producing</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Undeveloped</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40,220</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17,310</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57,530</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16,724</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5,229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80" w:type="dxa"/>
            <w:vAlign w:val="bottom"/>
          </w:tcPr>
          <w:p>
            <w:pPr>
              <w:jc w:val="right"/>
              <w:spacing w:after="0"/>
              <w:rPr>
                <w:sz w:val="20"/>
                <w:szCs w:val="20"/>
                <w:color w:val="auto"/>
              </w:rPr>
            </w:pPr>
            <w:r>
              <w:rPr>
                <w:rFonts w:ascii="Arial" w:cs="Arial" w:eastAsia="Arial" w:hAnsi="Arial"/>
                <w:sz w:val="18"/>
                <w:szCs w:val="18"/>
                <w:color w:val="auto"/>
              </w:rPr>
              <w:t>93,617</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25,833</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119,450</w:t>
            </w: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80" w:type="dxa"/>
            <w:vAlign w:val="bottom"/>
          </w:tcPr>
          <w:p>
            <w:pPr>
              <w:jc w:val="right"/>
              <w:spacing w:after="0"/>
              <w:rPr>
                <w:sz w:val="20"/>
                <w:szCs w:val="20"/>
                <w:color w:val="auto"/>
              </w:rPr>
            </w:pPr>
            <w:r>
              <w:rPr>
                <w:rFonts w:ascii="Arial" w:cs="Arial" w:eastAsia="Arial" w:hAnsi="Arial"/>
                <w:sz w:val="18"/>
                <w:szCs w:val="18"/>
                <w:color w:val="auto"/>
              </w:rPr>
              <w:t>72,547</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26,845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99,392</w:t>
            </w:r>
          </w:p>
        </w:tc>
        <w:tc>
          <w:tcPr>
            <w:tcW w:w="0" w:type="dxa"/>
            <w:vAlign w:val="bottom"/>
          </w:tcPr>
          <w:p>
            <w:pPr>
              <w:spacing w:after="0"/>
              <w:rPr>
                <w:sz w:val="1"/>
                <w:szCs w:val="1"/>
                <w:color w:val="auto"/>
              </w:rPr>
            </w:pPr>
          </w:p>
        </w:tc>
      </w:tr>
      <w:tr>
        <w:trPr>
          <w:trHeight w:val="441"/>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80" w:type="dxa"/>
            <w:vAlign w:val="bottom"/>
          </w:tcPr>
          <w:p>
            <w:pPr>
              <w:jc w:val="right"/>
              <w:spacing w:after="0"/>
              <w:rPr>
                <w:sz w:val="20"/>
                <w:szCs w:val="20"/>
                <w:color w:val="auto"/>
              </w:rPr>
            </w:pPr>
            <w:r>
              <w:rPr>
                <w:rFonts w:ascii="Arial" w:cs="Arial" w:eastAsia="Arial" w:hAnsi="Arial"/>
                <w:sz w:val="18"/>
                <w:szCs w:val="18"/>
                <w:color w:val="auto"/>
              </w:rPr>
              <w:t>$1,655,550</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$681,227</w:t>
            </w:r>
          </w:p>
        </w:tc>
        <w:tc>
          <w:tcPr>
            <w:tcW w:w="300" w:type="dxa"/>
            <w:vAlign w:val="bottom"/>
          </w:tcPr>
          <w:p>
            <w:pPr>
              <w:spacing w:after="0"/>
              <w:rPr>
                <w:sz w:val="20"/>
                <w:szCs w:val="20"/>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$2,336,777</w:t>
            </w:r>
          </w:p>
        </w:tc>
        <w:tc>
          <w:tcPr>
            <w:tcW w:w="0" w:type="dxa"/>
            <w:vAlign w:val="bottom"/>
          </w:tcPr>
          <w:p>
            <w:pPr>
              <w:spacing w:after="0"/>
              <w:rPr>
                <w:sz w:val="1"/>
                <w:szCs w:val="1"/>
                <w:color w:val="auto"/>
              </w:rPr>
            </w:pPr>
          </w:p>
        </w:tc>
      </w:tr>
      <w:tr>
        <w:trPr>
          <w:trHeight w:val="239"/>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40,396</w:t>
            </w: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57,792</w:t>
            </w:r>
          </w:p>
        </w:tc>
        <w:tc>
          <w:tcPr>
            <w:tcW w:w="0" w:type="dxa"/>
            <w:vAlign w:val="bottom"/>
          </w:tcPr>
          <w:p>
            <w:pPr>
              <w:spacing w:after="0"/>
              <w:rPr>
                <w:sz w:val="1"/>
                <w:szCs w:val="1"/>
                <w:color w:val="auto"/>
              </w:rPr>
            </w:pPr>
          </w:p>
        </w:tc>
      </w:tr>
      <w:tr>
        <w:trPr>
          <w:trHeight w:val="236"/>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80" w:type="dxa"/>
            <w:vAlign w:val="bottom"/>
          </w:tcPr>
          <w:p>
            <w:pPr>
              <w:jc w:val="right"/>
              <w:spacing w:after="0"/>
              <w:rPr>
                <w:sz w:val="20"/>
                <w:szCs w:val="20"/>
                <w:color w:val="auto"/>
              </w:rPr>
            </w:pPr>
            <w:r>
              <w:rPr>
                <w:rFonts w:ascii="Arial" w:cs="Arial" w:eastAsia="Arial" w:hAnsi="Arial"/>
                <w:sz w:val="18"/>
                <w:szCs w:val="18"/>
                <w:color w:val="auto"/>
              </w:rPr>
              <w:t>$1,615,154</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$663,831</w:t>
            </w:r>
          </w:p>
        </w:tc>
        <w:tc>
          <w:tcPr>
            <w:tcW w:w="300" w:type="dxa"/>
            <w:vAlign w:val="bottom"/>
          </w:tcPr>
          <w:p>
            <w:pPr>
              <w:spacing w:after="0"/>
              <w:rPr>
                <w:sz w:val="20"/>
                <w:szCs w:val="20"/>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$2,278,985</w:t>
            </w:r>
          </w:p>
        </w:tc>
        <w:tc>
          <w:tcPr>
            <w:tcW w:w="0" w:type="dxa"/>
            <w:vAlign w:val="bottom"/>
          </w:tcPr>
          <w:p>
            <w:pPr>
              <w:spacing w:after="0"/>
              <w:rPr>
                <w:sz w:val="1"/>
                <w:szCs w:val="1"/>
                <w:color w:val="auto"/>
              </w:rPr>
            </w:pPr>
          </w:p>
        </w:tc>
      </w:tr>
      <w:tr>
        <w:trPr>
          <w:trHeight w:val="477"/>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80" w:type="dxa"/>
            <w:vAlign w:val="bottom"/>
          </w:tcPr>
          <w:p>
            <w:pPr>
              <w:jc w:val="right"/>
              <w:spacing w:after="0"/>
              <w:rPr>
                <w:sz w:val="20"/>
                <w:szCs w:val="20"/>
                <w:color w:val="auto"/>
              </w:rPr>
            </w:pPr>
            <w:r>
              <w:rPr>
                <w:rFonts w:ascii="Arial" w:cs="Arial" w:eastAsia="Arial" w:hAnsi="Arial"/>
                <w:sz w:val="18"/>
                <w:szCs w:val="18"/>
                <w:color w:val="auto"/>
              </w:rPr>
              <w:t>$735,245</w:t>
            </w:r>
          </w:p>
        </w:tc>
        <w:tc>
          <w:tcPr>
            <w:tcW w:w="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$299,215</w:t>
            </w:r>
          </w:p>
        </w:tc>
        <w:tc>
          <w:tcPr>
            <w:tcW w:w="300" w:type="dxa"/>
            <w:vAlign w:val="bottom"/>
          </w:tcPr>
          <w:p>
            <w:pPr>
              <w:spacing w:after="0"/>
              <w:rPr>
                <w:sz w:val="24"/>
                <w:szCs w:val="24"/>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$1,034,460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Viper.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19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Liquid hydrocarbon reserves account for approximately 98 percent and gas reserves account for the remaining 2 percent of total future gross revenue from proved reserves.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9"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32"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1660" w:type="dxa"/>
            <w:vAlign w:val="bottom"/>
          </w:tcPr>
          <w:p>
            <w:pPr>
              <w:spacing w:after="0"/>
              <w:rPr>
                <w:sz w:val="21"/>
                <w:szCs w:val="21"/>
                <w:color w:val="auto"/>
              </w:rPr>
            </w:pP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w w:val="99"/>
              </w:rPr>
              <w:t>Discounted Future Net Income ($M)</w:t>
            </w:r>
          </w:p>
        </w:tc>
        <w:tc>
          <w:tcPr>
            <w:tcW w:w="0" w:type="dxa"/>
            <w:vAlign w:val="bottom"/>
          </w:tcPr>
          <w:p>
            <w:pPr>
              <w:spacing w:after="0"/>
              <w:rPr>
                <w:sz w:val="1"/>
                <w:szCs w:val="1"/>
                <w:color w:val="auto"/>
              </w:rPr>
            </w:pPr>
          </w:p>
        </w:tc>
      </w:tr>
      <w:tr>
        <w:trPr>
          <w:trHeight w:val="249"/>
        </w:trPr>
        <w:tc>
          <w:tcPr>
            <w:tcW w:w="1660" w:type="dxa"/>
            <w:vAlign w:val="bottom"/>
            <w:vMerge w:val="restart"/>
          </w:tcPr>
          <w:p>
            <w:pPr>
              <w:jc w:val="center"/>
              <w:spacing w:after="0"/>
              <w:rPr>
                <w:sz w:val="20"/>
                <w:szCs w:val="20"/>
                <w:color w:val="auto"/>
              </w:rPr>
            </w:pPr>
            <w:r>
              <w:rPr>
                <w:rFonts w:ascii="Arial" w:cs="Arial" w:eastAsia="Arial" w:hAnsi="Arial"/>
                <w:sz w:val="19"/>
                <w:szCs w:val="19"/>
                <w:color w:val="auto"/>
              </w:rPr>
              <w:t>Discount Rate</w:t>
            </w: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rPr>
              <w:t>As of December 31, 2020</w:t>
            </w:r>
          </w:p>
        </w:tc>
        <w:tc>
          <w:tcPr>
            <w:tcW w:w="0" w:type="dxa"/>
            <w:vAlign w:val="bottom"/>
          </w:tcPr>
          <w:p>
            <w:pPr>
              <w:spacing w:after="0"/>
              <w:rPr>
                <w:sz w:val="1"/>
                <w:szCs w:val="1"/>
                <w:color w:val="auto"/>
              </w:rPr>
            </w:pPr>
          </w:p>
        </w:tc>
      </w:tr>
      <w:tr>
        <w:trPr>
          <w:trHeight w:val="230"/>
        </w:trPr>
        <w:tc>
          <w:tcPr>
            <w:tcW w:w="166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246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c>
          <w:tcPr>
            <w:tcW w:w="0" w:type="dxa"/>
            <w:vAlign w:val="bottom"/>
          </w:tcPr>
          <w:p>
            <w:pPr>
              <w:spacing w:after="0"/>
              <w:rPr>
                <w:sz w:val="1"/>
                <w:szCs w:val="1"/>
                <w:color w:val="auto"/>
              </w:rPr>
            </w:pPr>
          </w:p>
        </w:tc>
      </w:tr>
      <w:tr>
        <w:trPr>
          <w:trHeight w:val="249"/>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166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0"/>
        </w:trPr>
        <w:tc>
          <w:tcPr>
            <w:tcW w:w="1660" w:type="dxa"/>
            <w:vAlign w:val="bottom"/>
          </w:tcPr>
          <w:p>
            <w:pPr>
              <w:jc w:val="center"/>
              <w:spacing w:after="0"/>
              <w:rPr>
                <w:sz w:val="20"/>
                <w:szCs w:val="20"/>
                <w:color w:val="auto"/>
              </w:rPr>
            </w:pPr>
            <w:r>
              <w:rPr>
                <w:rFonts w:ascii="Arial" w:cs="Arial" w:eastAsia="Arial" w:hAnsi="Arial"/>
                <w:sz w:val="19"/>
                <w:szCs w:val="19"/>
                <w:color w:val="auto"/>
              </w:rPr>
              <w:t>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$1,400,650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$834,772</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$707,659</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6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$552,728</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18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jc w:val="both"/>
        <w:ind w:firstLine="648"/>
        <w:spacing w:after="0" w:line="241"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Viper’s request, this report addresses only the proved reserves attributable to the properties evaluated herein.</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0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likely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2020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1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Diamondback furnished us with the above mentioned average prices in effect on December 31, 2020.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 included in the report.</w:t>
      </w:r>
    </w:p>
    <w:p>
      <w:pPr>
        <w:spacing w:after="0" w:line="322" w:lineRule="exact"/>
        <w:rPr>
          <w:sz w:val="20"/>
          <w:szCs w:val="20"/>
          <w:color w:val="auto"/>
        </w:rPr>
      </w:pPr>
    </w:p>
    <w:tbl>
      <w:tblPr>
        <w:tblLayout w:type="fixed"/>
        <w:tblInd w:w="110" w:type="dxa"/>
        <w:tblCellMar>
          <w:top w:w="0" w:type="dxa"/>
          <w:left w:w="0" w:type="dxa"/>
          <w:bottom w:w="0" w:type="dxa"/>
          <w:right w:w="0" w:type="dxa"/>
        </w:tblCellMar>
      </w:tblPr>
      <w:tr>
        <w:trPr>
          <w:trHeight w:val="203"/>
        </w:trPr>
        <w:tc>
          <w:tcPr>
            <w:tcW w:w="2720" w:type="dxa"/>
            <w:vAlign w:val="bottom"/>
            <w:tcBorders>
              <w:top w:val="single" w:sz="8" w:color="00000A"/>
              <w:left w:val="single" w:sz="8" w:color="00000A"/>
              <w:right w:val="single" w:sz="8" w:color="00000A"/>
            </w:tcBorders>
          </w:tcPr>
          <w:p>
            <w:pPr>
              <w:spacing w:after="0"/>
              <w:rPr>
                <w:sz w:val="17"/>
                <w:szCs w:val="17"/>
                <w:color w:val="auto"/>
              </w:rPr>
            </w:pPr>
          </w:p>
        </w:tc>
        <w:tc>
          <w:tcPr>
            <w:tcW w:w="1900" w:type="dxa"/>
            <w:vAlign w:val="bottom"/>
            <w:tcBorders>
              <w:top w:val="single" w:sz="8" w:color="00000A"/>
              <w:right w:val="single" w:sz="8" w:color="00000A"/>
            </w:tcBorders>
          </w:tcPr>
          <w:p>
            <w:pPr>
              <w:spacing w:after="0"/>
              <w:rPr>
                <w:sz w:val="17"/>
                <w:szCs w:val="17"/>
                <w:color w:val="auto"/>
              </w:rPr>
            </w:pPr>
          </w:p>
        </w:tc>
        <w:tc>
          <w:tcPr>
            <w:tcW w:w="25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rPr>
              <w:t>Price</w:t>
            </w:r>
          </w:p>
        </w:tc>
        <w:tc>
          <w:tcPr>
            <w:tcW w:w="2040" w:type="dxa"/>
            <w:vAlign w:val="bottom"/>
            <w:tcBorders>
              <w:top w:val="single" w:sz="8" w:color="00000A"/>
              <w:right w:val="single" w:sz="8" w:color="00000A"/>
            </w:tcBorders>
          </w:tcPr>
          <w:p>
            <w:pPr>
              <w:jc w:val="center"/>
              <w:spacing w:after="0" w:line="203" w:lineRule="exact"/>
              <w:rPr>
                <w:sz w:val="20"/>
                <w:szCs w:val="20"/>
                <w:color w:val="auto"/>
              </w:rPr>
            </w:pPr>
            <w:r>
              <w:rPr>
                <w:rFonts w:ascii="Arial" w:cs="Arial" w:eastAsia="Arial" w:hAnsi="Arial"/>
                <w:sz w:val="20"/>
                <w:szCs w:val="20"/>
                <w:color w:val="auto"/>
                <w:w w:val="96"/>
              </w:rPr>
              <w:t>Average</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189"/>
        </w:trPr>
        <w:tc>
          <w:tcPr>
            <w:tcW w:w="27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7"/>
              </w:rPr>
              <w:t>Geographic Area</w:t>
            </w:r>
          </w:p>
        </w:tc>
        <w:tc>
          <w:tcPr>
            <w:tcW w:w="1900" w:type="dxa"/>
            <w:vAlign w:val="bottom"/>
            <w:tcBorders>
              <w:right w:val="single" w:sz="8" w:color="00000A"/>
            </w:tcBorders>
            <w:vMerge w:val="restart"/>
          </w:tcPr>
          <w:p>
            <w:pPr>
              <w:ind w:left="600"/>
              <w:spacing w:after="0"/>
              <w:rPr>
                <w:sz w:val="20"/>
                <w:szCs w:val="20"/>
                <w:color w:val="auto"/>
              </w:rPr>
            </w:pPr>
            <w:r>
              <w:rPr>
                <w:rFonts w:ascii="Arial" w:cs="Arial" w:eastAsia="Arial" w:hAnsi="Arial"/>
                <w:sz w:val="20"/>
                <w:szCs w:val="20"/>
                <w:color w:val="auto"/>
              </w:rPr>
              <w:t>Product</w:t>
            </w:r>
          </w:p>
        </w:tc>
        <w:tc>
          <w:tcPr>
            <w:tcW w:w="2520" w:type="dxa"/>
            <w:vAlign w:val="bottom"/>
            <w:tcBorders>
              <w:right w:val="single" w:sz="8" w:color="00000A"/>
            </w:tcBorders>
            <w:vMerge w:val="continue"/>
          </w:tcPr>
          <w:p>
            <w:pPr>
              <w:spacing w:after="0"/>
              <w:rPr>
                <w:sz w:val="16"/>
                <w:szCs w:val="16"/>
                <w:color w:val="auto"/>
              </w:rPr>
            </w:pPr>
          </w:p>
        </w:tc>
        <w:tc>
          <w:tcPr>
            <w:tcW w:w="204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88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20" w:type="dxa"/>
            <w:vAlign w:val="bottom"/>
            <w:tcBorders>
              <w:left w:val="single" w:sz="8" w:color="00000A"/>
              <w:bottom w:val="single" w:sz="8" w:color="00000A"/>
              <w:right w:val="single" w:sz="8" w:color="00000A"/>
            </w:tcBorders>
            <w:vMerge w:val="continue"/>
          </w:tcPr>
          <w:p>
            <w:pPr>
              <w:spacing w:after="0"/>
              <w:rPr>
                <w:sz w:val="21"/>
                <w:szCs w:val="21"/>
                <w:color w:val="auto"/>
              </w:rPr>
            </w:pPr>
          </w:p>
        </w:tc>
        <w:tc>
          <w:tcPr>
            <w:tcW w:w="1900" w:type="dxa"/>
            <w:vAlign w:val="bottom"/>
            <w:tcBorders>
              <w:bottom w:val="single" w:sz="8" w:color="00000A"/>
              <w:right w:val="single" w:sz="8" w:color="00000A"/>
            </w:tcBorders>
            <w:vMerge w:val="continue"/>
          </w:tcPr>
          <w:p>
            <w:pPr>
              <w:spacing w:after="0"/>
              <w:rPr>
                <w:sz w:val="21"/>
                <w:szCs w:val="21"/>
                <w:color w:val="auto"/>
              </w:rPr>
            </w:pP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North America</w:t>
            </w:r>
          </w:p>
        </w:tc>
        <w:tc>
          <w:tcPr>
            <w:tcW w:w="1900" w:type="dxa"/>
            <w:vAlign w:val="bottom"/>
            <w:tcBorders>
              <w:bottom w:val="single" w:sz="8" w:color="00000A"/>
              <w:right w:val="single" w:sz="8" w:color="00000A"/>
            </w:tcBorders>
          </w:tcPr>
          <w:p>
            <w:pPr>
              <w:spacing w:after="0"/>
              <w:rPr>
                <w:sz w:val="20"/>
                <w:szCs w:val="20"/>
                <w:color w:val="auto"/>
              </w:rPr>
            </w:pPr>
          </w:p>
        </w:tc>
        <w:tc>
          <w:tcPr>
            <w:tcW w:w="2520" w:type="dxa"/>
            <w:vAlign w:val="bottom"/>
            <w:tcBorders>
              <w:bottom w:val="single" w:sz="8" w:color="00000A"/>
              <w:right w:val="single" w:sz="8" w:color="00000A"/>
            </w:tcBorders>
          </w:tcPr>
          <w:p>
            <w:pPr>
              <w:spacing w:after="0"/>
              <w:rPr>
                <w:sz w:val="20"/>
                <w:szCs w:val="20"/>
                <w:color w:val="auto"/>
              </w:rPr>
            </w:pPr>
          </w:p>
        </w:tc>
        <w:tc>
          <w:tcPr>
            <w:tcW w:w="2040" w:type="dxa"/>
            <w:vAlign w:val="bottom"/>
            <w:tcBorders>
              <w:bottom w:val="single" w:sz="8" w:color="00000A"/>
              <w:right w:val="single" w:sz="8" w:color="00000A"/>
            </w:tcBorders>
          </w:tcPr>
          <w:p>
            <w:pPr>
              <w:spacing w:after="0"/>
              <w:rPr>
                <w:sz w:val="20"/>
                <w:szCs w:val="20"/>
                <w:color w:val="auto"/>
              </w:rPr>
            </w:pPr>
          </w:p>
        </w:tc>
        <w:tc>
          <w:tcPr>
            <w:tcW w:w="18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9"/>
              </w:rPr>
              <w:t>United States</w:t>
            </w: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$37.61/bbl</w:t>
            </w:r>
          </w:p>
        </w:tc>
        <w:tc>
          <w:tcPr>
            <w:tcW w:w="0" w:type="dxa"/>
            <w:vAlign w:val="bottom"/>
          </w:tcPr>
          <w:p>
            <w:pPr>
              <w:spacing w:after="0"/>
              <w:rPr>
                <w:sz w:val="1"/>
                <w:szCs w:val="1"/>
                <w:color w:val="auto"/>
              </w:rPr>
            </w:pPr>
          </w:p>
        </w:tc>
      </w:tr>
      <w:tr>
        <w:trPr>
          <w:trHeight w:val="236"/>
        </w:trPr>
        <w:tc>
          <w:tcPr>
            <w:tcW w:w="2720" w:type="dxa"/>
            <w:vAlign w:val="bottom"/>
            <w:tcBorders>
              <w:left w:val="single" w:sz="8" w:color="00000A"/>
              <w:right w:val="single" w:sz="8" w:color="00000A"/>
            </w:tcBorders>
            <w:vMerge w:val="continue"/>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$11.65/bbl</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bottom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$1.99/MMBTU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$0.34/Mcf</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4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2020.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2020,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9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2020 annual report on Form 10-K of Viper. Our written consent for such use is included as a separate exhibit to the filings made with the SEC by Viper.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Viper Energy Partners, LP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19"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6"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Very truly yours,</w:t>
      </w:r>
    </w:p>
    <w:p>
      <w:pPr>
        <w:spacing w:after="0" w:line="268" w:lineRule="exact"/>
        <w:rPr>
          <w:sz w:val="20"/>
          <w:szCs w:val="20"/>
          <w:color w:val="auto"/>
        </w:rPr>
      </w:pPr>
    </w:p>
    <w:p>
      <w:pPr>
        <w:ind w:left="6260"/>
        <w:spacing w:after="0"/>
        <w:rPr>
          <w:sz w:val="20"/>
          <w:szCs w:val="20"/>
          <w:color w:val="auto"/>
        </w:rPr>
      </w:pPr>
      <w:r>
        <w:rPr>
          <w:rFonts w:ascii="Arial" w:cs="Arial" w:eastAsia="Arial" w:hAnsi="Arial"/>
          <w:sz w:val="20"/>
          <w:szCs w:val="20"/>
          <w:b w:val="1"/>
          <w:bCs w:val="1"/>
          <w:color w:val="auto"/>
        </w:rPr>
        <w:t>RYDER SCOTT COMPANY, L.P.</w:t>
      </w:r>
    </w:p>
    <w:p>
      <w:pPr>
        <w:spacing w:after="0" w:line="4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6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Val Rick Robinson</w:t>
      </w:r>
    </w:p>
    <w:p>
      <w:pPr>
        <w:spacing w:after="0" w:line="28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Val Rick Robinson, P.E.</w:t>
      </w:r>
    </w:p>
    <w:p>
      <w:pPr>
        <w:spacing w:after="0" w:line="39"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 License No. 105137</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Managing Senior Vice President</w:t>
      </w:r>
    </w:p>
    <w:p>
      <w:pPr>
        <w:spacing w:after="0" w:line="13" w:lineRule="exact"/>
        <w:rPr>
          <w:sz w:val="20"/>
          <w:szCs w:val="20"/>
          <w:color w:val="auto"/>
        </w:rPr>
      </w:pPr>
    </w:p>
    <w:p>
      <w:pPr>
        <w:ind w:left="10560"/>
        <w:spacing w:after="0"/>
        <w:rPr>
          <w:sz w:val="20"/>
          <w:szCs w:val="20"/>
          <w:color w:val="auto"/>
        </w:rPr>
      </w:pPr>
      <w:r>
        <w:rPr>
          <w:rFonts w:ascii="Arial" w:cs="Arial" w:eastAsia="Arial" w:hAnsi="Arial"/>
          <w:sz w:val="19"/>
          <w:szCs w:val="19"/>
          <w:b w:val="1"/>
          <w:bCs w:val="1"/>
          <w:color w:val="auto"/>
        </w:rPr>
        <w:t>[SEAL]</w:t>
      </w:r>
    </w:p>
    <w:p>
      <w:pPr>
        <w:spacing w:after="0" w:line="255"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Syed R. Rizvi</w:t>
      </w:r>
    </w:p>
    <w:p>
      <w:pPr>
        <w:spacing w:after="0" w:line="27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Syed R. Rizvi</w:t>
      </w:r>
    </w:p>
    <w:p>
      <w:pPr>
        <w:spacing w:after="0" w:line="39"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Senior Petroleum Engineer</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(GR)/pl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20"/>
          </w:cols>
          <w:pgMar w:left="320" w:top="111" w:right="35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2020 continuing education hours, Mr. Robinson attended 51 hours of formalized training including the 2020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Based on his educational background, professional training and more than 17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0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PETROLEUM RESERVES DEFINITIONS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8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w:t>
      </w:r>
      <w:r>
        <w:rPr>
          <w:rFonts w:ascii="Times New Roman" w:cs="Times New Roman" w:eastAsia="Times New Roman" w:hAnsi="Times New Roman"/>
          <w:sz w:val="16"/>
          <w:szCs w:val="16"/>
          <w:color w:val="auto"/>
        </w:rPr>
        <w:t>—</w:t>
      </w:r>
      <w:r>
        <w:rPr>
          <w:rFonts w:ascii="Arial" w:cs="Arial" w:eastAsia="Arial" w:hAnsi="Arial"/>
          <w:sz w:val="19"/>
          <w:szCs w:val="19"/>
          <w:i w:val="1"/>
          <w:iCs w:val="1"/>
          <w:color w:val="auto"/>
        </w:rPr>
        <w:t>from a given date forward, from known reservoirs, and under existing economic conditions, operating methods, and government regulations</w:t>
      </w:r>
      <w:r>
        <w:rPr>
          <w:rFonts w:ascii="Times New Roman" w:cs="Times New Roman" w:eastAsia="Times New Roman" w:hAnsi="Times New Roman"/>
          <w:sz w:val="16"/>
          <w:szCs w:val="16"/>
          <w:color w:val="auto"/>
        </w:rPr>
        <w:t>—</w:t>
      </w:r>
      <w:r>
        <w:rPr>
          <w:rFonts w:ascii="Arial" w:cs="Arial" w:eastAsia="Arial" w:hAnsi="Arial"/>
          <w:sz w:val="19"/>
          <w:szCs w:val="19"/>
          <w:i w:val="1"/>
          <w:iCs w:val="1"/>
          <w:color w:val="auto"/>
        </w:rPr>
        <w:t>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1"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42" w:lineRule="exact"/>
        <w:rPr>
          <w:rFonts w:ascii="Arial" w:cs="Arial" w:eastAsia="Arial" w:hAnsi="Arial"/>
          <w:sz w:val="20"/>
          <w:szCs w:val="20"/>
          <w:i w:val="1"/>
          <w:iCs w:val="1"/>
          <w:color w:val="auto"/>
        </w:rPr>
      </w:pPr>
    </w:p>
    <w:p>
      <w:pPr>
        <w:jc w:val="both"/>
        <w:ind w:left="1300" w:firstLine="4"/>
        <w:spacing w:after="0" w:line="257" w:lineRule="auto"/>
        <w:tabs>
          <w:tab w:leader="none" w:pos="1642" w:val="left"/>
        </w:tabs>
        <w:numPr>
          <w:ilvl w:val="1"/>
          <w:numId w:val="41"/>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PETROLEUM RESERVES DEFINITIONS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88" w:lineRule="exact"/>
        <w:rPr>
          <w:sz w:val="20"/>
          <w:szCs w:val="20"/>
          <w:color w:val="auto"/>
        </w:rPr>
      </w:pPr>
    </w:p>
    <w:p>
      <w:pPr>
        <w:jc w:val="both"/>
        <w:ind w:left="660" w:hanging="4"/>
        <w:spacing w:after="0" w:line="257" w:lineRule="auto"/>
        <w:tabs>
          <w:tab w:leader="none" w:pos="1000" w:val="left"/>
        </w:tabs>
        <w:numPr>
          <w:ilvl w:val="0"/>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2" w:lineRule="exact"/>
        <w:rPr>
          <w:rFonts w:ascii="Arial" w:cs="Arial" w:eastAsia="Arial" w:hAnsi="Arial"/>
          <w:sz w:val="20"/>
          <w:szCs w:val="20"/>
          <w:i w:val="1"/>
          <w:iCs w:val="1"/>
          <w:color w:val="auto"/>
        </w:rPr>
      </w:pPr>
    </w:p>
    <w:p>
      <w:pPr>
        <w:jc w:val="both"/>
        <w:ind w:left="660" w:hanging="4"/>
        <w:spacing w:after="0" w:line="251" w:lineRule="auto"/>
        <w:tabs>
          <w:tab w:leader="none" w:pos="995" w:val="left"/>
        </w:tabs>
        <w:numPr>
          <w:ilvl w:val="0"/>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8" w:lineRule="exact"/>
        <w:rPr>
          <w:rFonts w:ascii="Arial" w:cs="Arial" w:eastAsia="Arial" w:hAnsi="Arial"/>
          <w:sz w:val="20"/>
          <w:szCs w:val="20"/>
          <w:i w:val="1"/>
          <w:iCs w:val="1"/>
          <w:color w:val="auto"/>
        </w:rPr>
      </w:pPr>
    </w:p>
    <w:p>
      <w:pPr>
        <w:ind w:left="660" w:right="20" w:hanging="4"/>
        <w:spacing w:after="0" w:line="276" w:lineRule="auto"/>
        <w:tabs>
          <w:tab w:leader="none" w:pos="1003" w:val="left"/>
        </w:tabs>
        <w:numPr>
          <w:ilvl w:val="0"/>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73" w:lineRule="exact"/>
        <w:rPr>
          <w:rFonts w:ascii="Arial" w:cs="Arial" w:eastAsia="Arial" w:hAnsi="Arial"/>
          <w:sz w:val="20"/>
          <w:szCs w:val="20"/>
          <w:i w:val="1"/>
          <w:iCs w:val="1"/>
          <w:color w:val="auto"/>
        </w:rPr>
      </w:pPr>
    </w:p>
    <w:p>
      <w:pPr>
        <w:jc w:val="both"/>
        <w:ind w:left="1300" w:firstLine="4"/>
        <w:spacing w:after="0" w:line="251" w:lineRule="auto"/>
        <w:tabs>
          <w:tab w:leader="none" w:pos="1631"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98" w:lineRule="exact"/>
        <w:rPr>
          <w:rFonts w:ascii="Arial" w:cs="Arial" w:eastAsia="Arial" w:hAnsi="Arial"/>
          <w:sz w:val="20"/>
          <w:szCs w:val="20"/>
          <w:i w:val="1"/>
          <w:iCs w:val="1"/>
          <w:color w:val="auto"/>
        </w:rPr>
      </w:pPr>
    </w:p>
    <w:p>
      <w:pPr>
        <w:ind w:left="1300" w:firstLine="4"/>
        <w:spacing w:after="0" w:line="276" w:lineRule="auto"/>
        <w:tabs>
          <w:tab w:leader="none" w:pos="1623" w:val="left"/>
        </w:tabs>
        <w:numPr>
          <w:ilvl w:val="1"/>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3" w:lineRule="exact"/>
        <w:rPr>
          <w:rFonts w:ascii="Arial" w:cs="Arial" w:eastAsia="Arial" w:hAnsi="Arial"/>
          <w:sz w:val="20"/>
          <w:szCs w:val="20"/>
          <w:i w:val="1"/>
          <w:iCs w:val="1"/>
          <w:color w:val="auto"/>
        </w:rPr>
      </w:pPr>
    </w:p>
    <w:p>
      <w:pPr>
        <w:jc w:val="both"/>
        <w:ind w:left="660" w:hanging="4"/>
        <w:spacing w:after="0" w:line="248" w:lineRule="auto"/>
        <w:tabs>
          <w:tab w:leader="none" w:pos="985" w:val="left"/>
        </w:tabs>
        <w:numPr>
          <w:ilvl w:val="0"/>
          <w:numId w:val="42"/>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11" w:right="339" w:bottom="1440" w:gutter="0" w:footer="0" w:header="0"/>
        </w:sectPr>
      </w:pPr>
    </w:p>
    <w:bookmarkStart w:id="123" w:name="page124"/>
    <w:bookmarkEnd w:id="123"/>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WORLD PETROLEUM COUNCIL (WPC)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40"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5"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76" w:lineRule="auto"/>
        <w:tabs>
          <w:tab w:leader="none" w:pos="1559"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3" w:lineRule="exact"/>
        <w:rPr>
          <w:rFonts w:ascii="Arial" w:cs="Arial" w:eastAsia="Arial" w:hAnsi="Arial"/>
          <w:sz w:val="20"/>
          <w:szCs w:val="20"/>
          <w:i w:val="1"/>
          <w:iCs w:val="1"/>
          <w:color w:val="auto"/>
        </w:rPr>
      </w:pPr>
    </w:p>
    <w:p>
      <w:pPr>
        <w:ind w:left="1300" w:firstLine="4"/>
        <w:spacing w:after="0" w:line="276" w:lineRule="auto"/>
        <w:tabs>
          <w:tab w:leader="none" w:pos="1596"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5"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124" w:name="page125"/>
    <w:bookmarkEnd w:id="124"/>
    <w:p>
      <w:pPr>
        <w:ind w:right="5040"/>
        <w:spacing w:after="0" w:line="278"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400" w:hanging="420"/>
        <w:spacing w:after="0"/>
        <w:tabs>
          <w:tab w:leader="none" w:pos="140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00" w:hanging="420"/>
        <w:spacing w:after="0"/>
        <w:tabs>
          <w:tab w:leader="none" w:pos="140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00" w:hanging="420"/>
        <w:spacing w:after="0"/>
        <w:tabs>
          <w:tab w:leader="none" w:pos="140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76"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5"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69" w:lineRule="exact"/>
        <w:rPr>
          <w:sz w:val="20"/>
          <w:szCs w:val="20"/>
          <w:color w:val="auto"/>
        </w:rPr>
      </w:pPr>
    </w:p>
    <w:p>
      <w:pPr>
        <w:ind w:left="660" w:right="20"/>
        <w:spacing w:after="0" w:line="276"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3" w:lineRule="exact"/>
        <w:rPr>
          <w:sz w:val="20"/>
          <w:szCs w:val="20"/>
          <w:color w:val="auto"/>
        </w:rPr>
      </w:pPr>
    </w:p>
    <w:p>
      <w:pPr>
        <w:jc w:val="both"/>
        <w:ind w:left="1300" w:firstLine="44"/>
        <w:spacing w:after="0" w:line="257" w:lineRule="auto"/>
        <w:tabs>
          <w:tab w:leader="none" w:pos="1578"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2" w:lineRule="exact"/>
        <w:rPr>
          <w:rFonts w:ascii="Arial" w:cs="Arial" w:eastAsia="Arial" w:hAnsi="Arial"/>
          <w:sz w:val="20"/>
          <w:szCs w:val="20"/>
          <w:i w:val="1"/>
          <w:iCs w:val="1"/>
          <w:color w:val="auto"/>
        </w:rPr>
      </w:pPr>
    </w:p>
    <w:p>
      <w:pPr>
        <w:jc w:val="both"/>
        <w:ind w:left="1300" w:firstLine="4"/>
        <w:spacing w:after="0" w:line="257" w:lineRule="auto"/>
        <w:tabs>
          <w:tab w:leader="none" w:pos="1599"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2" w:lineRule="exact"/>
        <w:rPr>
          <w:rFonts w:ascii="Arial" w:cs="Arial" w:eastAsia="Arial" w:hAnsi="Arial"/>
          <w:sz w:val="20"/>
          <w:szCs w:val="20"/>
          <w:i w:val="1"/>
          <w:iCs w:val="1"/>
          <w:color w:val="auto"/>
        </w:rPr>
      </w:pPr>
    </w:p>
    <w:p>
      <w:pPr>
        <w:jc w:val="both"/>
        <w:ind w:left="1300" w:firstLine="4"/>
        <w:spacing w:after="0" w:line="251" w:lineRule="auto"/>
        <w:tabs>
          <w:tab w:leader="none" w:pos="1620" w:val="left"/>
        </w:tabs>
        <w:numPr>
          <w:ilvl w:val="1"/>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RYDER SCOTT COMPANY PETROLEUM CONSULTANTS</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lvl w:ilvl="1">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Roman"/>
      <w:start w:val="3"/>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3">
    <w:nsid w:val="419AC241"/>
    <w:multiLevelType w:val="hybridMultilevel"/>
    <w:lvl w:ilvl="0">
      <w:lvlJc w:val="left"/>
      <w:lvlText w:val="(%1)"/>
      <w:numFmt w:val="decimal"/>
      <w:start w:val="2"/>
    </w:lvl>
    <w:lvl w:ilvl="1">
      <w:lvlJc w:val="left"/>
      <w:lvlText w:val="%2"/>
      <w:numFmt w:val="decimal"/>
      <w:start w:val="1"/>
    </w:lvl>
    <w:lvl w:ilvl="2">
      <w:lvlJc w:val="left"/>
      <w:lvlText w:val="(%3)"/>
      <w:numFmt w:val="lowerRoman"/>
      <w:start w:val="3"/>
    </w:lvl>
  </w:abstractNum>
  <w:abstractNum w:abstractNumId="24">
    <w:nsid w:val="5577F8E1"/>
    <w:multiLevelType w:val="hybridMultilevel"/>
    <w:lvl w:ilvl="0">
      <w:lvlJc w:val="left"/>
      <w:lvlText w:val="(%1)"/>
      <w:numFmt w:val="decimal"/>
      <w:start w:val="4"/>
    </w:lvl>
    <w:lvl w:ilvl="1">
      <w:lvlJc w:val="left"/>
      <w:lvlText w:val="(%2)"/>
      <w:numFmt w:val="decimal"/>
      <w:start w:val="5"/>
    </w:lvl>
  </w:abstractNum>
  <w:abstractNum w:abstractNumId="25">
    <w:nsid w:val="440BADFC"/>
    <w:multiLevelType w:val="hybridMultilevel"/>
    <w:lvl w:ilvl="0">
      <w:lvlJc w:val="left"/>
      <w:lvlText w:val="(%1)"/>
      <w:numFmt w:val="decimal"/>
      <w:start w:val="7"/>
    </w:lvl>
    <w:lvl w:ilvl="1">
      <w:lvlJc w:val="left"/>
      <w:lvlText w:val="(%2)"/>
      <w:numFmt w:val="decimal"/>
      <w:start w:val="8"/>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6"/>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0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13"/>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lowerRoman"/>
      <w:start w:val="1"/>
    </w:lvl>
    <w:lvl w:ilvl="1">
      <w:lvlJc w:val="left"/>
      <w:lvlText w:val="(%2)"/>
      <w:numFmt w:val="upperLetter"/>
      <w:start w:val="1"/>
    </w:lvl>
  </w:abstractNum>
  <w:abstractNum w:abstractNumId="41">
    <w:nsid w:val="1D4ED43B"/>
    <w:multiLevelType w:val="hybridMultilevel"/>
    <w:lvl w:ilvl="0">
      <w:lvlJc w:val="left"/>
      <w:lvlText w:val="(%1)"/>
      <w:numFmt w:val="lowerRoman"/>
      <w:start w:val="2"/>
    </w:lvl>
    <w:lvl w:ilvl="1">
      <w:lvlJc w:val="left"/>
      <w:lvlText w:val="(%2)"/>
      <w:numFmt w:val="upperLetter"/>
      <w:start w:val="1"/>
    </w:lvl>
  </w:abstractNum>
  <w:abstractNum w:abstractNumId="42">
    <w:nsid w:val="725A06FB"/>
    <w:multiLevelType w:val="hybridMultilevel"/>
    <w:lvl w:ilvl="0">
      <w:lvlJc w:val="left"/>
      <w:lvlText w:val="(%1)"/>
      <w:numFmt w:val="lowerRoman"/>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55" Type="http://schemas.openxmlformats.org/officeDocument/2006/relationships/hyperlink" Target="http://www.sec.gov/ix?doc=/Archives/edgar/data/1602065/000160206520000009/viper201910-k.htm#sE63DDBBD975158C2AF07B1563AF91A6E" TargetMode="External"/><Relationship Id="rId94" Type="http://schemas.openxmlformats.org/officeDocument/2006/relationships/hyperlink" Target="http://www.sec.gov/Archives/edgar/data/1602065/000119312514187469/d673207dex31.htm" TargetMode="External"/><Relationship Id="rId95" Type="http://schemas.openxmlformats.org/officeDocument/2006/relationships/hyperlink" Target="http://www.sec.gov/Archives/edgar/data/1602065/000119312514245558/d743920dex31.htm" TargetMode="External"/><Relationship Id="rId96" Type="http://schemas.openxmlformats.org/officeDocument/2006/relationships/hyperlink" Target="http://www.sec.gov/Archives/edgar/data/1602065/000160206518000017/viperex32-5x15x18.htm" TargetMode="External"/><Relationship Id="rId97" Type="http://schemas.openxmlformats.org/officeDocument/2006/relationships/hyperlink" Target="http://www.sec.gov/Archives/edgar/data/1602065/000160206518000017/viperex31-5x15x18.htm" TargetMode="External"/><Relationship Id="rId98" Type="http://schemas.openxmlformats.org/officeDocument/2006/relationships/hyperlink" Target="http://www.sec.gov/Archives/edgar/data/1602065/000160206520000014/viperex31-33120.htm" TargetMode="External"/><Relationship Id="rId99" Type="http://schemas.openxmlformats.org/officeDocument/2006/relationships/hyperlink" Target="https://www.sec.gov/Archives/edgar/data/1602065/000160206520000009/viper201910-kxex41.htm" TargetMode="External"/><Relationship Id="rId100" Type="http://schemas.openxmlformats.org/officeDocument/2006/relationships/hyperlink" Target="http://www.sec.gov/Archives/edgar/data/1602065/000160206518000017/viperex41-5x15x18.htm" TargetMode="External"/><Relationship Id="rId101" Type="http://schemas.openxmlformats.org/officeDocument/2006/relationships/hyperlink" Target="http://www.sec.gov/Archives/edgar/data/1602065/000110465919054635/tm19193893_ex4-1.htm" TargetMode="External"/><Relationship Id="rId102" Type="http://schemas.openxmlformats.org/officeDocument/2006/relationships/hyperlink" Target="http://www.sec.gov/Archives/edgar/data/1602065/000160206518000027/viperex101-7x26x18.htm" TargetMode="External"/><Relationship Id="rId103" Type="http://schemas.openxmlformats.org/officeDocument/2006/relationships/hyperlink" Target="http://www.sec.gov/Archives/edgar/data/1602065/000119312514245558/d743920dex102.htm" TargetMode="External"/><Relationship Id="rId104" Type="http://schemas.openxmlformats.org/officeDocument/2006/relationships/hyperlink" Target="http://www.sec.gov/Archives/edgar/data/1602065/000119312514245558/d743920dex104.htm" TargetMode="External"/><Relationship Id="rId105" Type="http://schemas.openxmlformats.org/officeDocument/2006/relationships/hyperlink" Target="http://www.sec.gov/Archives/edgar/data/1602065/000119312514245558/d743920dex105.htm" TargetMode="External"/><Relationship Id="rId106" Type="http://schemas.openxmlformats.org/officeDocument/2006/relationships/hyperlink" Target="http://www.sec.gov/Archives/edgar/data/1602065/000119312514245558/d743920dex106.htm" TargetMode="External"/><Relationship Id="rId109" Type="http://schemas.openxmlformats.org/officeDocument/2006/relationships/hyperlink" Target="https://www.sec.gov/Archives/edgar/data/1602065/000160206520000009/viper201910-kxex108.htm" TargetMode="External"/><Relationship Id="rId110" Type="http://schemas.openxmlformats.org/officeDocument/2006/relationships/hyperlink" Target="http://www.sec.gov/Archives/edgar/data/1602065/000119312518119710/d559361ddef14c.htm" TargetMode="External"/><Relationship Id="rId111" Type="http://schemas.openxmlformats.org/officeDocument/2006/relationships/hyperlink" Target="http://www.sec.gov/Archives/edgar/data/1602065/000160206518000017/viperex104-5x15x18.htm" TargetMode="External"/><Relationship Id="rId112" Type="http://schemas.openxmlformats.org/officeDocument/2006/relationships/hyperlink" Target="http://www.sec.gov/Archives/edgar/data/1602065/000160206518000017/viperex101-5x15x18.htm" TargetMode="External"/><Relationship Id="rId113" Type="http://schemas.openxmlformats.org/officeDocument/2006/relationships/hyperlink" Target="http://www.sec.gov/Archives/edgar/data/1602065/000160206518000017/viperex102-5x15x18.htm" TargetMode="External"/><Relationship Id="rId114" Type="http://schemas.openxmlformats.org/officeDocument/2006/relationships/hyperlink" Target="http://www.sec.gov/Archives/edgar/data/1602065/000160206519000040/viperex101-9x30x19.htm" TargetMode="External"/><Relationship Id="rId115" Type="http://schemas.openxmlformats.org/officeDocument/2006/relationships/hyperlink" Target="http://www.sec.gov/Archives/edgar/data/1602065/000160206519000042/viperex101-10x10x19.htm" TargetMode="External"/><Relationship Id="rId116" Type="http://schemas.openxmlformats.org/officeDocument/2006/relationships/hyperlink" Target="http://www.sec.gov/Archives/edgar/data/1602065/000160206519000051/viperex101-12519.htm" TargetMode="External"/><Relationship Id="rId117" Type="http://schemas.openxmlformats.org/officeDocument/2006/relationships/hyperlink" Target="http://www.sec.gov/Archives/edgar/data/1602065/000160206520000024/viperex101-51520.htm" TargetMode="External"/><Relationship Id="rId118" Type="http://schemas.openxmlformats.org/officeDocument/2006/relationships/hyperlink" Target="http://www.sec.gov/Archives/edgar/data/1602065/000160206520000056/viperex101-11x12x20.htm" TargetMode="External"/><Relationship Id="rId119" Type="http://schemas.openxmlformats.org/officeDocument/2006/relationships/hyperlink" Target="http://www.sec.gov/Archives/edgar/data/1602065/000110465919054635/tm1919389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2021-02-25T15:54:28Z</dcterms:created>
  <dcterms:modified xsi:type="dcterms:W3CDTF">2021-02-25T15:54:28Z</dcterms:modified>
</cp:coreProperties>
</file>