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rPr/>
      </w:pPr>
      <w:r>
        <w:rPr/>
      </w:r>
    </w:p>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UNITED STATES</w:t>
      </w:r>
    </w:p>
    <w:p>
      <w:pPr>
        <w:pStyle w:val="TextBody"/>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SECURITIES AND EXCHANGE COMMISSION</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Washington, D.C. 20549</w:t>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center"/>
        <w:rPr>
          <w:rFonts w:ascii="Times New Roman;sans-serif" w:hAnsi="Times New Roman;sans-serif"/>
          <w:b/>
          <w:color w:val="000000"/>
          <w:sz w:val="32"/>
        </w:rPr>
      </w:pPr>
      <w:r>
        <w:rPr>
          <w:rFonts w:ascii="Times New Roman;sans-serif" w:hAnsi="Times New Roman;sans-serif"/>
          <w:b/>
          <w:color w:val="000000"/>
          <w:sz w:val="32"/>
        </w:rPr>
        <w:t xml:space="preserve">FORM 10-Q </w:t>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bl>
    <w:tbl>
      <w:tblPr>
        <w:tblW w:w="10205" w:type="dxa"/>
        <w:jc w:val="center"/>
        <w:tblInd w:w="0" w:type="dxa"/>
        <w:tblCellMar>
          <w:top w:w="28" w:type="dxa"/>
          <w:left w:w="28" w:type="dxa"/>
          <w:bottom w:w="28" w:type="dxa"/>
          <w:right w:w="28" w:type="dxa"/>
        </w:tblCellMar>
      </w:tblPr>
      <w:tblGrid>
        <w:gridCol w:w="124"/>
        <w:gridCol w:w="109"/>
        <w:gridCol w:w="109"/>
        <w:gridCol w:w="2885"/>
        <w:gridCol w:w="2885"/>
        <w:gridCol w:w="4093"/>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85" w:type="dxa"/>
            <w:tcBorders/>
            <w:shd w:fill="auto" w:val="clear"/>
            <w:vAlign w:val="center"/>
          </w:tcPr>
          <w:p>
            <w:pPr>
              <w:pStyle w:val="TableContents"/>
              <w:spacing w:before="0" w:after="283"/>
              <w:rPr>
                <w:sz w:val="4"/>
                <w:szCs w:val="4"/>
              </w:rPr>
            </w:pPr>
            <w:r>
              <w:rPr>
                <w:sz w:val="4"/>
                <w:szCs w:val="4"/>
              </w:rPr>
            </w:r>
          </w:p>
        </w:tc>
        <w:tc>
          <w:tcPr>
            <w:tcW w:w="2885" w:type="dxa"/>
            <w:tcBorders/>
            <w:shd w:fill="auto" w:val="clear"/>
            <w:vAlign w:val="center"/>
          </w:tcPr>
          <w:p>
            <w:pPr>
              <w:pStyle w:val="TableContents"/>
              <w:spacing w:before="0" w:after="283"/>
              <w:rPr>
                <w:sz w:val="4"/>
                <w:szCs w:val="4"/>
              </w:rPr>
            </w:pPr>
            <w:r>
              <w:rPr>
                <w:sz w:val="4"/>
                <w:szCs w:val="4"/>
              </w:rPr>
            </w:r>
          </w:p>
        </w:tc>
        <w:tc>
          <w:tcPr>
            <w:tcW w:w="4093"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986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QUARTERLY REPORT PURSUANT TO SECTION 13 OR 15(d) OF THE SECURITIES EXCHANGE ACT OF 1934</w:t>
            </w:r>
          </w:p>
        </w:tc>
      </w:tr>
    </w:tbl>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 xml:space="preserve">For the Quarterly Period Ended March 31, 2023 </w:t>
      </w:r>
    </w:p>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OR</w:t>
      </w:r>
    </w:p>
    <w:tbl>
      <w:tblPr>
        <w:tblW w:w="9867" w:type="dxa"/>
        <w:jc w:val="center"/>
        <w:tblInd w:w="0" w:type="dxa"/>
        <w:tblCellMar>
          <w:top w:w="28" w:type="dxa"/>
          <w:left w:w="28" w:type="dxa"/>
          <w:bottom w:w="28" w:type="dxa"/>
          <w:right w:w="28" w:type="dxa"/>
        </w:tblCellMar>
      </w:tblPr>
      <w:tblGrid>
        <w:gridCol w:w="124"/>
        <w:gridCol w:w="109"/>
        <w:gridCol w:w="109"/>
        <w:gridCol w:w="2789"/>
        <w:gridCol w:w="2789"/>
        <w:gridCol w:w="3947"/>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89" w:type="dxa"/>
            <w:tcBorders/>
            <w:shd w:fill="auto" w:val="clear"/>
            <w:vAlign w:val="center"/>
          </w:tcPr>
          <w:p>
            <w:pPr>
              <w:pStyle w:val="TableContents"/>
              <w:spacing w:before="0" w:after="283"/>
              <w:rPr>
                <w:sz w:val="4"/>
                <w:szCs w:val="4"/>
              </w:rPr>
            </w:pPr>
            <w:r>
              <w:rPr>
                <w:sz w:val="4"/>
                <w:szCs w:val="4"/>
              </w:rPr>
            </w:r>
          </w:p>
        </w:tc>
        <w:tc>
          <w:tcPr>
            <w:tcW w:w="2789" w:type="dxa"/>
            <w:tcBorders/>
            <w:shd w:fill="auto" w:val="clear"/>
            <w:vAlign w:val="center"/>
          </w:tcPr>
          <w:p>
            <w:pPr>
              <w:pStyle w:val="TableContents"/>
              <w:spacing w:before="0" w:after="283"/>
              <w:rPr>
                <w:sz w:val="4"/>
                <w:szCs w:val="4"/>
              </w:rPr>
            </w:pPr>
            <w:r>
              <w:rPr>
                <w:sz w:val="4"/>
                <w:szCs w:val="4"/>
              </w:rPr>
            </w:r>
          </w:p>
        </w:tc>
        <w:tc>
          <w:tcPr>
            <w:tcW w:w="3947"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952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TRANSITION REPORT PURSUANT TO SECTION 13 OR 15(d) OF SECURITIES EXCHANGE ACT OF 1934</w:t>
            </w:r>
          </w:p>
        </w:tc>
      </w:tr>
    </w:tbl>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 xml:space="preserve">Commission File Number 001-36505 </w:t>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center"/>
        <w:rPr/>
      </w:pPr>
      <w:r>
        <w:rPr>
          <w:rFonts w:ascii="Times New Roman;sans-serif" w:hAnsi="Times New Roman;sans-serif"/>
          <w:b/>
          <w:color w:val="000000"/>
          <w:sz w:val="40"/>
        </w:rPr>
        <w:t>Viper Energy Partners LP</w:t>
      </w:r>
      <w:r>
        <w:rPr>
          <w:color w:val="000000"/>
        </w:rPr>
        <w:t xml:space="preserve">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(Exact Name of Registrant As Specified in Its Charter)</w:t>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bl>
    <w:tbl>
      <w:tblPr>
        <w:tblW w:w="9076" w:type="dxa"/>
        <w:jc w:val="center"/>
        <w:tblInd w:w="0" w:type="dxa"/>
        <w:tblCellMar>
          <w:top w:w="28" w:type="dxa"/>
          <w:left w:w="28" w:type="dxa"/>
          <w:bottom w:w="28" w:type="dxa"/>
          <w:right w:w="28" w:type="dxa"/>
        </w:tblCellMar>
      </w:tblPr>
      <w:tblGrid>
        <w:gridCol w:w="868"/>
        <w:gridCol w:w="761"/>
        <w:gridCol w:w="761"/>
        <w:gridCol w:w="761"/>
        <w:gridCol w:w="761"/>
        <w:gridCol w:w="781"/>
        <w:gridCol w:w="109"/>
        <w:gridCol w:w="109"/>
        <w:gridCol w:w="109"/>
        <w:gridCol w:w="109"/>
        <w:gridCol w:w="109"/>
        <w:gridCol w:w="109"/>
        <w:gridCol w:w="109"/>
        <w:gridCol w:w="109"/>
        <w:gridCol w:w="109"/>
        <w:gridCol w:w="109"/>
        <w:gridCol w:w="109"/>
        <w:gridCol w:w="109"/>
        <w:gridCol w:w="896"/>
        <w:gridCol w:w="896"/>
        <w:gridCol w:w="1283"/>
      </w:tblGrid>
      <w:tr>
        <w:trPr/>
        <w:tc>
          <w:tcPr>
            <w:tcW w:w="868" w:type="dxa"/>
            <w:tcBorders/>
            <w:shd w:fill="auto" w:val="clear"/>
            <w:vAlign w:val="center"/>
          </w:tcPr>
          <w:p>
            <w:pPr>
              <w:pStyle w:val="TableContents"/>
              <w:spacing w:before="0" w:after="283"/>
              <w:rPr>
                <w:sz w:val="4"/>
                <w:szCs w:val="4"/>
              </w:rPr>
            </w:pPr>
            <w:r>
              <w:rPr>
                <w:sz w:val="4"/>
                <w:szCs w:val="4"/>
              </w:rPr>
            </w:r>
          </w:p>
        </w:tc>
        <w:tc>
          <w:tcPr>
            <w:tcW w:w="761" w:type="dxa"/>
            <w:tcBorders/>
            <w:shd w:fill="auto" w:val="clear"/>
            <w:vAlign w:val="center"/>
          </w:tcPr>
          <w:p>
            <w:pPr>
              <w:pStyle w:val="TableContents"/>
              <w:spacing w:before="0" w:after="283"/>
              <w:rPr>
                <w:sz w:val="4"/>
                <w:szCs w:val="4"/>
              </w:rPr>
            </w:pPr>
            <w:r>
              <w:rPr>
                <w:sz w:val="4"/>
                <w:szCs w:val="4"/>
              </w:rPr>
            </w:r>
          </w:p>
        </w:tc>
        <w:tc>
          <w:tcPr>
            <w:tcW w:w="761" w:type="dxa"/>
            <w:tcBorders/>
            <w:shd w:fill="auto" w:val="clear"/>
            <w:vAlign w:val="center"/>
          </w:tcPr>
          <w:p>
            <w:pPr>
              <w:pStyle w:val="TableContents"/>
              <w:spacing w:before="0" w:after="283"/>
              <w:rPr>
                <w:sz w:val="4"/>
                <w:szCs w:val="4"/>
              </w:rPr>
            </w:pPr>
            <w:r>
              <w:rPr>
                <w:sz w:val="4"/>
                <w:szCs w:val="4"/>
              </w:rPr>
            </w:r>
          </w:p>
        </w:tc>
        <w:tc>
          <w:tcPr>
            <w:tcW w:w="761" w:type="dxa"/>
            <w:tcBorders/>
            <w:shd w:fill="auto" w:val="clear"/>
            <w:vAlign w:val="center"/>
          </w:tcPr>
          <w:p>
            <w:pPr>
              <w:pStyle w:val="TableContents"/>
              <w:spacing w:before="0" w:after="283"/>
              <w:rPr>
                <w:sz w:val="4"/>
                <w:szCs w:val="4"/>
              </w:rPr>
            </w:pPr>
            <w:r>
              <w:rPr>
                <w:sz w:val="4"/>
                <w:szCs w:val="4"/>
              </w:rPr>
            </w:r>
          </w:p>
        </w:tc>
        <w:tc>
          <w:tcPr>
            <w:tcW w:w="761"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96" w:type="dxa"/>
            <w:tcBorders/>
            <w:shd w:fill="auto" w:val="clear"/>
            <w:vAlign w:val="center"/>
          </w:tcPr>
          <w:p>
            <w:pPr>
              <w:pStyle w:val="TableContents"/>
              <w:spacing w:before="0" w:after="283"/>
              <w:rPr>
                <w:sz w:val="4"/>
                <w:szCs w:val="4"/>
              </w:rPr>
            </w:pPr>
            <w:r>
              <w:rPr>
                <w:sz w:val="4"/>
                <w:szCs w:val="4"/>
              </w:rPr>
            </w:r>
          </w:p>
        </w:tc>
        <w:tc>
          <w:tcPr>
            <w:tcW w:w="896" w:type="dxa"/>
            <w:tcBorders/>
            <w:shd w:fill="auto" w:val="clear"/>
            <w:vAlign w:val="center"/>
          </w:tcPr>
          <w:p>
            <w:pPr>
              <w:pStyle w:val="TableContents"/>
              <w:spacing w:before="0" w:after="283"/>
              <w:rPr>
                <w:sz w:val="4"/>
                <w:szCs w:val="4"/>
              </w:rPr>
            </w:pPr>
            <w:r>
              <w:rPr>
                <w:sz w:val="4"/>
                <w:szCs w:val="4"/>
              </w:rPr>
            </w:r>
          </w:p>
        </w:tc>
        <w:tc>
          <w:tcPr>
            <w:tcW w:w="1283" w:type="dxa"/>
            <w:tcBorders/>
            <w:shd w:fill="auto" w:val="clear"/>
            <w:vAlign w:val="center"/>
          </w:tcPr>
          <w:p>
            <w:pPr>
              <w:pStyle w:val="TableContents"/>
              <w:spacing w:before="0" w:after="283"/>
              <w:rPr>
                <w:sz w:val="4"/>
                <w:szCs w:val="4"/>
              </w:rPr>
            </w:pPr>
            <w:r>
              <w:rPr>
                <w:sz w:val="4"/>
                <w:szCs w:val="4"/>
              </w:rPr>
            </w:r>
          </w:p>
        </w:tc>
      </w:tr>
      <w:tr>
        <w:trPr/>
        <w:tc>
          <w:tcPr>
            <w:tcW w:w="4693" w:type="dxa"/>
            <w:gridSpan w:val="6"/>
            <w:tcBorders/>
            <w:shd w:fill="auto" w:val="clear"/>
            <w:tcMar>
              <w:top w:w="0" w:type="dxa"/>
              <w:left w:w="0" w:type="dxa"/>
              <w:bottom w:w="0" w:type="dxa"/>
              <w:right w:w="0" w:type="dxa"/>
            </w:tcMar>
            <w:vAlign w:val="center"/>
          </w:tcPr>
          <w:p>
            <w:pPr>
              <w:pStyle w:val="TableContents"/>
              <w:spacing w:lineRule="auto" w:line="240" w:before="0" w:after="240"/>
              <w:jc w:val="center"/>
              <w:rPr>
                <w:rFonts w:ascii="Times New Roman;sans-serif" w:hAnsi="Times New Roman;sans-serif"/>
                <w:b/>
                <w:color w:val="000000"/>
                <w:sz w:val="16"/>
              </w:rPr>
            </w:pPr>
            <w:r>
              <w:rPr>
                <w:rFonts w:ascii="Times New Roman;sans-serif" w:hAnsi="Times New Roman;sans-serif"/>
                <w:b/>
                <w:color w:val="000000"/>
                <w:sz w:val="16"/>
              </w:rPr>
              <w:t>DE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9"/>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75" w:type="dxa"/>
            <w:gridSpan w:val="3"/>
            <w:tcBorders/>
            <w:shd w:fill="auto" w:val="clear"/>
            <w:tcMar>
              <w:top w:w="0" w:type="dxa"/>
              <w:left w:w="0" w:type="dxa"/>
              <w:bottom w:w="0" w:type="dxa"/>
              <w:right w:w="0" w:type="dxa"/>
            </w:tcMar>
            <w:vAlign w:val="center"/>
          </w:tcPr>
          <w:p>
            <w:pPr>
              <w:pStyle w:val="TableContents"/>
              <w:spacing w:lineRule="auto" w:line="240" w:before="0" w:after="240"/>
              <w:jc w:val="center"/>
              <w:rPr>
                <w:rFonts w:ascii="Times New Roman;sans-serif" w:hAnsi="Times New Roman;sans-serif"/>
                <w:b/>
                <w:color w:val="000000"/>
                <w:sz w:val="16"/>
              </w:rPr>
            </w:pPr>
            <w:r>
              <w:rPr>
                <w:rFonts w:ascii="Times New Roman;sans-serif" w:hAnsi="Times New Roman;sans-serif"/>
                <w:b/>
                <w:color w:val="000000"/>
                <w:sz w:val="16"/>
              </w:rPr>
              <w:t>46-5001985</w:t>
            </w:r>
          </w:p>
        </w:tc>
      </w:tr>
      <w:tr>
        <w:trPr/>
        <w:tc>
          <w:tcPr>
            <w:tcW w:w="4693" w:type="dxa"/>
            <w:gridSpan w:val="6"/>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(State or Other Jurisdiction of Incorporation or Organization)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9"/>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75" w:type="dxa"/>
            <w:gridSpan w:val="3"/>
            <w:tcBorders/>
            <w:shd w:fill="auto" w:val="clear"/>
            <w:tcMar>
              <w:top w:w="0" w:type="dxa"/>
              <w:left w:w="0" w:type="dxa"/>
              <w:bottom w:w="0" w:type="dxa"/>
              <w:right w:w="0" w:type="dxa"/>
            </w:tcMar>
            <w:vAlign w:val="center"/>
          </w:tcPr>
          <w:p>
            <w:pPr>
              <w:pStyle w:val="TableContents"/>
              <w:spacing w:lineRule="auto" w:line="240" w:before="0" w:after="240"/>
              <w:jc w:val="center"/>
              <w:rPr>
                <w:rFonts w:ascii="Times New Roman;sans-serif" w:hAnsi="Times New Roman;sans-serif"/>
                <w:b/>
                <w:color w:val="000000"/>
                <w:sz w:val="16"/>
              </w:rPr>
            </w:pPr>
            <w:r>
              <w:rPr>
                <w:rFonts w:ascii="Times New Roman;sans-serif" w:hAnsi="Times New Roman;sans-serif"/>
                <w:b/>
                <w:color w:val="000000"/>
                <w:sz w:val="16"/>
              </w:rPr>
              <w:t>(I.R.S. Employer Identification Number)</w:t>
            </w:r>
          </w:p>
        </w:tc>
      </w:tr>
      <w:tr>
        <w:trPr/>
        <w:tc>
          <w:tcPr>
            <w:tcW w:w="4693"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93" w:type="dxa"/>
            <w:gridSpan w:val="6"/>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500 West Texas Ave.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93" w:type="dxa"/>
            <w:gridSpan w:val="6"/>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Suite 100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93" w:type="dxa"/>
            <w:gridSpan w:val="6"/>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Midland, TX</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7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79701</w:t>
            </w:r>
          </w:p>
        </w:tc>
      </w:tr>
      <w:tr>
        <w:trPr/>
        <w:tc>
          <w:tcPr>
            <w:tcW w:w="4693" w:type="dxa"/>
            <w:gridSpan w:val="6"/>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(Address of principal executive offices)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7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(Zip code)</w:t>
            </w:r>
          </w:p>
        </w:tc>
      </w:tr>
    </w:tbl>
    <w:p>
      <w:pPr>
        <w:pStyle w:val="TextBody"/>
        <w:spacing w:lineRule="auto" w:line="345" w:before="0" w:after="0"/>
        <w:jc w:val="center"/>
        <w:rPr>
          <w:rFonts w:ascii="Times New Roman;sans-serif" w:hAnsi="Times New Roman;sans-serif"/>
          <w:b/>
          <w:color w:val="000000"/>
          <w:sz w:val="18"/>
        </w:rPr>
      </w:pPr>
      <w:r>
        <w:rPr>
          <w:rFonts w:ascii="Times New Roman;sans-serif" w:hAnsi="Times New Roman;sans-serif"/>
          <w:b/>
          <w:color w:val="000000"/>
          <w:sz w:val="18"/>
        </w:rPr>
        <w:t xml:space="preserve">(432) 221-7400 </w:t>
      </w:r>
    </w:p>
    <w:p>
      <w:pPr>
        <w:pStyle w:val="TextBody"/>
        <w:spacing w:lineRule="auto" w:line="264" w:before="0" w:after="0"/>
        <w:jc w:val="center"/>
        <w:rPr>
          <w:rFonts w:ascii="Times New Roman;sans-serif" w:hAnsi="Times New Roman;sans-serif"/>
          <w:b/>
          <w:color w:val="000000"/>
          <w:sz w:val="16"/>
        </w:rPr>
      </w:pPr>
      <w:r>
        <w:rPr>
          <w:rFonts w:ascii="Times New Roman;sans-serif" w:hAnsi="Times New Roman;sans-serif"/>
          <w:b/>
          <w:color w:val="000000"/>
          <w:sz w:val="16"/>
        </w:rPr>
        <w:t>(Registrant's telephone number, including area code)</w:t>
      </w:r>
    </w:p>
    <w:p>
      <w:pPr>
        <w:pStyle w:val="TextBody"/>
        <w:spacing w:lineRule="auto" w:line="288" w:before="0" w:after="0"/>
        <w:jc w:val="center"/>
        <w:rPr>
          <w:color w:val="000000"/>
        </w:rPr>
      </w:pPr>
      <w:r>
        <w:rPr>
          <w:color w:val="000000"/>
        </w:rPr>
        <w:t> </w:t>
      </w:r>
    </w:p>
    <w:p>
      <w:pPr>
        <w:pStyle w:val="TextBody"/>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Securities registered pursuant to Section 12(b) of the Securities Exchange Act of 1934:</w:t>
      </w:r>
    </w:p>
    <w:tbl>
      <w:tblPr>
        <w:tblW w:w="7145" w:type="dxa"/>
        <w:jc w:val="center"/>
        <w:tblInd w:w="0" w:type="dxa"/>
        <w:tblCellMar>
          <w:top w:w="28" w:type="dxa"/>
          <w:left w:w="28" w:type="dxa"/>
          <w:bottom w:w="28" w:type="dxa"/>
          <w:right w:w="28" w:type="dxa"/>
        </w:tblCellMar>
      </w:tblPr>
      <w:tblGrid>
        <w:gridCol w:w="124"/>
        <w:gridCol w:w="109"/>
        <w:gridCol w:w="109"/>
        <w:gridCol w:w="459"/>
        <w:gridCol w:w="459"/>
        <w:gridCol w:w="462"/>
        <w:gridCol w:w="109"/>
        <w:gridCol w:w="109"/>
        <w:gridCol w:w="109"/>
        <w:gridCol w:w="484"/>
        <w:gridCol w:w="484"/>
        <w:gridCol w:w="486"/>
        <w:gridCol w:w="1089"/>
        <w:gridCol w:w="1089"/>
        <w:gridCol w:w="1092"/>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59" w:type="dxa"/>
            <w:tcBorders/>
            <w:shd w:fill="auto" w:val="clear"/>
            <w:vAlign w:val="center"/>
          </w:tcPr>
          <w:p>
            <w:pPr>
              <w:pStyle w:val="TableContents"/>
              <w:spacing w:before="0" w:after="283"/>
              <w:rPr>
                <w:sz w:val="4"/>
                <w:szCs w:val="4"/>
              </w:rPr>
            </w:pPr>
            <w:r>
              <w:rPr>
                <w:sz w:val="4"/>
                <w:szCs w:val="4"/>
              </w:rPr>
            </w:r>
          </w:p>
        </w:tc>
        <w:tc>
          <w:tcPr>
            <w:tcW w:w="459" w:type="dxa"/>
            <w:tcBorders/>
            <w:shd w:fill="auto" w:val="clear"/>
            <w:vAlign w:val="center"/>
          </w:tcPr>
          <w:p>
            <w:pPr>
              <w:pStyle w:val="TableContents"/>
              <w:spacing w:before="0" w:after="283"/>
              <w:rPr>
                <w:sz w:val="4"/>
                <w:szCs w:val="4"/>
              </w:rPr>
            </w:pPr>
            <w:r>
              <w:rPr>
                <w:sz w:val="4"/>
                <w:szCs w:val="4"/>
              </w:rPr>
            </w:r>
          </w:p>
        </w:tc>
        <w:tc>
          <w:tcPr>
            <w:tcW w:w="46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84" w:type="dxa"/>
            <w:tcBorders/>
            <w:shd w:fill="auto" w:val="clear"/>
            <w:vAlign w:val="center"/>
          </w:tcPr>
          <w:p>
            <w:pPr>
              <w:pStyle w:val="TableContents"/>
              <w:spacing w:before="0" w:after="283"/>
              <w:rPr>
                <w:sz w:val="4"/>
                <w:szCs w:val="4"/>
              </w:rPr>
            </w:pPr>
            <w:r>
              <w:rPr>
                <w:sz w:val="4"/>
                <w:szCs w:val="4"/>
              </w:rPr>
            </w:r>
          </w:p>
        </w:tc>
        <w:tc>
          <w:tcPr>
            <w:tcW w:w="484" w:type="dxa"/>
            <w:tcBorders/>
            <w:shd w:fill="auto" w:val="clear"/>
            <w:vAlign w:val="center"/>
          </w:tcPr>
          <w:p>
            <w:pPr>
              <w:pStyle w:val="TableContents"/>
              <w:spacing w:before="0" w:after="283"/>
              <w:rPr>
                <w:sz w:val="4"/>
                <w:szCs w:val="4"/>
              </w:rPr>
            </w:pPr>
            <w:r>
              <w:rPr>
                <w:sz w:val="4"/>
                <w:szCs w:val="4"/>
              </w:rPr>
            </w:r>
          </w:p>
        </w:tc>
        <w:tc>
          <w:tcPr>
            <w:tcW w:w="486" w:type="dxa"/>
            <w:tcBorders/>
            <w:shd w:fill="auto" w:val="clear"/>
            <w:vAlign w:val="center"/>
          </w:tcPr>
          <w:p>
            <w:pPr>
              <w:pStyle w:val="TableContents"/>
              <w:spacing w:before="0" w:after="283"/>
              <w:rPr>
                <w:sz w:val="4"/>
                <w:szCs w:val="4"/>
              </w:rPr>
            </w:pPr>
            <w:r>
              <w:rPr>
                <w:sz w:val="4"/>
                <w:szCs w:val="4"/>
              </w:rPr>
            </w:r>
          </w:p>
        </w:tc>
        <w:tc>
          <w:tcPr>
            <w:tcW w:w="1089" w:type="dxa"/>
            <w:tcBorders/>
            <w:shd w:fill="auto" w:val="clear"/>
            <w:vAlign w:val="center"/>
          </w:tcPr>
          <w:p>
            <w:pPr>
              <w:pStyle w:val="TableContents"/>
              <w:spacing w:before="0" w:after="283"/>
              <w:rPr>
                <w:sz w:val="4"/>
                <w:szCs w:val="4"/>
              </w:rPr>
            </w:pPr>
            <w:r>
              <w:rPr>
                <w:sz w:val="4"/>
                <w:szCs w:val="4"/>
              </w:rPr>
            </w:r>
          </w:p>
        </w:tc>
        <w:tc>
          <w:tcPr>
            <w:tcW w:w="1089" w:type="dxa"/>
            <w:tcBorders/>
            <w:shd w:fill="auto" w:val="clear"/>
            <w:vAlign w:val="center"/>
          </w:tcPr>
          <w:p>
            <w:pPr>
              <w:pStyle w:val="TableContents"/>
              <w:spacing w:before="0" w:after="283"/>
              <w:rPr>
                <w:sz w:val="4"/>
                <w:szCs w:val="4"/>
              </w:rPr>
            </w:pPr>
            <w:r>
              <w:rPr>
                <w:sz w:val="4"/>
                <w:szCs w:val="4"/>
              </w:rPr>
            </w:r>
          </w:p>
        </w:tc>
        <w:tc>
          <w:tcPr>
            <w:tcW w:w="109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u w:val="single"/>
              </w:rPr>
            </w:pPr>
            <w:r>
              <w:rPr>
                <w:rFonts w:ascii="Times New Roman;sans-serif" w:hAnsi="Times New Roman;sans-serif"/>
                <w:b/>
                <w:color w:val="000000"/>
                <w:sz w:val="16"/>
                <w:u w:val="single"/>
              </w:rPr>
              <w:t>Title of each class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u w:val="single"/>
              </w:rPr>
            </w:pPr>
            <w:r>
              <w:rPr>
                <w:rFonts w:ascii="Times New Roman;sans-serif" w:hAnsi="Times New Roman;sans-serif"/>
                <w:b/>
                <w:color w:val="000000"/>
                <w:sz w:val="16"/>
                <w:u w:val="single"/>
              </w:rPr>
              <w:t>Trading Symbol(s)</w:t>
            </w:r>
          </w:p>
        </w:tc>
        <w:tc>
          <w:tcPr>
            <w:tcW w:w="327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u w:val="single"/>
              </w:rPr>
            </w:pPr>
            <w:r>
              <w:rPr>
                <w:rFonts w:ascii="Times New Roman;sans-serif" w:hAnsi="Times New Roman;sans-serif"/>
                <w:b/>
                <w:color w:val="000000"/>
                <w:sz w:val="16"/>
                <w:u w:val="single"/>
              </w:rPr>
              <w:t>Name of each exchange on which registered</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Common Units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VNOM</w:t>
            </w:r>
          </w:p>
        </w:tc>
        <w:tc>
          <w:tcPr>
            <w:tcW w:w="327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The Nasdaq Stock Market LLC</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(NASDAQ Global Select Market)</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100" w:after="283"/>
        <w:jc w:val="center"/>
        <w:rPr/>
      </w:pPr>
      <w:r>
        <w:rPr/>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color w:val="000000"/>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Times New Roman;sans-serif" w:hAnsi="Times New Roman;sans-serif"/>
          <w:b w:val="false"/>
          <w:color w:val="000000"/>
          <w:sz w:val="16"/>
        </w:rPr>
        <w:t>No  </w:t>
      </w:r>
      <w:r>
        <w:rPr>
          <w:color w:val="000000"/>
        </w:rPr>
        <w:t xml:space="preserve">☐ </w:t>
      </w:r>
    </w:p>
    <w:p>
      <w:pPr>
        <w:pStyle w:val="TextBody"/>
        <w:spacing w:lineRule="auto" w:line="288" w:before="0" w:after="0"/>
        <w:jc w:val="both"/>
        <w:rPr>
          <w:color w:val="000000"/>
        </w:rPr>
      </w:pPr>
      <w:r>
        <w:rPr>
          <w:color w:val="000000"/>
        </w:rPr>
        <w:t> </w:t>
      </w:r>
    </w:p>
    <w:p>
      <w:pPr>
        <w:pStyle w:val="TextBody"/>
        <w:spacing w:lineRule="auto" w:line="288" w:before="0" w:after="0"/>
        <w:jc w:val="both"/>
        <w:rPr/>
      </w:pPr>
      <w:r>
        <w:rPr>
          <w:rFonts w:ascii="Times New Roman;sans-serif" w:hAnsi="Times New Roman;sans-serif"/>
          <w:b w:val="false"/>
          <w:color w:val="000000"/>
          <w:sz w:val="16"/>
        </w:rPr>
        <w:t>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color w:val="000000"/>
        </w:rPr>
        <w:t>☒    </w:t>
      </w:r>
      <w:r>
        <w:rPr>
          <w:rFonts w:ascii="Times New Roman;sans-serif" w:hAnsi="Times New Roman;sans-serif"/>
          <w:b w:val="false"/>
          <w:color w:val="000000"/>
          <w:sz w:val="16"/>
        </w:rPr>
        <w:t>No  </w:t>
      </w:r>
      <w:r>
        <w:rPr>
          <w:color w:val="000000"/>
        </w:rPr>
        <w:t xml:space="preserve">☐ </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tbl>
      <w:tblPr>
        <w:tblW w:w="5506" w:type="dxa"/>
        <w:jc w:val="left"/>
        <w:tblInd w:w="0" w:type="dxa"/>
        <w:tblCellMar>
          <w:top w:w="28" w:type="dxa"/>
          <w:left w:w="28" w:type="dxa"/>
          <w:bottom w:w="28" w:type="dxa"/>
          <w:right w:w="28" w:type="dxa"/>
        </w:tblCellMar>
      </w:tblPr>
      <w:tblGrid>
        <w:gridCol w:w="630"/>
        <w:gridCol w:w="553"/>
        <w:gridCol w:w="557"/>
        <w:gridCol w:w="109"/>
        <w:gridCol w:w="109"/>
        <w:gridCol w:w="109"/>
        <w:gridCol w:w="109"/>
        <w:gridCol w:w="109"/>
        <w:gridCol w:w="109"/>
        <w:gridCol w:w="109"/>
        <w:gridCol w:w="109"/>
        <w:gridCol w:w="109"/>
        <w:gridCol w:w="694"/>
        <w:gridCol w:w="694"/>
        <w:gridCol w:w="698"/>
        <w:gridCol w:w="109"/>
        <w:gridCol w:w="109"/>
        <w:gridCol w:w="109"/>
        <w:gridCol w:w="109"/>
        <w:gridCol w:w="109"/>
        <w:gridCol w:w="154"/>
      </w:tblGrid>
      <w:tr>
        <w:trPr/>
        <w:tc>
          <w:tcPr>
            <w:tcW w:w="630" w:type="dxa"/>
            <w:tcBorders/>
            <w:shd w:fill="auto" w:val="clear"/>
            <w:vAlign w:val="center"/>
          </w:tcPr>
          <w:p>
            <w:pPr>
              <w:pStyle w:val="TableContents"/>
              <w:spacing w:before="0" w:after="283"/>
              <w:rPr>
                <w:sz w:val="4"/>
                <w:szCs w:val="4"/>
              </w:rPr>
            </w:pPr>
            <w:r>
              <w:rPr>
                <w:sz w:val="4"/>
                <w:szCs w:val="4"/>
              </w:rPr>
            </w:r>
          </w:p>
        </w:tc>
        <w:tc>
          <w:tcPr>
            <w:tcW w:w="553" w:type="dxa"/>
            <w:tcBorders/>
            <w:shd w:fill="auto" w:val="clear"/>
            <w:vAlign w:val="center"/>
          </w:tcPr>
          <w:p>
            <w:pPr>
              <w:pStyle w:val="TableContents"/>
              <w:spacing w:before="0" w:after="283"/>
              <w:rPr>
                <w:sz w:val="4"/>
                <w:szCs w:val="4"/>
              </w:rPr>
            </w:pPr>
            <w:r>
              <w:rPr>
                <w:sz w:val="4"/>
                <w:szCs w:val="4"/>
              </w:rPr>
            </w:r>
          </w:p>
        </w:tc>
        <w:tc>
          <w:tcPr>
            <w:tcW w:w="55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94" w:type="dxa"/>
            <w:tcBorders/>
            <w:shd w:fill="auto" w:val="clear"/>
            <w:vAlign w:val="center"/>
          </w:tcPr>
          <w:p>
            <w:pPr>
              <w:pStyle w:val="TableContents"/>
              <w:spacing w:before="0" w:after="283"/>
              <w:rPr>
                <w:sz w:val="4"/>
                <w:szCs w:val="4"/>
              </w:rPr>
            </w:pPr>
            <w:r>
              <w:rPr>
                <w:sz w:val="4"/>
                <w:szCs w:val="4"/>
              </w:rPr>
            </w:r>
          </w:p>
        </w:tc>
        <w:tc>
          <w:tcPr>
            <w:tcW w:w="694" w:type="dxa"/>
            <w:tcBorders/>
            <w:shd w:fill="auto" w:val="clear"/>
            <w:vAlign w:val="center"/>
          </w:tcPr>
          <w:p>
            <w:pPr>
              <w:pStyle w:val="TableContents"/>
              <w:spacing w:before="0" w:after="283"/>
              <w:rPr>
                <w:sz w:val="4"/>
                <w:szCs w:val="4"/>
              </w:rPr>
            </w:pPr>
            <w:r>
              <w:rPr>
                <w:sz w:val="4"/>
                <w:szCs w:val="4"/>
              </w:rPr>
            </w:r>
          </w:p>
        </w:tc>
        <w:tc>
          <w:tcPr>
            <w:tcW w:w="69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7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Large Accelerated Filer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color w:val="000000"/>
              </w:rPr>
            </w:pP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8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Accelerated Filer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color w:val="000000"/>
              </w:rPr>
            </w:pPr>
            <w:r>
              <w:rPr>
                <w:color w:val="000000"/>
              </w:rPr>
              <w:t>☐</w:t>
            </w:r>
          </w:p>
        </w:tc>
      </w:tr>
      <w:tr>
        <w:trPr/>
        <w:tc>
          <w:tcPr>
            <w:tcW w:w="2394" w:type="dxa"/>
            <w:gridSpan w:val="9"/>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13"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9"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Non-Accelerated Filer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color w:val="000000"/>
              </w:rPr>
            </w:pP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8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Smaller Reporting Company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color w:val="000000"/>
              </w:rPr>
            </w:pPr>
            <w:r>
              <w:rPr>
                <w:color w:val="000000"/>
              </w:rPr>
              <w:t>☐</w:t>
            </w:r>
          </w:p>
        </w:tc>
      </w:tr>
      <w:tr>
        <w:trPr/>
        <w:tc>
          <w:tcPr>
            <w:tcW w:w="17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8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Emerging Growth Company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color w:val="000000"/>
              </w:rPr>
            </w:pPr>
            <w:r>
              <w:rPr>
                <w:color w:val="000000"/>
              </w:rPr>
              <w:t>☐</w:t>
            </w:r>
          </w:p>
        </w:tc>
      </w:tr>
    </w:tbl>
    <w:p>
      <w:pPr>
        <w:pStyle w:val="TextBody"/>
        <w:spacing w:lineRule="auto" w:line="288" w:before="0" w:after="0"/>
        <w:jc w:val="both"/>
        <w:rPr/>
      </w:pPr>
      <w:r>
        <w:rPr>
          <w:rFonts w:ascii="Times New Roman;sans-serif" w:hAnsi="Times New Roman;sans-serif"/>
          <w:b w:val="false"/>
          <w:color w:val="000000"/>
          <w:sz w:val="16"/>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 xml:space="preserve">☐ </w:t>
      </w:r>
    </w:p>
    <w:p>
      <w:pPr>
        <w:pStyle w:val="TextBody"/>
        <w:spacing w:before="0" w:after="0"/>
        <w:rPr/>
      </w:pPr>
      <w:r>
        <w:rPr/>
      </w:r>
    </w:p>
    <w:p>
      <w:pPr>
        <w:pStyle w:val="TextBody"/>
        <w:spacing w:lineRule="auto" w:line="288" w:before="0" w:after="0"/>
        <w:rPr/>
      </w:pPr>
      <w:r>
        <w:rPr>
          <w:rFonts w:ascii="Times New Roman;sans-serif" w:hAnsi="Times New Roman;sans-serif"/>
          <w:b w:val="false"/>
          <w:color w:val="000000"/>
          <w:sz w:val="16"/>
        </w:rPr>
        <w:t>Indicate by check mark whether the registrant is a shell company (as defined in Rule 12b-2 of the Exchange Act).    Yes  </w:t>
      </w:r>
      <w:r>
        <w:rPr>
          <w:color w:val="000000"/>
        </w:rPr>
        <w:t>☐     </w:t>
      </w:r>
      <w:r>
        <w:rPr>
          <w:rFonts w:ascii="Times New Roman;sans-serif" w:hAnsi="Times New Roman;sans-serif"/>
          <w:b w:val="false"/>
          <w:color w:val="000000"/>
          <w:sz w:val="16"/>
        </w:rPr>
        <w:t>No  </w:t>
      </w:r>
      <w:r>
        <w:rPr>
          <w:color w:val="000000"/>
        </w:rPr>
        <w:t>☒ </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As of April 28, 2023, the registrant had outstanding 72,016,622 common units representing limited partner interests and 90,709,946 Class B units representing limited partner interests.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both"/>
                        <w:rPr/>
                      </w:pPr>
                      <w:r>
                        <w:rPr/>
                      </w:r>
                    </w:p>
                  </w:txbxContent>
                </v:textbox>
              </v:rect>
            </w:pict>
          </mc:Fallback>
        </mc:AlternateContent>
      </w:r>
    </w:p>
    <w:p>
      <w:pPr>
        <w:pStyle w:val="TextBody"/>
        <w:spacing w:before="0" w:after="0"/>
        <w:rPr/>
      </w:pPr>
      <w:r>
        <w:rPr/>
      </w:r>
    </w:p>
    <w:p>
      <w:pPr>
        <w:pStyle w:val="TextBody"/>
        <w:spacing w:lineRule="auto" w:line="556" w:before="0" w:after="0"/>
        <w:jc w:val="center"/>
        <w:rPr>
          <w:rFonts w:ascii="Times New Roman;sans-serif" w:hAnsi="Times New Roman;sans-serif"/>
          <w:b/>
          <w:color w:val="000000"/>
          <w:sz w:val="20"/>
        </w:rPr>
      </w:pPr>
      <w:r>
        <w:rPr>
          <w:rFonts w:ascii="Times New Roman;sans-serif" w:hAnsi="Times New Roman;sans-serif"/>
          <w:b/>
          <w:color w:val="000000"/>
          <w:sz w:val="20"/>
        </w:rPr>
        <w:t>VIPER ENERGY PARTNERS LP</w:t>
      </w:r>
    </w:p>
    <w:p>
      <w:pPr>
        <w:pStyle w:val="TextBody"/>
        <w:spacing w:lineRule="auto" w:line="556" w:before="0" w:after="0"/>
        <w:jc w:val="center"/>
        <w:rPr>
          <w:rFonts w:ascii="Times New Roman;sans-serif" w:hAnsi="Times New Roman;sans-serif"/>
          <w:b/>
          <w:color w:val="000000"/>
          <w:sz w:val="20"/>
        </w:rPr>
      </w:pPr>
      <w:r>
        <w:rPr>
          <w:rFonts w:ascii="Times New Roman;sans-serif" w:hAnsi="Times New Roman;sans-serif"/>
          <w:b/>
          <w:color w:val="000000"/>
          <w:sz w:val="20"/>
        </w:rPr>
        <w:t>FORM 10-Q</w:t>
      </w:r>
    </w:p>
    <w:p>
      <w:pPr>
        <w:pStyle w:val="TextBody"/>
        <w:spacing w:lineRule="auto" w:line="556"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FOR THE QUARTER ENDED MARCH 31, 2023 </w:t>
      </w:r>
    </w:p>
    <w:p>
      <w:pPr>
        <w:pStyle w:val="TextBody"/>
        <w:spacing w:lineRule="auto" w:line="556" w:before="0" w:after="0"/>
        <w:jc w:val="center"/>
        <w:rPr>
          <w:rFonts w:ascii="Times New Roman;sans-serif" w:hAnsi="Times New Roman;sans-serif"/>
          <w:b/>
          <w:color w:val="000000"/>
          <w:sz w:val="20"/>
        </w:rPr>
      </w:pPr>
      <w:r>
        <w:rPr>
          <w:rFonts w:ascii="Times New Roman;sans-serif" w:hAnsi="Times New Roman;sans-serif"/>
          <w:b/>
          <w:color w:val="000000"/>
          <w:sz w:val="20"/>
        </w:rPr>
        <w:t>TABLE OF CONTENTS</w:t>
      </w:r>
    </w:p>
    <w:tbl>
      <w:tblPr>
        <w:tblW w:w="8521" w:type="dxa"/>
        <w:jc w:val="left"/>
        <w:tblInd w:w="0" w:type="dxa"/>
        <w:tblCellMar>
          <w:top w:w="28" w:type="dxa"/>
          <w:left w:w="28" w:type="dxa"/>
          <w:bottom w:w="28" w:type="dxa"/>
          <w:right w:w="28" w:type="dxa"/>
        </w:tblCellMar>
      </w:tblPr>
      <w:tblGrid>
        <w:gridCol w:w="2889"/>
        <w:gridCol w:w="2541"/>
        <w:gridCol w:w="2550"/>
        <w:gridCol w:w="158"/>
        <w:gridCol w:w="158"/>
        <w:gridCol w:w="225"/>
      </w:tblGrid>
      <w:tr>
        <w:trPr/>
        <w:tc>
          <w:tcPr>
            <w:tcW w:w="2889" w:type="dxa"/>
            <w:tcBorders/>
            <w:shd w:fill="auto" w:val="clear"/>
            <w:vAlign w:val="center"/>
          </w:tcPr>
          <w:p>
            <w:pPr>
              <w:pStyle w:val="TableContents"/>
              <w:spacing w:before="0" w:after="283"/>
              <w:rPr>
                <w:sz w:val="4"/>
                <w:szCs w:val="4"/>
              </w:rPr>
            </w:pPr>
            <w:r>
              <w:rPr>
                <w:sz w:val="4"/>
                <w:szCs w:val="4"/>
              </w:rPr>
            </w:r>
          </w:p>
        </w:tc>
        <w:tc>
          <w:tcPr>
            <w:tcW w:w="2541" w:type="dxa"/>
            <w:tcBorders/>
            <w:shd w:fill="auto" w:val="clear"/>
            <w:vAlign w:val="center"/>
          </w:tcPr>
          <w:p>
            <w:pPr>
              <w:pStyle w:val="TableContents"/>
              <w:spacing w:before="0" w:after="283"/>
              <w:rPr>
                <w:sz w:val="4"/>
                <w:szCs w:val="4"/>
              </w:rPr>
            </w:pPr>
            <w:r>
              <w:rPr>
                <w:sz w:val="4"/>
                <w:szCs w:val="4"/>
              </w:rPr>
            </w:r>
          </w:p>
        </w:tc>
        <w:tc>
          <w:tcPr>
            <w:tcW w:w="2550"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r>
      <w:tr>
        <w:trPr/>
        <w:tc>
          <w:tcPr>
            <w:tcW w:w="79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Page</w:t>
            </w:r>
          </w:p>
        </w:tc>
      </w:tr>
      <w:tr>
        <w:trPr/>
        <w:tc>
          <w:tcPr>
            <w:tcW w:w="798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8dd89f0c72444a288e2bb25168f12b04_10">
              <w:r>
                <w:rPr>
                  <w:rStyle w:val="InternetLink"/>
                  <w:rFonts w:ascii="Times New Roman;sans-serif" w:hAnsi="Times New Roman;sans-serif"/>
                  <w:b w:val="false"/>
                  <w:color w:val="0000FF"/>
                  <w:sz w:val="20"/>
                  <w:u w:val="single"/>
                </w:rPr>
                <w:t>Glossary of Oil and Natural Gas Terms</w:t>
              </w:r>
            </w:hyperlink>
          </w:p>
        </w:tc>
        <w:tc>
          <w:tcPr>
            <w:tcW w:w="54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0"/>
              <w:jc w:val="center"/>
              <w:rPr/>
            </w:pPr>
            <w:hyperlink w:anchor="i8dd89f0c72444a288e2bb25168f12b04_10">
              <w:r>
                <w:rPr>
                  <w:rStyle w:val="InternetLink"/>
                  <w:rFonts w:ascii="Times New Roman;sans-serif" w:hAnsi="Times New Roman;sans-serif"/>
                  <w:b w:val="false"/>
                  <w:color w:val="0000FF"/>
                  <w:sz w:val="20"/>
                  <w:u w:val="single"/>
                </w:rPr>
                <w:t>ii</w:t>
              </w:r>
            </w:hyperlink>
          </w:p>
        </w:tc>
      </w:tr>
      <w:tr>
        <w:trPr/>
        <w:tc>
          <w:tcPr>
            <w:tcW w:w="798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8dd89f0c72444a288e2bb25168f12b04_13">
              <w:r>
                <w:rPr>
                  <w:rStyle w:val="InternetLink"/>
                  <w:rFonts w:ascii="Times New Roman;sans-serif" w:hAnsi="Times New Roman;sans-serif"/>
                  <w:b w:val="false"/>
                  <w:color w:val="0000FF"/>
                  <w:sz w:val="20"/>
                  <w:u w:val="single"/>
                </w:rPr>
                <w:t>Glossary of Certain Other Terms</w:t>
              </w:r>
            </w:hyperlink>
          </w:p>
        </w:tc>
        <w:tc>
          <w:tcPr>
            <w:tcW w:w="541" w:type="dxa"/>
            <w:gridSpan w:val="3"/>
            <w:tcBorders/>
            <w:shd w:fill="FFFFFF" w:val="clear"/>
            <w:tcMar>
              <w:top w:w="0" w:type="dxa"/>
              <w:left w:w="0" w:type="dxa"/>
              <w:bottom w:w="0" w:type="dxa"/>
              <w:right w:w="0" w:type="dxa"/>
            </w:tcMar>
            <w:vAlign w:val="center"/>
          </w:tcPr>
          <w:p>
            <w:pPr>
              <w:pStyle w:val="TableContents"/>
              <w:spacing w:lineRule="auto" w:line="240" w:before="0" w:after="0"/>
              <w:jc w:val="center"/>
              <w:rPr/>
            </w:pPr>
            <w:hyperlink w:anchor="i8dd89f0c72444a288e2bb25168f12b04_13">
              <w:r>
                <w:rPr>
                  <w:rStyle w:val="InternetLink"/>
                  <w:rFonts w:ascii="Times New Roman;sans-serif" w:hAnsi="Times New Roman;sans-serif"/>
                  <w:b w:val="false"/>
                  <w:color w:val="0000FF"/>
                  <w:sz w:val="20"/>
                  <w:u w:val="single"/>
                </w:rPr>
                <w:t>iii</w:t>
              </w:r>
            </w:hyperlink>
          </w:p>
        </w:tc>
      </w:tr>
      <w:tr>
        <w:trPr/>
        <w:tc>
          <w:tcPr>
            <w:tcW w:w="798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8dd89f0c72444a288e2bb25168f12b04_16">
              <w:r>
                <w:rPr>
                  <w:rStyle w:val="InternetLink"/>
                  <w:rFonts w:ascii="Times New Roman;sans-serif" w:hAnsi="Times New Roman;sans-serif"/>
                  <w:b w:val="false"/>
                  <w:color w:val="0000FF"/>
                  <w:sz w:val="20"/>
                  <w:u w:val="single"/>
                </w:rPr>
                <w:t>Cautionary Statement Regarding Forward-Looking Statements</w:t>
              </w:r>
            </w:hyperlink>
          </w:p>
        </w:tc>
        <w:tc>
          <w:tcPr>
            <w:tcW w:w="541"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pPr>
            <w:hyperlink w:anchor="i8dd89f0c72444a288e2bb25168f12b04_16">
              <w:r>
                <w:rPr>
                  <w:rStyle w:val="InternetLink"/>
                  <w:rFonts w:ascii="Times New Roman;sans-serif" w:hAnsi="Times New Roman;sans-serif"/>
                  <w:b w:val="false"/>
                  <w:color w:val="0000FF"/>
                  <w:sz w:val="20"/>
                  <w:u w:val="single"/>
                </w:rPr>
                <w:t>iv</w:t>
              </w:r>
            </w:hyperlink>
          </w:p>
        </w:tc>
      </w:tr>
      <w:tr>
        <w:trPr/>
        <w:tc>
          <w:tcPr>
            <w:tcW w:w="798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521" w:type="dxa"/>
            <w:gridSpan w:val="6"/>
            <w:tcBorders/>
            <w:shd w:fill="CCEEFF" w:val="clear"/>
            <w:tcMar>
              <w:top w:w="0" w:type="dxa"/>
              <w:left w:w="0" w:type="dxa"/>
              <w:bottom w:w="0" w:type="dxa"/>
              <w:right w:w="0" w:type="dxa"/>
            </w:tcMar>
            <w:vAlign w:val="center"/>
          </w:tcPr>
          <w:p>
            <w:pPr>
              <w:pStyle w:val="TableContents"/>
              <w:spacing w:lineRule="auto" w:line="240" w:before="0" w:after="0"/>
              <w:jc w:val="center"/>
              <w:rPr/>
            </w:pPr>
            <w:hyperlink w:anchor="i8dd89f0c72444a288e2bb25168f12b04_19">
              <w:r>
                <w:rPr>
                  <w:rStyle w:val="InternetLink"/>
                  <w:rFonts w:ascii="Times New Roman;sans-serif" w:hAnsi="Times New Roman;sans-serif"/>
                  <w:b/>
                  <w:color w:val="0000FF"/>
                  <w:sz w:val="20"/>
                  <w:u w:val="single"/>
                </w:rPr>
                <w:t>PART I. FINANCIAL INFORMATION</w:t>
              </w:r>
            </w:hyperlink>
          </w:p>
        </w:tc>
      </w:tr>
      <w:tr>
        <w:trPr/>
        <w:tc>
          <w:tcPr>
            <w:tcW w:w="798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8dd89f0c72444a288e2bb25168f12b04_22">
              <w:r>
                <w:rPr>
                  <w:rStyle w:val="InternetLink"/>
                  <w:rFonts w:ascii="Times New Roman;sans-serif" w:hAnsi="Times New Roman;sans-serif"/>
                  <w:b w:val="false"/>
                  <w:color w:val="0000FF"/>
                  <w:sz w:val="20"/>
                  <w:u w:val="single"/>
                </w:rPr>
                <w:t>Item 1. Condensed Consolidated Financial Statements (Unaudited)</w:t>
              </w:r>
            </w:hyperlink>
          </w:p>
        </w:tc>
        <w:tc>
          <w:tcPr>
            <w:tcW w:w="541" w:type="dxa"/>
            <w:gridSpan w:val="3"/>
            <w:tcBorders/>
            <w:shd w:fill="FFFFFF" w:val="clear"/>
            <w:tcMar>
              <w:top w:w="0" w:type="dxa"/>
              <w:left w:w="0" w:type="dxa"/>
              <w:bottom w:w="0" w:type="dxa"/>
              <w:right w:w="0" w:type="dxa"/>
            </w:tcMar>
            <w:vAlign w:val="center"/>
          </w:tcPr>
          <w:p>
            <w:pPr>
              <w:pStyle w:val="TableContents"/>
              <w:spacing w:lineRule="auto" w:line="240" w:before="0" w:after="0"/>
              <w:jc w:val="center"/>
              <w:rPr/>
            </w:pPr>
            <w:hyperlink w:anchor="i8dd89f0c72444a288e2bb25168f12b04_22">
              <w:r>
                <w:rPr>
                  <w:rStyle w:val="InternetLink"/>
                  <w:rFonts w:ascii="Times New Roman;sans-serif" w:hAnsi="Times New Roman;sans-serif"/>
                  <w:b w:val="false"/>
                  <w:color w:val="0000FF"/>
                  <w:sz w:val="20"/>
                  <w:u w:val="single"/>
                </w:rPr>
                <w:t>1</w:t>
              </w:r>
            </w:hyperlink>
          </w:p>
        </w:tc>
      </w:tr>
      <w:tr>
        <w:trPr/>
        <w:tc>
          <w:tcPr>
            <w:tcW w:w="7980"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pPr>
            <w:hyperlink w:anchor="i8dd89f0c72444a288e2bb25168f12b04_25">
              <w:r>
                <w:rPr>
                  <w:rStyle w:val="InternetLink"/>
                  <w:rFonts w:ascii="Times New Roman;sans-serif" w:hAnsi="Times New Roman;sans-serif"/>
                  <w:b w:val="false"/>
                  <w:color w:val="0000FF"/>
                  <w:sz w:val="20"/>
                  <w:u w:val="single"/>
                </w:rPr>
                <w:t>Condensed Consolidated Balance Sheets</w:t>
              </w:r>
            </w:hyperlink>
          </w:p>
        </w:tc>
        <w:tc>
          <w:tcPr>
            <w:tcW w:w="541"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pPr>
            <w:hyperlink w:anchor="i8dd89f0c72444a288e2bb25168f12b04_25">
              <w:r>
                <w:rPr>
                  <w:rStyle w:val="InternetLink"/>
                  <w:rFonts w:ascii="Times New Roman;sans-serif" w:hAnsi="Times New Roman;sans-serif"/>
                  <w:b w:val="false"/>
                  <w:color w:val="0000FF"/>
                  <w:sz w:val="20"/>
                  <w:u w:val="single"/>
                </w:rPr>
                <w:t>1</w:t>
              </w:r>
            </w:hyperlink>
          </w:p>
        </w:tc>
      </w:tr>
      <w:tr>
        <w:trPr/>
        <w:tc>
          <w:tcPr>
            <w:tcW w:w="798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8dd89f0c72444a288e2bb25168f12b04_28">
              <w:r>
                <w:rPr>
                  <w:rStyle w:val="InternetLink"/>
                  <w:rFonts w:ascii="Times New Roman;sans-serif" w:hAnsi="Times New Roman;sans-serif"/>
                  <w:b w:val="false"/>
                  <w:color w:val="0000FF"/>
                  <w:sz w:val="20"/>
                  <w:u w:val="single"/>
                </w:rPr>
                <w:t>Condensed Consolidated Statements of Operations</w:t>
              </w:r>
            </w:hyperlink>
          </w:p>
        </w:tc>
        <w:tc>
          <w:tcPr>
            <w:tcW w:w="541" w:type="dxa"/>
            <w:gridSpan w:val="3"/>
            <w:tcBorders/>
            <w:shd w:fill="FFFFFF" w:val="clear"/>
            <w:tcMar>
              <w:top w:w="0" w:type="dxa"/>
              <w:left w:w="0" w:type="dxa"/>
              <w:bottom w:w="0" w:type="dxa"/>
              <w:right w:w="0" w:type="dxa"/>
            </w:tcMar>
            <w:vAlign w:val="center"/>
          </w:tcPr>
          <w:p>
            <w:pPr>
              <w:pStyle w:val="TableContents"/>
              <w:spacing w:lineRule="auto" w:line="240" w:before="0" w:after="0"/>
              <w:jc w:val="center"/>
              <w:rPr/>
            </w:pPr>
            <w:hyperlink w:anchor="i8dd89f0c72444a288e2bb25168f12b04_28">
              <w:r>
                <w:rPr>
                  <w:rStyle w:val="InternetLink"/>
                  <w:rFonts w:ascii="Times New Roman;sans-serif" w:hAnsi="Times New Roman;sans-serif"/>
                  <w:b w:val="false"/>
                  <w:color w:val="0000FF"/>
                  <w:sz w:val="20"/>
                  <w:u w:val="single"/>
                </w:rPr>
                <w:t>2</w:t>
              </w:r>
            </w:hyperlink>
          </w:p>
        </w:tc>
      </w:tr>
      <w:tr>
        <w:trPr/>
        <w:tc>
          <w:tcPr>
            <w:tcW w:w="798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8dd89f0c72444a288e2bb25168f12b04_31">
              <w:r>
                <w:rPr>
                  <w:rStyle w:val="InternetLink"/>
                  <w:rFonts w:ascii="Times New Roman;sans-serif" w:hAnsi="Times New Roman;sans-serif"/>
                  <w:b w:val="false"/>
                  <w:color w:val="0000FF"/>
                  <w:sz w:val="20"/>
                  <w:u w:val="single"/>
                </w:rPr>
                <w:t>Condensed Consolidated Statements of Changes to Unitholders’ Equity</w:t>
              </w:r>
            </w:hyperlink>
          </w:p>
        </w:tc>
        <w:tc>
          <w:tcPr>
            <w:tcW w:w="541"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pPr>
            <w:hyperlink w:anchor="i8dd89f0c72444a288e2bb25168f12b04_31">
              <w:r>
                <w:rPr>
                  <w:rStyle w:val="InternetLink"/>
                  <w:rFonts w:ascii="Times New Roman;sans-serif" w:hAnsi="Times New Roman;sans-serif"/>
                  <w:b w:val="false"/>
                  <w:color w:val="0000FF"/>
                  <w:sz w:val="20"/>
                  <w:u w:val="single"/>
                </w:rPr>
                <w:t>3</w:t>
              </w:r>
            </w:hyperlink>
          </w:p>
        </w:tc>
      </w:tr>
      <w:tr>
        <w:trPr/>
        <w:tc>
          <w:tcPr>
            <w:tcW w:w="798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8dd89f0c72444a288e2bb25168f12b04_34">
              <w:r>
                <w:rPr>
                  <w:rStyle w:val="InternetLink"/>
                  <w:rFonts w:ascii="Times New Roman;sans-serif" w:hAnsi="Times New Roman;sans-serif"/>
                  <w:b w:val="false"/>
                  <w:color w:val="0000FF"/>
                  <w:sz w:val="20"/>
                  <w:u w:val="single"/>
                </w:rPr>
                <w:t>Condensed Consolidated Statements of Cash Flows</w:t>
              </w:r>
            </w:hyperlink>
          </w:p>
        </w:tc>
        <w:tc>
          <w:tcPr>
            <w:tcW w:w="541" w:type="dxa"/>
            <w:gridSpan w:val="3"/>
            <w:tcBorders/>
            <w:shd w:fill="FFFFFF" w:val="clear"/>
            <w:tcMar>
              <w:top w:w="0" w:type="dxa"/>
              <w:left w:w="0" w:type="dxa"/>
              <w:bottom w:w="0" w:type="dxa"/>
              <w:right w:w="0" w:type="dxa"/>
            </w:tcMar>
            <w:vAlign w:val="center"/>
          </w:tcPr>
          <w:p>
            <w:pPr>
              <w:pStyle w:val="TableContents"/>
              <w:spacing w:lineRule="auto" w:line="240" w:before="0" w:after="0"/>
              <w:jc w:val="center"/>
              <w:rPr/>
            </w:pPr>
            <w:hyperlink w:anchor="i8dd89f0c72444a288e2bb25168f12b04_34">
              <w:r>
                <w:rPr>
                  <w:rStyle w:val="InternetLink"/>
                  <w:rFonts w:ascii="Times New Roman;sans-serif" w:hAnsi="Times New Roman;sans-serif"/>
                  <w:b w:val="false"/>
                  <w:color w:val="0000FF"/>
                  <w:sz w:val="20"/>
                  <w:u w:val="single"/>
                </w:rPr>
                <w:t>4</w:t>
              </w:r>
            </w:hyperlink>
          </w:p>
        </w:tc>
      </w:tr>
      <w:tr>
        <w:trPr/>
        <w:tc>
          <w:tcPr>
            <w:tcW w:w="798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8dd89f0c72444a288e2bb25168f12b04_37">
              <w:r>
                <w:rPr>
                  <w:rStyle w:val="InternetLink"/>
                  <w:rFonts w:ascii="Times New Roman;sans-serif" w:hAnsi="Times New Roman;sans-serif"/>
                  <w:b w:val="false"/>
                  <w:color w:val="0000FF"/>
                  <w:sz w:val="20"/>
                  <w:u w:val="single"/>
                </w:rPr>
                <w:t>Condensed Notes to Consolidated Financial Statements</w:t>
              </w:r>
            </w:hyperlink>
          </w:p>
        </w:tc>
        <w:tc>
          <w:tcPr>
            <w:tcW w:w="541"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pPr>
            <w:hyperlink w:anchor="i8dd89f0c72444a288e2bb25168f12b04_37">
              <w:r>
                <w:rPr>
                  <w:rStyle w:val="InternetLink"/>
                  <w:rFonts w:ascii="Times New Roman;sans-serif" w:hAnsi="Times New Roman;sans-serif"/>
                  <w:b w:val="false"/>
                  <w:color w:val="0000FF"/>
                  <w:sz w:val="20"/>
                  <w:u w:val="single"/>
                </w:rPr>
                <w:t>5</w:t>
              </w:r>
            </w:hyperlink>
          </w:p>
        </w:tc>
      </w:tr>
      <w:tr>
        <w:trPr/>
        <w:tc>
          <w:tcPr>
            <w:tcW w:w="798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98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8dd89f0c72444a288e2bb25168f12b04_79">
              <w:r>
                <w:rPr>
                  <w:rStyle w:val="InternetLink"/>
                  <w:rFonts w:ascii="Times New Roman;sans-serif" w:hAnsi="Times New Roman;sans-serif"/>
                  <w:b w:val="false"/>
                  <w:color w:val="0000FF"/>
                  <w:sz w:val="20"/>
                  <w:u w:val="single"/>
                </w:rPr>
                <w:t>Item 2. Management’s Discussion and Analysis of Financial Condition and Results of Operations</w:t>
              </w:r>
            </w:hyperlink>
          </w:p>
        </w:tc>
        <w:tc>
          <w:tcPr>
            <w:tcW w:w="541"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pPr>
            <w:hyperlink w:anchor="i8dd89f0c72444a288e2bb25168f12b04_79">
              <w:r>
                <w:rPr>
                  <w:rStyle w:val="InternetLink"/>
                  <w:rFonts w:ascii="Times New Roman;sans-serif" w:hAnsi="Times New Roman;sans-serif"/>
                  <w:b w:val="false"/>
                  <w:color w:val="0000FF"/>
                  <w:sz w:val="20"/>
                  <w:u w:val="single"/>
                </w:rPr>
                <w:t>16</w:t>
              </w:r>
            </w:hyperlink>
          </w:p>
        </w:tc>
      </w:tr>
      <w:tr>
        <w:trPr/>
        <w:tc>
          <w:tcPr>
            <w:tcW w:w="798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98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8dd89f0c72444a288e2bb25168f12b04_112">
              <w:r>
                <w:rPr>
                  <w:rStyle w:val="InternetLink"/>
                  <w:rFonts w:ascii="Times New Roman;sans-serif" w:hAnsi="Times New Roman;sans-serif"/>
                  <w:b w:val="false"/>
                  <w:color w:val="0000FF"/>
                  <w:sz w:val="20"/>
                  <w:u w:val="single"/>
                </w:rPr>
                <w:t>Item 3. Quantitative and Qualitative Disclosures about Market Risk</w:t>
              </w:r>
            </w:hyperlink>
          </w:p>
        </w:tc>
        <w:tc>
          <w:tcPr>
            <w:tcW w:w="541"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pPr>
            <w:hyperlink w:anchor="i8dd89f0c72444a288e2bb25168f12b04_112">
              <w:r>
                <w:rPr>
                  <w:rStyle w:val="InternetLink"/>
                  <w:rFonts w:ascii="Times New Roman;sans-serif" w:hAnsi="Times New Roman;sans-serif"/>
                  <w:b w:val="false"/>
                  <w:color w:val="0000FF"/>
                  <w:sz w:val="20"/>
                  <w:u w:val="single"/>
                </w:rPr>
                <w:t>26</w:t>
              </w:r>
            </w:hyperlink>
          </w:p>
        </w:tc>
      </w:tr>
      <w:tr>
        <w:trPr/>
        <w:tc>
          <w:tcPr>
            <w:tcW w:w="798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98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8dd89f0c72444a288e2bb25168f12b04_115">
              <w:r>
                <w:rPr>
                  <w:rStyle w:val="InternetLink"/>
                  <w:rFonts w:ascii="Times New Roman;sans-serif" w:hAnsi="Times New Roman;sans-serif"/>
                  <w:b w:val="false"/>
                  <w:color w:val="0000FF"/>
                  <w:sz w:val="20"/>
                  <w:u w:val="single"/>
                </w:rPr>
                <w:t>Item 4. Controls and Procedures</w:t>
              </w:r>
            </w:hyperlink>
          </w:p>
        </w:tc>
        <w:tc>
          <w:tcPr>
            <w:tcW w:w="541"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pPr>
            <w:hyperlink w:anchor="i8dd89f0c72444a288e2bb25168f12b04_115">
              <w:r>
                <w:rPr>
                  <w:rStyle w:val="InternetLink"/>
                  <w:rFonts w:ascii="Times New Roman;sans-serif" w:hAnsi="Times New Roman;sans-serif"/>
                  <w:b w:val="false"/>
                  <w:color w:val="0000FF"/>
                  <w:sz w:val="20"/>
                  <w:u w:val="single"/>
                </w:rPr>
                <w:t>27</w:t>
              </w:r>
            </w:hyperlink>
          </w:p>
        </w:tc>
      </w:tr>
      <w:tr>
        <w:trPr/>
        <w:tc>
          <w:tcPr>
            <w:tcW w:w="798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521" w:type="dxa"/>
            <w:gridSpan w:val="6"/>
            <w:tcBorders/>
            <w:shd w:fill="CCEEFF" w:val="clear"/>
            <w:tcMar>
              <w:top w:w="0" w:type="dxa"/>
              <w:left w:w="0" w:type="dxa"/>
              <w:bottom w:w="0" w:type="dxa"/>
              <w:right w:w="0" w:type="dxa"/>
            </w:tcMar>
            <w:vAlign w:val="center"/>
          </w:tcPr>
          <w:p>
            <w:pPr>
              <w:pStyle w:val="TableContents"/>
              <w:spacing w:lineRule="auto" w:line="240" w:before="0" w:after="0"/>
              <w:jc w:val="center"/>
              <w:rPr/>
            </w:pPr>
            <w:hyperlink w:anchor="i8dd89f0c72444a288e2bb25168f12b04_118">
              <w:r>
                <w:rPr>
                  <w:rStyle w:val="InternetLink"/>
                  <w:rFonts w:ascii="Times New Roman;sans-serif" w:hAnsi="Times New Roman;sans-serif"/>
                  <w:b/>
                  <w:color w:val="0000FF"/>
                  <w:sz w:val="20"/>
                  <w:u w:val="single"/>
                </w:rPr>
                <w:t>PART II. OTHER INFORMATION</w:t>
              </w:r>
            </w:hyperlink>
          </w:p>
        </w:tc>
      </w:tr>
      <w:tr>
        <w:trPr/>
        <w:tc>
          <w:tcPr>
            <w:tcW w:w="798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8dd89f0c72444a288e2bb25168f12b04_121">
              <w:r>
                <w:rPr>
                  <w:rStyle w:val="InternetLink"/>
                  <w:rFonts w:ascii="Times New Roman;sans-serif" w:hAnsi="Times New Roman;sans-serif"/>
                  <w:b w:val="false"/>
                  <w:color w:val="0000FF"/>
                  <w:sz w:val="20"/>
                  <w:u w:val="single"/>
                </w:rPr>
                <w:t>Item 1. Legal Proceedings</w:t>
              </w:r>
            </w:hyperlink>
          </w:p>
        </w:tc>
        <w:tc>
          <w:tcPr>
            <w:tcW w:w="541" w:type="dxa"/>
            <w:gridSpan w:val="3"/>
            <w:tcBorders/>
            <w:shd w:fill="FFFFFF" w:val="clear"/>
            <w:tcMar>
              <w:top w:w="0" w:type="dxa"/>
              <w:left w:w="0" w:type="dxa"/>
              <w:bottom w:w="0" w:type="dxa"/>
              <w:right w:w="0" w:type="dxa"/>
            </w:tcMar>
            <w:vAlign w:val="center"/>
          </w:tcPr>
          <w:p>
            <w:pPr>
              <w:pStyle w:val="TableContents"/>
              <w:spacing w:lineRule="auto" w:line="240" w:before="0" w:after="0"/>
              <w:jc w:val="center"/>
              <w:rPr/>
            </w:pPr>
            <w:hyperlink w:anchor="i8dd89f0c72444a288e2bb25168f12b04_121">
              <w:r>
                <w:rPr>
                  <w:rStyle w:val="InternetLink"/>
                  <w:rFonts w:ascii="Times New Roman;sans-serif" w:hAnsi="Times New Roman;sans-serif"/>
                  <w:b w:val="false"/>
                  <w:color w:val="0000FF"/>
                  <w:sz w:val="20"/>
                  <w:u w:val="single"/>
                </w:rPr>
                <w:t>28</w:t>
              </w:r>
            </w:hyperlink>
          </w:p>
        </w:tc>
      </w:tr>
      <w:tr>
        <w:trPr/>
        <w:tc>
          <w:tcPr>
            <w:tcW w:w="798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98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8dd89f0c72444a288e2bb25168f12b04_124">
              <w:r>
                <w:rPr>
                  <w:rStyle w:val="InternetLink"/>
                  <w:rFonts w:ascii="Times New Roman;sans-serif" w:hAnsi="Times New Roman;sans-serif"/>
                  <w:b w:val="false"/>
                  <w:color w:val="0000FF"/>
                  <w:sz w:val="20"/>
                  <w:u w:val="single"/>
                </w:rPr>
                <w:t>Item 1A. Risk Factors</w:t>
              </w:r>
            </w:hyperlink>
          </w:p>
        </w:tc>
        <w:tc>
          <w:tcPr>
            <w:tcW w:w="541" w:type="dxa"/>
            <w:gridSpan w:val="3"/>
            <w:tcBorders/>
            <w:shd w:fill="FFFFFF" w:val="clear"/>
            <w:tcMar>
              <w:top w:w="0" w:type="dxa"/>
              <w:left w:w="0" w:type="dxa"/>
              <w:bottom w:w="0" w:type="dxa"/>
              <w:right w:w="0" w:type="dxa"/>
            </w:tcMar>
            <w:vAlign w:val="center"/>
          </w:tcPr>
          <w:p>
            <w:pPr>
              <w:pStyle w:val="TableContents"/>
              <w:spacing w:lineRule="auto" w:line="240" w:before="0" w:after="0"/>
              <w:jc w:val="center"/>
              <w:rPr/>
            </w:pPr>
            <w:hyperlink w:anchor="i8dd89f0c72444a288e2bb25168f12b04_124">
              <w:r>
                <w:rPr>
                  <w:rStyle w:val="InternetLink"/>
                  <w:rFonts w:ascii="Times New Roman;sans-serif" w:hAnsi="Times New Roman;sans-serif"/>
                  <w:b w:val="false"/>
                  <w:color w:val="0000FF"/>
                  <w:sz w:val="20"/>
                  <w:u w:val="single"/>
                </w:rPr>
                <w:t>28</w:t>
              </w:r>
            </w:hyperlink>
          </w:p>
        </w:tc>
      </w:tr>
      <w:tr>
        <w:trPr/>
        <w:tc>
          <w:tcPr>
            <w:tcW w:w="798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98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8dd89f0c72444a288e2bb25168f12b04_127">
              <w:r>
                <w:rPr>
                  <w:rStyle w:val="InternetLink"/>
                  <w:rFonts w:ascii="Times New Roman;sans-serif" w:hAnsi="Times New Roman;sans-serif"/>
                  <w:b w:val="false"/>
                  <w:color w:val="0000FF"/>
                  <w:sz w:val="20"/>
                  <w:u w:val="single"/>
                </w:rPr>
                <w:t>Item 2. Unregistered Sales of Equity Securities and Use of Proceeds</w:t>
              </w:r>
            </w:hyperlink>
          </w:p>
        </w:tc>
        <w:tc>
          <w:tcPr>
            <w:tcW w:w="541" w:type="dxa"/>
            <w:gridSpan w:val="3"/>
            <w:tcBorders/>
            <w:shd w:fill="FFFFFF" w:val="clear"/>
            <w:tcMar>
              <w:top w:w="0" w:type="dxa"/>
              <w:left w:w="0" w:type="dxa"/>
              <w:bottom w:w="0" w:type="dxa"/>
              <w:right w:w="0" w:type="dxa"/>
            </w:tcMar>
            <w:vAlign w:val="center"/>
          </w:tcPr>
          <w:p>
            <w:pPr>
              <w:pStyle w:val="TableContents"/>
              <w:spacing w:lineRule="auto" w:line="240" w:before="0" w:after="0"/>
              <w:jc w:val="center"/>
              <w:rPr/>
            </w:pPr>
            <w:hyperlink w:anchor="i8dd89f0c72444a288e2bb25168f12b04_127">
              <w:r>
                <w:rPr>
                  <w:rStyle w:val="InternetLink"/>
                  <w:rFonts w:ascii="Times New Roman;sans-serif" w:hAnsi="Times New Roman;sans-serif"/>
                  <w:b w:val="false"/>
                  <w:color w:val="0000FF"/>
                  <w:sz w:val="20"/>
                  <w:u w:val="single"/>
                </w:rPr>
                <w:t>28</w:t>
              </w:r>
            </w:hyperlink>
          </w:p>
        </w:tc>
      </w:tr>
      <w:tr>
        <w:trPr/>
        <w:tc>
          <w:tcPr>
            <w:tcW w:w="798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98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8dd89f0c72444a288e2bb25168f12b04_130">
              <w:r>
                <w:rPr>
                  <w:rStyle w:val="InternetLink"/>
                  <w:rFonts w:ascii="Times New Roman;sans-serif" w:hAnsi="Times New Roman;sans-serif"/>
                  <w:b w:val="false"/>
                  <w:color w:val="0000FF"/>
                  <w:sz w:val="20"/>
                  <w:u w:val="single"/>
                </w:rPr>
                <w:t>Item 6. Exhibits</w:t>
              </w:r>
            </w:hyperlink>
          </w:p>
        </w:tc>
        <w:tc>
          <w:tcPr>
            <w:tcW w:w="541" w:type="dxa"/>
            <w:gridSpan w:val="3"/>
            <w:tcBorders/>
            <w:shd w:fill="FFFFFF" w:val="clear"/>
            <w:tcMar>
              <w:top w:w="0" w:type="dxa"/>
              <w:left w:w="0" w:type="dxa"/>
              <w:bottom w:w="0" w:type="dxa"/>
              <w:right w:w="0" w:type="dxa"/>
            </w:tcMar>
            <w:vAlign w:val="center"/>
          </w:tcPr>
          <w:p>
            <w:pPr>
              <w:pStyle w:val="TableContents"/>
              <w:spacing w:lineRule="auto" w:line="240" w:before="0" w:after="0"/>
              <w:jc w:val="center"/>
              <w:rPr/>
            </w:pPr>
            <w:hyperlink w:anchor="i8dd89f0c72444a288e2bb25168f12b04_130">
              <w:r>
                <w:rPr>
                  <w:rStyle w:val="InternetLink"/>
                  <w:rFonts w:ascii="Times New Roman;sans-serif" w:hAnsi="Times New Roman;sans-serif"/>
                  <w:b w:val="false"/>
                  <w:color w:val="0000FF"/>
                  <w:sz w:val="20"/>
                  <w:u w:val="single"/>
                </w:rPr>
                <w:t>29</w:t>
              </w:r>
            </w:hyperlink>
          </w:p>
        </w:tc>
      </w:tr>
      <w:tr>
        <w:trPr/>
        <w:tc>
          <w:tcPr>
            <w:tcW w:w="798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98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8dd89f0c72444a288e2bb25168f12b04_133">
              <w:r>
                <w:rPr>
                  <w:rStyle w:val="InternetLink"/>
                  <w:rFonts w:ascii="Times New Roman;sans-serif" w:hAnsi="Times New Roman;sans-serif"/>
                  <w:b w:val="false"/>
                  <w:color w:val="0000FF"/>
                  <w:sz w:val="20"/>
                  <w:u w:val="single"/>
                </w:rPr>
                <w:t>Signatures</w:t>
              </w:r>
            </w:hyperlink>
          </w:p>
        </w:tc>
        <w:tc>
          <w:tcPr>
            <w:tcW w:w="541" w:type="dxa"/>
            <w:gridSpan w:val="3"/>
            <w:tcBorders/>
            <w:shd w:fill="FFFFFF" w:val="clear"/>
            <w:tcMar>
              <w:top w:w="0" w:type="dxa"/>
              <w:left w:w="0" w:type="dxa"/>
              <w:bottom w:w="0" w:type="dxa"/>
              <w:right w:w="0" w:type="dxa"/>
            </w:tcMar>
            <w:vAlign w:val="center"/>
          </w:tcPr>
          <w:p>
            <w:pPr>
              <w:pStyle w:val="TableContents"/>
              <w:spacing w:lineRule="auto" w:line="240" w:before="0" w:after="0"/>
              <w:jc w:val="center"/>
              <w:rPr/>
            </w:pPr>
            <w:hyperlink w:anchor="i8dd89f0c72444a288e2bb25168f12b04_133">
              <w:r>
                <w:rPr>
                  <w:rStyle w:val="InternetLink"/>
                  <w:rFonts w:ascii="Times New Roman;sans-serif" w:hAnsi="Times New Roman;sans-serif"/>
                  <w:b w:val="false"/>
                  <w:color w:val="0000FF"/>
                  <w:sz w:val="20"/>
                  <w:u w:val="single"/>
                </w:rPr>
                <w:t>30</w:t>
              </w:r>
            </w:hyperlink>
          </w:p>
        </w:tc>
      </w:tr>
    </w:tbl>
    <w:p>
      <w:pPr>
        <w:pStyle w:val="TextBody"/>
        <w:spacing w:before="0" w:after="0"/>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w:t>
                      </w:r>
                    </w:p>
                  </w:txbxContent>
                </v:textbox>
              </v:rect>
            </w:pict>
          </mc:Fallback>
        </mc:AlternateContent>
      </w:r>
    </w:p>
    <w:p>
      <w:pPr>
        <w:pStyle w:val="TextBody"/>
        <w:spacing w:lineRule="auto" w:line="288" w:before="0" w:after="0"/>
        <w:rPr/>
      </w:pPr>
      <w:hyperlink w:anchor="i8dd89f0c72444a288e2bb25168f12b04_7">
        <w:r>
          <w:rPr>
            <w:rStyle w:val="InternetLink"/>
            <w:rFonts w:ascii="Times New Roman;sans-serif" w:hAnsi="Times New Roman;sans-serif"/>
            <w:b w:val="false"/>
            <w:color w:val="0000FF"/>
            <w:sz w:val="16"/>
            <w:u w:val="single"/>
          </w:rPr>
          <w:t>Table of Contents</w:t>
        </w:r>
      </w:hyperlink>
    </w:p>
    <w:p>
      <w:pPr>
        <w:pStyle w:val="TextBody"/>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GLOSSARY OF OIL AND NATURAL GAS TERMS</w:t>
      </w:r>
    </w:p>
    <w:p>
      <w:pPr>
        <w:pStyle w:val="TextBody"/>
        <w:spacing w:lineRule="auto" w:line="288" w:before="18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is a glossary of certain oil and natural gas terms that are used in this Quarterly Report on Form 10-Q (this “report”):</w:t>
      </w:r>
    </w:p>
    <w:tbl>
      <w:tblPr>
        <w:tblW w:w="10205" w:type="dxa"/>
        <w:jc w:val="left"/>
        <w:tblInd w:w="0" w:type="dxa"/>
        <w:tblCellMar>
          <w:top w:w="28" w:type="dxa"/>
          <w:left w:w="28" w:type="dxa"/>
          <w:bottom w:w="28" w:type="dxa"/>
          <w:right w:w="28" w:type="dxa"/>
        </w:tblCellMar>
      </w:tblPr>
      <w:tblGrid>
        <w:gridCol w:w="587"/>
        <w:gridCol w:w="313"/>
        <w:gridCol w:w="314"/>
        <w:gridCol w:w="3050"/>
        <w:gridCol w:w="2452"/>
        <w:gridCol w:w="3489"/>
      </w:tblGrid>
      <w:tr>
        <w:trPr/>
        <w:tc>
          <w:tcPr>
            <w:tcW w:w="587" w:type="dxa"/>
            <w:tcBorders/>
            <w:shd w:fill="auto" w:val="clear"/>
            <w:vAlign w:val="center"/>
          </w:tcPr>
          <w:p>
            <w:pPr>
              <w:pStyle w:val="TableContents"/>
              <w:spacing w:before="0" w:after="283"/>
              <w:rPr>
                <w:sz w:val="4"/>
                <w:szCs w:val="4"/>
              </w:rPr>
            </w:pPr>
            <w:r>
              <w:rPr>
                <w:sz w:val="4"/>
                <w:szCs w:val="4"/>
              </w:rPr>
            </w:r>
          </w:p>
        </w:tc>
        <w:tc>
          <w:tcPr>
            <w:tcW w:w="313" w:type="dxa"/>
            <w:tcBorders/>
            <w:shd w:fill="auto" w:val="clear"/>
            <w:vAlign w:val="center"/>
          </w:tcPr>
          <w:p>
            <w:pPr>
              <w:pStyle w:val="TableContents"/>
              <w:spacing w:before="0" w:after="283"/>
              <w:rPr>
                <w:sz w:val="4"/>
                <w:szCs w:val="4"/>
              </w:rPr>
            </w:pPr>
            <w:r>
              <w:rPr>
                <w:sz w:val="4"/>
                <w:szCs w:val="4"/>
              </w:rPr>
            </w:r>
          </w:p>
        </w:tc>
        <w:tc>
          <w:tcPr>
            <w:tcW w:w="314" w:type="dxa"/>
            <w:tcBorders/>
            <w:shd w:fill="auto" w:val="clear"/>
            <w:vAlign w:val="center"/>
          </w:tcPr>
          <w:p>
            <w:pPr>
              <w:pStyle w:val="TableContents"/>
              <w:spacing w:before="0" w:after="283"/>
              <w:rPr>
                <w:sz w:val="4"/>
                <w:szCs w:val="4"/>
              </w:rPr>
            </w:pPr>
            <w:r>
              <w:rPr>
                <w:sz w:val="4"/>
                <w:szCs w:val="4"/>
              </w:rPr>
            </w:r>
          </w:p>
        </w:tc>
        <w:tc>
          <w:tcPr>
            <w:tcW w:w="3050" w:type="dxa"/>
            <w:tcBorders/>
            <w:shd w:fill="auto" w:val="clear"/>
            <w:vAlign w:val="center"/>
          </w:tcPr>
          <w:p>
            <w:pPr>
              <w:pStyle w:val="TableContents"/>
              <w:spacing w:before="0" w:after="283"/>
              <w:rPr>
                <w:sz w:val="4"/>
                <w:szCs w:val="4"/>
              </w:rPr>
            </w:pPr>
            <w:r>
              <w:rPr>
                <w:sz w:val="4"/>
                <w:szCs w:val="4"/>
              </w:rPr>
            </w:r>
          </w:p>
        </w:tc>
        <w:tc>
          <w:tcPr>
            <w:tcW w:w="2452" w:type="dxa"/>
            <w:tcBorders/>
            <w:shd w:fill="auto" w:val="clear"/>
            <w:vAlign w:val="center"/>
          </w:tcPr>
          <w:p>
            <w:pPr>
              <w:pStyle w:val="TableContents"/>
              <w:spacing w:before="0" w:after="283"/>
              <w:rPr>
                <w:sz w:val="4"/>
                <w:szCs w:val="4"/>
              </w:rPr>
            </w:pPr>
            <w:r>
              <w:rPr>
                <w:sz w:val="4"/>
                <w:szCs w:val="4"/>
              </w:rPr>
            </w:r>
          </w:p>
        </w:tc>
        <w:tc>
          <w:tcPr>
            <w:tcW w:w="3489" w:type="dxa"/>
            <w:tcBorders/>
            <w:shd w:fill="auto" w:val="clear"/>
            <w:vAlign w:val="center"/>
          </w:tcPr>
          <w:p>
            <w:pPr>
              <w:pStyle w:val="TableContents"/>
              <w:spacing w:before="0" w:after="283"/>
              <w:rPr>
                <w:sz w:val="4"/>
                <w:szCs w:val="4"/>
              </w:rPr>
            </w:pPr>
            <w:r>
              <w:rPr>
                <w:sz w:val="4"/>
                <w:szCs w:val="4"/>
              </w:rPr>
            </w:r>
          </w:p>
        </w:tc>
      </w:tr>
      <w:tr>
        <w:trPr/>
        <w:tc>
          <w:tcPr>
            <w:tcW w:w="1214" w:type="dxa"/>
            <w:gridSpan w:val="3"/>
            <w:tcBorders/>
            <w:shd w:fill="auto" w:val="clear"/>
            <w:vAlign w:val="center"/>
          </w:tcPr>
          <w:p>
            <w:pPr>
              <w:pStyle w:val="TableContents"/>
              <w:spacing w:before="0" w:after="283"/>
              <w:rPr>
                <w:sz w:val="4"/>
                <w:szCs w:val="4"/>
              </w:rPr>
            </w:pPr>
            <w:r>
              <w:rPr>
                <w:sz w:val="4"/>
                <w:szCs w:val="4"/>
              </w:rPr>
            </w:r>
          </w:p>
        </w:tc>
        <w:tc>
          <w:tcPr>
            <w:tcW w:w="8991" w:type="dxa"/>
            <w:gridSpan w:val="3"/>
            <w:tcBorders/>
            <w:shd w:fill="auto" w:val="clear"/>
            <w:vAlign w:val="center"/>
          </w:tcPr>
          <w:p>
            <w:pPr>
              <w:pStyle w:val="TableContents"/>
              <w:spacing w:before="0" w:after="283"/>
              <w:rPr>
                <w:sz w:val="4"/>
                <w:szCs w:val="4"/>
              </w:rPr>
            </w:pPr>
            <w:r>
              <w:rPr>
                <w:sz w:val="4"/>
                <w:szCs w:val="4"/>
              </w:rPr>
            </w:r>
          </w:p>
        </w:tc>
      </w:tr>
      <w:tr>
        <w:trPr/>
        <w:tc>
          <w:tcPr>
            <w:tcW w:w="121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Argus WTI Midland</w:t>
            </w:r>
          </w:p>
        </w:tc>
        <w:tc>
          <w:tcPr>
            <w:tcW w:w="899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19"/>
              </w:rPr>
            </w:pPr>
            <w:r>
              <w:rPr>
                <w:rFonts w:ascii="Times New Roman;sans-serif" w:hAnsi="Times New Roman;sans-serif"/>
                <w:b w:val="false"/>
                <w:color w:val="000000"/>
                <w:sz w:val="19"/>
              </w:rPr>
              <w:t>Crude oil price index at the Permian Basin.</w:t>
            </w:r>
          </w:p>
        </w:tc>
      </w:tr>
      <w:tr>
        <w:trPr/>
        <w:tc>
          <w:tcPr>
            <w:tcW w:w="12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Basin</w:t>
            </w:r>
          </w:p>
        </w:tc>
        <w:tc>
          <w:tcPr>
            <w:tcW w:w="8991" w:type="dxa"/>
            <w:gridSpan w:val="3"/>
            <w:tcBorders/>
            <w:shd w:fill="FFFF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19"/>
              </w:rPr>
            </w:pPr>
            <w:r>
              <w:rPr>
                <w:rFonts w:ascii="Times New Roman;sans-serif" w:hAnsi="Times New Roman;sans-serif"/>
                <w:b w:val="false"/>
                <w:color w:val="000000"/>
                <w:sz w:val="19"/>
              </w:rPr>
              <w:t>A large depression on the earth’s surface in which sediments accumulate.</w:t>
            </w:r>
          </w:p>
        </w:tc>
      </w:tr>
      <w:tr>
        <w:trPr/>
        <w:tc>
          <w:tcPr>
            <w:tcW w:w="12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Bbl or barrel</w:t>
            </w:r>
          </w:p>
        </w:tc>
        <w:tc>
          <w:tcPr>
            <w:tcW w:w="8991" w:type="dxa"/>
            <w:gridSpan w:val="3"/>
            <w:tcBorders/>
            <w:shd w:fill="CCEE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19"/>
              </w:rPr>
            </w:pPr>
            <w:r>
              <w:rPr>
                <w:rFonts w:ascii="Times New Roman;sans-serif" w:hAnsi="Times New Roman;sans-serif"/>
                <w:b w:val="false"/>
                <w:color w:val="000000"/>
                <w:sz w:val="19"/>
              </w:rPr>
              <w:t>One stock tank barrel, or 42 U.S. gallons liquid volume, used in this report in reference to crude oil or other liquid hydrocarbons.</w:t>
            </w:r>
          </w:p>
        </w:tc>
      </w:tr>
      <w:tr>
        <w:trPr/>
        <w:tc>
          <w:tcPr>
            <w:tcW w:w="1214" w:type="dxa"/>
            <w:gridSpan w:val="3"/>
            <w:tcBorders/>
            <w:shd w:fill="auto" w:val="clear"/>
            <w:vAlign w:val="center"/>
          </w:tcPr>
          <w:p>
            <w:pPr>
              <w:pStyle w:val="TableContents"/>
              <w:spacing w:before="0" w:after="283"/>
              <w:rPr>
                <w:sz w:val="4"/>
                <w:szCs w:val="4"/>
              </w:rPr>
            </w:pPr>
            <w:r>
              <w:rPr>
                <w:sz w:val="4"/>
                <w:szCs w:val="4"/>
              </w:rPr>
            </w:r>
          </w:p>
        </w:tc>
        <w:tc>
          <w:tcPr>
            <w:tcW w:w="8991" w:type="dxa"/>
            <w:gridSpan w:val="3"/>
            <w:tcBorders/>
            <w:shd w:fill="auto" w:val="clear"/>
            <w:vAlign w:val="center"/>
          </w:tcPr>
          <w:p>
            <w:pPr>
              <w:pStyle w:val="TableContents"/>
              <w:spacing w:before="0" w:after="283"/>
              <w:rPr>
                <w:sz w:val="4"/>
                <w:szCs w:val="4"/>
              </w:rPr>
            </w:pPr>
            <w:r>
              <w:rPr>
                <w:sz w:val="4"/>
                <w:szCs w:val="4"/>
              </w:rPr>
            </w:r>
          </w:p>
        </w:tc>
      </w:tr>
      <w:tr>
        <w:trPr/>
        <w:tc>
          <w:tcPr>
            <w:tcW w:w="12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BO</w:t>
            </w:r>
          </w:p>
        </w:tc>
        <w:tc>
          <w:tcPr>
            <w:tcW w:w="8991" w:type="dxa"/>
            <w:gridSpan w:val="3"/>
            <w:tcBorders/>
            <w:shd w:fill="FFFF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19"/>
              </w:rPr>
            </w:pPr>
            <w:r>
              <w:rPr>
                <w:rFonts w:ascii="Times New Roman;sans-serif" w:hAnsi="Times New Roman;sans-serif"/>
                <w:b w:val="false"/>
                <w:color w:val="000000"/>
                <w:sz w:val="19"/>
              </w:rPr>
              <w:t>One barrel of oil.</w:t>
            </w:r>
          </w:p>
        </w:tc>
      </w:tr>
      <w:tr>
        <w:trPr/>
        <w:tc>
          <w:tcPr>
            <w:tcW w:w="12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BO/d</w:t>
            </w:r>
          </w:p>
        </w:tc>
        <w:tc>
          <w:tcPr>
            <w:tcW w:w="8991" w:type="dxa"/>
            <w:gridSpan w:val="3"/>
            <w:tcBorders/>
            <w:shd w:fill="CCEE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19"/>
              </w:rPr>
            </w:pPr>
            <w:r>
              <w:rPr>
                <w:rFonts w:ascii="Times New Roman;sans-serif" w:hAnsi="Times New Roman;sans-serif"/>
                <w:b w:val="false"/>
                <w:color w:val="000000"/>
                <w:sz w:val="19"/>
              </w:rPr>
              <w:t>BO per day.</w:t>
            </w:r>
          </w:p>
        </w:tc>
      </w:tr>
      <w:tr>
        <w:trPr/>
        <w:tc>
          <w:tcPr>
            <w:tcW w:w="12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BOE</w:t>
            </w:r>
          </w:p>
        </w:tc>
        <w:tc>
          <w:tcPr>
            <w:tcW w:w="8991" w:type="dxa"/>
            <w:gridSpan w:val="3"/>
            <w:tcBorders/>
            <w:shd w:fill="FFFF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19"/>
              </w:rPr>
            </w:pPr>
            <w:r>
              <w:rPr>
                <w:rFonts w:ascii="Times New Roman;sans-serif" w:hAnsi="Times New Roman;sans-serif"/>
                <w:b w:val="false"/>
                <w:color w:val="000000"/>
                <w:sz w:val="19"/>
              </w:rPr>
              <w:t>One barrel of oil equivalent, with six thousand cubic feet of natural gas being equivalent to one barrel of oil.</w:t>
            </w:r>
          </w:p>
        </w:tc>
      </w:tr>
      <w:tr>
        <w:trPr/>
        <w:tc>
          <w:tcPr>
            <w:tcW w:w="12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BOE/d</w:t>
            </w:r>
          </w:p>
        </w:tc>
        <w:tc>
          <w:tcPr>
            <w:tcW w:w="8991" w:type="dxa"/>
            <w:gridSpan w:val="3"/>
            <w:tcBorders/>
            <w:shd w:fill="CCEE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19"/>
              </w:rPr>
            </w:pPr>
            <w:r>
              <w:rPr>
                <w:rFonts w:ascii="Times New Roman;sans-serif" w:hAnsi="Times New Roman;sans-serif"/>
                <w:b w:val="false"/>
                <w:color w:val="000000"/>
                <w:sz w:val="19"/>
              </w:rPr>
              <w:t>BOE per day.</w:t>
            </w:r>
          </w:p>
        </w:tc>
      </w:tr>
      <w:tr>
        <w:trPr/>
        <w:tc>
          <w:tcPr>
            <w:tcW w:w="12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British Thermal Unit or Btu</w:t>
            </w:r>
          </w:p>
        </w:tc>
        <w:tc>
          <w:tcPr>
            <w:tcW w:w="8991" w:type="dxa"/>
            <w:gridSpan w:val="3"/>
            <w:tcBorders/>
            <w:shd w:fill="FFFF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19"/>
              </w:rPr>
            </w:pPr>
            <w:r>
              <w:rPr>
                <w:rFonts w:ascii="Times New Roman;sans-serif" w:hAnsi="Times New Roman;sans-serif"/>
                <w:b w:val="false"/>
                <w:color w:val="000000"/>
                <w:sz w:val="19"/>
              </w:rPr>
              <w:t>The quantity of heat required to raise the temperature of one pound of water by one degree Fahrenheit.</w:t>
            </w:r>
          </w:p>
        </w:tc>
      </w:tr>
      <w:tr>
        <w:trPr/>
        <w:tc>
          <w:tcPr>
            <w:tcW w:w="1214" w:type="dxa"/>
            <w:gridSpan w:val="3"/>
            <w:tcBorders/>
            <w:shd w:fill="auto" w:val="clear"/>
            <w:vAlign w:val="center"/>
          </w:tcPr>
          <w:p>
            <w:pPr>
              <w:pStyle w:val="TableContents"/>
              <w:spacing w:before="0" w:after="283"/>
              <w:rPr>
                <w:sz w:val="4"/>
                <w:szCs w:val="4"/>
              </w:rPr>
            </w:pPr>
            <w:r>
              <w:rPr>
                <w:sz w:val="4"/>
                <w:szCs w:val="4"/>
              </w:rPr>
            </w:r>
          </w:p>
        </w:tc>
        <w:tc>
          <w:tcPr>
            <w:tcW w:w="8991" w:type="dxa"/>
            <w:gridSpan w:val="3"/>
            <w:tcBorders/>
            <w:shd w:fill="auto" w:val="clear"/>
            <w:vAlign w:val="center"/>
          </w:tcPr>
          <w:p>
            <w:pPr>
              <w:pStyle w:val="TableContents"/>
              <w:spacing w:before="0" w:after="283"/>
              <w:rPr>
                <w:sz w:val="4"/>
                <w:szCs w:val="4"/>
              </w:rPr>
            </w:pPr>
            <w:r>
              <w:rPr>
                <w:sz w:val="4"/>
                <w:szCs w:val="4"/>
              </w:rPr>
            </w:r>
          </w:p>
        </w:tc>
      </w:tr>
      <w:tr>
        <w:trPr/>
        <w:tc>
          <w:tcPr>
            <w:tcW w:w="12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Condensate</w:t>
            </w:r>
          </w:p>
        </w:tc>
        <w:tc>
          <w:tcPr>
            <w:tcW w:w="8991" w:type="dxa"/>
            <w:gridSpan w:val="3"/>
            <w:tcBorders/>
            <w:shd w:fill="CCEE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19"/>
              </w:rPr>
            </w:pPr>
            <w:r>
              <w:rPr>
                <w:rFonts w:ascii="Times New Roman;sans-serif" w:hAnsi="Times New Roman;sans-serif"/>
                <w:b w:val="false"/>
                <w:color w:val="000000"/>
                <w:sz w:val="19"/>
              </w:rPr>
              <w:t>Liquid hydrocarbons associated with the production of a primarily natural gas reserve.</w:t>
            </w:r>
          </w:p>
        </w:tc>
      </w:tr>
      <w:tr>
        <w:trPr/>
        <w:tc>
          <w:tcPr>
            <w:tcW w:w="1214" w:type="dxa"/>
            <w:gridSpan w:val="3"/>
            <w:tcBorders/>
            <w:shd w:fill="auto" w:val="clear"/>
            <w:vAlign w:val="center"/>
          </w:tcPr>
          <w:p>
            <w:pPr>
              <w:pStyle w:val="TableContents"/>
              <w:spacing w:before="0" w:after="283"/>
              <w:rPr>
                <w:sz w:val="4"/>
                <w:szCs w:val="4"/>
              </w:rPr>
            </w:pPr>
            <w:r>
              <w:rPr>
                <w:sz w:val="4"/>
                <w:szCs w:val="4"/>
              </w:rPr>
            </w:r>
          </w:p>
        </w:tc>
        <w:tc>
          <w:tcPr>
            <w:tcW w:w="8991" w:type="dxa"/>
            <w:gridSpan w:val="3"/>
            <w:tcBorders/>
            <w:shd w:fill="auto" w:val="clear"/>
            <w:vAlign w:val="center"/>
          </w:tcPr>
          <w:p>
            <w:pPr>
              <w:pStyle w:val="TableContents"/>
              <w:spacing w:before="0" w:after="283"/>
              <w:rPr>
                <w:sz w:val="4"/>
                <w:szCs w:val="4"/>
              </w:rPr>
            </w:pPr>
            <w:r>
              <w:rPr>
                <w:sz w:val="4"/>
                <w:szCs w:val="4"/>
              </w:rPr>
            </w:r>
          </w:p>
        </w:tc>
      </w:tr>
      <w:tr>
        <w:trPr/>
        <w:tc>
          <w:tcPr>
            <w:tcW w:w="1214" w:type="dxa"/>
            <w:gridSpan w:val="3"/>
            <w:tcBorders/>
            <w:shd w:fill="auto" w:val="clear"/>
            <w:vAlign w:val="center"/>
          </w:tcPr>
          <w:p>
            <w:pPr>
              <w:pStyle w:val="TableContents"/>
              <w:spacing w:before="0" w:after="283"/>
              <w:rPr>
                <w:sz w:val="4"/>
                <w:szCs w:val="4"/>
              </w:rPr>
            </w:pPr>
            <w:r>
              <w:rPr>
                <w:sz w:val="4"/>
                <w:szCs w:val="4"/>
              </w:rPr>
            </w:r>
          </w:p>
        </w:tc>
        <w:tc>
          <w:tcPr>
            <w:tcW w:w="8991" w:type="dxa"/>
            <w:gridSpan w:val="3"/>
            <w:tcBorders/>
            <w:shd w:fill="auto" w:val="clear"/>
            <w:vAlign w:val="center"/>
          </w:tcPr>
          <w:p>
            <w:pPr>
              <w:pStyle w:val="TableContents"/>
              <w:spacing w:before="0" w:after="283"/>
              <w:rPr>
                <w:sz w:val="4"/>
                <w:szCs w:val="4"/>
              </w:rPr>
            </w:pPr>
            <w:r>
              <w:rPr>
                <w:sz w:val="4"/>
                <w:szCs w:val="4"/>
              </w:rPr>
            </w:r>
          </w:p>
        </w:tc>
      </w:tr>
      <w:tr>
        <w:trPr/>
        <w:tc>
          <w:tcPr>
            <w:tcW w:w="1214" w:type="dxa"/>
            <w:gridSpan w:val="3"/>
            <w:tcBorders/>
            <w:shd w:fill="auto" w:val="clear"/>
            <w:vAlign w:val="center"/>
          </w:tcPr>
          <w:p>
            <w:pPr>
              <w:pStyle w:val="TableContents"/>
              <w:spacing w:before="0" w:after="283"/>
              <w:rPr>
                <w:sz w:val="4"/>
                <w:szCs w:val="4"/>
              </w:rPr>
            </w:pPr>
            <w:r>
              <w:rPr>
                <w:sz w:val="4"/>
                <w:szCs w:val="4"/>
              </w:rPr>
            </w:r>
          </w:p>
        </w:tc>
        <w:tc>
          <w:tcPr>
            <w:tcW w:w="8991" w:type="dxa"/>
            <w:gridSpan w:val="3"/>
            <w:tcBorders/>
            <w:shd w:fill="auto" w:val="clear"/>
            <w:vAlign w:val="center"/>
          </w:tcPr>
          <w:p>
            <w:pPr>
              <w:pStyle w:val="TableContents"/>
              <w:spacing w:before="0" w:after="283"/>
              <w:rPr>
                <w:sz w:val="4"/>
                <w:szCs w:val="4"/>
              </w:rPr>
            </w:pPr>
            <w:r>
              <w:rPr>
                <w:sz w:val="4"/>
                <w:szCs w:val="4"/>
              </w:rPr>
            </w:r>
          </w:p>
        </w:tc>
      </w:tr>
      <w:tr>
        <w:trPr/>
        <w:tc>
          <w:tcPr>
            <w:tcW w:w="1214" w:type="dxa"/>
            <w:gridSpan w:val="3"/>
            <w:tcBorders/>
            <w:shd w:fill="auto" w:val="clear"/>
            <w:vAlign w:val="center"/>
          </w:tcPr>
          <w:p>
            <w:pPr>
              <w:pStyle w:val="TableContents"/>
              <w:spacing w:before="0" w:after="283"/>
              <w:rPr>
                <w:sz w:val="4"/>
                <w:szCs w:val="4"/>
              </w:rPr>
            </w:pPr>
            <w:r>
              <w:rPr>
                <w:sz w:val="4"/>
                <w:szCs w:val="4"/>
              </w:rPr>
            </w:r>
          </w:p>
        </w:tc>
        <w:tc>
          <w:tcPr>
            <w:tcW w:w="8991" w:type="dxa"/>
            <w:gridSpan w:val="3"/>
            <w:tcBorders/>
            <w:shd w:fill="auto" w:val="clear"/>
            <w:vAlign w:val="center"/>
          </w:tcPr>
          <w:p>
            <w:pPr>
              <w:pStyle w:val="TableContents"/>
              <w:spacing w:before="0" w:after="283"/>
              <w:rPr>
                <w:sz w:val="4"/>
                <w:szCs w:val="4"/>
              </w:rPr>
            </w:pPr>
            <w:r>
              <w:rPr>
                <w:sz w:val="4"/>
                <w:szCs w:val="4"/>
              </w:rPr>
            </w:r>
          </w:p>
        </w:tc>
      </w:tr>
      <w:tr>
        <w:trPr/>
        <w:tc>
          <w:tcPr>
            <w:tcW w:w="1214" w:type="dxa"/>
            <w:gridSpan w:val="3"/>
            <w:tcBorders/>
            <w:shd w:fill="auto" w:val="clear"/>
            <w:vAlign w:val="center"/>
          </w:tcPr>
          <w:p>
            <w:pPr>
              <w:pStyle w:val="TableContents"/>
              <w:spacing w:before="0" w:after="283"/>
              <w:rPr>
                <w:sz w:val="4"/>
                <w:szCs w:val="4"/>
              </w:rPr>
            </w:pPr>
            <w:r>
              <w:rPr>
                <w:sz w:val="4"/>
                <w:szCs w:val="4"/>
              </w:rPr>
            </w:r>
          </w:p>
        </w:tc>
        <w:tc>
          <w:tcPr>
            <w:tcW w:w="8991" w:type="dxa"/>
            <w:gridSpan w:val="3"/>
            <w:tcBorders/>
            <w:shd w:fill="auto" w:val="clear"/>
            <w:vAlign w:val="center"/>
          </w:tcPr>
          <w:p>
            <w:pPr>
              <w:pStyle w:val="TableContents"/>
              <w:spacing w:before="0" w:after="283"/>
              <w:rPr>
                <w:sz w:val="4"/>
                <w:szCs w:val="4"/>
              </w:rPr>
            </w:pPr>
            <w:r>
              <w:rPr>
                <w:sz w:val="4"/>
                <w:szCs w:val="4"/>
              </w:rPr>
            </w:r>
          </w:p>
        </w:tc>
      </w:tr>
      <w:tr>
        <w:trPr/>
        <w:tc>
          <w:tcPr>
            <w:tcW w:w="1214" w:type="dxa"/>
            <w:gridSpan w:val="3"/>
            <w:tcBorders/>
            <w:shd w:fill="auto" w:val="clear"/>
            <w:vAlign w:val="center"/>
          </w:tcPr>
          <w:p>
            <w:pPr>
              <w:pStyle w:val="TableContents"/>
              <w:spacing w:before="0" w:after="283"/>
              <w:rPr>
                <w:sz w:val="4"/>
                <w:szCs w:val="4"/>
              </w:rPr>
            </w:pPr>
            <w:r>
              <w:rPr>
                <w:sz w:val="4"/>
                <w:szCs w:val="4"/>
              </w:rPr>
            </w:r>
          </w:p>
        </w:tc>
        <w:tc>
          <w:tcPr>
            <w:tcW w:w="8991" w:type="dxa"/>
            <w:gridSpan w:val="3"/>
            <w:tcBorders/>
            <w:shd w:fill="auto" w:val="clear"/>
            <w:vAlign w:val="center"/>
          </w:tcPr>
          <w:p>
            <w:pPr>
              <w:pStyle w:val="TableContents"/>
              <w:spacing w:before="0" w:after="283"/>
              <w:rPr>
                <w:sz w:val="4"/>
                <w:szCs w:val="4"/>
              </w:rPr>
            </w:pPr>
            <w:r>
              <w:rPr>
                <w:sz w:val="4"/>
                <w:szCs w:val="4"/>
              </w:rPr>
            </w:r>
          </w:p>
        </w:tc>
      </w:tr>
      <w:tr>
        <w:trPr/>
        <w:tc>
          <w:tcPr>
            <w:tcW w:w="1214" w:type="dxa"/>
            <w:gridSpan w:val="3"/>
            <w:tcBorders/>
            <w:shd w:fill="auto" w:val="clear"/>
            <w:vAlign w:val="center"/>
          </w:tcPr>
          <w:p>
            <w:pPr>
              <w:pStyle w:val="TableContents"/>
              <w:spacing w:before="0" w:after="283"/>
              <w:rPr>
                <w:sz w:val="4"/>
                <w:szCs w:val="4"/>
              </w:rPr>
            </w:pPr>
            <w:r>
              <w:rPr>
                <w:sz w:val="4"/>
                <w:szCs w:val="4"/>
              </w:rPr>
            </w:r>
          </w:p>
        </w:tc>
        <w:tc>
          <w:tcPr>
            <w:tcW w:w="8991" w:type="dxa"/>
            <w:gridSpan w:val="3"/>
            <w:tcBorders/>
            <w:shd w:fill="auto" w:val="clear"/>
            <w:vAlign w:val="center"/>
          </w:tcPr>
          <w:p>
            <w:pPr>
              <w:pStyle w:val="TableContents"/>
              <w:spacing w:before="0" w:after="283"/>
              <w:rPr>
                <w:sz w:val="4"/>
                <w:szCs w:val="4"/>
              </w:rPr>
            </w:pPr>
            <w:r>
              <w:rPr>
                <w:sz w:val="4"/>
                <w:szCs w:val="4"/>
              </w:rPr>
            </w:r>
          </w:p>
        </w:tc>
      </w:tr>
      <w:tr>
        <w:trPr/>
        <w:tc>
          <w:tcPr>
            <w:tcW w:w="1214" w:type="dxa"/>
            <w:gridSpan w:val="3"/>
            <w:tcBorders/>
            <w:shd w:fill="auto" w:val="clear"/>
            <w:vAlign w:val="center"/>
          </w:tcPr>
          <w:p>
            <w:pPr>
              <w:pStyle w:val="TableContents"/>
              <w:spacing w:before="0" w:after="283"/>
              <w:rPr>
                <w:sz w:val="4"/>
                <w:szCs w:val="4"/>
              </w:rPr>
            </w:pPr>
            <w:r>
              <w:rPr>
                <w:sz w:val="4"/>
                <w:szCs w:val="4"/>
              </w:rPr>
            </w:r>
          </w:p>
        </w:tc>
        <w:tc>
          <w:tcPr>
            <w:tcW w:w="8991" w:type="dxa"/>
            <w:gridSpan w:val="3"/>
            <w:tcBorders/>
            <w:shd w:fill="auto" w:val="clear"/>
            <w:vAlign w:val="center"/>
          </w:tcPr>
          <w:p>
            <w:pPr>
              <w:pStyle w:val="TableContents"/>
              <w:spacing w:before="0" w:after="283"/>
              <w:rPr>
                <w:sz w:val="4"/>
                <w:szCs w:val="4"/>
              </w:rPr>
            </w:pPr>
            <w:r>
              <w:rPr>
                <w:sz w:val="4"/>
                <w:szCs w:val="4"/>
              </w:rPr>
            </w:r>
          </w:p>
        </w:tc>
      </w:tr>
      <w:tr>
        <w:trPr/>
        <w:tc>
          <w:tcPr>
            <w:tcW w:w="1214" w:type="dxa"/>
            <w:gridSpan w:val="3"/>
            <w:tcBorders/>
            <w:shd w:fill="auto" w:val="clear"/>
            <w:vAlign w:val="center"/>
          </w:tcPr>
          <w:p>
            <w:pPr>
              <w:pStyle w:val="TableContents"/>
              <w:spacing w:before="0" w:after="283"/>
              <w:rPr>
                <w:sz w:val="4"/>
                <w:szCs w:val="4"/>
              </w:rPr>
            </w:pPr>
            <w:r>
              <w:rPr>
                <w:sz w:val="4"/>
                <w:szCs w:val="4"/>
              </w:rPr>
            </w:r>
          </w:p>
        </w:tc>
        <w:tc>
          <w:tcPr>
            <w:tcW w:w="8991" w:type="dxa"/>
            <w:gridSpan w:val="3"/>
            <w:tcBorders/>
            <w:shd w:fill="auto" w:val="clear"/>
            <w:vAlign w:val="center"/>
          </w:tcPr>
          <w:p>
            <w:pPr>
              <w:pStyle w:val="TableContents"/>
              <w:spacing w:before="0" w:after="283"/>
              <w:rPr>
                <w:sz w:val="4"/>
                <w:szCs w:val="4"/>
              </w:rPr>
            </w:pPr>
            <w:r>
              <w:rPr>
                <w:sz w:val="4"/>
                <w:szCs w:val="4"/>
              </w:rPr>
            </w:r>
          </w:p>
        </w:tc>
      </w:tr>
      <w:tr>
        <w:trPr/>
        <w:tc>
          <w:tcPr>
            <w:tcW w:w="1214" w:type="dxa"/>
            <w:gridSpan w:val="3"/>
            <w:tcBorders/>
            <w:shd w:fill="auto" w:val="clear"/>
            <w:vAlign w:val="center"/>
          </w:tcPr>
          <w:p>
            <w:pPr>
              <w:pStyle w:val="TableContents"/>
              <w:spacing w:before="0" w:after="283"/>
              <w:rPr>
                <w:sz w:val="4"/>
                <w:szCs w:val="4"/>
              </w:rPr>
            </w:pPr>
            <w:r>
              <w:rPr>
                <w:sz w:val="4"/>
                <w:szCs w:val="4"/>
              </w:rPr>
            </w:r>
          </w:p>
        </w:tc>
        <w:tc>
          <w:tcPr>
            <w:tcW w:w="8991" w:type="dxa"/>
            <w:gridSpan w:val="3"/>
            <w:tcBorders/>
            <w:shd w:fill="auto" w:val="clear"/>
            <w:vAlign w:val="center"/>
          </w:tcPr>
          <w:p>
            <w:pPr>
              <w:pStyle w:val="TableContents"/>
              <w:spacing w:before="0" w:after="283"/>
              <w:rPr>
                <w:sz w:val="4"/>
                <w:szCs w:val="4"/>
              </w:rPr>
            </w:pPr>
            <w:r>
              <w:rPr>
                <w:sz w:val="4"/>
                <w:szCs w:val="4"/>
              </w:rPr>
            </w:r>
          </w:p>
        </w:tc>
      </w:tr>
      <w:tr>
        <w:trPr/>
        <w:tc>
          <w:tcPr>
            <w:tcW w:w="1214" w:type="dxa"/>
            <w:gridSpan w:val="3"/>
            <w:tcBorders/>
            <w:shd w:fill="auto" w:val="clear"/>
            <w:vAlign w:val="center"/>
          </w:tcPr>
          <w:p>
            <w:pPr>
              <w:pStyle w:val="TableContents"/>
              <w:spacing w:before="0" w:after="283"/>
              <w:rPr>
                <w:sz w:val="4"/>
                <w:szCs w:val="4"/>
              </w:rPr>
            </w:pPr>
            <w:r>
              <w:rPr>
                <w:sz w:val="4"/>
                <w:szCs w:val="4"/>
              </w:rPr>
            </w:r>
          </w:p>
        </w:tc>
        <w:tc>
          <w:tcPr>
            <w:tcW w:w="8991" w:type="dxa"/>
            <w:gridSpan w:val="3"/>
            <w:tcBorders/>
            <w:shd w:fill="auto" w:val="clear"/>
            <w:vAlign w:val="center"/>
          </w:tcPr>
          <w:p>
            <w:pPr>
              <w:pStyle w:val="TableContents"/>
              <w:spacing w:before="0" w:after="283"/>
              <w:rPr>
                <w:sz w:val="4"/>
                <w:szCs w:val="4"/>
              </w:rPr>
            </w:pPr>
            <w:r>
              <w:rPr>
                <w:sz w:val="4"/>
                <w:szCs w:val="4"/>
              </w:rPr>
            </w:r>
          </w:p>
        </w:tc>
      </w:tr>
      <w:tr>
        <w:trPr/>
        <w:tc>
          <w:tcPr>
            <w:tcW w:w="1214" w:type="dxa"/>
            <w:gridSpan w:val="3"/>
            <w:tcBorders/>
            <w:shd w:fill="auto" w:val="clear"/>
            <w:vAlign w:val="center"/>
          </w:tcPr>
          <w:p>
            <w:pPr>
              <w:pStyle w:val="TableContents"/>
              <w:spacing w:before="0" w:after="283"/>
              <w:rPr>
                <w:sz w:val="4"/>
                <w:szCs w:val="4"/>
              </w:rPr>
            </w:pPr>
            <w:r>
              <w:rPr>
                <w:sz w:val="4"/>
                <w:szCs w:val="4"/>
              </w:rPr>
            </w:r>
          </w:p>
        </w:tc>
        <w:tc>
          <w:tcPr>
            <w:tcW w:w="8991" w:type="dxa"/>
            <w:gridSpan w:val="3"/>
            <w:tcBorders/>
            <w:shd w:fill="auto" w:val="clear"/>
            <w:vAlign w:val="center"/>
          </w:tcPr>
          <w:p>
            <w:pPr>
              <w:pStyle w:val="TableContents"/>
              <w:spacing w:before="0" w:after="283"/>
              <w:rPr>
                <w:sz w:val="4"/>
                <w:szCs w:val="4"/>
              </w:rPr>
            </w:pPr>
            <w:r>
              <w:rPr>
                <w:sz w:val="4"/>
                <w:szCs w:val="4"/>
              </w:rPr>
            </w:r>
          </w:p>
        </w:tc>
      </w:tr>
      <w:tr>
        <w:trPr/>
        <w:tc>
          <w:tcPr>
            <w:tcW w:w="1214" w:type="dxa"/>
            <w:gridSpan w:val="3"/>
            <w:tcBorders/>
            <w:shd w:fill="auto" w:val="clear"/>
            <w:vAlign w:val="center"/>
          </w:tcPr>
          <w:p>
            <w:pPr>
              <w:pStyle w:val="TableContents"/>
              <w:spacing w:before="0" w:after="283"/>
              <w:rPr>
                <w:sz w:val="4"/>
                <w:szCs w:val="4"/>
              </w:rPr>
            </w:pPr>
            <w:r>
              <w:rPr>
                <w:sz w:val="4"/>
                <w:szCs w:val="4"/>
              </w:rPr>
            </w:r>
          </w:p>
        </w:tc>
        <w:tc>
          <w:tcPr>
            <w:tcW w:w="8991" w:type="dxa"/>
            <w:gridSpan w:val="3"/>
            <w:tcBorders/>
            <w:shd w:fill="auto" w:val="clear"/>
            <w:vAlign w:val="center"/>
          </w:tcPr>
          <w:p>
            <w:pPr>
              <w:pStyle w:val="TableContents"/>
              <w:spacing w:before="0" w:after="283"/>
              <w:rPr>
                <w:sz w:val="4"/>
                <w:szCs w:val="4"/>
              </w:rPr>
            </w:pPr>
            <w:r>
              <w:rPr>
                <w:sz w:val="4"/>
                <w:szCs w:val="4"/>
              </w:rPr>
            </w:r>
          </w:p>
        </w:tc>
      </w:tr>
      <w:tr>
        <w:trPr/>
        <w:tc>
          <w:tcPr>
            <w:tcW w:w="1214" w:type="dxa"/>
            <w:gridSpan w:val="3"/>
            <w:tcBorders/>
            <w:shd w:fill="auto" w:val="clear"/>
            <w:vAlign w:val="center"/>
          </w:tcPr>
          <w:p>
            <w:pPr>
              <w:pStyle w:val="TableContents"/>
              <w:spacing w:before="0" w:after="283"/>
              <w:rPr>
                <w:sz w:val="4"/>
                <w:szCs w:val="4"/>
              </w:rPr>
            </w:pPr>
            <w:r>
              <w:rPr>
                <w:sz w:val="4"/>
                <w:szCs w:val="4"/>
              </w:rPr>
            </w:r>
          </w:p>
        </w:tc>
        <w:tc>
          <w:tcPr>
            <w:tcW w:w="8991" w:type="dxa"/>
            <w:gridSpan w:val="3"/>
            <w:tcBorders/>
            <w:shd w:fill="auto" w:val="clear"/>
            <w:vAlign w:val="center"/>
          </w:tcPr>
          <w:p>
            <w:pPr>
              <w:pStyle w:val="TableContents"/>
              <w:spacing w:before="0" w:after="283"/>
              <w:rPr>
                <w:sz w:val="4"/>
                <w:szCs w:val="4"/>
              </w:rPr>
            </w:pPr>
            <w:r>
              <w:rPr>
                <w:sz w:val="4"/>
                <w:szCs w:val="4"/>
              </w:rPr>
            </w:r>
          </w:p>
        </w:tc>
      </w:tr>
      <w:tr>
        <w:trPr/>
        <w:tc>
          <w:tcPr>
            <w:tcW w:w="1214" w:type="dxa"/>
            <w:gridSpan w:val="3"/>
            <w:tcBorders/>
            <w:shd w:fill="auto" w:val="clear"/>
            <w:vAlign w:val="center"/>
          </w:tcPr>
          <w:p>
            <w:pPr>
              <w:pStyle w:val="TableContents"/>
              <w:spacing w:before="0" w:after="283"/>
              <w:rPr>
                <w:sz w:val="4"/>
                <w:szCs w:val="4"/>
              </w:rPr>
            </w:pPr>
            <w:r>
              <w:rPr>
                <w:sz w:val="4"/>
                <w:szCs w:val="4"/>
              </w:rPr>
            </w:r>
          </w:p>
        </w:tc>
        <w:tc>
          <w:tcPr>
            <w:tcW w:w="8991" w:type="dxa"/>
            <w:gridSpan w:val="3"/>
            <w:tcBorders/>
            <w:shd w:fill="auto" w:val="clear"/>
            <w:vAlign w:val="center"/>
          </w:tcPr>
          <w:p>
            <w:pPr>
              <w:pStyle w:val="TableContents"/>
              <w:spacing w:before="0" w:after="283"/>
              <w:rPr>
                <w:sz w:val="4"/>
                <w:szCs w:val="4"/>
              </w:rPr>
            </w:pPr>
            <w:r>
              <w:rPr>
                <w:sz w:val="4"/>
                <w:szCs w:val="4"/>
              </w:rPr>
            </w:r>
          </w:p>
        </w:tc>
      </w:tr>
      <w:tr>
        <w:trPr/>
        <w:tc>
          <w:tcPr>
            <w:tcW w:w="1214" w:type="dxa"/>
            <w:gridSpan w:val="3"/>
            <w:tcBorders/>
            <w:shd w:fill="auto" w:val="clear"/>
            <w:vAlign w:val="center"/>
          </w:tcPr>
          <w:p>
            <w:pPr>
              <w:pStyle w:val="TableContents"/>
              <w:spacing w:before="0" w:after="283"/>
              <w:rPr>
                <w:sz w:val="4"/>
                <w:szCs w:val="4"/>
              </w:rPr>
            </w:pPr>
            <w:r>
              <w:rPr>
                <w:sz w:val="4"/>
                <w:szCs w:val="4"/>
              </w:rPr>
            </w:r>
          </w:p>
        </w:tc>
        <w:tc>
          <w:tcPr>
            <w:tcW w:w="8991" w:type="dxa"/>
            <w:gridSpan w:val="3"/>
            <w:tcBorders/>
            <w:shd w:fill="auto" w:val="clear"/>
            <w:vAlign w:val="center"/>
          </w:tcPr>
          <w:p>
            <w:pPr>
              <w:pStyle w:val="TableContents"/>
              <w:spacing w:before="0" w:after="283"/>
              <w:rPr>
                <w:sz w:val="4"/>
                <w:szCs w:val="4"/>
              </w:rPr>
            </w:pPr>
            <w:r>
              <w:rPr>
                <w:sz w:val="4"/>
                <w:szCs w:val="4"/>
              </w:rPr>
            </w:r>
          </w:p>
        </w:tc>
      </w:tr>
      <w:tr>
        <w:trPr/>
        <w:tc>
          <w:tcPr>
            <w:tcW w:w="1214" w:type="dxa"/>
            <w:gridSpan w:val="3"/>
            <w:tcBorders/>
            <w:shd w:fill="auto" w:val="clear"/>
            <w:vAlign w:val="center"/>
          </w:tcPr>
          <w:p>
            <w:pPr>
              <w:pStyle w:val="TableContents"/>
              <w:spacing w:before="0" w:after="283"/>
              <w:rPr>
                <w:sz w:val="4"/>
                <w:szCs w:val="4"/>
              </w:rPr>
            </w:pPr>
            <w:r>
              <w:rPr>
                <w:sz w:val="4"/>
                <w:szCs w:val="4"/>
              </w:rPr>
            </w:r>
          </w:p>
        </w:tc>
        <w:tc>
          <w:tcPr>
            <w:tcW w:w="8991" w:type="dxa"/>
            <w:gridSpan w:val="3"/>
            <w:tcBorders/>
            <w:shd w:fill="auto" w:val="clear"/>
            <w:vAlign w:val="center"/>
          </w:tcPr>
          <w:p>
            <w:pPr>
              <w:pStyle w:val="TableContents"/>
              <w:spacing w:before="0" w:after="283"/>
              <w:rPr>
                <w:sz w:val="4"/>
                <w:szCs w:val="4"/>
              </w:rPr>
            </w:pPr>
            <w:r>
              <w:rPr>
                <w:sz w:val="4"/>
                <w:szCs w:val="4"/>
              </w:rPr>
            </w:r>
          </w:p>
        </w:tc>
      </w:tr>
      <w:tr>
        <w:trPr/>
        <w:tc>
          <w:tcPr>
            <w:tcW w:w="12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Horizontal wells</w:t>
            </w:r>
          </w:p>
        </w:tc>
        <w:tc>
          <w:tcPr>
            <w:tcW w:w="8991" w:type="dxa"/>
            <w:gridSpan w:val="3"/>
            <w:tcBorders/>
            <w:shd w:fill="FFFF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19"/>
              </w:rPr>
            </w:pPr>
            <w:r>
              <w:rPr>
                <w:rFonts w:ascii="Times New Roman;sans-serif" w:hAnsi="Times New Roman;sans-serif"/>
                <w:b w:val="false"/>
                <w:color w:val="000000"/>
                <w:sz w:val="19"/>
              </w:rPr>
              <w:t>Wells drilled directionally horizontal to allow for development of structures not reachable through traditional vertical drilling mechanisms.</w:t>
            </w:r>
          </w:p>
        </w:tc>
      </w:tr>
      <w:tr>
        <w:trPr/>
        <w:tc>
          <w:tcPr>
            <w:tcW w:w="1214" w:type="dxa"/>
            <w:gridSpan w:val="3"/>
            <w:tcBorders/>
            <w:shd w:fill="auto" w:val="clear"/>
            <w:vAlign w:val="center"/>
          </w:tcPr>
          <w:p>
            <w:pPr>
              <w:pStyle w:val="TableContents"/>
              <w:spacing w:before="0" w:after="283"/>
              <w:rPr>
                <w:sz w:val="4"/>
                <w:szCs w:val="4"/>
              </w:rPr>
            </w:pPr>
            <w:r>
              <w:rPr>
                <w:sz w:val="4"/>
                <w:szCs w:val="4"/>
              </w:rPr>
            </w:r>
          </w:p>
        </w:tc>
        <w:tc>
          <w:tcPr>
            <w:tcW w:w="8991" w:type="dxa"/>
            <w:gridSpan w:val="3"/>
            <w:tcBorders/>
            <w:shd w:fill="auto" w:val="clear"/>
            <w:vAlign w:val="center"/>
          </w:tcPr>
          <w:p>
            <w:pPr>
              <w:pStyle w:val="TableContents"/>
              <w:spacing w:before="0" w:after="283"/>
              <w:rPr>
                <w:sz w:val="4"/>
                <w:szCs w:val="4"/>
              </w:rPr>
            </w:pPr>
            <w:r>
              <w:rPr>
                <w:sz w:val="4"/>
                <w:szCs w:val="4"/>
              </w:rPr>
            </w:r>
          </w:p>
        </w:tc>
      </w:tr>
      <w:tr>
        <w:trPr/>
        <w:tc>
          <w:tcPr>
            <w:tcW w:w="12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MBbls</w:t>
            </w:r>
          </w:p>
        </w:tc>
        <w:tc>
          <w:tcPr>
            <w:tcW w:w="8991" w:type="dxa"/>
            <w:gridSpan w:val="3"/>
            <w:tcBorders/>
            <w:shd w:fill="CCEE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19"/>
              </w:rPr>
            </w:pPr>
            <w:r>
              <w:rPr>
                <w:rFonts w:ascii="Times New Roman;sans-serif" w:hAnsi="Times New Roman;sans-serif"/>
                <w:b w:val="false"/>
                <w:color w:val="000000"/>
                <w:sz w:val="19"/>
              </w:rPr>
              <w:t>Thousand barrels of crude oil or other liquid hydrocarbons.</w:t>
            </w:r>
          </w:p>
        </w:tc>
      </w:tr>
      <w:tr>
        <w:trPr/>
        <w:tc>
          <w:tcPr>
            <w:tcW w:w="12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MBOE</w:t>
            </w:r>
          </w:p>
        </w:tc>
        <w:tc>
          <w:tcPr>
            <w:tcW w:w="8991" w:type="dxa"/>
            <w:gridSpan w:val="3"/>
            <w:tcBorders/>
            <w:shd w:fill="FFFF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19"/>
              </w:rPr>
            </w:pPr>
            <w:r>
              <w:rPr>
                <w:rFonts w:ascii="Times New Roman;sans-serif" w:hAnsi="Times New Roman;sans-serif"/>
                <w:b w:val="false"/>
                <w:color w:val="000000"/>
                <w:sz w:val="19"/>
              </w:rPr>
              <w:t>One thousand barrels of crude oil equivalent, determined using a ratio of six Mcf of natural gas to one Bbl of crude oil, condensate or natural gas liquids.</w:t>
            </w:r>
          </w:p>
        </w:tc>
      </w:tr>
      <w:tr>
        <w:trPr/>
        <w:tc>
          <w:tcPr>
            <w:tcW w:w="12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Mcf</w:t>
            </w:r>
          </w:p>
        </w:tc>
        <w:tc>
          <w:tcPr>
            <w:tcW w:w="8991" w:type="dxa"/>
            <w:gridSpan w:val="3"/>
            <w:tcBorders/>
            <w:shd w:fill="CCEE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19"/>
              </w:rPr>
            </w:pPr>
            <w:r>
              <w:rPr>
                <w:rFonts w:ascii="Times New Roman;sans-serif" w:hAnsi="Times New Roman;sans-serif"/>
                <w:b w:val="false"/>
                <w:color w:val="000000"/>
                <w:sz w:val="19"/>
              </w:rPr>
              <w:t>One thousand cubic feet of natural gas.</w:t>
            </w:r>
          </w:p>
        </w:tc>
      </w:tr>
      <w:tr>
        <w:trPr/>
        <w:tc>
          <w:tcPr>
            <w:tcW w:w="1214" w:type="dxa"/>
            <w:gridSpan w:val="3"/>
            <w:tcBorders/>
            <w:shd w:fill="auto" w:val="clear"/>
            <w:vAlign w:val="center"/>
          </w:tcPr>
          <w:p>
            <w:pPr>
              <w:pStyle w:val="TableContents"/>
              <w:spacing w:before="0" w:after="283"/>
              <w:rPr>
                <w:sz w:val="4"/>
                <w:szCs w:val="4"/>
              </w:rPr>
            </w:pPr>
            <w:r>
              <w:rPr>
                <w:sz w:val="4"/>
                <w:szCs w:val="4"/>
              </w:rPr>
            </w:r>
          </w:p>
        </w:tc>
        <w:tc>
          <w:tcPr>
            <w:tcW w:w="8991" w:type="dxa"/>
            <w:gridSpan w:val="3"/>
            <w:tcBorders/>
            <w:shd w:fill="auto" w:val="clear"/>
            <w:vAlign w:val="center"/>
          </w:tcPr>
          <w:p>
            <w:pPr>
              <w:pStyle w:val="TableContents"/>
              <w:spacing w:before="0" w:after="283"/>
              <w:rPr>
                <w:sz w:val="4"/>
                <w:szCs w:val="4"/>
              </w:rPr>
            </w:pPr>
            <w:r>
              <w:rPr>
                <w:sz w:val="4"/>
                <w:szCs w:val="4"/>
              </w:rPr>
            </w:r>
          </w:p>
        </w:tc>
      </w:tr>
      <w:tr>
        <w:trPr/>
        <w:tc>
          <w:tcPr>
            <w:tcW w:w="12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Mineral interests</w:t>
            </w:r>
          </w:p>
        </w:tc>
        <w:tc>
          <w:tcPr>
            <w:tcW w:w="8991" w:type="dxa"/>
            <w:gridSpan w:val="3"/>
            <w:tcBorders/>
            <w:shd w:fill="FFFF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19"/>
              </w:rPr>
            </w:pPr>
            <w:r>
              <w:rPr>
                <w:rFonts w:ascii="Times New Roman;sans-serif" w:hAnsi="Times New Roman;sans-serif"/>
                <w:b w:val="false"/>
                <w:color w:val="000000"/>
                <w:sz w:val="19"/>
              </w:rPr>
              <w:t>The interests in ownership of the resource and mineral rights, giving an owner the right to profit from the extracted resources.</w:t>
            </w:r>
          </w:p>
        </w:tc>
      </w:tr>
      <w:tr>
        <w:trPr/>
        <w:tc>
          <w:tcPr>
            <w:tcW w:w="12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MMBtu</w:t>
            </w:r>
          </w:p>
        </w:tc>
        <w:tc>
          <w:tcPr>
            <w:tcW w:w="8991" w:type="dxa"/>
            <w:gridSpan w:val="3"/>
            <w:tcBorders/>
            <w:shd w:fill="CCEE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19"/>
              </w:rPr>
            </w:pPr>
            <w:r>
              <w:rPr>
                <w:rFonts w:ascii="Times New Roman;sans-serif" w:hAnsi="Times New Roman;sans-serif"/>
                <w:b w:val="false"/>
                <w:color w:val="000000"/>
                <w:sz w:val="19"/>
              </w:rPr>
              <w:t>One million British Thermal Units.</w:t>
            </w:r>
          </w:p>
        </w:tc>
      </w:tr>
      <w:tr>
        <w:trPr/>
        <w:tc>
          <w:tcPr>
            <w:tcW w:w="12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MMcf</w:t>
            </w:r>
          </w:p>
        </w:tc>
        <w:tc>
          <w:tcPr>
            <w:tcW w:w="8991" w:type="dxa"/>
            <w:gridSpan w:val="3"/>
            <w:tcBorders/>
            <w:shd w:fill="FFFF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19"/>
              </w:rPr>
            </w:pPr>
            <w:r>
              <w:rPr>
                <w:rFonts w:ascii="Times New Roman;sans-serif" w:hAnsi="Times New Roman;sans-serif"/>
                <w:b w:val="false"/>
                <w:color w:val="000000"/>
                <w:sz w:val="19"/>
              </w:rPr>
              <w:t>Million cubic feet of natural gas.</w:t>
            </w:r>
          </w:p>
        </w:tc>
      </w:tr>
      <w:tr>
        <w:trPr/>
        <w:tc>
          <w:tcPr>
            <w:tcW w:w="1214" w:type="dxa"/>
            <w:gridSpan w:val="3"/>
            <w:tcBorders/>
            <w:shd w:fill="auto" w:val="clear"/>
            <w:vAlign w:val="center"/>
          </w:tcPr>
          <w:p>
            <w:pPr>
              <w:pStyle w:val="TableContents"/>
              <w:spacing w:before="0" w:after="283"/>
              <w:rPr>
                <w:sz w:val="4"/>
                <w:szCs w:val="4"/>
              </w:rPr>
            </w:pPr>
            <w:r>
              <w:rPr>
                <w:sz w:val="4"/>
                <w:szCs w:val="4"/>
              </w:rPr>
            </w:r>
          </w:p>
        </w:tc>
        <w:tc>
          <w:tcPr>
            <w:tcW w:w="8991" w:type="dxa"/>
            <w:gridSpan w:val="3"/>
            <w:tcBorders/>
            <w:shd w:fill="auto" w:val="clear"/>
            <w:vAlign w:val="center"/>
          </w:tcPr>
          <w:p>
            <w:pPr>
              <w:pStyle w:val="TableContents"/>
              <w:spacing w:before="0" w:after="283"/>
              <w:rPr>
                <w:sz w:val="4"/>
                <w:szCs w:val="4"/>
              </w:rPr>
            </w:pPr>
            <w:r>
              <w:rPr>
                <w:sz w:val="4"/>
                <w:szCs w:val="4"/>
              </w:rPr>
            </w:r>
          </w:p>
        </w:tc>
      </w:tr>
      <w:tr>
        <w:trPr/>
        <w:tc>
          <w:tcPr>
            <w:tcW w:w="1214" w:type="dxa"/>
            <w:gridSpan w:val="3"/>
            <w:tcBorders/>
            <w:shd w:fill="auto" w:val="clear"/>
            <w:vAlign w:val="center"/>
          </w:tcPr>
          <w:p>
            <w:pPr>
              <w:pStyle w:val="TableContents"/>
              <w:spacing w:before="0" w:after="283"/>
              <w:rPr>
                <w:sz w:val="4"/>
                <w:szCs w:val="4"/>
              </w:rPr>
            </w:pPr>
            <w:r>
              <w:rPr>
                <w:sz w:val="4"/>
                <w:szCs w:val="4"/>
              </w:rPr>
            </w:r>
          </w:p>
        </w:tc>
        <w:tc>
          <w:tcPr>
            <w:tcW w:w="8991" w:type="dxa"/>
            <w:gridSpan w:val="3"/>
            <w:tcBorders/>
            <w:shd w:fill="auto" w:val="clear"/>
            <w:vAlign w:val="center"/>
          </w:tcPr>
          <w:p>
            <w:pPr>
              <w:pStyle w:val="TableContents"/>
              <w:spacing w:before="0" w:after="283"/>
              <w:rPr>
                <w:sz w:val="4"/>
                <w:szCs w:val="4"/>
              </w:rPr>
            </w:pPr>
            <w:r>
              <w:rPr>
                <w:sz w:val="4"/>
                <w:szCs w:val="4"/>
              </w:rPr>
            </w:r>
          </w:p>
        </w:tc>
      </w:tr>
      <w:tr>
        <w:trPr/>
        <w:tc>
          <w:tcPr>
            <w:tcW w:w="1214" w:type="dxa"/>
            <w:gridSpan w:val="3"/>
            <w:tcBorders/>
            <w:shd w:fill="auto" w:val="clear"/>
            <w:vAlign w:val="center"/>
          </w:tcPr>
          <w:p>
            <w:pPr>
              <w:pStyle w:val="TableContents"/>
              <w:spacing w:before="0" w:after="283"/>
              <w:rPr>
                <w:sz w:val="4"/>
                <w:szCs w:val="4"/>
              </w:rPr>
            </w:pPr>
            <w:r>
              <w:rPr>
                <w:sz w:val="4"/>
                <w:szCs w:val="4"/>
              </w:rPr>
            </w:r>
          </w:p>
        </w:tc>
        <w:tc>
          <w:tcPr>
            <w:tcW w:w="8991" w:type="dxa"/>
            <w:gridSpan w:val="3"/>
            <w:tcBorders/>
            <w:shd w:fill="auto" w:val="clear"/>
            <w:vAlign w:val="center"/>
          </w:tcPr>
          <w:p>
            <w:pPr>
              <w:pStyle w:val="TableContents"/>
              <w:spacing w:before="0" w:after="283"/>
              <w:rPr>
                <w:sz w:val="4"/>
                <w:szCs w:val="4"/>
              </w:rPr>
            </w:pPr>
            <w:r>
              <w:rPr>
                <w:sz w:val="4"/>
                <w:szCs w:val="4"/>
              </w:rPr>
            </w:r>
          </w:p>
        </w:tc>
      </w:tr>
      <w:tr>
        <w:trPr/>
        <w:tc>
          <w:tcPr>
            <w:tcW w:w="1214" w:type="dxa"/>
            <w:gridSpan w:val="3"/>
            <w:tcBorders/>
            <w:shd w:fill="auto" w:val="clear"/>
            <w:vAlign w:val="center"/>
          </w:tcPr>
          <w:p>
            <w:pPr>
              <w:pStyle w:val="TableContents"/>
              <w:spacing w:before="0" w:after="283"/>
              <w:rPr>
                <w:sz w:val="4"/>
                <w:szCs w:val="4"/>
              </w:rPr>
            </w:pPr>
            <w:r>
              <w:rPr>
                <w:sz w:val="4"/>
                <w:szCs w:val="4"/>
              </w:rPr>
            </w:r>
          </w:p>
        </w:tc>
        <w:tc>
          <w:tcPr>
            <w:tcW w:w="8991" w:type="dxa"/>
            <w:gridSpan w:val="3"/>
            <w:tcBorders/>
            <w:shd w:fill="auto" w:val="clear"/>
            <w:vAlign w:val="center"/>
          </w:tcPr>
          <w:p>
            <w:pPr>
              <w:pStyle w:val="TableContents"/>
              <w:spacing w:before="0" w:after="283"/>
              <w:rPr>
                <w:sz w:val="4"/>
                <w:szCs w:val="4"/>
              </w:rPr>
            </w:pPr>
            <w:r>
              <w:rPr>
                <w:sz w:val="4"/>
                <w:szCs w:val="4"/>
              </w:rPr>
            </w:r>
          </w:p>
        </w:tc>
      </w:tr>
      <w:tr>
        <w:trPr/>
        <w:tc>
          <w:tcPr>
            <w:tcW w:w="12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Net royalty acres</w:t>
            </w:r>
          </w:p>
        </w:tc>
        <w:tc>
          <w:tcPr>
            <w:tcW w:w="8991" w:type="dxa"/>
            <w:gridSpan w:val="3"/>
            <w:tcBorders/>
            <w:shd w:fill="CCEE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19"/>
              </w:rPr>
            </w:pPr>
            <w:r>
              <w:rPr>
                <w:rFonts w:ascii="Times New Roman;sans-serif" w:hAnsi="Times New Roman;sans-serif"/>
                <w:b w:val="false"/>
                <w:color w:val="000000"/>
                <w:sz w:val="19"/>
              </w:rPr>
              <w:t>Net mineral acres multiplied by the average lease royalty interest and other burdens.</w:t>
            </w:r>
          </w:p>
        </w:tc>
      </w:tr>
      <w:tr>
        <w:trPr/>
        <w:tc>
          <w:tcPr>
            <w:tcW w:w="12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Oil and natural gas properties</w:t>
            </w:r>
          </w:p>
        </w:tc>
        <w:tc>
          <w:tcPr>
            <w:tcW w:w="8991" w:type="dxa"/>
            <w:gridSpan w:val="3"/>
            <w:tcBorders/>
            <w:shd w:fill="FFFF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19"/>
              </w:rPr>
            </w:pPr>
            <w:r>
              <w:rPr>
                <w:rFonts w:ascii="Times New Roman;sans-serif" w:hAnsi="Times New Roman;sans-serif"/>
                <w:b w:val="false"/>
                <w:color w:val="000000"/>
                <w:sz w:val="19"/>
              </w:rPr>
              <w:t>Tracts of land consisting of properties to be developed for oil and natural gas resource extraction.</w:t>
            </w:r>
          </w:p>
        </w:tc>
      </w:tr>
      <w:tr>
        <w:trPr/>
        <w:tc>
          <w:tcPr>
            <w:tcW w:w="12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Operator</w:t>
            </w:r>
          </w:p>
        </w:tc>
        <w:tc>
          <w:tcPr>
            <w:tcW w:w="8991" w:type="dxa"/>
            <w:gridSpan w:val="3"/>
            <w:tcBorders/>
            <w:shd w:fill="CCEE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19"/>
              </w:rPr>
            </w:pPr>
            <w:r>
              <w:rPr>
                <w:rFonts w:ascii="Times New Roman;sans-serif" w:hAnsi="Times New Roman;sans-serif"/>
                <w:b w:val="false"/>
                <w:color w:val="000000"/>
                <w:sz w:val="19"/>
              </w:rPr>
              <w:t>The individual or company responsible for the exploration and/or production of an oil or natural gas well or lease.</w:t>
            </w:r>
          </w:p>
        </w:tc>
      </w:tr>
      <w:tr>
        <w:trPr/>
        <w:tc>
          <w:tcPr>
            <w:tcW w:w="1214" w:type="dxa"/>
            <w:gridSpan w:val="3"/>
            <w:tcBorders/>
            <w:shd w:fill="auto" w:val="clear"/>
            <w:vAlign w:val="center"/>
          </w:tcPr>
          <w:p>
            <w:pPr>
              <w:pStyle w:val="TableContents"/>
              <w:spacing w:before="0" w:after="283"/>
              <w:rPr>
                <w:sz w:val="4"/>
                <w:szCs w:val="4"/>
              </w:rPr>
            </w:pPr>
            <w:r>
              <w:rPr>
                <w:sz w:val="4"/>
                <w:szCs w:val="4"/>
              </w:rPr>
            </w:r>
          </w:p>
        </w:tc>
        <w:tc>
          <w:tcPr>
            <w:tcW w:w="8991" w:type="dxa"/>
            <w:gridSpan w:val="3"/>
            <w:tcBorders/>
            <w:shd w:fill="auto" w:val="clear"/>
            <w:vAlign w:val="center"/>
          </w:tcPr>
          <w:p>
            <w:pPr>
              <w:pStyle w:val="TableContents"/>
              <w:spacing w:before="0" w:after="283"/>
              <w:rPr>
                <w:sz w:val="4"/>
                <w:szCs w:val="4"/>
              </w:rPr>
            </w:pPr>
            <w:r>
              <w:rPr>
                <w:sz w:val="4"/>
                <w:szCs w:val="4"/>
              </w:rPr>
            </w:r>
          </w:p>
        </w:tc>
      </w:tr>
      <w:tr>
        <w:trPr/>
        <w:tc>
          <w:tcPr>
            <w:tcW w:w="1214" w:type="dxa"/>
            <w:gridSpan w:val="3"/>
            <w:tcBorders/>
            <w:shd w:fill="auto" w:val="clear"/>
            <w:vAlign w:val="center"/>
          </w:tcPr>
          <w:p>
            <w:pPr>
              <w:pStyle w:val="TableContents"/>
              <w:spacing w:before="0" w:after="283"/>
              <w:rPr>
                <w:sz w:val="4"/>
                <w:szCs w:val="4"/>
              </w:rPr>
            </w:pPr>
            <w:r>
              <w:rPr>
                <w:sz w:val="4"/>
                <w:szCs w:val="4"/>
              </w:rPr>
            </w:r>
          </w:p>
        </w:tc>
        <w:tc>
          <w:tcPr>
            <w:tcW w:w="8991" w:type="dxa"/>
            <w:gridSpan w:val="3"/>
            <w:tcBorders/>
            <w:shd w:fill="auto" w:val="clear"/>
            <w:vAlign w:val="center"/>
          </w:tcPr>
          <w:p>
            <w:pPr>
              <w:pStyle w:val="TableContents"/>
              <w:spacing w:before="0" w:after="283"/>
              <w:rPr>
                <w:sz w:val="4"/>
                <w:szCs w:val="4"/>
              </w:rPr>
            </w:pPr>
            <w:r>
              <w:rPr>
                <w:sz w:val="4"/>
                <w:szCs w:val="4"/>
              </w:rPr>
            </w:r>
          </w:p>
        </w:tc>
      </w:tr>
      <w:tr>
        <w:trPr/>
        <w:tc>
          <w:tcPr>
            <w:tcW w:w="1214" w:type="dxa"/>
            <w:gridSpan w:val="3"/>
            <w:tcBorders/>
            <w:shd w:fill="auto" w:val="clear"/>
            <w:vAlign w:val="center"/>
          </w:tcPr>
          <w:p>
            <w:pPr>
              <w:pStyle w:val="TableContents"/>
              <w:spacing w:before="0" w:after="283"/>
              <w:rPr>
                <w:sz w:val="4"/>
                <w:szCs w:val="4"/>
              </w:rPr>
            </w:pPr>
            <w:r>
              <w:rPr>
                <w:sz w:val="4"/>
                <w:szCs w:val="4"/>
              </w:rPr>
            </w:r>
          </w:p>
        </w:tc>
        <w:tc>
          <w:tcPr>
            <w:tcW w:w="8991" w:type="dxa"/>
            <w:gridSpan w:val="3"/>
            <w:tcBorders/>
            <w:shd w:fill="auto" w:val="clear"/>
            <w:vAlign w:val="center"/>
          </w:tcPr>
          <w:p>
            <w:pPr>
              <w:pStyle w:val="TableContents"/>
              <w:spacing w:before="0" w:after="283"/>
              <w:rPr>
                <w:sz w:val="4"/>
                <w:szCs w:val="4"/>
              </w:rPr>
            </w:pPr>
            <w:r>
              <w:rPr>
                <w:sz w:val="4"/>
                <w:szCs w:val="4"/>
              </w:rPr>
            </w:r>
          </w:p>
        </w:tc>
      </w:tr>
      <w:tr>
        <w:trPr/>
        <w:tc>
          <w:tcPr>
            <w:tcW w:w="1214" w:type="dxa"/>
            <w:gridSpan w:val="3"/>
            <w:tcBorders/>
            <w:shd w:fill="auto" w:val="clear"/>
            <w:vAlign w:val="center"/>
          </w:tcPr>
          <w:p>
            <w:pPr>
              <w:pStyle w:val="TableContents"/>
              <w:spacing w:before="0" w:after="283"/>
              <w:rPr>
                <w:sz w:val="4"/>
                <w:szCs w:val="4"/>
              </w:rPr>
            </w:pPr>
            <w:r>
              <w:rPr>
                <w:sz w:val="4"/>
                <w:szCs w:val="4"/>
              </w:rPr>
            </w:r>
          </w:p>
        </w:tc>
        <w:tc>
          <w:tcPr>
            <w:tcW w:w="8991" w:type="dxa"/>
            <w:gridSpan w:val="3"/>
            <w:tcBorders/>
            <w:shd w:fill="auto" w:val="clear"/>
            <w:vAlign w:val="center"/>
          </w:tcPr>
          <w:p>
            <w:pPr>
              <w:pStyle w:val="TableContents"/>
              <w:spacing w:before="0" w:after="283"/>
              <w:rPr>
                <w:sz w:val="4"/>
                <w:szCs w:val="4"/>
              </w:rPr>
            </w:pPr>
            <w:r>
              <w:rPr>
                <w:sz w:val="4"/>
                <w:szCs w:val="4"/>
              </w:rPr>
            </w:r>
          </w:p>
        </w:tc>
      </w:tr>
      <w:tr>
        <w:trPr/>
        <w:tc>
          <w:tcPr>
            <w:tcW w:w="1214" w:type="dxa"/>
            <w:gridSpan w:val="3"/>
            <w:tcBorders/>
            <w:shd w:fill="auto" w:val="clear"/>
            <w:vAlign w:val="center"/>
          </w:tcPr>
          <w:p>
            <w:pPr>
              <w:pStyle w:val="TableContents"/>
              <w:spacing w:before="0" w:after="283"/>
              <w:rPr>
                <w:sz w:val="4"/>
                <w:szCs w:val="4"/>
              </w:rPr>
            </w:pPr>
            <w:r>
              <w:rPr>
                <w:sz w:val="4"/>
                <w:szCs w:val="4"/>
              </w:rPr>
            </w:r>
          </w:p>
        </w:tc>
        <w:tc>
          <w:tcPr>
            <w:tcW w:w="8991" w:type="dxa"/>
            <w:gridSpan w:val="3"/>
            <w:tcBorders/>
            <w:shd w:fill="auto" w:val="clear"/>
            <w:vAlign w:val="center"/>
          </w:tcPr>
          <w:p>
            <w:pPr>
              <w:pStyle w:val="TableContents"/>
              <w:spacing w:before="0" w:after="283"/>
              <w:rPr>
                <w:sz w:val="4"/>
                <w:szCs w:val="4"/>
              </w:rPr>
            </w:pPr>
            <w:r>
              <w:rPr>
                <w:sz w:val="4"/>
                <w:szCs w:val="4"/>
              </w:rPr>
            </w:r>
          </w:p>
        </w:tc>
      </w:tr>
      <w:tr>
        <w:trPr/>
        <w:tc>
          <w:tcPr>
            <w:tcW w:w="12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Prospect</w:t>
            </w:r>
          </w:p>
        </w:tc>
        <w:tc>
          <w:tcPr>
            <w:tcW w:w="8991" w:type="dxa"/>
            <w:gridSpan w:val="3"/>
            <w:tcBorders/>
            <w:shd w:fill="FFFF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19"/>
              </w:rPr>
            </w:pPr>
            <w:r>
              <w:rPr>
                <w:rFonts w:ascii="Times New Roman;sans-serif" w:hAnsi="Times New Roman;sans-serif"/>
                <w:b w:val="false"/>
                <w:color w:val="000000"/>
                <w:sz w:val="19"/>
              </w:rPr>
              <w:t>A specific geographic area which, based on supporting geological, geophysical or other data and also preliminary economic analysis using reasonably anticipated prices and costs, is deemed to have potential for the discovery of commercial hydrocarbons.</w:t>
            </w:r>
          </w:p>
        </w:tc>
      </w:tr>
      <w:tr>
        <w:trPr/>
        <w:tc>
          <w:tcPr>
            <w:tcW w:w="1214" w:type="dxa"/>
            <w:gridSpan w:val="3"/>
            <w:tcBorders/>
            <w:shd w:fill="auto" w:val="clear"/>
            <w:vAlign w:val="center"/>
          </w:tcPr>
          <w:p>
            <w:pPr>
              <w:pStyle w:val="TableContents"/>
              <w:spacing w:before="0" w:after="283"/>
              <w:rPr>
                <w:sz w:val="4"/>
                <w:szCs w:val="4"/>
              </w:rPr>
            </w:pPr>
            <w:r>
              <w:rPr>
                <w:sz w:val="4"/>
                <w:szCs w:val="4"/>
              </w:rPr>
            </w:r>
          </w:p>
        </w:tc>
        <w:tc>
          <w:tcPr>
            <w:tcW w:w="8991" w:type="dxa"/>
            <w:gridSpan w:val="3"/>
            <w:tcBorders/>
            <w:shd w:fill="auto" w:val="clear"/>
            <w:vAlign w:val="center"/>
          </w:tcPr>
          <w:p>
            <w:pPr>
              <w:pStyle w:val="TableContents"/>
              <w:spacing w:before="0" w:after="283"/>
              <w:rPr>
                <w:sz w:val="4"/>
                <w:szCs w:val="4"/>
              </w:rPr>
            </w:pPr>
            <w:r>
              <w:rPr>
                <w:sz w:val="4"/>
                <w:szCs w:val="4"/>
              </w:rPr>
            </w:r>
          </w:p>
        </w:tc>
      </w:tr>
      <w:tr>
        <w:trPr/>
        <w:tc>
          <w:tcPr>
            <w:tcW w:w="12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Proved reserves</w:t>
            </w:r>
          </w:p>
        </w:tc>
        <w:tc>
          <w:tcPr>
            <w:tcW w:w="8991" w:type="dxa"/>
            <w:gridSpan w:val="3"/>
            <w:tcBorders/>
            <w:shd w:fill="CCEE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19"/>
              </w:rPr>
            </w:pPr>
            <w:r>
              <w:rPr>
                <w:rFonts w:ascii="Times New Roman;sans-serif" w:hAnsi="Times New Roman;sans-serif"/>
                <w:b w:val="false"/>
                <w:color w:val="000000"/>
                <w:sz w:val="19"/>
              </w:rPr>
              <w:t>The estimated quantities of oil, natural gas and natural gas liquids which geological and engineering data demonstrate with reasonable certainty to be commercially recoverable in future years from known reservoirs under existing economic and operating conditions.</w:t>
            </w:r>
          </w:p>
        </w:tc>
      </w:tr>
      <w:tr>
        <w:trPr/>
        <w:tc>
          <w:tcPr>
            <w:tcW w:w="1214" w:type="dxa"/>
            <w:gridSpan w:val="3"/>
            <w:tcBorders/>
            <w:shd w:fill="auto" w:val="clear"/>
            <w:vAlign w:val="center"/>
          </w:tcPr>
          <w:p>
            <w:pPr>
              <w:pStyle w:val="TableContents"/>
              <w:spacing w:before="0" w:after="283"/>
              <w:rPr>
                <w:sz w:val="4"/>
                <w:szCs w:val="4"/>
              </w:rPr>
            </w:pPr>
            <w:r>
              <w:rPr>
                <w:sz w:val="4"/>
                <w:szCs w:val="4"/>
              </w:rPr>
            </w:r>
          </w:p>
        </w:tc>
        <w:tc>
          <w:tcPr>
            <w:tcW w:w="8991" w:type="dxa"/>
            <w:gridSpan w:val="3"/>
            <w:tcBorders/>
            <w:shd w:fill="auto" w:val="clear"/>
            <w:vAlign w:val="center"/>
          </w:tcPr>
          <w:p>
            <w:pPr>
              <w:pStyle w:val="TableContents"/>
              <w:spacing w:before="0" w:after="283"/>
              <w:rPr>
                <w:sz w:val="4"/>
                <w:szCs w:val="4"/>
              </w:rPr>
            </w:pPr>
            <w:r>
              <w:rPr>
                <w:sz w:val="4"/>
                <w:szCs w:val="4"/>
              </w:rPr>
            </w:r>
          </w:p>
        </w:tc>
      </w:tr>
      <w:tr>
        <w:trPr/>
        <w:tc>
          <w:tcPr>
            <w:tcW w:w="1214" w:type="dxa"/>
            <w:gridSpan w:val="3"/>
            <w:tcBorders/>
            <w:shd w:fill="auto" w:val="clear"/>
            <w:vAlign w:val="center"/>
          </w:tcPr>
          <w:p>
            <w:pPr>
              <w:pStyle w:val="TableContents"/>
              <w:spacing w:before="0" w:after="283"/>
              <w:rPr>
                <w:sz w:val="4"/>
                <w:szCs w:val="4"/>
              </w:rPr>
            </w:pPr>
            <w:r>
              <w:rPr>
                <w:sz w:val="4"/>
                <w:szCs w:val="4"/>
              </w:rPr>
            </w:r>
          </w:p>
        </w:tc>
        <w:tc>
          <w:tcPr>
            <w:tcW w:w="8991" w:type="dxa"/>
            <w:gridSpan w:val="3"/>
            <w:tcBorders/>
            <w:shd w:fill="auto" w:val="clear"/>
            <w:vAlign w:val="center"/>
          </w:tcPr>
          <w:p>
            <w:pPr>
              <w:pStyle w:val="TableContents"/>
              <w:spacing w:before="0" w:after="283"/>
              <w:rPr>
                <w:sz w:val="4"/>
                <w:szCs w:val="4"/>
              </w:rPr>
            </w:pPr>
            <w:r>
              <w:rPr>
                <w:sz w:val="4"/>
                <w:szCs w:val="4"/>
              </w:rPr>
            </w:r>
          </w:p>
        </w:tc>
      </w:tr>
      <w:tr>
        <w:trPr/>
        <w:tc>
          <w:tcPr>
            <w:tcW w:w="12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Reserves</w:t>
            </w:r>
          </w:p>
        </w:tc>
        <w:tc>
          <w:tcPr>
            <w:tcW w:w="8991" w:type="dxa"/>
            <w:gridSpan w:val="3"/>
            <w:tcBorders/>
            <w:shd w:fill="FFFF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19"/>
              </w:rPr>
            </w:pPr>
            <w:r>
              <w:rPr>
                <w:rFonts w:ascii="Times New Roman;sans-serif" w:hAnsi="Times New Roman;sans-serif"/>
                <w:b w:val="false"/>
                <w:color w:val="000000"/>
                <w:sz w:val="19"/>
              </w:rPr>
              <w:t>The estimated remaining quantities of oil and natural gas and related substances anticipated to be economically producible, as of a given date, by application of development projects to known accumulations. In addition, there must exist, or there must be a reasonable expectation that there will exist, the legal right to produce or a revenue interest in the production, installed means of delivering oil and natural gas or related substances to the market and all permits and financing required to implement the project. Reserves are not assigned to adjacent reservoirs isolated by major, potentially sealing, faults until those reservoirs are penetrated and evaluated as economically producible. Reserves should not be assigned to areas that are clearly separated from a known accumulation by a non-productive reservoir (i.e., absence of reservoir, structurally low reservoir or negative test results). Such areas may contain prospective resources (i.e., potentially recoverable resources from undiscovered accumulations).</w:t>
            </w:r>
          </w:p>
        </w:tc>
      </w:tr>
      <w:tr>
        <w:trPr/>
        <w:tc>
          <w:tcPr>
            <w:tcW w:w="12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Reservoir</w:t>
            </w:r>
          </w:p>
        </w:tc>
        <w:tc>
          <w:tcPr>
            <w:tcW w:w="8991" w:type="dxa"/>
            <w:gridSpan w:val="3"/>
            <w:tcBorders/>
            <w:shd w:fill="CCEE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19"/>
              </w:rPr>
            </w:pPr>
            <w:r>
              <w:rPr>
                <w:rFonts w:ascii="Times New Roman;sans-serif" w:hAnsi="Times New Roman;sans-serif"/>
                <w:b w:val="false"/>
                <w:color w:val="000000"/>
                <w:sz w:val="19"/>
              </w:rPr>
              <w:t>A porous and permeable underground formation containing a natural accumulation of producible natural gas and/or crude oil that is confined by impermeable rock or water barriers and is separate from other reservoirs.</w:t>
            </w:r>
          </w:p>
        </w:tc>
      </w:tr>
      <w:tr>
        <w:trPr/>
        <w:tc>
          <w:tcPr>
            <w:tcW w:w="1214" w:type="dxa"/>
            <w:gridSpan w:val="3"/>
            <w:tcBorders/>
            <w:shd w:fill="auto" w:val="clear"/>
            <w:vAlign w:val="center"/>
          </w:tcPr>
          <w:p>
            <w:pPr>
              <w:pStyle w:val="TableContents"/>
              <w:spacing w:before="0" w:after="283"/>
              <w:rPr>
                <w:sz w:val="4"/>
                <w:szCs w:val="4"/>
              </w:rPr>
            </w:pPr>
            <w:r>
              <w:rPr>
                <w:sz w:val="4"/>
                <w:szCs w:val="4"/>
              </w:rPr>
            </w:r>
          </w:p>
        </w:tc>
        <w:tc>
          <w:tcPr>
            <w:tcW w:w="8991" w:type="dxa"/>
            <w:gridSpan w:val="3"/>
            <w:tcBorders/>
            <w:shd w:fill="auto" w:val="clear"/>
            <w:vAlign w:val="center"/>
          </w:tcPr>
          <w:p>
            <w:pPr>
              <w:pStyle w:val="TableContents"/>
              <w:spacing w:before="0" w:after="283"/>
              <w:rPr>
                <w:sz w:val="4"/>
                <w:szCs w:val="4"/>
              </w:rPr>
            </w:pPr>
            <w:r>
              <w:rPr>
                <w:sz w:val="4"/>
                <w:szCs w:val="4"/>
              </w:rPr>
            </w:r>
          </w:p>
        </w:tc>
      </w:tr>
      <w:tr>
        <w:trPr/>
        <w:tc>
          <w:tcPr>
            <w:tcW w:w="12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Royalty interest</w:t>
            </w:r>
          </w:p>
        </w:tc>
        <w:tc>
          <w:tcPr>
            <w:tcW w:w="8991" w:type="dxa"/>
            <w:gridSpan w:val="3"/>
            <w:tcBorders/>
            <w:shd w:fill="FFFF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19"/>
              </w:rPr>
            </w:pPr>
            <w:r>
              <w:rPr>
                <w:rFonts w:ascii="Times New Roman;sans-serif" w:hAnsi="Times New Roman;sans-serif"/>
                <w:b w:val="false"/>
                <w:color w:val="000000"/>
                <w:sz w:val="19"/>
              </w:rPr>
              <w:t>An interest that gives an owner the right to receive a portion of the resources or revenues without having to carry any costs of development, which may be subject to expiration.</w:t>
            </w:r>
          </w:p>
        </w:tc>
      </w:tr>
      <w:tr>
        <w:trPr/>
        <w:tc>
          <w:tcPr>
            <w:tcW w:w="12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Spud</w:t>
            </w:r>
          </w:p>
        </w:tc>
        <w:tc>
          <w:tcPr>
            <w:tcW w:w="8991" w:type="dxa"/>
            <w:gridSpan w:val="3"/>
            <w:tcBorders/>
            <w:shd w:fill="CCEE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19"/>
              </w:rPr>
            </w:pPr>
            <w:r>
              <w:rPr>
                <w:rFonts w:ascii="Times New Roman;sans-serif" w:hAnsi="Times New Roman;sans-serif"/>
                <w:b w:val="false"/>
                <w:color w:val="000000"/>
                <w:sz w:val="19"/>
              </w:rPr>
              <w:t>Commencement of actual drilling operations.</w:t>
            </w:r>
          </w:p>
        </w:tc>
      </w:tr>
      <w:tr>
        <w:trPr/>
        <w:tc>
          <w:tcPr>
            <w:tcW w:w="12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Waha Hub</w:t>
            </w:r>
          </w:p>
        </w:tc>
        <w:tc>
          <w:tcPr>
            <w:tcW w:w="8991" w:type="dxa"/>
            <w:gridSpan w:val="3"/>
            <w:tcBorders/>
            <w:shd w:fill="FFFF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19"/>
              </w:rPr>
            </w:pPr>
            <w:r>
              <w:rPr>
                <w:rFonts w:ascii="Times New Roman;sans-serif" w:hAnsi="Times New Roman;sans-serif"/>
                <w:b w:val="false"/>
                <w:color w:val="000000"/>
                <w:sz w:val="19"/>
              </w:rPr>
              <w:t>West Texas natural gas index.</w:t>
            </w:r>
          </w:p>
        </w:tc>
      </w:tr>
      <w:tr>
        <w:trPr/>
        <w:tc>
          <w:tcPr>
            <w:tcW w:w="1214" w:type="dxa"/>
            <w:gridSpan w:val="3"/>
            <w:tcBorders/>
            <w:shd w:fill="auto" w:val="clear"/>
            <w:vAlign w:val="center"/>
          </w:tcPr>
          <w:p>
            <w:pPr>
              <w:pStyle w:val="TableContents"/>
              <w:spacing w:before="0" w:after="283"/>
              <w:rPr>
                <w:sz w:val="4"/>
                <w:szCs w:val="4"/>
              </w:rPr>
            </w:pPr>
            <w:r>
              <w:rPr>
                <w:sz w:val="4"/>
                <w:szCs w:val="4"/>
              </w:rPr>
            </w:r>
          </w:p>
        </w:tc>
        <w:tc>
          <w:tcPr>
            <w:tcW w:w="8991" w:type="dxa"/>
            <w:gridSpan w:val="3"/>
            <w:tcBorders/>
            <w:shd w:fill="auto" w:val="clear"/>
            <w:vAlign w:val="center"/>
          </w:tcPr>
          <w:p>
            <w:pPr>
              <w:pStyle w:val="TableContents"/>
              <w:spacing w:before="0" w:after="283"/>
              <w:rPr>
                <w:sz w:val="4"/>
                <w:szCs w:val="4"/>
              </w:rPr>
            </w:pPr>
            <w:r>
              <w:rPr>
                <w:sz w:val="4"/>
                <w:szCs w:val="4"/>
              </w:rPr>
            </w:r>
          </w:p>
        </w:tc>
      </w:tr>
      <w:tr>
        <w:trPr/>
        <w:tc>
          <w:tcPr>
            <w:tcW w:w="1214" w:type="dxa"/>
            <w:gridSpan w:val="3"/>
            <w:tcBorders/>
            <w:shd w:fill="auto" w:val="clear"/>
            <w:vAlign w:val="center"/>
          </w:tcPr>
          <w:p>
            <w:pPr>
              <w:pStyle w:val="TableContents"/>
              <w:spacing w:before="0" w:after="283"/>
              <w:rPr>
                <w:sz w:val="4"/>
                <w:szCs w:val="4"/>
              </w:rPr>
            </w:pPr>
            <w:r>
              <w:rPr>
                <w:sz w:val="4"/>
                <w:szCs w:val="4"/>
              </w:rPr>
            </w:r>
          </w:p>
        </w:tc>
        <w:tc>
          <w:tcPr>
            <w:tcW w:w="8991" w:type="dxa"/>
            <w:gridSpan w:val="3"/>
            <w:tcBorders/>
            <w:shd w:fill="auto" w:val="clear"/>
            <w:vAlign w:val="center"/>
          </w:tcPr>
          <w:p>
            <w:pPr>
              <w:pStyle w:val="TableContents"/>
              <w:spacing w:before="0" w:after="283"/>
              <w:rPr>
                <w:sz w:val="4"/>
                <w:szCs w:val="4"/>
              </w:rPr>
            </w:pPr>
            <w:r>
              <w:rPr>
                <w:sz w:val="4"/>
                <w:szCs w:val="4"/>
              </w:rPr>
            </w:r>
          </w:p>
        </w:tc>
      </w:tr>
      <w:tr>
        <w:trPr/>
        <w:tc>
          <w:tcPr>
            <w:tcW w:w="1214" w:type="dxa"/>
            <w:gridSpan w:val="3"/>
            <w:tcBorders/>
            <w:shd w:fill="auto" w:val="clear"/>
            <w:vAlign w:val="center"/>
          </w:tcPr>
          <w:p>
            <w:pPr>
              <w:pStyle w:val="TableContents"/>
              <w:spacing w:before="0" w:after="283"/>
              <w:rPr>
                <w:sz w:val="4"/>
                <w:szCs w:val="4"/>
              </w:rPr>
            </w:pPr>
            <w:r>
              <w:rPr>
                <w:sz w:val="4"/>
                <w:szCs w:val="4"/>
              </w:rPr>
            </w:r>
          </w:p>
        </w:tc>
        <w:tc>
          <w:tcPr>
            <w:tcW w:w="8991" w:type="dxa"/>
            <w:gridSpan w:val="3"/>
            <w:tcBorders/>
            <w:shd w:fill="auto" w:val="clear"/>
            <w:vAlign w:val="center"/>
          </w:tcPr>
          <w:p>
            <w:pPr>
              <w:pStyle w:val="TableContents"/>
              <w:spacing w:before="0" w:after="283"/>
              <w:rPr>
                <w:sz w:val="4"/>
                <w:szCs w:val="4"/>
              </w:rPr>
            </w:pPr>
            <w:r>
              <w:rPr>
                <w:sz w:val="4"/>
                <w:szCs w:val="4"/>
              </w:rPr>
            </w:r>
          </w:p>
        </w:tc>
      </w:tr>
      <w:tr>
        <w:trPr/>
        <w:tc>
          <w:tcPr>
            <w:tcW w:w="1214" w:type="dxa"/>
            <w:gridSpan w:val="3"/>
            <w:tcBorders/>
            <w:shd w:fill="auto" w:val="clear"/>
            <w:vAlign w:val="center"/>
          </w:tcPr>
          <w:p>
            <w:pPr>
              <w:pStyle w:val="TableContents"/>
              <w:spacing w:before="0" w:after="283"/>
              <w:rPr>
                <w:sz w:val="4"/>
                <w:szCs w:val="4"/>
              </w:rPr>
            </w:pPr>
            <w:r>
              <w:rPr>
                <w:sz w:val="4"/>
                <w:szCs w:val="4"/>
              </w:rPr>
            </w:r>
          </w:p>
        </w:tc>
        <w:tc>
          <w:tcPr>
            <w:tcW w:w="8991" w:type="dxa"/>
            <w:gridSpan w:val="3"/>
            <w:tcBorders/>
            <w:shd w:fill="auto" w:val="clear"/>
            <w:vAlign w:val="center"/>
          </w:tcPr>
          <w:p>
            <w:pPr>
              <w:pStyle w:val="TableContents"/>
              <w:spacing w:before="0" w:after="283"/>
              <w:rPr>
                <w:sz w:val="4"/>
                <w:szCs w:val="4"/>
              </w:rPr>
            </w:pPr>
            <w:r>
              <w:rPr>
                <w:sz w:val="4"/>
                <w:szCs w:val="4"/>
              </w:rPr>
            </w:r>
          </w:p>
        </w:tc>
      </w:tr>
      <w:tr>
        <w:trPr/>
        <w:tc>
          <w:tcPr>
            <w:tcW w:w="1214" w:type="dxa"/>
            <w:gridSpan w:val="3"/>
            <w:tcBorders/>
            <w:shd w:fill="auto" w:val="clear"/>
            <w:vAlign w:val="center"/>
          </w:tcPr>
          <w:p>
            <w:pPr>
              <w:pStyle w:val="TableContents"/>
              <w:spacing w:before="0" w:after="283"/>
              <w:rPr>
                <w:sz w:val="4"/>
                <w:szCs w:val="4"/>
              </w:rPr>
            </w:pPr>
            <w:r>
              <w:rPr>
                <w:sz w:val="4"/>
                <w:szCs w:val="4"/>
              </w:rPr>
            </w:r>
          </w:p>
        </w:tc>
        <w:tc>
          <w:tcPr>
            <w:tcW w:w="8991" w:type="dxa"/>
            <w:gridSpan w:val="3"/>
            <w:tcBorders/>
            <w:shd w:fill="auto" w:val="clear"/>
            <w:vAlign w:val="center"/>
          </w:tcPr>
          <w:p>
            <w:pPr>
              <w:pStyle w:val="TableContents"/>
              <w:spacing w:before="0" w:after="283"/>
              <w:rPr>
                <w:sz w:val="4"/>
                <w:szCs w:val="4"/>
              </w:rPr>
            </w:pPr>
            <w:r>
              <w:rPr>
                <w:sz w:val="4"/>
                <w:szCs w:val="4"/>
              </w:rPr>
            </w:r>
          </w:p>
        </w:tc>
      </w:tr>
      <w:tr>
        <w:trPr/>
        <w:tc>
          <w:tcPr>
            <w:tcW w:w="1214" w:type="dxa"/>
            <w:gridSpan w:val="3"/>
            <w:tcBorders/>
            <w:shd w:fill="auto" w:val="clear"/>
            <w:vAlign w:val="center"/>
          </w:tcPr>
          <w:p>
            <w:pPr>
              <w:pStyle w:val="TableContents"/>
              <w:spacing w:before="0" w:after="283"/>
              <w:rPr>
                <w:sz w:val="4"/>
                <w:szCs w:val="4"/>
              </w:rPr>
            </w:pPr>
            <w:r>
              <w:rPr>
                <w:sz w:val="4"/>
                <w:szCs w:val="4"/>
              </w:rPr>
            </w:r>
          </w:p>
        </w:tc>
        <w:tc>
          <w:tcPr>
            <w:tcW w:w="8991" w:type="dxa"/>
            <w:gridSpan w:val="3"/>
            <w:tcBorders/>
            <w:shd w:fill="auto" w:val="clear"/>
            <w:vAlign w:val="center"/>
          </w:tcPr>
          <w:p>
            <w:pPr>
              <w:pStyle w:val="TableContents"/>
              <w:spacing w:before="0" w:after="283"/>
              <w:rPr>
                <w:sz w:val="4"/>
                <w:szCs w:val="4"/>
              </w:rPr>
            </w:pPr>
            <w:r>
              <w:rPr>
                <w:sz w:val="4"/>
                <w:szCs w:val="4"/>
              </w:rPr>
            </w:r>
          </w:p>
        </w:tc>
      </w:tr>
      <w:tr>
        <w:trPr/>
        <w:tc>
          <w:tcPr>
            <w:tcW w:w="1214" w:type="dxa"/>
            <w:gridSpan w:val="3"/>
            <w:tcBorders>
              <w:bottom w:val="single" w:sz="8" w:space="0" w:color="000000"/>
            </w:tcBorders>
            <w:shd w:fill="CCEEFF"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WTI</w:t>
            </w:r>
          </w:p>
        </w:tc>
        <w:tc>
          <w:tcPr>
            <w:tcW w:w="8991" w:type="dxa"/>
            <w:gridSpan w:val="3"/>
            <w:tcBorders>
              <w:bottom w:val="single" w:sz="8" w:space="0" w:color="000000"/>
            </w:tcBorders>
            <w:shd w:fill="CCEEFF" w:val="clear"/>
            <w:tcMar>
              <w:top w:w="0" w:type="dxa"/>
              <w:left w:w="0" w:type="dxa"/>
              <w:bottom w:w="30" w:type="dxa"/>
              <w:right w:w="0" w:type="dxa"/>
            </w:tcMar>
            <w:vAlign w:val="center"/>
          </w:tcPr>
          <w:p>
            <w:pPr>
              <w:pStyle w:val="TableContents"/>
              <w:spacing w:lineRule="auto" w:line="240" w:before="0" w:after="283"/>
              <w:jc w:val="both"/>
              <w:rPr>
                <w:rFonts w:ascii="Times New Roman;sans-serif" w:hAnsi="Times New Roman;sans-serif"/>
                <w:b w:val="false"/>
                <w:color w:val="000000"/>
                <w:sz w:val="19"/>
              </w:rPr>
            </w:pPr>
            <w:r>
              <w:rPr>
                <w:rFonts w:ascii="Times New Roman;sans-serif" w:hAnsi="Times New Roman;sans-serif"/>
                <w:b w:val="false"/>
                <w:color w:val="000000"/>
                <w:sz w:val="19"/>
              </w:rPr>
              <w:t>West Texas Intermediate.</w:t>
            </w:r>
          </w:p>
        </w:tc>
      </w:tr>
      <w:tr>
        <w:trPr/>
        <w:tc>
          <w:tcPr>
            <w:tcW w:w="1214" w:type="dxa"/>
            <w:gridSpan w:val="3"/>
            <w:tcBorders/>
            <w:shd w:fill="auto" w:val="clear"/>
            <w:vAlign w:val="center"/>
          </w:tcPr>
          <w:p>
            <w:pPr>
              <w:pStyle w:val="TableContents"/>
              <w:spacing w:before="0" w:after="283"/>
              <w:rPr>
                <w:sz w:val="4"/>
                <w:szCs w:val="4"/>
              </w:rPr>
            </w:pPr>
            <w:r>
              <w:rPr>
                <w:sz w:val="4"/>
                <w:szCs w:val="4"/>
              </w:rPr>
            </w:r>
          </w:p>
        </w:tc>
        <w:tc>
          <w:tcPr>
            <w:tcW w:w="8991" w:type="dxa"/>
            <w:gridSpan w:val="3"/>
            <w:tcBorders/>
            <w:shd w:fill="auto" w:val="cle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w:t>
                      </w:r>
                    </w:p>
                  </w:txbxContent>
                </v:textbox>
              </v:rect>
            </w:pict>
          </mc:Fallback>
        </mc:AlternateContent>
      </w:r>
    </w:p>
    <w:p>
      <w:pPr>
        <w:pStyle w:val="TextBody"/>
        <w:spacing w:lineRule="auto" w:line="288" w:before="0" w:after="0"/>
        <w:rPr/>
      </w:pPr>
      <w:hyperlink w:anchor="i8dd89f0c72444a288e2bb25168f12b04_7">
        <w:r>
          <w:rPr>
            <w:rStyle w:val="InternetLink"/>
            <w:rFonts w:ascii="Times New Roman;sans-serif" w:hAnsi="Times New Roman;sans-serif"/>
            <w:b w:val="false"/>
            <w:color w:val="0000FF"/>
            <w:sz w:val="16"/>
            <w:u w:val="single"/>
          </w:rPr>
          <w:t>Table of Contents</w:t>
        </w:r>
      </w:hyperlink>
    </w:p>
    <w:p>
      <w:pPr>
        <w:pStyle w:val="TextBody"/>
        <w:spacing w:lineRule="auto" w:line="288" w:before="160" w:after="283"/>
        <w:jc w:val="center"/>
        <w:rPr>
          <w:rFonts w:ascii="Times New Roman;sans-serif" w:hAnsi="Times New Roman;sans-serif"/>
          <w:b/>
          <w:color w:val="000000"/>
          <w:sz w:val="20"/>
        </w:rPr>
      </w:pPr>
      <w:r>
        <w:rPr>
          <w:rFonts w:ascii="Times New Roman;sans-serif" w:hAnsi="Times New Roman;sans-serif"/>
          <w:b/>
          <w:color w:val="000000"/>
          <w:sz w:val="20"/>
        </w:rPr>
        <w:t>GLOSSARY OF CERTAIN OTHER TERMS</w:t>
      </w:r>
    </w:p>
    <w:p>
      <w:pPr>
        <w:pStyle w:val="TextBody"/>
        <w:spacing w:lineRule="auto" w:line="288" w:before="180" w:after="6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is a glossary of certain other terms that are used in this report:</w:t>
      </w:r>
    </w:p>
    <w:tbl>
      <w:tblPr>
        <w:tblW w:w="10205" w:type="dxa"/>
        <w:jc w:val="left"/>
        <w:tblInd w:w="0" w:type="dxa"/>
        <w:tblCellMar>
          <w:top w:w="28" w:type="dxa"/>
          <w:left w:w="28" w:type="dxa"/>
          <w:bottom w:w="28" w:type="dxa"/>
          <w:right w:w="28" w:type="dxa"/>
        </w:tblCellMar>
      </w:tblPr>
      <w:tblGrid>
        <w:gridCol w:w="581"/>
        <w:gridCol w:w="513"/>
        <w:gridCol w:w="521"/>
        <w:gridCol w:w="2526"/>
        <w:gridCol w:w="2507"/>
        <w:gridCol w:w="3557"/>
      </w:tblGrid>
      <w:tr>
        <w:trPr/>
        <w:tc>
          <w:tcPr>
            <w:tcW w:w="581" w:type="dxa"/>
            <w:tcBorders/>
            <w:shd w:fill="auto" w:val="clear"/>
            <w:vAlign w:val="center"/>
          </w:tcPr>
          <w:p>
            <w:pPr>
              <w:pStyle w:val="TableContents"/>
              <w:spacing w:before="0" w:after="283"/>
              <w:rPr>
                <w:sz w:val="4"/>
                <w:szCs w:val="4"/>
              </w:rPr>
            </w:pPr>
            <w:r>
              <w:rPr>
                <w:sz w:val="4"/>
                <w:szCs w:val="4"/>
              </w:rPr>
            </w:r>
          </w:p>
        </w:tc>
        <w:tc>
          <w:tcPr>
            <w:tcW w:w="513" w:type="dxa"/>
            <w:tcBorders/>
            <w:shd w:fill="auto" w:val="clear"/>
            <w:vAlign w:val="center"/>
          </w:tcPr>
          <w:p>
            <w:pPr>
              <w:pStyle w:val="TableContents"/>
              <w:spacing w:before="0" w:after="283"/>
              <w:rPr>
                <w:sz w:val="4"/>
                <w:szCs w:val="4"/>
              </w:rPr>
            </w:pPr>
            <w:r>
              <w:rPr>
                <w:sz w:val="4"/>
                <w:szCs w:val="4"/>
              </w:rPr>
            </w:r>
          </w:p>
        </w:tc>
        <w:tc>
          <w:tcPr>
            <w:tcW w:w="521" w:type="dxa"/>
            <w:tcBorders/>
            <w:shd w:fill="auto" w:val="clear"/>
            <w:vAlign w:val="center"/>
          </w:tcPr>
          <w:p>
            <w:pPr>
              <w:pStyle w:val="TableContents"/>
              <w:spacing w:before="0" w:after="283"/>
              <w:rPr>
                <w:sz w:val="4"/>
                <w:szCs w:val="4"/>
              </w:rPr>
            </w:pPr>
            <w:r>
              <w:rPr>
                <w:sz w:val="4"/>
                <w:szCs w:val="4"/>
              </w:rPr>
            </w:r>
          </w:p>
        </w:tc>
        <w:tc>
          <w:tcPr>
            <w:tcW w:w="2526" w:type="dxa"/>
            <w:tcBorders/>
            <w:shd w:fill="auto" w:val="clear"/>
            <w:vAlign w:val="center"/>
          </w:tcPr>
          <w:p>
            <w:pPr>
              <w:pStyle w:val="TableContents"/>
              <w:spacing w:before="0" w:after="283"/>
              <w:rPr>
                <w:sz w:val="4"/>
                <w:szCs w:val="4"/>
              </w:rPr>
            </w:pPr>
            <w:r>
              <w:rPr>
                <w:sz w:val="4"/>
                <w:szCs w:val="4"/>
              </w:rPr>
            </w:r>
          </w:p>
        </w:tc>
        <w:tc>
          <w:tcPr>
            <w:tcW w:w="2507" w:type="dxa"/>
            <w:tcBorders/>
            <w:shd w:fill="auto" w:val="clear"/>
            <w:vAlign w:val="center"/>
          </w:tcPr>
          <w:p>
            <w:pPr>
              <w:pStyle w:val="TableContents"/>
              <w:spacing w:before="0" w:after="283"/>
              <w:rPr>
                <w:sz w:val="4"/>
                <w:szCs w:val="4"/>
              </w:rPr>
            </w:pPr>
            <w:r>
              <w:rPr>
                <w:sz w:val="4"/>
                <w:szCs w:val="4"/>
              </w:rPr>
            </w:r>
          </w:p>
        </w:tc>
        <w:tc>
          <w:tcPr>
            <w:tcW w:w="3557" w:type="dxa"/>
            <w:tcBorders/>
            <w:shd w:fill="auto" w:val="clear"/>
            <w:vAlign w:val="center"/>
          </w:tcPr>
          <w:p>
            <w:pPr>
              <w:pStyle w:val="TableContents"/>
              <w:spacing w:before="0" w:after="283"/>
              <w:rPr>
                <w:sz w:val="4"/>
                <w:szCs w:val="4"/>
              </w:rPr>
            </w:pPr>
            <w:r>
              <w:rPr>
                <w:sz w:val="4"/>
                <w:szCs w:val="4"/>
              </w:rPr>
            </w:r>
          </w:p>
        </w:tc>
      </w:tr>
      <w:tr>
        <w:trPr/>
        <w:tc>
          <w:tcPr>
            <w:tcW w:w="1615" w:type="dxa"/>
            <w:gridSpan w:val="3"/>
            <w:tcBorders/>
            <w:shd w:fill="auto" w:val="clear"/>
            <w:vAlign w:val="center"/>
          </w:tcPr>
          <w:p>
            <w:pPr>
              <w:pStyle w:val="TableContents"/>
              <w:spacing w:before="0" w:after="283"/>
              <w:rPr>
                <w:sz w:val="4"/>
                <w:szCs w:val="4"/>
              </w:rPr>
            </w:pPr>
            <w:r>
              <w:rPr>
                <w:sz w:val="4"/>
                <w:szCs w:val="4"/>
              </w:rPr>
            </w:r>
          </w:p>
        </w:tc>
        <w:tc>
          <w:tcPr>
            <w:tcW w:w="8590" w:type="dxa"/>
            <w:gridSpan w:val="3"/>
            <w:tcBorders/>
            <w:shd w:fill="auto" w:val="clear"/>
            <w:vAlign w:val="center"/>
          </w:tcPr>
          <w:p>
            <w:pPr>
              <w:pStyle w:val="TableContents"/>
              <w:spacing w:before="0" w:after="283"/>
              <w:rPr>
                <w:sz w:val="4"/>
                <w:szCs w:val="4"/>
              </w:rPr>
            </w:pPr>
            <w:r>
              <w:rPr>
                <w:sz w:val="4"/>
                <w:szCs w:val="4"/>
              </w:rPr>
            </w:r>
          </w:p>
        </w:tc>
      </w:tr>
      <w:tr>
        <w:trPr/>
        <w:tc>
          <w:tcPr>
            <w:tcW w:w="1615" w:type="dxa"/>
            <w:gridSpan w:val="3"/>
            <w:tcBorders/>
            <w:shd w:fill="auto" w:val="clear"/>
            <w:vAlign w:val="center"/>
          </w:tcPr>
          <w:p>
            <w:pPr>
              <w:pStyle w:val="TableContents"/>
              <w:spacing w:before="0" w:after="283"/>
              <w:rPr>
                <w:sz w:val="4"/>
                <w:szCs w:val="4"/>
              </w:rPr>
            </w:pPr>
            <w:r>
              <w:rPr>
                <w:sz w:val="4"/>
                <w:szCs w:val="4"/>
              </w:rPr>
            </w:r>
          </w:p>
        </w:tc>
        <w:tc>
          <w:tcPr>
            <w:tcW w:w="8590" w:type="dxa"/>
            <w:gridSpan w:val="3"/>
            <w:tcBorders/>
            <w:shd w:fill="auto" w:val="clear"/>
            <w:vAlign w:val="center"/>
          </w:tcPr>
          <w:p>
            <w:pPr>
              <w:pStyle w:val="TableContents"/>
              <w:spacing w:before="0" w:after="283"/>
              <w:rPr>
                <w:sz w:val="4"/>
                <w:szCs w:val="4"/>
              </w:rPr>
            </w:pPr>
            <w:r>
              <w:rPr>
                <w:sz w:val="4"/>
                <w:szCs w:val="4"/>
              </w:rPr>
            </w:r>
          </w:p>
        </w:tc>
      </w:tr>
      <w:tr>
        <w:trPr/>
        <w:tc>
          <w:tcPr>
            <w:tcW w:w="1615" w:type="dxa"/>
            <w:gridSpan w:val="3"/>
            <w:tcBorders/>
            <w:shd w:fill="auto" w:val="clear"/>
            <w:vAlign w:val="center"/>
          </w:tcPr>
          <w:p>
            <w:pPr>
              <w:pStyle w:val="TableContents"/>
              <w:spacing w:before="0" w:after="283"/>
              <w:rPr>
                <w:sz w:val="4"/>
                <w:szCs w:val="4"/>
              </w:rPr>
            </w:pPr>
            <w:r>
              <w:rPr>
                <w:sz w:val="4"/>
                <w:szCs w:val="4"/>
              </w:rPr>
            </w:r>
          </w:p>
        </w:tc>
        <w:tc>
          <w:tcPr>
            <w:tcW w:w="8590" w:type="dxa"/>
            <w:gridSpan w:val="3"/>
            <w:tcBorders/>
            <w:shd w:fill="auto" w:val="clear"/>
            <w:vAlign w:val="center"/>
          </w:tcPr>
          <w:p>
            <w:pPr>
              <w:pStyle w:val="TableContents"/>
              <w:spacing w:before="0" w:after="283"/>
              <w:rPr>
                <w:sz w:val="4"/>
                <w:szCs w:val="4"/>
              </w:rPr>
            </w:pPr>
            <w:r>
              <w:rPr>
                <w:sz w:val="4"/>
                <w:szCs w:val="4"/>
              </w:rPr>
            </w:r>
          </w:p>
        </w:tc>
      </w:tr>
      <w:tr>
        <w:trPr/>
        <w:tc>
          <w:tcPr>
            <w:tcW w:w="161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ASU</w:t>
            </w:r>
          </w:p>
        </w:tc>
        <w:tc>
          <w:tcPr>
            <w:tcW w:w="859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19"/>
              </w:rPr>
            </w:pPr>
            <w:r>
              <w:rPr>
                <w:rFonts w:ascii="Times New Roman;sans-serif" w:hAnsi="Times New Roman;sans-serif"/>
                <w:b w:val="false"/>
                <w:color w:val="000000"/>
                <w:sz w:val="19"/>
              </w:rPr>
              <w:t>Accounting Standards Update.</w:t>
            </w:r>
          </w:p>
        </w:tc>
      </w:tr>
      <w:tr>
        <w:trPr/>
        <w:tc>
          <w:tcPr>
            <w:tcW w:w="1615" w:type="dxa"/>
            <w:gridSpan w:val="3"/>
            <w:tcBorders/>
            <w:shd w:fill="auto" w:val="clear"/>
            <w:vAlign w:val="center"/>
          </w:tcPr>
          <w:p>
            <w:pPr>
              <w:pStyle w:val="TableContents"/>
              <w:spacing w:before="0" w:after="283"/>
              <w:rPr>
                <w:sz w:val="4"/>
                <w:szCs w:val="4"/>
              </w:rPr>
            </w:pPr>
            <w:r>
              <w:rPr>
                <w:sz w:val="4"/>
                <w:szCs w:val="4"/>
              </w:rPr>
            </w:r>
          </w:p>
        </w:tc>
        <w:tc>
          <w:tcPr>
            <w:tcW w:w="8590" w:type="dxa"/>
            <w:gridSpan w:val="3"/>
            <w:tcBorders/>
            <w:shd w:fill="auto" w:val="clear"/>
            <w:vAlign w:val="center"/>
          </w:tcPr>
          <w:p>
            <w:pPr>
              <w:pStyle w:val="TableContents"/>
              <w:spacing w:before="0" w:after="283"/>
              <w:rPr>
                <w:sz w:val="4"/>
                <w:szCs w:val="4"/>
              </w:rPr>
            </w:pPr>
            <w:r>
              <w:rPr>
                <w:sz w:val="4"/>
                <w:szCs w:val="4"/>
              </w:rPr>
            </w:r>
          </w:p>
        </w:tc>
      </w:tr>
      <w:tr>
        <w:trPr/>
        <w:tc>
          <w:tcPr>
            <w:tcW w:w="16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Exchange Act</w:t>
            </w:r>
          </w:p>
        </w:tc>
        <w:tc>
          <w:tcPr>
            <w:tcW w:w="8590" w:type="dxa"/>
            <w:gridSpan w:val="3"/>
            <w:tcBorders/>
            <w:shd w:fill="FFFF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19"/>
              </w:rPr>
            </w:pPr>
            <w:r>
              <w:rPr>
                <w:rFonts w:ascii="Times New Roman;sans-serif" w:hAnsi="Times New Roman;sans-serif"/>
                <w:b w:val="false"/>
                <w:color w:val="000000"/>
                <w:sz w:val="19"/>
              </w:rPr>
              <w:t>The Securities Exchange Act of 1934, as amended.</w:t>
            </w:r>
          </w:p>
        </w:tc>
      </w:tr>
      <w:tr>
        <w:trPr/>
        <w:tc>
          <w:tcPr>
            <w:tcW w:w="16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GAAP</w:t>
            </w:r>
          </w:p>
        </w:tc>
        <w:tc>
          <w:tcPr>
            <w:tcW w:w="8590" w:type="dxa"/>
            <w:gridSpan w:val="3"/>
            <w:tcBorders/>
            <w:shd w:fill="CCEE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19"/>
              </w:rPr>
            </w:pPr>
            <w:r>
              <w:rPr>
                <w:rFonts w:ascii="Times New Roman;sans-serif" w:hAnsi="Times New Roman;sans-serif"/>
                <w:b w:val="false"/>
                <w:color w:val="000000"/>
                <w:sz w:val="19"/>
              </w:rPr>
              <w:t>Accounting principles generally accepted in the United States.</w:t>
            </w:r>
          </w:p>
        </w:tc>
      </w:tr>
      <w:tr>
        <w:trPr/>
        <w:tc>
          <w:tcPr>
            <w:tcW w:w="1615" w:type="dxa"/>
            <w:gridSpan w:val="3"/>
            <w:tcBorders/>
            <w:shd w:fill="auto" w:val="clear"/>
            <w:vAlign w:val="center"/>
          </w:tcPr>
          <w:p>
            <w:pPr>
              <w:pStyle w:val="TableContents"/>
              <w:spacing w:before="0" w:after="283"/>
              <w:rPr>
                <w:sz w:val="4"/>
                <w:szCs w:val="4"/>
              </w:rPr>
            </w:pPr>
            <w:r>
              <w:rPr>
                <w:sz w:val="4"/>
                <w:szCs w:val="4"/>
              </w:rPr>
            </w:r>
          </w:p>
        </w:tc>
        <w:tc>
          <w:tcPr>
            <w:tcW w:w="8590" w:type="dxa"/>
            <w:gridSpan w:val="3"/>
            <w:tcBorders/>
            <w:shd w:fill="auto" w:val="clear"/>
            <w:vAlign w:val="center"/>
          </w:tcPr>
          <w:p>
            <w:pPr>
              <w:pStyle w:val="TableContents"/>
              <w:spacing w:before="0" w:after="283"/>
              <w:rPr>
                <w:sz w:val="4"/>
                <w:szCs w:val="4"/>
              </w:rPr>
            </w:pPr>
            <w:r>
              <w:rPr>
                <w:sz w:val="4"/>
                <w:szCs w:val="4"/>
              </w:rPr>
            </w:r>
          </w:p>
        </w:tc>
      </w:tr>
      <w:tr>
        <w:trPr/>
        <w:tc>
          <w:tcPr>
            <w:tcW w:w="1615" w:type="dxa"/>
            <w:gridSpan w:val="3"/>
            <w:tcBorders/>
            <w:shd w:fill="auto" w:val="clear"/>
            <w:vAlign w:val="center"/>
          </w:tcPr>
          <w:p>
            <w:pPr>
              <w:pStyle w:val="TableContents"/>
              <w:spacing w:before="0" w:after="283"/>
              <w:rPr>
                <w:sz w:val="4"/>
                <w:szCs w:val="4"/>
              </w:rPr>
            </w:pPr>
            <w:r>
              <w:rPr>
                <w:sz w:val="4"/>
                <w:szCs w:val="4"/>
              </w:rPr>
            </w:r>
          </w:p>
        </w:tc>
        <w:tc>
          <w:tcPr>
            <w:tcW w:w="8590" w:type="dxa"/>
            <w:gridSpan w:val="3"/>
            <w:tcBorders/>
            <w:shd w:fill="auto" w:val="clear"/>
            <w:vAlign w:val="center"/>
          </w:tcPr>
          <w:p>
            <w:pPr>
              <w:pStyle w:val="TableContents"/>
              <w:spacing w:before="0" w:after="283"/>
              <w:rPr>
                <w:sz w:val="4"/>
                <w:szCs w:val="4"/>
              </w:rPr>
            </w:pPr>
            <w:r>
              <w:rPr>
                <w:sz w:val="4"/>
                <w:szCs w:val="4"/>
              </w:rPr>
            </w:r>
          </w:p>
        </w:tc>
      </w:tr>
      <w:tr>
        <w:trPr/>
        <w:tc>
          <w:tcPr>
            <w:tcW w:w="1615" w:type="dxa"/>
            <w:gridSpan w:val="3"/>
            <w:tcBorders/>
            <w:shd w:fill="auto" w:val="clear"/>
            <w:vAlign w:val="center"/>
          </w:tcPr>
          <w:p>
            <w:pPr>
              <w:pStyle w:val="TableContents"/>
              <w:spacing w:before="0" w:after="283"/>
              <w:rPr>
                <w:sz w:val="4"/>
                <w:szCs w:val="4"/>
              </w:rPr>
            </w:pPr>
            <w:r>
              <w:rPr>
                <w:sz w:val="4"/>
                <w:szCs w:val="4"/>
              </w:rPr>
            </w:r>
          </w:p>
        </w:tc>
        <w:tc>
          <w:tcPr>
            <w:tcW w:w="8590" w:type="dxa"/>
            <w:gridSpan w:val="3"/>
            <w:tcBorders/>
            <w:shd w:fill="auto" w:val="clear"/>
            <w:vAlign w:val="center"/>
          </w:tcPr>
          <w:p>
            <w:pPr>
              <w:pStyle w:val="TableContents"/>
              <w:spacing w:before="0" w:after="283"/>
              <w:rPr>
                <w:sz w:val="4"/>
                <w:szCs w:val="4"/>
              </w:rPr>
            </w:pPr>
            <w:r>
              <w:rPr>
                <w:sz w:val="4"/>
                <w:szCs w:val="4"/>
              </w:rPr>
            </w:r>
          </w:p>
        </w:tc>
      </w:tr>
      <w:tr>
        <w:trPr/>
        <w:tc>
          <w:tcPr>
            <w:tcW w:w="16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LTIP</w:t>
            </w:r>
          </w:p>
        </w:tc>
        <w:tc>
          <w:tcPr>
            <w:tcW w:w="8590" w:type="dxa"/>
            <w:gridSpan w:val="3"/>
            <w:tcBorders/>
            <w:shd w:fill="FFFF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19"/>
              </w:rPr>
            </w:pPr>
            <w:r>
              <w:rPr>
                <w:rFonts w:ascii="Times New Roman;sans-serif" w:hAnsi="Times New Roman;sans-serif"/>
                <w:b w:val="false"/>
                <w:color w:val="000000"/>
                <w:sz w:val="19"/>
              </w:rPr>
              <w:t>Viper Energy Partners LP Long Term Incentive Plan.</w:t>
            </w:r>
          </w:p>
        </w:tc>
      </w:tr>
      <w:tr>
        <w:trPr/>
        <w:tc>
          <w:tcPr>
            <w:tcW w:w="16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NYMEX</w:t>
            </w:r>
          </w:p>
        </w:tc>
        <w:tc>
          <w:tcPr>
            <w:tcW w:w="8590" w:type="dxa"/>
            <w:gridSpan w:val="3"/>
            <w:tcBorders/>
            <w:shd w:fill="CCEE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19"/>
              </w:rPr>
            </w:pPr>
            <w:r>
              <w:rPr>
                <w:rFonts w:ascii="Times New Roman;sans-serif" w:hAnsi="Times New Roman;sans-serif"/>
                <w:b w:val="false"/>
                <w:color w:val="000000"/>
                <w:sz w:val="19"/>
              </w:rPr>
              <w:t>New York Mercantile Exchange.</w:t>
            </w:r>
          </w:p>
        </w:tc>
      </w:tr>
      <w:tr>
        <w:trPr/>
        <w:tc>
          <w:tcPr>
            <w:tcW w:w="16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OPEC</w:t>
            </w:r>
          </w:p>
        </w:tc>
        <w:tc>
          <w:tcPr>
            <w:tcW w:w="8590" w:type="dxa"/>
            <w:gridSpan w:val="3"/>
            <w:tcBorders/>
            <w:shd w:fill="FFFF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19"/>
              </w:rPr>
            </w:pPr>
            <w:r>
              <w:rPr>
                <w:rFonts w:ascii="Times New Roman;sans-serif" w:hAnsi="Times New Roman;sans-serif"/>
                <w:b w:val="false"/>
                <w:color w:val="000000"/>
                <w:sz w:val="19"/>
              </w:rPr>
              <w:t>Organization of the Petroleum Exporting Countries.</w:t>
            </w:r>
          </w:p>
        </w:tc>
      </w:tr>
      <w:tr>
        <w:trPr/>
        <w:tc>
          <w:tcPr>
            <w:tcW w:w="16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Operating Company</w:t>
            </w:r>
          </w:p>
        </w:tc>
        <w:tc>
          <w:tcPr>
            <w:tcW w:w="8590" w:type="dxa"/>
            <w:gridSpan w:val="3"/>
            <w:tcBorders/>
            <w:shd w:fill="CCEE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19"/>
              </w:rPr>
            </w:pPr>
            <w:r>
              <w:rPr>
                <w:rFonts w:ascii="Times New Roman;sans-serif" w:hAnsi="Times New Roman;sans-serif"/>
                <w:b w:val="false"/>
                <w:color w:val="000000"/>
                <w:sz w:val="19"/>
              </w:rPr>
              <w:t>Viper Energy Partners LLC, a Delaware limited liability company and a consolidated subsidiary of Viper Energy Partners LP.</w:t>
            </w:r>
          </w:p>
        </w:tc>
      </w:tr>
      <w:tr>
        <w:trPr/>
        <w:tc>
          <w:tcPr>
            <w:tcW w:w="1615" w:type="dxa"/>
            <w:gridSpan w:val="3"/>
            <w:tcBorders/>
            <w:shd w:fill="auto" w:val="clear"/>
            <w:vAlign w:val="center"/>
          </w:tcPr>
          <w:p>
            <w:pPr>
              <w:pStyle w:val="TableContents"/>
              <w:spacing w:before="0" w:after="283"/>
              <w:rPr>
                <w:sz w:val="4"/>
                <w:szCs w:val="4"/>
              </w:rPr>
            </w:pPr>
            <w:r>
              <w:rPr>
                <w:sz w:val="4"/>
                <w:szCs w:val="4"/>
              </w:rPr>
            </w:r>
          </w:p>
        </w:tc>
        <w:tc>
          <w:tcPr>
            <w:tcW w:w="8590" w:type="dxa"/>
            <w:gridSpan w:val="3"/>
            <w:tcBorders/>
            <w:shd w:fill="auto" w:val="clear"/>
            <w:vAlign w:val="center"/>
          </w:tcPr>
          <w:p>
            <w:pPr>
              <w:pStyle w:val="TableContents"/>
              <w:spacing w:before="0" w:after="283"/>
              <w:rPr>
                <w:sz w:val="4"/>
                <w:szCs w:val="4"/>
              </w:rPr>
            </w:pPr>
            <w:r>
              <w:rPr>
                <w:sz w:val="4"/>
                <w:szCs w:val="4"/>
              </w:rPr>
            </w:r>
          </w:p>
        </w:tc>
      </w:tr>
      <w:tr>
        <w:trPr/>
        <w:tc>
          <w:tcPr>
            <w:tcW w:w="1615" w:type="dxa"/>
            <w:gridSpan w:val="3"/>
            <w:tcBorders/>
            <w:shd w:fill="auto" w:val="clear"/>
            <w:vAlign w:val="center"/>
          </w:tcPr>
          <w:p>
            <w:pPr>
              <w:pStyle w:val="TableContents"/>
              <w:spacing w:before="0" w:after="283"/>
              <w:rPr>
                <w:sz w:val="4"/>
                <w:szCs w:val="4"/>
              </w:rPr>
            </w:pPr>
            <w:r>
              <w:rPr>
                <w:sz w:val="4"/>
                <w:szCs w:val="4"/>
              </w:rPr>
            </w:r>
          </w:p>
        </w:tc>
        <w:tc>
          <w:tcPr>
            <w:tcW w:w="8590" w:type="dxa"/>
            <w:gridSpan w:val="3"/>
            <w:tcBorders/>
            <w:shd w:fill="auto" w:val="clear"/>
            <w:vAlign w:val="center"/>
          </w:tcPr>
          <w:p>
            <w:pPr>
              <w:pStyle w:val="TableContents"/>
              <w:spacing w:before="0" w:after="283"/>
              <w:rPr>
                <w:sz w:val="4"/>
                <w:szCs w:val="4"/>
              </w:rPr>
            </w:pPr>
            <w:r>
              <w:rPr>
                <w:sz w:val="4"/>
                <w:szCs w:val="4"/>
              </w:rPr>
            </w:r>
          </w:p>
        </w:tc>
      </w:tr>
      <w:tr>
        <w:trPr/>
        <w:tc>
          <w:tcPr>
            <w:tcW w:w="1615" w:type="dxa"/>
            <w:gridSpan w:val="3"/>
            <w:tcBorders/>
            <w:shd w:fill="auto" w:val="clear"/>
            <w:vAlign w:val="center"/>
          </w:tcPr>
          <w:p>
            <w:pPr>
              <w:pStyle w:val="TableContents"/>
              <w:spacing w:before="0" w:after="283"/>
              <w:rPr>
                <w:sz w:val="4"/>
                <w:szCs w:val="4"/>
              </w:rPr>
            </w:pPr>
            <w:r>
              <w:rPr>
                <w:sz w:val="4"/>
                <w:szCs w:val="4"/>
              </w:rPr>
            </w:r>
          </w:p>
        </w:tc>
        <w:tc>
          <w:tcPr>
            <w:tcW w:w="8590" w:type="dxa"/>
            <w:gridSpan w:val="3"/>
            <w:tcBorders/>
            <w:shd w:fill="auto" w:val="clear"/>
            <w:vAlign w:val="center"/>
          </w:tcPr>
          <w:p>
            <w:pPr>
              <w:pStyle w:val="TableContents"/>
              <w:spacing w:before="0" w:after="283"/>
              <w:rPr>
                <w:sz w:val="4"/>
                <w:szCs w:val="4"/>
              </w:rPr>
            </w:pPr>
            <w:r>
              <w:rPr>
                <w:sz w:val="4"/>
                <w:szCs w:val="4"/>
              </w:rPr>
            </w:r>
          </w:p>
        </w:tc>
      </w:tr>
      <w:tr>
        <w:trPr/>
        <w:tc>
          <w:tcPr>
            <w:tcW w:w="16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SEC</w:t>
            </w:r>
          </w:p>
        </w:tc>
        <w:tc>
          <w:tcPr>
            <w:tcW w:w="8590" w:type="dxa"/>
            <w:gridSpan w:val="3"/>
            <w:tcBorders/>
            <w:shd w:fill="FFFF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19"/>
              </w:rPr>
            </w:pPr>
            <w:r>
              <w:rPr>
                <w:rFonts w:ascii="Times New Roman;sans-serif" w:hAnsi="Times New Roman;sans-serif"/>
                <w:b w:val="false"/>
                <w:color w:val="000000"/>
                <w:sz w:val="19"/>
              </w:rPr>
              <w:t>United States Securities and Exchange Commission.</w:t>
            </w:r>
          </w:p>
        </w:tc>
      </w:tr>
      <w:tr>
        <w:trPr/>
        <w:tc>
          <w:tcPr>
            <w:tcW w:w="1615" w:type="dxa"/>
            <w:gridSpan w:val="3"/>
            <w:tcBorders/>
            <w:shd w:fill="auto" w:val="clear"/>
            <w:vAlign w:val="center"/>
          </w:tcPr>
          <w:p>
            <w:pPr>
              <w:pStyle w:val="TableContents"/>
              <w:spacing w:before="0" w:after="283"/>
              <w:rPr>
                <w:sz w:val="4"/>
                <w:szCs w:val="4"/>
              </w:rPr>
            </w:pPr>
            <w:r>
              <w:rPr>
                <w:sz w:val="4"/>
                <w:szCs w:val="4"/>
              </w:rPr>
            </w:r>
          </w:p>
        </w:tc>
        <w:tc>
          <w:tcPr>
            <w:tcW w:w="8590" w:type="dxa"/>
            <w:gridSpan w:val="3"/>
            <w:tcBorders/>
            <w:shd w:fill="auto" w:val="clear"/>
            <w:vAlign w:val="center"/>
          </w:tcPr>
          <w:p>
            <w:pPr>
              <w:pStyle w:val="TableContents"/>
              <w:spacing w:before="0" w:after="283"/>
              <w:rPr>
                <w:sz w:val="4"/>
                <w:szCs w:val="4"/>
              </w:rPr>
            </w:pPr>
            <w:r>
              <w:rPr>
                <w:sz w:val="4"/>
                <w:szCs w:val="4"/>
              </w:rPr>
            </w:r>
          </w:p>
        </w:tc>
      </w:tr>
      <w:tr>
        <w:trPr/>
        <w:tc>
          <w:tcPr>
            <w:tcW w:w="16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SOFR</w:t>
            </w:r>
          </w:p>
        </w:tc>
        <w:tc>
          <w:tcPr>
            <w:tcW w:w="8590" w:type="dxa"/>
            <w:gridSpan w:val="3"/>
            <w:tcBorders/>
            <w:shd w:fill="CCEE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19"/>
              </w:rPr>
            </w:pPr>
            <w:r>
              <w:rPr>
                <w:rFonts w:ascii="Times New Roman;sans-serif" w:hAnsi="Times New Roman;sans-serif"/>
                <w:b w:val="false"/>
                <w:color w:val="000000"/>
                <w:sz w:val="19"/>
              </w:rPr>
              <w:t>The secured overnight financing rate</w:t>
            </w:r>
          </w:p>
        </w:tc>
      </w:tr>
      <w:tr>
        <w:trPr/>
        <w:tc>
          <w:tcPr>
            <w:tcW w:w="1615" w:type="dxa"/>
            <w:gridSpan w:val="3"/>
            <w:tcBorders>
              <w:bottom w:val="single" w:sz="8" w:space="0" w:color="000000"/>
            </w:tcBorders>
            <w:shd w:fill="FFFFFF"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Notes</w:t>
            </w:r>
          </w:p>
        </w:tc>
        <w:tc>
          <w:tcPr>
            <w:tcW w:w="8590" w:type="dxa"/>
            <w:gridSpan w:val="3"/>
            <w:tcBorders>
              <w:bottom w:val="single" w:sz="8" w:space="0" w:color="000000"/>
            </w:tcBorders>
            <w:shd w:fill="FFFFFF" w:val="clear"/>
            <w:tcMar>
              <w:top w:w="0" w:type="dxa"/>
              <w:left w:w="0" w:type="dxa"/>
              <w:bottom w:w="30" w:type="dxa"/>
              <w:right w:w="0" w:type="dxa"/>
            </w:tcMar>
            <w:vAlign w:val="center"/>
          </w:tcPr>
          <w:p>
            <w:pPr>
              <w:pStyle w:val="TableContents"/>
              <w:spacing w:lineRule="auto" w:line="240" w:before="0" w:after="0"/>
              <w:jc w:val="both"/>
              <w:rPr>
                <w:rFonts w:ascii="Times New Roman;sans-serif" w:hAnsi="Times New Roman;sans-serif"/>
                <w:b w:val="false"/>
                <w:color w:val="000000"/>
                <w:sz w:val="19"/>
              </w:rPr>
            </w:pPr>
            <w:r>
              <w:rPr>
                <w:rFonts w:ascii="Times New Roman;sans-serif" w:hAnsi="Times New Roman;sans-serif"/>
                <w:b w:val="false"/>
                <w:color w:val="000000"/>
                <w:sz w:val="19"/>
              </w:rPr>
              <w:t>The 5.375% Senior Notes due 2027 issued on October 16, 2019.</w:t>
            </w:r>
          </w:p>
        </w:tc>
      </w:tr>
      <w:tr>
        <w:trPr/>
        <w:tc>
          <w:tcPr>
            <w:tcW w:w="1615" w:type="dxa"/>
            <w:gridSpan w:val="3"/>
            <w:tcBorders/>
            <w:shd w:fill="auto" w:val="clear"/>
            <w:vAlign w:val="center"/>
          </w:tcPr>
          <w:p>
            <w:pPr>
              <w:pStyle w:val="TableContents"/>
              <w:spacing w:before="0" w:after="283"/>
              <w:rPr>
                <w:sz w:val="4"/>
                <w:szCs w:val="4"/>
              </w:rPr>
            </w:pPr>
            <w:r>
              <w:rPr>
                <w:sz w:val="4"/>
                <w:szCs w:val="4"/>
              </w:rPr>
            </w:r>
          </w:p>
        </w:tc>
        <w:tc>
          <w:tcPr>
            <w:tcW w:w="8590" w:type="dxa"/>
            <w:gridSpan w:val="3"/>
            <w:tcBorders/>
            <w:shd w:fill="auto" w:val="cle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iii</w:t>
                      </w:r>
                    </w:p>
                  </w:txbxContent>
                </v:textbox>
              </v:rect>
            </w:pict>
          </mc:Fallback>
        </mc:AlternateContent>
      </w:r>
    </w:p>
    <w:p>
      <w:pPr>
        <w:pStyle w:val="TextBody"/>
        <w:spacing w:lineRule="auto" w:line="288" w:before="0" w:after="0"/>
        <w:rPr/>
      </w:pPr>
      <w:hyperlink w:anchor="i8dd89f0c72444a288e2bb25168f12b04_7">
        <w:r>
          <w:rPr>
            <w:rStyle w:val="InternetLink"/>
            <w:rFonts w:ascii="Times New Roman;sans-serif" w:hAnsi="Times New Roman;sans-serif"/>
            <w:b w:val="false"/>
            <w:color w:val="0000FF"/>
            <w:sz w:val="16"/>
            <w:u w:val="single"/>
          </w:rPr>
          <w:t>Table of Contents</w:t>
        </w:r>
      </w:hyperlink>
    </w:p>
    <w:p>
      <w:pPr>
        <w:pStyle w:val="TextBody"/>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CAUTIONARY STATEMENT REGARDING FORWARD-LOOKING STATEMENTS</w:t>
      </w:r>
    </w:p>
    <w:p>
      <w:pPr>
        <w:pStyle w:val="TextBody"/>
        <w:spacing w:before="0" w:after="0"/>
        <w:ind w:left="0" w:right="0" w:firstLine="720"/>
        <w:rPr/>
      </w:pPr>
      <w:r>
        <w:rPr/>
      </w:r>
    </w:p>
    <w:p>
      <w:pPr>
        <w:pStyle w:val="TextBody"/>
        <w:spacing w:lineRule="auto" w:line="268" w:before="0" w:after="0"/>
        <w:ind w:left="0" w:right="0" w:firstLine="720"/>
        <w:jc w:val="both"/>
        <w:rPr/>
      </w:pPr>
      <w:r>
        <w:rPr>
          <w:rFonts w:ascii="Times New Roman;sans-serif" w:hAnsi="Times New Roman;sans-serif"/>
          <w:b w:val="false"/>
          <w:color w:val="000000"/>
          <w:sz w:val="20"/>
        </w:rPr>
        <w:t xml:space="preserve">Various statements contained in this report are “forward-looking statements” within the meaning of Section 27A of the Securities Act and Section 21E of the Exchange Act, which involve risks, uncertainties, and assumptions. All statements, other than statements of historical fact, including statements regarding our: future performance; business strategy; future operations; estimates and projections of operating income, losses, costs and expenses, returns, cash flow, and financial position; production levels on properties in which we have mineral and royalty interests, developmental activity by other operators; reserve estimates and our ability to replace or increase reserves; anticipated benefits of strategic transactions (including acquisitions and divestitures); and plans and objectives of management (including Diamondback’s plans for developing our acreage and our cash distribution policy and repurchases of our common units and/or senior notes) are forward-looking statements. When used in this report, the words “aim,” “anticipate,” “believe,” “continue,” “could,” “estimate,” “expect,” “forecast,” “future,” “guidance,” “intend,” “may,” “model,” “outlook,” “plan,” “positioned,” “potential,” “predict,” “project,” “seek,” “should,” “target,” “will,” “would,” and similar expressions (including the negative of such terms) as they relate to us are intended to identify forward-looking statements, although not all forward-looking statements contain such identifying words. In particular, the factors discussed in this report and detailed under </w:t>
      </w:r>
      <w:hyperlink w:anchor="i8dd89f0c72444a288e2bb25168f12b04_124">
        <w:r>
          <w:rPr>
            <w:rStyle w:val="InternetLink"/>
            <w:rFonts w:ascii="Times New Roman;sans-serif" w:hAnsi="Times New Roman;sans-serif"/>
            <w:b w:val="false"/>
            <w:color w:val="0000FF"/>
            <w:sz w:val="20"/>
            <w:u w:val="single"/>
          </w:rPr>
          <w:t>Part II. Item 1A. Risk Factors</w:t>
        </w:r>
      </w:hyperlink>
      <w:r>
        <w:rPr>
          <w:rFonts w:ascii="Times New Roman;sans-serif" w:hAnsi="Times New Roman;sans-serif"/>
          <w:b w:val="false"/>
          <w:color w:val="000000"/>
          <w:sz w:val="20"/>
        </w:rPr>
        <w:t xml:space="preserve">, and our </w:t>
      </w:r>
      <w:r>
        <w:fldChar w:fldCharType="begin"/>
      </w:r>
      <w:r>
        <w:rPr>
          <w:rStyle w:val="InternetLink"/>
          <w:sz w:val="20"/>
          <w:u w:val="single"/>
          <w:b w:val="false"/>
          <w:rFonts w:ascii="Times New Roman;sans-serif" w:hAnsi="Times New Roman;sans-serif"/>
        </w:rPr>
        <w:instrText> HYPERLINK "https://www.sec.gov/ix?doc=/Archives/edgar/data/1602065/000160206523000007/vnom-20221231.htm" \l "i014aed5382dd45488e402459c1f9d159_25"</w:instrText>
      </w:r>
      <w:r>
        <w:rPr>
          <w:rStyle w:val="InternetLink"/>
          <w:sz w:val="20"/>
          <w:u w:val="single"/>
          <w:b w:val="false"/>
          <w:rFonts w:ascii="Times New Roman;sans-serif" w:hAnsi="Times New Roman;sans-serif"/>
        </w:rPr>
        <w:fldChar w:fldCharType="separate"/>
      </w:r>
      <w:r>
        <w:rPr>
          <w:rStyle w:val="InternetLink"/>
          <w:rFonts w:ascii="Times New Roman;sans-serif" w:hAnsi="Times New Roman;sans-serif"/>
          <w:b w:val="false"/>
          <w:color w:val="0000FF"/>
          <w:sz w:val="20"/>
          <w:u w:val="single"/>
        </w:rPr>
        <w:t>Annual Report on Form 10-K</w:t>
      </w:r>
      <w:r>
        <w:rPr>
          <w:rStyle w:val="InternetLink"/>
          <w:sz w:val="20"/>
          <w:u w:val="single"/>
          <w:b w:val="false"/>
          <w:rFonts w:ascii="Times New Roman;sans-serif" w:hAnsi="Times New Roman;sans-serif"/>
        </w:rPr>
        <w:fldChar w:fldCharType="end"/>
      </w:r>
      <w:r>
        <w:rPr>
          <w:color w:val="000000"/>
        </w:rPr>
        <w:t xml:space="preserve"> </w:t>
      </w:r>
      <w:r>
        <w:rPr>
          <w:rFonts w:ascii="Times New Roman;sans-serif" w:hAnsi="Times New Roman;sans-serif"/>
          <w:b w:val="false"/>
          <w:color w:val="000000"/>
          <w:sz w:val="20"/>
        </w:rPr>
        <w:t>for the year ended December 31, 2022, could affect our actual results and cause our actual results to differ materially from expectations, estimates or assumptions expressed, forecasted or implied in such forward-looking statements. Unless the context requires otherwise, references to “we,” “us,” “our” or “the Partnership” are intended to mean the business and operations of the Partnership and the Operating Company.</w:t>
      </w:r>
    </w:p>
    <w:p>
      <w:pPr>
        <w:pStyle w:val="TextBody"/>
        <w:spacing w:before="0" w:after="0"/>
        <w:ind w:left="0" w:right="0" w:firstLine="720"/>
        <w:jc w:val="both"/>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Factors that could cause the outcomes to differ materially include (but are not limited to) the following:</w:t>
      </w:r>
    </w:p>
    <w:p>
      <w:pPr>
        <w:pStyle w:val="TextBody"/>
        <w:spacing w:before="0" w:after="0"/>
        <w:ind w:left="0" w:right="0" w:firstLine="720"/>
        <w:jc w:val="both"/>
        <w:rPr/>
      </w:pPr>
      <w:r>
        <w:rPr/>
      </w:r>
    </w:p>
    <w:p>
      <w:pPr>
        <w:pStyle w:val="TextBody"/>
        <w:spacing w:lineRule="auto" w:line="264" w:before="0" w:after="120"/>
        <w:ind w:left="0" w:right="0" w:hanging="360"/>
        <w:jc w:val="both"/>
        <w:rPr/>
      </w:pPr>
      <w:r>
        <w:rPr>
          <w:color w:val="000000"/>
        </w:rPr>
        <w:t>•</w:t>
      </w:r>
      <w:r>
        <w:rPr>
          <w:rFonts w:ascii="Times New Roman;sans-serif" w:hAnsi="Times New Roman;sans-serif"/>
          <w:b w:val="false"/>
          <w:color w:val="000000"/>
          <w:sz w:val="20"/>
        </w:rPr>
        <w:t>Changes in supply and demand levels for oil, natural gas, and natural gas liquids, and the resulting impact on the price for those commodities;</w:t>
      </w:r>
    </w:p>
    <w:p>
      <w:pPr>
        <w:pStyle w:val="TextBody"/>
        <w:spacing w:lineRule="auto" w:line="264" w:before="60" w:after="120"/>
        <w:ind w:left="0" w:right="0" w:hanging="360"/>
        <w:jc w:val="both"/>
        <w:rPr/>
      </w:pPr>
      <w:r>
        <w:rPr>
          <w:color w:val="000000"/>
        </w:rPr>
        <w:t>•</w:t>
      </w:r>
      <w:r>
        <w:rPr>
          <w:rFonts w:ascii="Times New Roman;sans-serif" w:hAnsi="Times New Roman;sans-serif"/>
          <w:b w:val="false"/>
          <w:color w:val="000000"/>
          <w:sz w:val="20"/>
        </w:rPr>
        <w:t>the impact of public health crises, including epidemic or pandemic diseases such as the COVID-19 pandemic, and any related company or government policies or actions;</w:t>
      </w:r>
    </w:p>
    <w:p>
      <w:pPr>
        <w:pStyle w:val="TextBody"/>
        <w:spacing w:lineRule="auto" w:line="264" w:before="60" w:after="120"/>
        <w:ind w:left="0" w:right="0" w:hanging="360"/>
        <w:jc w:val="both"/>
        <w:rPr/>
      </w:pPr>
      <w:r>
        <w:rPr>
          <w:color w:val="000000"/>
        </w:rPr>
        <w:t>•</w:t>
      </w:r>
      <w:r>
        <w:rPr>
          <w:rFonts w:ascii="Times New Roman;sans-serif" w:hAnsi="Times New Roman;sans-serif"/>
          <w:b w:val="false"/>
          <w:color w:val="000000"/>
          <w:sz w:val="20"/>
        </w:rPr>
        <w:t>actions taken by the members of OPEC and Russia affecting the production and pricing of oil, as well as other domestic and global political, economic, or diplomatic developments;</w:t>
      </w:r>
    </w:p>
    <w:p>
      <w:pPr>
        <w:pStyle w:val="TextBody"/>
        <w:spacing w:lineRule="auto" w:line="264" w:before="60" w:after="120"/>
        <w:ind w:left="0" w:right="0" w:hanging="360"/>
        <w:jc w:val="both"/>
        <w:rPr/>
      </w:pPr>
      <w:r>
        <w:rPr>
          <w:color w:val="000000"/>
        </w:rPr>
        <w:t>•</w:t>
      </w:r>
      <w:r>
        <w:rPr>
          <w:rFonts w:ascii="Times New Roman;sans-serif" w:hAnsi="Times New Roman;sans-serif"/>
          <w:b w:val="false"/>
          <w:color w:val="000000"/>
          <w:sz w:val="20"/>
        </w:rPr>
        <w:t>changes in general economic, business or industry conditions, including changes in foreign currency exchange rates, interest rates, inflation rates, instability in the financial sector and concerns over a potential economic downturn or recession;</w:t>
      </w:r>
    </w:p>
    <w:p>
      <w:pPr>
        <w:pStyle w:val="TextBody"/>
        <w:spacing w:lineRule="auto" w:line="264" w:before="60" w:after="120"/>
        <w:ind w:left="0" w:right="0" w:hanging="360"/>
        <w:jc w:val="both"/>
        <w:rPr/>
      </w:pPr>
      <w:r>
        <w:rPr>
          <w:color w:val="000000"/>
        </w:rPr>
        <w:t>•</w:t>
      </w:r>
      <w:r>
        <w:rPr>
          <w:rFonts w:ascii="Times New Roman;sans-serif" w:hAnsi="Times New Roman;sans-serif"/>
          <w:b w:val="false"/>
          <w:color w:val="000000"/>
          <w:sz w:val="20"/>
        </w:rPr>
        <w:t>regional supply and demand factors, including delays, curtailment delays or interruptions of production on our mineral and royalty acreage, or governmental orders, rules or regulations that impose production limits on such acreage;</w:t>
      </w:r>
    </w:p>
    <w:p>
      <w:pPr>
        <w:pStyle w:val="TextBody"/>
        <w:spacing w:lineRule="auto" w:line="264" w:before="60" w:after="120"/>
        <w:ind w:left="0" w:right="0" w:hanging="360"/>
        <w:jc w:val="both"/>
        <w:rPr/>
      </w:pPr>
      <w:r>
        <w:rPr>
          <w:color w:val="000000"/>
        </w:rPr>
        <w:t>•</w:t>
      </w:r>
      <w:r>
        <w:rPr>
          <w:rFonts w:ascii="Times New Roman;sans-serif" w:hAnsi="Times New Roman;sans-serif"/>
          <w:b w:val="false"/>
          <w:color w:val="000000"/>
          <w:sz w:val="20"/>
        </w:rPr>
        <w:t>federal and state legislative and regulatory initiatives relating to hydraulic fracturing, including the effect of existing and future laws and governmental regulations;</w:t>
      </w:r>
    </w:p>
    <w:p>
      <w:pPr>
        <w:pStyle w:val="TextBody"/>
        <w:spacing w:lineRule="auto" w:line="264" w:before="60" w:after="120"/>
        <w:ind w:left="0" w:right="0" w:hanging="360"/>
        <w:jc w:val="both"/>
        <w:rPr/>
      </w:pPr>
      <w:r>
        <w:rPr>
          <w:color w:val="000000"/>
        </w:rPr>
        <w:t>•</w:t>
      </w:r>
      <w:r>
        <w:rPr>
          <w:rFonts w:ascii="Times New Roman;sans-serif" w:hAnsi="Times New Roman;sans-serif"/>
          <w:b w:val="false"/>
          <w:color w:val="000000"/>
          <w:sz w:val="20"/>
        </w:rPr>
        <w:t>physical and transition risks relating to climate change;</w:t>
      </w:r>
    </w:p>
    <w:p>
      <w:pPr>
        <w:pStyle w:val="TextBody"/>
        <w:spacing w:lineRule="auto" w:line="264" w:before="60" w:after="120"/>
        <w:ind w:left="0" w:right="0" w:hanging="360"/>
        <w:jc w:val="both"/>
        <w:rPr/>
      </w:pPr>
      <w:r>
        <w:rPr>
          <w:color w:val="000000"/>
        </w:rPr>
        <w:t>•</w:t>
      </w:r>
      <w:r>
        <w:rPr>
          <w:rFonts w:ascii="Times New Roman;sans-serif" w:hAnsi="Times New Roman;sans-serif"/>
          <w:b w:val="false"/>
          <w:color w:val="000000"/>
          <w:sz w:val="20"/>
        </w:rPr>
        <w:t>restrictions on the use of water, including limits on the use of produced water by our operators and a moratorium on new produced water well permits recently imposed by the Texas Railroad Commission in an effort to control induced seismicity in the Permian Basin;</w:t>
      </w:r>
    </w:p>
    <w:p>
      <w:pPr>
        <w:pStyle w:val="TextBody"/>
        <w:spacing w:lineRule="auto" w:line="264" w:before="60" w:after="120"/>
        <w:ind w:left="0" w:right="0" w:hanging="360"/>
        <w:jc w:val="both"/>
        <w:rPr/>
      </w:pPr>
      <w:r>
        <w:rPr>
          <w:color w:val="000000"/>
        </w:rPr>
        <w:t>•</w:t>
      </w:r>
      <w:r>
        <w:rPr>
          <w:rFonts w:ascii="Times New Roman;sans-serif" w:hAnsi="Times New Roman;sans-serif"/>
          <w:b w:val="false"/>
          <w:color w:val="000000"/>
          <w:sz w:val="20"/>
        </w:rPr>
        <w:t>significant declines in prices for oil, natural gas, or natural gas liquids, which could require recognition of significant impairment charges;</w:t>
      </w:r>
    </w:p>
    <w:p>
      <w:pPr>
        <w:pStyle w:val="TextBody"/>
        <w:spacing w:lineRule="auto" w:line="264" w:before="60" w:after="120"/>
        <w:ind w:left="0" w:right="0" w:hanging="360"/>
        <w:jc w:val="both"/>
        <w:rPr/>
      </w:pPr>
      <w:r>
        <w:rPr>
          <w:color w:val="000000"/>
        </w:rPr>
        <w:t>•</w:t>
      </w:r>
      <w:r>
        <w:rPr>
          <w:rFonts w:ascii="Times New Roman;sans-serif" w:hAnsi="Times New Roman;sans-serif"/>
          <w:b w:val="false"/>
          <w:color w:val="000000"/>
          <w:sz w:val="20"/>
        </w:rPr>
        <w:t>changes in U.S. energy, environmental, monetary and trade policies;</w:t>
      </w:r>
    </w:p>
    <w:p>
      <w:pPr>
        <w:pStyle w:val="TextBody"/>
        <w:spacing w:lineRule="auto" w:line="264" w:before="60" w:after="120"/>
        <w:ind w:left="0" w:right="0" w:hanging="360"/>
        <w:jc w:val="both"/>
        <w:rPr/>
      </w:pPr>
      <w:r>
        <w:rPr>
          <w:color w:val="000000"/>
        </w:rPr>
        <w:t>•</w:t>
      </w:r>
      <w:r>
        <w:rPr>
          <w:rFonts w:ascii="Times New Roman;sans-serif" w:hAnsi="Times New Roman;sans-serif"/>
          <w:b w:val="false"/>
          <w:color w:val="000000"/>
          <w:sz w:val="20"/>
        </w:rPr>
        <w:t>conditions in the capital, financial and credit markets, including the availability and pricing of capital for drilling and development by our operators and environmental and social responsibility projects undertaken by Diamondback and our other operators;</w:t>
      </w:r>
    </w:p>
    <w:p>
      <w:pPr>
        <w:pStyle w:val="TextBody"/>
        <w:spacing w:lineRule="auto" w:line="264" w:before="60" w:after="120"/>
        <w:ind w:left="0" w:right="0" w:hanging="360"/>
        <w:jc w:val="both"/>
        <w:rPr/>
      </w:pPr>
      <w:r>
        <w:rPr>
          <w:color w:val="000000"/>
        </w:rPr>
        <w:t>•</w:t>
      </w:r>
      <w:r>
        <w:rPr>
          <w:rFonts w:ascii="Times New Roman;sans-serif" w:hAnsi="Times New Roman;sans-serif"/>
          <w:b w:val="false"/>
          <w:color w:val="000000"/>
          <w:sz w:val="20"/>
        </w:rPr>
        <w:t>changes in availability or cost of rigs, equipment, raw materials, supplies and oilfield services impacting our operators;</w:t>
      </w:r>
    </w:p>
    <w:p>
      <w:pPr>
        <w:pStyle w:val="TextBody"/>
        <w:spacing w:lineRule="auto" w:line="264" w:before="60" w:after="120"/>
        <w:ind w:left="0" w:right="0" w:hanging="360"/>
        <w:jc w:val="both"/>
        <w:rPr/>
      </w:pPr>
      <w:r>
        <w:rPr>
          <w:color w:val="000000"/>
        </w:rPr>
        <w:t>•</w:t>
      </w:r>
      <w:r>
        <w:rPr>
          <w:rFonts w:ascii="Times New Roman;sans-serif" w:hAnsi="Times New Roman;sans-serif"/>
          <w:b w:val="false"/>
          <w:color w:val="000000"/>
          <w:sz w:val="20"/>
        </w:rPr>
        <w:t>changes in safety, health, environmental, tax, and other regulations or requirements impacting us or our operators (including those addressing air emissions, water management, or the impact of global climate change);</w:t>
      </w:r>
    </w:p>
    <w:p>
      <w:pPr>
        <w:pStyle w:val="TextBody"/>
        <w:spacing w:lineRule="auto" w:line="264" w:before="60" w:after="120"/>
        <w:ind w:left="0" w:right="0" w:hanging="360"/>
        <w:jc w:val="both"/>
        <w:rPr/>
      </w:pPr>
      <w:r>
        <w:rPr>
          <w:color w:val="000000"/>
        </w:rPr>
        <w:t>•</w:t>
      </w:r>
      <w:r>
        <w:rPr>
          <w:rFonts w:ascii="Times New Roman;sans-serif" w:hAnsi="Times New Roman;sans-serif"/>
          <w:b w:val="false"/>
          <w:color w:val="000000"/>
          <w:sz w:val="20"/>
        </w:rPr>
        <w:t>security threats, including cybersecurity threats and disruptions to our business from breaches of our information technology systems, or from breaches of information technology systems of our operators or third parties with whom we transact business;</w:t>
      </w:r>
    </w:p>
    <w:p>
      <w:pPr>
        <w:pStyle w:val="HorizontalLine"/>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iv</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iv</w:t>
                      </w:r>
                    </w:p>
                  </w:txbxContent>
                </v:textbox>
              </v:rect>
            </w:pict>
          </mc:Fallback>
        </mc:AlternateContent>
      </w:r>
    </w:p>
    <w:p>
      <w:pPr>
        <w:pStyle w:val="TextBody"/>
        <w:spacing w:lineRule="auto" w:line="288" w:before="0" w:after="0"/>
        <w:rPr/>
      </w:pPr>
      <w:hyperlink w:anchor="i8dd89f0c72444a288e2bb25168f12b04_7">
        <w:r>
          <w:rPr>
            <w:rStyle w:val="InternetLink"/>
            <w:rFonts w:ascii="Times New Roman;sans-serif" w:hAnsi="Times New Roman;sans-serif"/>
            <w:b w:val="false"/>
            <w:color w:val="0000FF"/>
            <w:sz w:val="16"/>
            <w:u w:val="single"/>
          </w:rPr>
          <w:t>Table of Contents</w:t>
        </w:r>
      </w:hyperlink>
    </w:p>
    <w:p>
      <w:pPr>
        <w:pStyle w:val="TextBody"/>
        <w:spacing w:lineRule="auto" w:line="264" w:before="60" w:after="120"/>
        <w:ind w:left="0" w:right="0" w:hanging="360"/>
        <w:jc w:val="both"/>
        <w:rPr/>
      </w:pPr>
      <w:r>
        <w:rPr>
          <w:color w:val="000000"/>
        </w:rPr>
        <w:t>•</w:t>
      </w:r>
      <w:r>
        <w:rPr>
          <w:rFonts w:ascii="Times New Roman;sans-serif" w:hAnsi="Times New Roman;sans-serif"/>
          <w:b w:val="false"/>
          <w:color w:val="000000"/>
          <w:sz w:val="20"/>
        </w:rPr>
        <w:t xml:space="preserve">lack of, or disruption in, access to adequate and reliable transportation, processing, storage, and other facilities impacting our operators; </w:t>
      </w:r>
    </w:p>
    <w:p>
      <w:pPr>
        <w:pStyle w:val="TextBody"/>
        <w:spacing w:lineRule="auto" w:line="264" w:before="60" w:after="120"/>
        <w:ind w:left="0" w:right="0" w:hanging="360"/>
        <w:jc w:val="both"/>
        <w:rPr/>
      </w:pPr>
      <w:r>
        <w:rPr>
          <w:color w:val="000000"/>
        </w:rPr>
        <w:t>•</w:t>
      </w:r>
      <w:r>
        <w:rPr>
          <w:rFonts w:ascii="Times New Roman;sans-serif" w:hAnsi="Times New Roman;sans-serif"/>
          <w:b w:val="false"/>
          <w:color w:val="000000"/>
          <w:sz w:val="20"/>
        </w:rPr>
        <w:t>severe weather conditions;</w:t>
      </w:r>
    </w:p>
    <w:p>
      <w:pPr>
        <w:pStyle w:val="TextBody"/>
        <w:spacing w:lineRule="auto" w:line="264" w:before="60" w:after="120"/>
        <w:ind w:left="0" w:right="0" w:hanging="360"/>
        <w:jc w:val="both"/>
        <w:rPr/>
      </w:pPr>
      <w:r>
        <w:rPr>
          <w:color w:val="000000"/>
        </w:rPr>
        <w:t>•</w:t>
      </w:r>
      <w:r>
        <w:rPr>
          <w:rFonts w:ascii="Times New Roman;sans-serif" w:hAnsi="Times New Roman;sans-serif"/>
          <w:b w:val="false"/>
          <w:color w:val="000000"/>
          <w:sz w:val="20"/>
        </w:rPr>
        <w:t>acts of war or terrorist acts and the governmental or military response thereto;</w:t>
      </w:r>
    </w:p>
    <w:p>
      <w:pPr>
        <w:pStyle w:val="TextBody"/>
        <w:spacing w:lineRule="auto" w:line="264" w:before="60" w:after="120"/>
        <w:ind w:left="0" w:right="0" w:hanging="360"/>
        <w:jc w:val="both"/>
        <w:rPr/>
      </w:pPr>
      <w:r>
        <w:rPr>
          <w:color w:val="000000"/>
        </w:rPr>
        <w:t>•</w:t>
      </w:r>
      <w:r>
        <w:rPr>
          <w:rFonts w:ascii="Times New Roman;sans-serif" w:hAnsi="Times New Roman;sans-serif"/>
          <w:b w:val="false"/>
          <w:color w:val="000000"/>
          <w:sz w:val="20"/>
        </w:rPr>
        <w:t>changes in the financial strength of counterparties to the credit agreement and hedging contracts of our operating subsidiary;</w:t>
      </w:r>
    </w:p>
    <w:p>
      <w:pPr>
        <w:pStyle w:val="TextBody"/>
        <w:spacing w:lineRule="auto" w:line="264" w:before="60" w:after="120"/>
        <w:ind w:left="0" w:right="0" w:hanging="360"/>
        <w:jc w:val="both"/>
        <w:rPr/>
      </w:pPr>
      <w:r>
        <w:rPr>
          <w:color w:val="000000"/>
        </w:rPr>
        <w:t>•</w:t>
      </w:r>
      <w:r>
        <w:rPr>
          <w:rFonts w:ascii="Times New Roman;sans-serif" w:hAnsi="Times New Roman;sans-serif"/>
          <w:b w:val="false"/>
          <w:color w:val="000000"/>
          <w:sz w:val="20"/>
        </w:rPr>
        <w:t>changes in our credit rating; and</w:t>
      </w:r>
    </w:p>
    <w:p>
      <w:pPr>
        <w:pStyle w:val="TextBody"/>
        <w:spacing w:lineRule="auto" w:line="264" w:before="60" w:after="283"/>
        <w:ind w:left="0" w:right="0" w:hanging="360"/>
        <w:jc w:val="both"/>
        <w:rPr/>
      </w:pPr>
      <w:r>
        <w:rPr>
          <w:color w:val="000000"/>
        </w:rPr>
        <w:t>•</w:t>
      </w:r>
      <w:r>
        <w:rPr>
          <w:rFonts w:ascii="Times New Roman;sans-serif" w:hAnsi="Times New Roman;sans-serif"/>
          <w:b w:val="false"/>
          <w:color w:val="000000"/>
          <w:sz w:val="20"/>
        </w:rPr>
        <w:t>other risks and factors disclosed in this report.</w:t>
      </w:r>
    </w:p>
    <w:p>
      <w:pPr>
        <w:pStyle w:val="TextBody"/>
        <w:spacing w:before="0" w:after="0"/>
        <w:ind w:left="0" w:right="0" w:firstLine="72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light of these factors, the events anticipated by our forward-looking statements may not occur at the time anticipated or at all. Moreover, new risks emerge from time to time. We cannot predict all risks, nor can we assess the impact of all factors on our business or the extent to which any factor, or combination of factors, may cause actual results to differ materially from those anticipated by any forward-looking statements we may make. Accordingly, you should not place undue reliance on any forward-looking statements made in this report. All forward-looking statements speak only as of the date of this report or, if earlier, as of the date they were made. We do not intend to, and disclaim any obligation to, update or revise any forward-looking statements unless required by applicable law. </w:t>
      </w:r>
    </w:p>
    <w:p>
      <w:pPr>
        <w:pStyle w:val="TextBody"/>
        <w:spacing w:before="0" w:after="0"/>
        <w:ind w:left="0" w:right="0" w:firstLine="72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v</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v</w:t>
                      </w:r>
                    </w:p>
                  </w:txbxContent>
                </v:textbox>
              </v:rect>
            </w:pict>
          </mc:Fallback>
        </mc:AlternateContent>
      </w:r>
    </w:p>
    <w:p>
      <w:pPr>
        <w:pStyle w:val="TextBody"/>
        <w:spacing w:lineRule="auto" w:line="288" w:before="0" w:after="0"/>
        <w:rPr/>
      </w:pPr>
      <w:hyperlink w:anchor="i8dd89f0c72444a288e2bb25168f12b04_7">
        <w:r>
          <w:rPr>
            <w:rStyle w:val="InternetLink"/>
            <w:rFonts w:ascii="Times New Roman;sans-serif" w:hAnsi="Times New Roman;sans-serif"/>
            <w:b w:val="false"/>
            <w:color w:val="0000FF"/>
            <w:sz w:val="16"/>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PART I. FINANCIAL INFORMATION </w:t>
      </w:r>
    </w:p>
    <w:p>
      <w:pPr>
        <w:pStyle w:val="TextBody"/>
        <w:spacing w:before="0" w:after="0"/>
        <w:jc w:val="center"/>
        <w:rPr/>
      </w:pPr>
      <w:r>
        <w:rPr/>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ITEM 1.     CONDENSED CONSOLIDATED FINANCIAL STATEMENTS (UNAUDITED)</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Viper Energy Partners LP</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Balance Sheets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10205" w:type="dxa"/>
        <w:jc w:val="center"/>
        <w:tblInd w:w="0" w:type="dxa"/>
        <w:tblCellMar>
          <w:top w:w="28" w:type="dxa"/>
          <w:left w:w="28" w:type="dxa"/>
          <w:bottom w:w="28" w:type="dxa"/>
          <w:right w:w="28" w:type="dxa"/>
        </w:tblCellMar>
      </w:tblPr>
      <w:tblGrid>
        <w:gridCol w:w="2794"/>
        <w:gridCol w:w="2248"/>
        <w:gridCol w:w="2198"/>
        <w:gridCol w:w="211"/>
        <w:gridCol w:w="976"/>
        <w:gridCol w:w="109"/>
        <w:gridCol w:w="109"/>
        <w:gridCol w:w="109"/>
        <w:gridCol w:w="109"/>
        <w:gridCol w:w="211"/>
        <w:gridCol w:w="976"/>
        <w:gridCol w:w="155"/>
      </w:tblGrid>
      <w:tr>
        <w:trPr/>
        <w:tc>
          <w:tcPr>
            <w:tcW w:w="2794" w:type="dxa"/>
            <w:tcBorders/>
            <w:shd w:fill="auto" w:val="clear"/>
            <w:vAlign w:val="center"/>
          </w:tcPr>
          <w:p>
            <w:pPr>
              <w:pStyle w:val="TableContents"/>
              <w:spacing w:before="0" w:after="283"/>
              <w:rPr>
                <w:sz w:val="4"/>
                <w:szCs w:val="4"/>
              </w:rPr>
            </w:pPr>
            <w:r>
              <w:rPr>
                <w:sz w:val="4"/>
                <w:szCs w:val="4"/>
              </w:rPr>
            </w:r>
          </w:p>
        </w:tc>
        <w:tc>
          <w:tcPr>
            <w:tcW w:w="2248" w:type="dxa"/>
            <w:tcBorders/>
            <w:shd w:fill="auto" w:val="clear"/>
            <w:vAlign w:val="center"/>
          </w:tcPr>
          <w:p>
            <w:pPr>
              <w:pStyle w:val="TableContents"/>
              <w:spacing w:before="0" w:after="283"/>
              <w:rPr>
                <w:sz w:val="4"/>
                <w:szCs w:val="4"/>
              </w:rPr>
            </w:pPr>
            <w:r>
              <w:rPr>
                <w:sz w:val="4"/>
                <w:szCs w:val="4"/>
              </w:rPr>
            </w:r>
          </w:p>
        </w:tc>
        <w:tc>
          <w:tcPr>
            <w:tcW w:w="2198"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72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w:t>
            </w:r>
          </w:p>
        </w:tc>
      </w:tr>
      <w:tr>
        <w:trPr/>
        <w:tc>
          <w:tcPr>
            <w:tcW w:w="72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2"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72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65"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thousands, except unit amounts)</w:t>
            </w:r>
          </w:p>
        </w:tc>
      </w:tr>
      <w:tr>
        <w:trPr/>
        <w:tc>
          <w:tcPr>
            <w:tcW w:w="7240"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Assets</w:t>
            </w:r>
          </w:p>
        </w:tc>
        <w:tc>
          <w:tcPr>
            <w:tcW w:w="12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Current assets:</w:t>
            </w:r>
          </w:p>
        </w:tc>
        <w:tc>
          <w:tcPr>
            <w:tcW w:w="12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Cash and cash equivalents</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9,106 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18,179 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0"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42" w:type="dxa"/>
            <w:gridSpan w:val="3"/>
            <w:tcBorders/>
            <w:shd w:fill="auto" w:val="clear"/>
            <w:vAlign w:val="center"/>
          </w:tcPr>
          <w:p>
            <w:pPr>
              <w:pStyle w:val="TableContents"/>
              <w:spacing w:before="0" w:after="283"/>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Royalty income receivable (net of allowance for credit losses)</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83,038 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81,657 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Royalty income receivable—related party</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36,324 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6,260 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Derivative instruments</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1,357 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9,328 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Other current assets</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3,445 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3,196 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Total current assets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133,270 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118,620 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Property:</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spacing w:lineRule="auto" w:line="240" w:before="0" w:after="0"/>
              <w:jc w:val="both"/>
              <w:rPr>
                <w:rFonts w:ascii="Times New Roman;sans-serif" w:hAnsi="Times New Roman;sans-serif"/>
                <w:b w:val="false"/>
                <w:color w:val="000000"/>
                <w:sz w:val="19"/>
              </w:rPr>
            </w:pPr>
            <w:r>
              <w:rPr>
                <w:rFonts w:ascii="Times New Roman;sans-serif" w:hAnsi="Times New Roman;sans-serif"/>
                <w:b w:val="false"/>
                <w:color w:val="000000"/>
                <w:sz w:val="19"/>
              </w:rPr>
              <w:t>Oil and natural gas interests, full cost method of accounting ($1,262,269 and $1,297,221 excluded from depletion at March 31, 2023 and December 31, 2022, respectively)</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3,582,601 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3,464,819 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Land</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5,688 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5,688 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Accumulated depletion and impairment</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(751,221)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(720,234)</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Property, net</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2,837,068 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2,750,273 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0"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42" w:type="dxa"/>
            <w:gridSpan w:val="3"/>
            <w:tcBorders/>
            <w:shd w:fill="auto" w:val="clear"/>
            <w:vAlign w:val="center"/>
          </w:tcPr>
          <w:p>
            <w:pPr>
              <w:pStyle w:val="TableContents"/>
              <w:spacing w:before="0" w:after="283"/>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Derivative instruments</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442 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Deferred income taxes (net of allowances)</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49,228 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49,656 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Other assets</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170 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1,382 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Total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3,019,736 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2,920,373 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Liabilities and Unitholders’ Equity</w:t>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2"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Current liabilities:</w:t>
            </w:r>
          </w:p>
        </w:tc>
        <w:tc>
          <w:tcPr>
            <w:tcW w:w="12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Accounts payable</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9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436 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9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1,129 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Accounts payable—related party</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306 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Accrued liabilities</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17,759 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19,600 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Derivative instruments</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2,099 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Income taxes payable</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9,477 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911 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Total current liabilities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29,771 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21,946 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Long-term debt, net</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695,154 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576,895 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0"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42" w:type="dxa"/>
            <w:gridSpan w:val="3"/>
            <w:tcBorders/>
            <w:shd w:fill="auto" w:val="clear"/>
            <w:vAlign w:val="center"/>
          </w:tcPr>
          <w:p>
            <w:pPr>
              <w:pStyle w:val="TableContents"/>
              <w:spacing w:before="0" w:after="283"/>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Derivative instruments</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2,383 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Total liabilities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727,308 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598,848 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Commitments and contingencies (Note 12)</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240"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42" w:type="dxa"/>
            <w:gridSpan w:val="3"/>
            <w:tcBorders/>
            <w:shd w:fill="auto" w:val="clear"/>
            <w:vAlign w:val="center"/>
          </w:tcPr>
          <w:p>
            <w:pPr>
              <w:pStyle w:val="TableContents"/>
              <w:spacing w:before="0" w:after="283"/>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Unitholders’ equity:</w:t>
            </w:r>
          </w:p>
        </w:tc>
        <w:tc>
          <w:tcPr>
            <w:tcW w:w="12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General Partner</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629 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649 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spacing w:lineRule="auto" w:line="240" w:before="0" w:after="0"/>
              <w:jc w:val="both"/>
              <w:rPr>
                <w:rFonts w:ascii="Times New Roman;sans-serif" w:hAnsi="Times New Roman;sans-serif"/>
                <w:b w:val="false"/>
                <w:color w:val="000000"/>
                <w:sz w:val="19"/>
              </w:rPr>
            </w:pPr>
            <w:r>
              <w:rPr>
                <w:rFonts w:ascii="Times New Roman;sans-serif" w:hAnsi="Times New Roman;sans-serif"/>
                <w:b w:val="false"/>
                <w:color w:val="000000"/>
                <w:sz w:val="19"/>
              </w:rPr>
              <w:t>Common units (72,118,622 units issued and outstanding as of March 31, 2023 and 73,229,645 units issued and outstanding as of December 31, 2022)</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666,259 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689,178 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spacing w:lineRule="auto" w:line="240" w:before="0" w:after="0"/>
              <w:jc w:val="both"/>
              <w:rPr>
                <w:rFonts w:ascii="Times New Roman;sans-serif" w:hAnsi="Times New Roman;sans-serif"/>
                <w:b w:val="false"/>
                <w:color w:val="000000"/>
                <w:sz w:val="19"/>
              </w:rPr>
            </w:pPr>
            <w:r>
              <w:rPr>
                <w:rFonts w:ascii="Times New Roman;sans-serif" w:hAnsi="Times New Roman;sans-serif"/>
                <w:b w:val="false"/>
                <w:color w:val="000000"/>
                <w:sz w:val="19"/>
              </w:rPr>
              <w:t>Class B units (90,709,946 units issued and outstanding as of March 31, 2023 and December 31, 2022)</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807 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832 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Total Viper Energy Partners LP unitholders’ equity</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667,695 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690,659 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Non-controlling interest</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1,624,733 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1,630,866 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Total equity</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2,292,428 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2,321,525 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Total liabilities and unitholders’ equity</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3,019,736 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2,920,373 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condensed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v:rect>
            </w:pict>
          </mc:Fallback>
        </mc:AlternateContent>
      </w:r>
    </w:p>
    <w:p>
      <w:pPr>
        <w:pStyle w:val="TextBody"/>
        <w:spacing w:lineRule="auto" w:line="288" w:before="0" w:after="0"/>
        <w:rPr/>
      </w:pPr>
      <w:hyperlink w:anchor="i8dd89f0c72444a288e2bb25168f12b04_7">
        <w:r>
          <w:rPr>
            <w:rStyle w:val="InternetLink"/>
            <w:rFonts w:ascii="Times New Roman;sans-serif" w:hAnsi="Times New Roman;sans-serif"/>
            <w:b w:val="false"/>
            <w:color w:val="0000FF"/>
            <w:sz w:val="16"/>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Viper Energy Partners LP</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Operations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9400" w:type="dxa"/>
        <w:jc w:val="left"/>
        <w:tblInd w:w="0" w:type="dxa"/>
        <w:tblCellMar>
          <w:top w:w="28" w:type="dxa"/>
          <w:left w:w="28" w:type="dxa"/>
          <w:bottom w:w="28" w:type="dxa"/>
          <w:right w:w="28" w:type="dxa"/>
        </w:tblCellMar>
      </w:tblPr>
      <w:tblGrid>
        <w:gridCol w:w="2068"/>
        <w:gridCol w:w="1819"/>
        <w:gridCol w:w="1827"/>
        <w:gridCol w:w="258"/>
        <w:gridCol w:w="1012"/>
        <w:gridCol w:w="133"/>
        <w:gridCol w:w="133"/>
        <w:gridCol w:w="133"/>
        <w:gridCol w:w="133"/>
        <w:gridCol w:w="258"/>
        <w:gridCol w:w="1012"/>
        <w:gridCol w:w="133"/>
        <w:gridCol w:w="109"/>
        <w:gridCol w:w="109"/>
        <w:gridCol w:w="109"/>
        <w:gridCol w:w="154"/>
      </w:tblGrid>
      <w:tr>
        <w:trPr/>
        <w:tc>
          <w:tcPr>
            <w:tcW w:w="2068" w:type="dxa"/>
            <w:tcBorders/>
            <w:shd w:fill="auto" w:val="clear"/>
            <w:vAlign w:val="center"/>
          </w:tcPr>
          <w:p>
            <w:pPr>
              <w:pStyle w:val="TableContents"/>
              <w:spacing w:before="0" w:after="283"/>
              <w:rPr>
                <w:sz w:val="4"/>
                <w:szCs w:val="4"/>
              </w:rPr>
            </w:pPr>
            <w:r>
              <w:rPr>
                <w:sz w:val="4"/>
                <w:szCs w:val="4"/>
              </w:rPr>
            </w:r>
          </w:p>
        </w:tc>
        <w:tc>
          <w:tcPr>
            <w:tcW w:w="1819" w:type="dxa"/>
            <w:tcBorders/>
            <w:shd w:fill="auto" w:val="clear"/>
            <w:vAlign w:val="center"/>
          </w:tcPr>
          <w:p>
            <w:pPr>
              <w:pStyle w:val="TableContents"/>
              <w:spacing w:before="0" w:after="283"/>
              <w:rPr>
                <w:sz w:val="4"/>
                <w:szCs w:val="4"/>
              </w:rPr>
            </w:pPr>
            <w:r>
              <w:rPr>
                <w:sz w:val="4"/>
                <w:szCs w:val="4"/>
              </w:rPr>
            </w:r>
          </w:p>
        </w:tc>
        <w:tc>
          <w:tcPr>
            <w:tcW w:w="1827" w:type="dxa"/>
            <w:tcBorders/>
            <w:shd w:fill="auto" w:val="clear"/>
            <w:vAlign w:val="center"/>
          </w:tcPr>
          <w:p>
            <w:pPr>
              <w:pStyle w:val="TableContents"/>
              <w:spacing w:before="0" w:after="283"/>
              <w:rPr>
                <w:sz w:val="4"/>
                <w:szCs w:val="4"/>
              </w:rPr>
            </w:pPr>
            <w:r>
              <w:rPr>
                <w:sz w:val="4"/>
                <w:szCs w:val="4"/>
              </w:rPr>
            </w:r>
          </w:p>
        </w:tc>
        <w:tc>
          <w:tcPr>
            <w:tcW w:w="258" w:type="dxa"/>
            <w:tcBorders/>
            <w:shd w:fill="auto" w:val="clear"/>
            <w:vAlign w:val="center"/>
          </w:tcPr>
          <w:p>
            <w:pPr>
              <w:pStyle w:val="TableContents"/>
              <w:spacing w:before="0" w:after="283"/>
              <w:rPr>
                <w:sz w:val="4"/>
                <w:szCs w:val="4"/>
              </w:rPr>
            </w:pPr>
            <w:r>
              <w:rPr>
                <w:sz w:val="4"/>
                <w:szCs w:val="4"/>
              </w:rPr>
            </w:r>
          </w:p>
        </w:tc>
        <w:tc>
          <w:tcPr>
            <w:tcW w:w="1012" w:type="dxa"/>
            <w:tcBorders/>
            <w:shd w:fill="auto" w:val="clear"/>
            <w:vAlign w:val="center"/>
          </w:tcPr>
          <w:p>
            <w:pPr>
              <w:pStyle w:val="TableContents"/>
              <w:spacing w:before="0" w:after="283"/>
              <w:rPr>
                <w:sz w:val="4"/>
                <w:szCs w:val="4"/>
              </w:rPr>
            </w:pPr>
            <w:r>
              <w:rPr>
                <w:sz w:val="4"/>
                <w:szCs w:val="4"/>
              </w:rPr>
            </w:r>
          </w:p>
        </w:tc>
        <w:tc>
          <w:tcPr>
            <w:tcW w:w="133" w:type="dxa"/>
            <w:tcBorders/>
            <w:shd w:fill="auto" w:val="clear"/>
            <w:vAlign w:val="center"/>
          </w:tcPr>
          <w:p>
            <w:pPr>
              <w:pStyle w:val="TableContents"/>
              <w:spacing w:before="0" w:after="283"/>
              <w:rPr>
                <w:sz w:val="4"/>
                <w:szCs w:val="4"/>
              </w:rPr>
            </w:pPr>
            <w:r>
              <w:rPr>
                <w:sz w:val="4"/>
                <w:szCs w:val="4"/>
              </w:rPr>
            </w:r>
          </w:p>
        </w:tc>
        <w:tc>
          <w:tcPr>
            <w:tcW w:w="133" w:type="dxa"/>
            <w:tcBorders/>
            <w:shd w:fill="auto" w:val="clear"/>
            <w:vAlign w:val="center"/>
          </w:tcPr>
          <w:p>
            <w:pPr>
              <w:pStyle w:val="TableContents"/>
              <w:spacing w:before="0" w:after="283"/>
              <w:rPr>
                <w:sz w:val="4"/>
                <w:szCs w:val="4"/>
              </w:rPr>
            </w:pPr>
            <w:r>
              <w:rPr>
                <w:sz w:val="4"/>
                <w:szCs w:val="4"/>
              </w:rPr>
            </w:r>
          </w:p>
        </w:tc>
        <w:tc>
          <w:tcPr>
            <w:tcW w:w="133" w:type="dxa"/>
            <w:tcBorders/>
            <w:shd w:fill="auto" w:val="clear"/>
            <w:vAlign w:val="center"/>
          </w:tcPr>
          <w:p>
            <w:pPr>
              <w:pStyle w:val="TableContents"/>
              <w:spacing w:before="0" w:after="283"/>
              <w:rPr>
                <w:sz w:val="4"/>
                <w:szCs w:val="4"/>
              </w:rPr>
            </w:pPr>
            <w:r>
              <w:rPr>
                <w:sz w:val="4"/>
                <w:szCs w:val="4"/>
              </w:rPr>
            </w:r>
          </w:p>
        </w:tc>
        <w:tc>
          <w:tcPr>
            <w:tcW w:w="133" w:type="dxa"/>
            <w:tcBorders/>
            <w:shd w:fill="auto" w:val="clear"/>
            <w:vAlign w:val="center"/>
          </w:tcPr>
          <w:p>
            <w:pPr>
              <w:pStyle w:val="TableContents"/>
              <w:spacing w:before="0" w:after="283"/>
              <w:rPr>
                <w:sz w:val="4"/>
                <w:szCs w:val="4"/>
              </w:rPr>
            </w:pPr>
            <w:r>
              <w:rPr>
                <w:sz w:val="4"/>
                <w:szCs w:val="4"/>
              </w:rPr>
            </w:r>
          </w:p>
        </w:tc>
        <w:tc>
          <w:tcPr>
            <w:tcW w:w="258" w:type="dxa"/>
            <w:tcBorders/>
            <w:shd w:fill="auto" w:val="clear"/>
            <w:vAlign w:val="center"/>
          </w:tcPr>
          <w:p>
            <w:pPr>
              <w:pStyle w:val="TableContents"/>
              <w:spacing w:before="0" w:after="283"/>
              <w:rPr>
                <w:sz w:val="4"/>
                <w:szCs w:val="4"/>
              </w:rPr>
            </w:pPr>
            <w:r>
              <w:rPr>
                <w:sz w:val="4"/>
                <w:szCs w:val="4"/>
              </w:rPr>
            </w:r>
          </w:p>
        </w:tc>
        <w:tc>
          <w:tcPr>
            <w:tcW w:w="1012" w:type="dxa"/>
            <w:tcBorders/>
            <w:shd w:fill="auto" w:val="clear"/>
            <w:vAlign w:val="center"/>
          </w:tcPr>
          <w:p>
            <w:pPr>
              <w:pStyle w:val="TableContents"/>
              <w:spacing w:before="0" w:after="283"/>
              <w:rPr>
                <w:sz w:val="4"/>
                <w:szCs w:val="4"/>
              </w:rPr>
            </w:pPr>
            <w:r>
              <w:rPr>
                <w:sz w:val="4"/>
                <w:szCs w:val="4"/>
              </w:rPr>
            </w:r>
          </w:p>
        </w:tc>
        <w:tc>
          <w:tcPr>
            <w:tcW w:w="13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7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05"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57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9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03"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7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05"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thousands, except per unit amounts)</w:t>
            </w:r>
          </w:p>
        </w:tc>
        <w:tc>
          <w:tcPr>
            <w:tcW w:w="481" w:type="dxa"/>
            <w:gridSpan w:val="4"/>
            <w:tcBorders/>
            <w:shd w:fill="auto" w:val="clear"/>
          </w:tcPr>
          <w:p>
            <w:pPr>
              <w:pStyle w:val="TableContents"/>
              <w:spacing w:before="0" w:after="283"/>
              <w:rPr>
                <w:sz w:val="4"/>
                <w:szCs w:val="4"/>
              </w:rPr>
            </w:pPr>
            <w:r>
              <w:rPr>
                <w:sz w:val="4"/>
                <w:szCs w:val="4"/>
              </w:rPr>
            </w:r>
          </w:p>
        </w:tc>
      </w:tr>
      <w:tr>
        <w:trPr/>
        <w:tc>
          <w:tcPr>
            <w:tcW w:w="57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Operating income:</w:t>
            </w:r>
          </w:p>
        </w:tc>
        <w:tc>
          <w:tcPr>
            <w:tcW w:w="140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7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Royalty income</w:t>
            </w:r>
          </w:p>
        </w:tc>
        <w:tc>
          <w:tcPr>
            <w:tcW w:w="258"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161,085 </w:t>
            </w:r>
          </w:p>
        </w:tc>
        <w:tc>
          <w:tcPr>
            <w:tcW w:w="13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8"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193,089 </w:t>
            </w:r>
          </w:p>
        </w:tc>
        <w:tc>
          <w:tcPr>
            <w:tcW w:w="13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7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bonus income—related party</w:t>
            </w:r>
          </w:p>
        </w:tc>
        <w:tc>
          <w:tcPr>
            <w:tcW w:w="127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7,071 </w:t>
            </w:r>
          </w:p>
        </w:tc>
        <w:tc>
          <w:tcPr>
            <w:tcW w:w="13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6,280 </w:t>
            </w:r>
          </w:p>
        </w:tc>
        <w:tc>
          <w:tcPr>
            <w:tcW w:w="13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7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bonus income—third party</w:t>
            </w:r>
          </w:p>
        </w:tc>
        <w:tc>
          <w:tcPr>
            <w:tcW w:w="127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400 </w:t>
            </w:r>
          </w:p>
        </w:tc>
        <w:tc>
          <w:tcPr>
            <w:tcW w:w="13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2,402 </w:t>
            </w:r>
          </w:p>
        </w:tc>
        <w:tc>
          <w:tcPr>
            <w:tcW w:w="13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714" w:type="dxa"/>
            <w:gridSpan w:val="3"/>
            <w:tcBorders/>
            <w:shd w:fill="auto" w:val="clear"/>
            <w:vAlign w:val="center"/>
          </w:tcPr>
          <w:p>
            <w:pPr>
              <w:pStyle w:val="TableContents"/>
              <w:spacing w:before="0" w:after="283"/>
              <w:rPr>
                <w:sz w:val="4"/>
                <w:szCs w:val="4"/>
              </w:rPr>
            </w:pPr>
            <w:r>
              <w:rPr>
                <w:sz w:val="4"/>
                <w:szCs w:val="4"/>
              </w:rPr>
            </w:r>
          </w:p>
        </w:tc>
        <w:tc>
          <w:tcPr>
            <w:tcW w:w="1403" w:type="dxa"/>
            <w:gridSpan w:val="3"/>
            <w:tcBorders/>
            <w:shd w:fill="auto" w:val="clear"/>
            <w:vAlign w:val="center"/>
          </w:tcPr>
          <w:p>
            <w:pPr>
              <w:pStyle w:val="TableContents"/>
              <w:spacing w:before="0" w:after="283"/>
              <w:rPr>
                <w:sz w:val="4"/>
                <w:szCs w:val="4"/>
              </w:rPr>
            </w:pPr>
            <w:r>
              <w:rPr>
                <w:sz w:val="4"/>
                <w:szCs w:val="4"/>
              </w:rPr>
            </w:r>
          </w:p>
        </w:tc>
        <w:tc>
          <w:tcPr>
            <w:tcW w:w="399" w:type="dxa"/>
            <w:gridSpan w:val="3"/>
            <w:tcBorders/>
            <w:shd w:fill="auto" w:val="clear"/>
            <w:vAlign w:val="center"/>
          </w:tcPr>
          <w:p>
            <w:pPr>
              <w:pStyle w:val="TableContents"/>
              <w:spacing w:before="0" w:after="283"/>
              <w:rPr>
                <w:sz w:val="4"/>
                <w:szCs w:val="4"/>
              </w:rPr>
            </w:pPr>
            <w:r>
              <w:rPr>
                <w:sz w:val="4"/>
                <w:szCs w:val="4"/>
              </w:rPr>
            </w:r>
          </w:p>
        </w:tc>
        <w:tc>
          <w:tcPr>
            <w:tcW w:w="1403"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7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operating income</w:t>
            </w:r>
          </w:p>
        </w:tc>
        <w:tc>
          <w:tcPr>
            <w:tcW w:w="127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402 </w:t>
            </w:r>
          </w:p>
        </w:tc>
        <w:tc>
          <w:tcPr>
            <w:tcW w:w="13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132 </w:t>
            </w:r>
          </w:p>
        </w:tc>
        <w:tc>
          <w:tcPr>
            <w:tcW w:w="13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7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income</w:t>
            </w:r>
          </w:p>
        </w:tc>
        <w:tc>
          <w:tcPr>
            <w:tcW w:w="127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168,958 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201,903 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7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Costs and expenses:</w:t>
            </w:r>
          </w:p>
        </w:tc>
        <w:tc>
          <w:tcPr>
            <w:tcW w:w="1403"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3"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7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Production and ad valorem taxes</w:t>
            </w:r>
          </w:p>
        </w:tc>
        <w:tc>
          <w:tcPr>
            <w:tcW w:w="127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12,887 </w:t>
            </w:r>
          </w:p>
        </w:tc>
        <w:tc>
          <w:tcPr>
            <w:tcW w:w="13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13,870 </w:t>
            </w:r>
          </w:p>
        </w:tc>
        <w:tc>
          <w:tcPr>
            <w:tcW w:w="13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714" w:type="dxa"/>
            <w:gridSpan w:val="3"/>
            <w:tcBorders/>
            <w:shd w:fill="auto" w:val="clear"/>
            <w:vAlign w:val="center"/>
          </w:tcPr>
          <w:p>
            <w:pPr>
              <w:pStyle w:val="TableContents"/>
              <w:spacing w:before="0" w:after="283"/>
              <w:rPr>
                <w:sz w:val="4"/>
                <w:szCs w:val="4"/>
              </w:rPr>
            </w:pPr>
            <w:r>
              <w:rPr>
                <w:sz w:val="4"/>
                <w:szCs w:val="4"/>
              </w:rPr>
            </w:r>
          </w:p>
        </w:tc>
        <w:tc>
          <w:tcPr>
            <w:tcW w:w="1403" w:type="dxa"/>
            <w:gridSpan w:val="3"/>
            <w:tcBorders/>
            <w:shd w:fill="auto" w:val="clear"/>
            <w:vAlign w:val="center"/>
          </w:tcPr>
          <w:p>
            <w:pPr>
              <w:pStyle w:val="TableContents"/>
              <w:spacing w:before="0" w:after="283"/>
              <w:rPr>
                <w:sz w:val="4"/>
                <w:szCs w:val="4"/>
              </w:rPr>
            </w:pPr>
            <w:r>
              <w:rPr>
                <w:sz w:val="4"/>
                <w:szCs w:val="4"/>
              </w:rPr>
            </w:r>
          </w:p>
        </w:tc>
        <w:tc>
          <w:tcPr>
            <w:tcW w:w="399" w:type="dxa"/>
            <w:gridSpan w:val="3"/>
            <w:tcBorders/>
            <w:shd w:fill="auto" w:val="clear"/>
            <w:vAlign w:val="center"/>
          </w:tcPr>
          <w:p>
            <w:pPr>
              <w:pStyle w:val="TableContents"/>
              <w:spacing w:before="0" w:after="283"/>
              <w:rPr>
                <w:sz w:val="4"/>
                <w:szCs w:val="4"/>
              </w:rPr>
            </w:pPr>
            <w:r>
              <w:rPr>
                <w:sz w:val="4"/>
                <w:szCs w:val="4"/>
              </w:rPr>
            </w:r>
          </w:p>
        </w:tc>
        <w:tc>
          <w:tcPr>
            <w:tcW w:w="1403"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7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Depletion</w:t>
            </w:r>
          </w:p>
        </w:tc>
        <w:tc>
          <w:tcPr>
            <w:tcW w:w="127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30,987 </w:t>
            </w:r>
          </w:p>
        </w:tc>
        <w:tc>
          <w:tcPr>
            <w:tcW w:w="13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27,411 </w:t>
            </w:r>
          </w:p>
        </w:tc>
        <w:tc>
          <w:tcPr>
            <w:tcW w:w="13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714" w:type="dxa"/>
            <w:gridSpan w:val="3"/>
            <w:tcBorders/>
            <w:shd w:fill="auto" w:val="clear"/>
            <w:vAlign w:val="center"/>
          </w:tcPr>
          <w:p>
            <w:pPr>
              <w:pStyle w:val="TableContents"/>
              <w:spacing w:before="0" w:after="283"/>
              <w:rPr>
                <w:sz w:val="4"/>
                <w:szCs w:val="4"/>
              </w:rPr>
            </w:pPr>
            <w:r>
              <w:rPr>
                <w:sz w:val="4"/>
                <w:szCs w:val="4"/>
              </w:rPr>
            </w:r>
          </w:p>
        </w:tc>
        <w:tc>
          <w:tcPr>
            <w:tcW w:w="1403" w:type="dxa"/>
            <w:gridSpan w:val="3"/>
            <w:tcBorders/>
            <w:shd w:fill="auto" w:val="clear"/>
            <w:vAlign w:val="center"/>
          </w:tcPr>
          <w:p>
            <w:pPr>
              <w:pStyle w:val="TableContents"/>
              <w:spacing w:before="0" w:after="283"/>
              <w:rPr>
                <w:sz w:val="4"/>
                <w:szCs w:val="4"/>
              </w:rPr>
            </w:pPr>
            <w:r>
              <w:rPr>
                <w:sz w:val="4"/>
                <w:szCs w:val="4"/>
              </w:rPr>
            </w:r>
          </w:p>
        </w:tc>
        <w:tc>
          <w:tcPr>
            <w:tcW w:w="399" w:type="dxa"/>
            <w:gridSpan w:val="3"/>
            <w:tcBorders/>
            <w:shd w:fill="auto" w:val="clear"/>
            <w:vAlign w:val="center"/>
          </w:tcPr>
          <w:p>
            <w:pPr>
              <w:pStyle w:val="TableContents"/>
              <w:spacing w:before="0" w:after="283"/>
              <w:rPr>
                <w:sz w:val="4"/>
                <w:szCs w:val="4"/>
              </w:rPr>
            </w:pPr>
            <w:r>
              <w:rPr>
                <w:sz w:val="4"/>
                <w:szCs w:val="4"/>
              </w:rPr>
            </w:r>
          </w:p>
        </w:tc>
        <w:tc>
          <w:tcPr>
            <w:tcW w:w="1403"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7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expenses</w:t>
            </w:r>
          </w:p>
        </w:tc>
        <w:tc>
          <w:tcPr>
            <w:tcW w:w="127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2,764 </w:t>
            </w:r>
          </w:p>
        </w:tc>
        <w:tc>
          <w:tcPr>
            <w:tcW w:w="13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1,953 </w:t>
            </w:r>
          </w:p>
        </w:tc>
        <w:tc>
          <w:tcPr>
            <w:tcW w:w="13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714" w:type="dxa"/>
            <w:gridSpan w:val="3"/>
            <w:tcBorders/>
            <w:shd w:fill="auto" w:val="clear"/>
            <w:vAlign w:val="center"/>
          </w:tcPr>
          <w:p>
            <w:pPr>
              <w:pStyle w:val="TableContents"/>
              <w:spacing w:before="0" w:after="283"/>
              <w:rPr>
                <w:sz w:val="4"/>
                <w:szCs w:val="4"/>
              </w:rPr>
            </w:pPr>
            <w:r>
              <w:rPr>
                <w:sz w:val="4"/>
                <w:szCs w:val="4"/>
              </w:rPr>
            </w:r>
          </w:p>
        </w:tc>
        <w:tc>
          <w:tcPr>
            <w:tcW w:w="1403" w:type="dxa"/>
            <w:gridSpan w:val="3"/>
            <w:tcBorders/>
            <w:shd w:fill="auto" w:val="clear"/>
            <w:vAlign w:val="center"/>
          </w:tcPr>
          <w:p>
            <w:pPr>
              <w:pStyle w:val="TableContents"/>
              <w:spacing w:before="0" w:after="283"/>
              <w:rPr>
                <w:sz w:val="4"/>
                <w:szCs w:val="4"/>
              </w:rPr>
            </w:pPr>
            <w:r>
              <w:rPr>
                <w:sz w:val="4"/>
                <w:szCs w:val="4"/>
              </w:rPr>
            </w:r>
          </w:p>
        </w:tc>
        <w:tc>
          <w:tcPr>
            <w:tcW w:w="399" w:type="dxa"/>
            <w:gridSpan w:val="3"/>
            <w:tcBorders/>
            <w:shd w:fill="auto" w:val="clear"/>
            <w:vAlign w:val="center"/>
          </w:tcPr>
          <w:p>
            <w:pPr>
              <w:pStyle w:val="TableContents"/>
              <w:spacing w:before="0" w:after="283"/>
              <w:rPr>
                <w:sz w:val="4"/>
                <w:szCs w:val="4"/>
              </w:rPr>
            </w:pPr>
            <w:r>
              <w:rPr>
                <w:sz w:val="4"/>
                <w:szCs w:val="4"/>
              </w:rPr>
            </w:r>
          </w:p>
        </w:tc>
        <w:tc>
          <w:tcPr>
            <w:tcW w:w="1403"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7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costs and expenses</w:t>
            </w:r>
          </w:p>
        </w:tc>
        <w:tc>
          <w:tcPr>
            <w:tcW w:w="127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46,638 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43,234 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7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Income (loss) from operations</w:t>
            </w:r>
          </w:p>
        </w:tc>
        <w:tc>
          <w:tcPr>
            <w:tcW w:w="127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122,320 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158,669 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7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Other income (expense):</w:t>
            </w:r>
          </w:p>
        </w:tc>
        <w:tc>
          <w:tcPr>
            <w:tcW w:w="140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7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127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(9,686)</w:t>
            </w:r>
          </w:p>
        </w:tc>
        <w:tc>
          <w:tcPr>
            <w:tcW w:w="13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(9,645)</w:t>
            </w:r>
          </w:p>
        </w:tc>
        <w:tc>
          <w:tcPr>
            <w:tcW w:w="13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714" w:type="dxa"/>
            <w:gridSpan w:val="3"/>
            <w:tcBorders/>
            <w:shd w:fill="auto" w:val="clear"/>
            <w:vAlign w:val="center"/>
          </w:tcPr>
          <w:p>
            <w:pPr>
              <w:pStyle w:val="TableContents"/>
              <w:spacing w:before="0" w:after="283"/>
              <w:rPr>
                <w:sz w:val="4"/>
                <w:szCs w:val="4"/>
              </w:rPr>
            </w:pPr>
            <w:r>
              <w:rPr>
                <w:sz w:val="4"/>
                <w:szCs w:val="4"/>
              </w:rPr>
            </w:r>
          </w:p>
        </w:tc>
        <w:tc>
          <w:tcPr>
            <w:tcW w:w="1403" w:type="dxa"/>
            <w:gridSpan w:val="3"/>
            <w:tcBorders/>
            <w:shd w:fill="auto" w:val="clear"/>
            <w:vAlign w:val="center"/>
          </w:tcPr>
          <w:p>
            <w:pPr>
              <w:pStyle w:val="TableContents"/>
              <w:spacing w:before="0" w:after="283"/>
              <w:rPr>
                <w:sz w:val="4"/>
                <w:szCs w:val="4"/>
              </w:rPr>
            </w:pPr>
            <w:r>
              <w:rPr>
                <w:sz w:val="4"/>
                <w:szCs w:val="4"/>
              </w:rPr>
            </w:r>
          </w:p>
        </w:tc>
        <w:tc>
          <w:tcPr>
            <w:tcW w:w="399" w:type="dxa"/>
            <w:gridSpan w:val="3"/>
            <w:tcBorders/>
            <w:shd w:fill="auto" w:val="clear"/>
            <w:vAlign w:val="center"/>
          </w:tcPr>
          <w:p>
            <w:pPr>
              <w:pStyle w:val="TableContents"/>
              <w:spacing w:before="0" w:after="283"/>
              <w:rPr>
                <w:sz w:val="4"/>
                <w:szCs w:val="4"/>
              </w:rPr>
            </w:pPr>
            <w:r>
              <w:rPr>
                <w:sz w:val="4"/>
                <w:szCs w:val="4"/>
              </w:rPr>
            </w:r>
          </w:p>
        </w:tc>
        <w:tc>
          <w:tcPr>
            <w:tcW w:w="1403"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714" w:type="dxa"/>
            <w:gridSpan w:val="3"/>
            <w:tcBorders/>
            <w:shd w:fill="auto" w:val="clear"/>
            <w:vAlign w:val="center"/>
          </w:tcPr>
          <w:p>
            <w:pPr>
              <w:pStyle w:val="TableContents"/>
              <w:spacing w:before="0" w:after="283"/>
              <w:rPr>
                <w:sz w:val="4"/>
                <w:szCs w:val="4"/>
              </w:rPr>
            </w:pPr>
            <w:r>
              <w:rPr>
                <w:sz w:val="4"/>
                <w:szCs w:val="4"/>
              </w:rPr>
            </w:r>
          </w:p>
        </w:tc>
        <w:tc>
          <w:tcPr>
            <w:tcW w:w="1403" w:type="dxa"/>
            <w:gridSpan w:val="3"/>
            <w:tcBorders/>
            <w:shd w:fill="auto" w:val="clear"/>
            <w:vAlign w:val="center"/>
          </w:tcPr>
          <w:p>
            <w:pPr>
              <w:pStyle w:val="TableContents"/>
              <w:spacing w:before="0" w:after="283"/>
              <w:rPr>
                <w:sz w:val="4"/>
                <w:szCs w:val="4"/>
              </w:rPr>
            </w:pPr>
            <w:r>
              <w:rPr>
                <w:sz w:val="4"/>
                <w:szCs w:val="4"/>
              </w:rPr>
            </w:r>
          </w:p>
        </w:tc>
        <w:tc>
          <w:tcPr>
            <w:tcW w:w="399" w:type="dxa"/>
            <w:gridSpan w:val="3"/>
            <w:tcBorders/>
            <w:shd w:fill="auto" w:val="clear"/>
            <w:vAlign w:val="center"/>
          </w:tcPr>
          <w:p>
            <w:pPr>
              <w:pStyle w:val="TableContents"/>
              <w:spacing w:before="0" w:after="283"/>
              <w:rPr>
                <w:sz w:val="4"/>
                <w:szCs w:val="4"/>
              </w:rPr>
            </w:pPr>
            <w:r>
              <w:rPr>
                <w:sz w:val="4"/>
                <w:szCs w:val="4"/>
              </w:rPr>
            </w:r>
          </w:p>
        </w:tc>
        <w:tc>
          <w:tcPr>
            <w:tcW w:w="1403"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7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(loss) on derivative instruments, net</w:t>
            </w:r>
          </w:p>
        </w:tc>
        <w:tc>
          <w:tcPr>
            <w:tcW w:w="127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(15,103)</w:t>
            </w:r>
          </w:p>
        </w:tc>
        <w:tc>
          <w:tcPr>
            <w:tcW w:w="13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(18,359)</w:t>
            </w:r>
          </w:p>
        </w:tc>
        <w:tc>
          <w:tcPr>
            <w:tcW w:w="13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714" w:type="dxa"/>
            <w:gridSpan w:val="3"/>
            <w:tcBorders/>
            <w:shd w:fill="auto" w:val="clear"/>
            <w:vAlign w:val="center"/>
          </w:tcPr>
          <w:p>
            <w:pPr>
              <w:pStyle w:val="TableContents"/>
              <w:spacing w:before="0" w:after="283"/>
              <w:rPr>
                <w:sz w:val="4"/>
                <w:szCs w:val="4"/>
              </w:rPr>
            </w:pPr>
            <w:r>
              <w:rPr>
                <w:sz w:val="4"/>
                <w:szCs w:val="4"/>
              </w:rPr>
            </w:r>
          </w:p>
        </w:tc>
        <w:tc>
          <w:tcPr>
            <w:tcW w:w="1403" w:type="dxa"/>
            <w:gridSpan w:val="3"/>
            <w:tcBorders/>
            <w:shd w:fill="auto" w:val="clear"/>
            <w:vAlign w:val="center"/>
          </w:tcPr>
          <w:p>
            <w:pPr>
              <w:pStyle w:val="TableContents"/>
              <w:spacing w:before="0" w:after="283"/>
              <w:rPr>
                <w:sz w:val="4"/>
                <w:szCs w:val="4"/>
              </w:rPr>
            </w:pPr>
            <w:r>
              <w:rPr>
                <w:sz w:val="4"/>
                <w:szCs w:val="4"/>
              </w:rPr>
            </w:r>
          </w:p>
        </w:tc>
        <w:tc>
          <w:tcPr>
            <w:tcW w:w="399" w:type="dxa"/>
            <w:gridSpan w:val="3"/>
            <w:tcBorders/>
            <w:shd w:fill="auto" w:val="clear"/>
            <w:vAlign w:val="center"/>
          </w:tcPr>
          <w:p>
            <w:pPr>
              <w:pStyle w:val="TableContents"/>
              <w:spacing w:before="0" w:after="283"/>
              <w:rPr>
                <w:sz w:val="4"/>
                <w:szCs w:val="4"/>
              </w:rPr>
            </w:pPr>
            <w:r>
              <w:rPr>
                <w:sz w:val="4"/>
                <w:szCs w:val="4"/>
              </w:rPr>
            </w:r>
          </w:p>
        </w:tc>
        <w:tc>
          <w:tcPr>
            <w:tcW w:w="1403"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7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net</w:t>
            </w:r>
          </w:p>
        </w:tc>
        <w:tc>
          <w:tcPr>
            <w:tcW w:w="127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141 </w:t>
            </w:r>
          </w:p>
        </w:tc>
        <w:tc>
          <w:tcPr>
            <w:tcW w:w="13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3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7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expense, net</w:t>
            </w:r>
          </w:p>
        </w:tc>
        <w:tc>
          <w:tcPr>
            <w:tcW w:w="127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(24,648)</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(27,998)</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7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Income (loss) before income taxes</w:t>
            </w:r>
          </w:p>
        </w:tc>
        <w:tc>
          <w:tcPr>
            <w:tcW w:w="127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97,672 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130,671 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7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(benefit from) income taxes</w:t>
            </w:r>
          </w:p>
        </w:tc>
        <w:tc>
          <w:tcPr>
            <w:tcW w:w="127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9,406 </w:t>
            </w:r>
          </w:p>
        </w:tc>
        <w:tc>
          <w:tcPr>
            <w:tcW w:w="13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2,630 </w:t>
            </w:r>
          </w:p>
        </w:tc>
        <w:tc>
          <w:tcPr>
            <w:tcW w:w="13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7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Net income (loss)</w:t>
            </w:r>
          </w:p>
        </w:tc>
        <w:tc>
          <w:tcPr>
            <w:tcW w:w="127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88,266 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128,041 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7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attributable to non-controlling interest</w:t>
            </w:r>
          </w:p>
        </w:tc>
        <w:tc>
          <w:tcPr>
            <w:tcW w:w="127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54,299 </w:t>
            </w:r>
          </w:p>
        </w:tc>
        <w:tc>
          <w:tcPr>
            <w:tcW w:w="13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111,436 </w:t>
            </w:r>
          </w:p>
        </w:tc>
        <w:tc>
          <w:tcPr>
            <w:tcW w:w="13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7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Net income (loss) attributable to Viper Energy Partners LP</w:t>
            </w:r>
          </w:p>
        </w:tc>
        <w:tc>
          <w:tcPr>
            <w:tcW w:w="25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33,967 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16,605 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71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3"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3"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7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Net income (loss) attributable to common limited partner units:</w:t>
            </w:r>
          </w:p>
        </w:tc>
        <w:tc>
          <w:tcPr>
            <w:tcW w:w="140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7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258"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0.47 </w:t>
            </w:r>
          </w:p>
        </w:tc>
        <w:tc>
          <w:tcPr>
            <w:tcW w:w="13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8"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0.22 </w:t>
            </w:r>
          </w:p>
        </w:tc>
        <w:tc>
          <w:tcPr>
            <w:tcW w:w="13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7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258"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0.47 </w:t>
            </w:r>
          </w:p>
        </w:tc>
        <w:tc>
          <w:tcPr>
            <w:tcW w:w="13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8"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0.22 </w:t>
            </w:r>
          </w:p>
        </w:tc>
        <w:tc>
          <w:tcPr>
            <w:tcW w:w="13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7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Weighted average number of common limited partner units outstanding:</w:t>
            </w:r>
          </w:p>
        </w:tc>
        <w:tc>
          <w:tcPr>
            <w:tcW w:w="140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7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127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72,732 </w:t>
            </w:r>
          </w:p>
        </w:tc>
        <w:tc>
          <w:tcPr>
            <w:tcW w:w="13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77,106 </w:t>
            </w:r>
          </w:p>
        </w:tc>
        <w:tc>
          <w:tcPr>
            <w:tcW w:w="13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7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127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72,815 </w:t>
            </w:r>
          </w:p>
        </w:tc>
        <w:tc>
          <w:tcPr>
            <w:tcW w:w="13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77,214 </w:t>
            </w:r>
          </w:p>
        </w:tc>
        <w:tc>
          <w:tcPr>
            <w:tcW w:w="13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condensed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v:rect>
            </w:pict>
          </mc:Fallback>
        </mc:AlternateContent>
      </w:r>
    </w:p>
    <w:p>
      <w:pPr>
        <w:pStyle w:val="TextBody"/>
        <w:spacing w:lineRule="auto" w:line="288" w:before="0" w:after="0"/>
        <w:rPr/>
      </w:pPr>
      <w:hyperlink w:anchor="i8dd89f0c72444a288e2bb25168f12b04_7">
        <w:r>
          <w:rPr>
            <w:rStyle w:val="InternetLink"/>
            <w:rFonts w:ascii="Times New Roman;sans-serif" w:hAnsi="Times New Roman;sans-serif"/>
            <w:b w:val="false"/>
            <w:color w:val="0000FF"/>
            <w:sz w:val="16"/>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Viper Energy Partners LP</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Changes to Unitholders' Equity</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spacing w:before="0" w:after="0"/>
        <w:jc w:val="both"/>
        <w:rPr/>
      </w:pPr>
      <w:r>
        <w:rPr/>
      </w:r>
    </w:p>
    <w:tbl>
      <w:tblPr>
        <w:tblW w:w="10557" w:type="dxa"/>
        <w:jc w:val="center"/>
        <w:tblInd w:w="0" w:type="dxa"/>
        <w:tblCellMar>
          <w:top w:w="28" w:type="dxa"/>
          <w:left w:w="28" w:type="dxa"/>
          <w:bottom w:w="28" w:type="dxa"/>
          <w:right w:w="28" w:type="dxa"/>
        </w:tblCellMar>
      </w:tblPr>
      <w:tblGrid>
        <w:gridCol w:w="696"/>
        <w:gridCol w:w="282"/>
        <w:gridCol w:w="283"/>
        <w:gridCol w:w="360"/>
        <w:gridCol w:w="361"/>
        <w:gridCol w:w="276"/>
        <w:gridCol w:w="109"/>
        <w:gridCol w:w="109"/>
        <w:gridCol w:w="109"/>
        <w:gridCol w:w="211"/>
        <w:gridCol w:w="826"/>
        <w:gridCol w:w="109"/>
        <w:gridCol w:w="109"/>
        <w:gridCol w:w="109"/>
        <w:gridCol w:w="109"/>
        <w:gridCol w:w="360"/>
        <w:gridCol w:w="361"/>
        <w:gridCol w:w="176"/>
        <w:gridCol w:w="109"/>
        <w:gridCol w:w="109"/>
        <w:gridCol w:w="109"/>
        <w:gridCol w:w="211"/>
        <w:gridCol w:w="466"/>
        <w:gridCol w:w="109"/>
        <w:gridCol w:w="109"/>
        <w:gridCol w:w="109"/>
        <w:gridCol w:w="109"/>
        <w:gridCol w:w="211"/>
        <w:gridCol w:w="466"/>
        <w:gridCol w:w="109"/>
        <w:gridCol w:w="109"/>
        <w:gridCol w:w="109"/>
        <w:gridCol w:w="109"/>
        <w:gridCol w:w="224"/>
        <w:gridCol w:w="1040"/>
        <w:gridCol w:w="117"/>
        <w:gridCol w:w="109"/>
        <w:gridCol w:w="109"/>
        <w:gridCol w:w="109"/>
        <w:gridCol w:w="211"/>
        <w:gridCol w:w="976"/>
        <w:gridCol w:w="154"/>
      </w:tblGrid>
      <w:tr>
        <w:trPr/>
        <w:tc>
          <w:tcPr>
            <w:tcW w:w="696" w:type="dxa"/>
            <w:tcBorders/>
            <w:shd w:fill="auto" w:val="clear"/>
            <w:vAlign w:val="center"/>
          </w:tcPr>
          <w:p>
            <w:pPr>
              <w:pStyle w:val="TableContents"/>
              <w:spacing w:before="0" w:after="283"/>
              <w:rPr>
                <w:sz w:val="4"/>
                <w:szCs w:val="4"/>
              </w:rPr>
            </w:pPr>
            <w:r>
              <w:rPr>
                <w:sz w:val="4"/>
                <w:szCs w:val="4"/>
              </w:rPr>
            </w:r>
          </w:p>
        </w:tc>
        <w:tc>
          <w:tcPr>
            <w:tcW w:w="282" w:type="dxa"/>
            <w:tcBorders/>
            <w:shd w:fill="auto" w:val="clear"/>
            <w:vAlign w:val="center"/>
          </w:tcPr>
          <w:p>
            <w:pPr>
              <w:pStyle w:val="TableContents"/>
              <w:spacing w:before="0" w:after="283"/>
              <w:rPr>
                <w:sz w:val="4"/>
                <w:szCs w:val="4"/>
              </w:rPr>
            </w:pPr>
            <w:r>
              <w:rPr>
                <w:sz w:val="4"/>
                <w:szCs w:val="4"/>
              </w:rPr>
            </w:r>
          </w:p>
        </w:tc>
        <w:tc>
          <w:tcPr>
            <w:tcW w:w="283"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c>
          <w:tcPr>
            <w:tcW w:w="2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4" w:type="dxa"/>
            <w:tcBorders/>
            <w:shd w:fill="auto" w:val="clear"/>
            <w:vAlign w:val="center"/>
          </w:tcPr>
          <w:p>
            <w:pPr>
              <w:pStyle w:val="TableContents"/>
              <w:spacing w:before="0" w:after="283"/>
              <w:rPr>
                <w:sz w:val="4"/>
                <w:szCs w:val="4"/>
              </w:rPr>
            </w:pPr>
            <w:r>
              <w:rPr>
                <w:sz w:val="4"/>
                <w:szCs w:val="4"/>
              </w:rPr>
            </w:r>
          </w:p>
        </w:tc>
        <w:tc>
          <w:tcPr>
            <w:tcW w:w="1040" w:type="dxa"/>
            <w:tcBorders/>
            <w:shd w:fill="auto" w:val="cle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26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07" w:type="dxa"/>
            <w:gridSpan w:val="21"/>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Limited Partners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General Partner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Non-Controlling Interest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6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Common</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9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Class B </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vMerge w:val="restart"/>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1" w:type="dxa"/>
            <w:gridSpan w:val="3"/>
            <w:vMerge w:val="restart"/>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6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Units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7"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Units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vMerge w:val="continue"/>
            <w:tcBorders>
              <w:top w:val="single" w:sz="8" w:space="0" w:color="000000"/>
              <w:bottom w:val="single" w:sz="8" w:space="0" w:color="000000"/>
            </w:tcBorders>
            <w:shd w:fill="auto" w:val="clear"/>
            <w:tcMar>
              <w:top w:w="30" w:type="dxa"/>
              <w:left w:w="0" w:type="dxa"/>
              <w:bottom w:w="3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1" w:type="dxa"/>
            <w:gridSpan w:val="3"/>
            <w:vMerge w:val="continue"/>
            <w:tcBorders>
              <w:top w:val="single" w:sz="8" w:space="0" w:color="000000"/>
              <w:bottom w:val="single" w:sz="8" w:space="0" w:color="000000"/>
            </w:tcBorders>
            <w:shd w:fill="auto" w:val="clear"/>
            <w:tcMar>
              <w:top w:w="30" w:type="dxa"/>
              <w:left w:w="0" w:type="dxa"/>
              <w:bottom w:w="3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126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96" w:type="dxa"/>
            <w:gridSpan w:val="3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thousands)</w:t>
            </w:r>
          </w:p>
        </w:tc>
      </w:tr>
      <w:tr>
        <w:trPr/>
        <w:tc>
          <w:tcPr>
            <w:tcW w:w="126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at December 31, 2022</w:t>
            </w:r>
          </w:p>
        </w:tc>
        <w:tc>
          <w:tcPr>
            <w:tcW w:w="7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73,230 </w:t>
            </w:r>
          </w:p>
        </w:tc>
        <w:tc>
          <w:tcPr>
            <w:tcW w:w="2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689,178 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90,710 </w:t>
            </w:r>
          </w:p>
        </w:tc>
        <w:tc>
          <w:tcPr>
            <w:tcW w:w="1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1,630,866 </w:t>
            </w:r>
          </w:p>
        </w:tc>
        <w:tc>
          <w:tcPr>
            <w:tcW w:w="1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2,321,525 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61" w:type="dxa"/>
            <w:gridSpan w:val="3"/>
            <w:tcBorders/>
            <w:shd w:fill="auto" w:val="clear"/>
            <w:vAlign w:val="center"/>
          </w:tcPr>
          <w:p>
            <w:pPr>
              <w:pStyle w:val="TableContents"/>
              <w:spacing w:before="0" w:after="283"/>
              <w:rPr>
                <w:sz w:val="4"/>
                <w:szCs w:val="4"/>
              </w:rPr>
            </w:pPr>
            <w:r>
              <w:rPr>
                <w:sz w:val="4"/>
                <w:szCs w:val="4"/>
              </w:rPr>
            </w:r>
          </w:p>
        </w:tc>
        <w:tc>
          <w:tcPr>
            <w:tcW w:w="99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41" w:type="dxa"/>
            <w:gridSpan w:val="3"/>
            <w:tcBorders/>
            <w:shd w:fill="auto" w:val="clear"/>
            <w:vAlign w:val="center"/>
          </w:tcPr>
          <w:p>
            <w:pPr>
              <w:pStyle w:val="TableContents"/>
              <w:spacing w:before="0" w:after="283"/>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Unit-based compensation</w:t>
            </w:r>
          </w:p>
        </w:tc>
        <w:tc>
          <w:tcPr>
            <w:tcW w:w="7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Vesting of restricted stock units</w:t>
            </w:r>
          </w:p>
        </w:tc>
        <w:tc>
          <w:tcPr>
            <w:tcW w:w="7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2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Distribution equivalent rights payments</w:t>
            </w:r>
          </w:p>
        </w:tc>
        <w:tc>
          <w:tcPr>
            <w:tcW w:w="7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Distributions to public</w:t>
            </w:r>
          </w:p>
        </w:tc>
        <w:tc>
          <w:tcPr>
            <w:tcW w:w="7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(35,253)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(35,253)</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Distributions to Diamondback</w:t>
            </w:r>
          </w:p>
        </w:tc>
        <w:tc>
          <w:tcPr>
            <w:tcW w:w="7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(48,983)</w:t>
            </w:r>
          </w:p>
        </w:tc>
        <w:tc>
          <w:tcPr>
            <w:tcW w:w="1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(49,366)</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Distributions to General Partner</w:t>
            </w:r>
          </w:p>
        </w:tc>
        <w:tc>
          <w:tcPr>
            <w:tcW w:w="7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ownership of consolidated subsidiaries, net</w:t>
            </w:r>
          </w:p>
        </w:tc>
        <w:tc>
          <w:tcPr>
            <w:tcW w:w="7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11,449 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(11,449)</w:t>
            </w:r>
          </w:p>
        </w:tc>
        <w:tc>
          <w:tcPr>
            <w:tcW w:w="1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61" w:type="dxa"/>
            <w:gridSpan w:val="3"/>
            <w:tcBorders/>
            <w:shd w:fill="auto" w:val="clear"/>
            <w:vAlign w:val="center"/>
          </w:tcPr>
          <w:p>
            <w:pPr>
              <w:pStyle w:val="TableContents"/>
              <w:spacing w:before="0" w:after="283"/>
              <w:rPr>
                <w:sz w:val="4"/>
                <w:szCs w:val="4"/>
              </w:rPr>
            </w:pPr>
            <w:r>
              <w:rPr>
                <w:sz w:val="4"/>
                <w:szCs w:val="4"/>
              </w:rPr>
            </w:r>
          </w:p>
        </w:tc>
        <w:tc>
          <w:tcPr>
            <w:tcW w:w="99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41" w:type="dxa"/>
            <w:gridSpan w:val="3"/>
            <w:tcBorders/>
            <w:shd w:fill="auto" w:val="clear"/>
            <w:vAlign w:val="center"/>
          </w:tcPr>
          <w:p>
            <w:pPr>
              <w:pStyle w:val="TableContents"/>
              <w:spacing w:before="0" w:after="283"/>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Repurchased units as part of unit buyback</w:t>
            </w:r>
          </w:p>
        </w:tc>
        <w:tc>
          <w:tcPr>
            <w:tcW w:w="7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(1,115)</w:t>
            </w:r>
          </w:p>
        </w:tc>
        <w:tc>
          <w:tcPr>
            <w:tcW w:w="2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(33,022)</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(33,022)</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w:t>
            </w:r>
          </w:p>
        </w:tc>
        <w:tc>
          <w:tcPr>
            <w:tcW w:w="7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33,967 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54,299 </w:t>
            </w:r>
          </w:p>
        </w:tc>
        <w:tc>
          <w:tcPr>
            <w:tcW w:w="1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88,266 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at March 31, 2023</w:t>
            </w:r>
          </w:p>
        </w:tc>
        <w:tc>
          <w:tcPr>
            <w:tcW w:w="72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72,119 </w:t>
            </w:r>
          </w:p>
        </w:tc>
        <w:tc>
          <w:tcPr>
            <w:tcW w:w="2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666,259 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90,710 </w:t>
            </w:r>
          </w:p>
        </w:tc>
        <w:tc>
          <w:tcPr>
            <w:tcW w:w="1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4"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1,624,733 </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2,292,428 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r>
        <w:trPr/>
        <w:tc>
          <w:tcPr>
            <w:tcW w:w="1261" w:type="dxa"/>
            <w:gridSpan w:val="3"/>
            <w:tcBorders/>
            <w:shd w:fill="auto" w:val="clear"/>
            <w:vAlign w:val="center"/>
          </w:tcPr>
          <w:p>
            <w:pPr>
              <w:pStyle w:val="TableContents"/>
              <w:spacing w:before="0" w:after="283"/>
              <w:rPr>
                <w:sz w:val="4"/>
                <w:szCs w:val="4"/>
              </w:rPr>
            </w:pPr>
            <w:r>
              <w:rPr>
                <w:sz w:val="4"/>
                <w:szCs w:val="4"/>
              </w:rPr>
            </w:r>
          </w:p>
        </w:tc>
        <w:tc>
          <w:tcPr>
            <w:tcW w:w="99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41" w:type="dxa"/>
            <w:gridSpan w:val="3"/>
            <w:tcBorders/>
            <w:shd w:fill="auto" w:val="clear"/>
            <w:vAlign w:val="center"/>
          </w:tcPr>
          <w:p>
            <w:pPr>
              <w:pStyle w:val="TableContents"/>
              <w:spacing w:before="0" w:after="283"/>
              <w:rPr>
                <w:sz w:val="4"/>
                <w:szCs w:val="4"/>
              </w:rPr>
            </w:pPr>
            <w:r>
              <w:rPr>
                <w:sz w:val="4"/>
                <w:szCs w:val="4"/>
              </w:rPr>
            </w:r>
          </w:p>
        </w:tc>
      </w:tr>
      <w:tr>
        <w:trPr/>
        <w:tc>
          <w:tcPr>
            <w:tcW w:w="1261" w:type="dxa"/>
            <w:gridSpan w:val="3"/>
            <w:tcBorders/>
            <w:shd w:fill="auto" w:val="clear"/>
            <w:vAlign w:val="center"/>
          </w:tcPr>
          <w:p>
            <w:pPr>
              <w:pStyle w:val="TableContents"/>
              <w:spacing w:before="0" w:after="283"/>
              <w:rPr>
                <w:sz w:val="4"/>
                <w:szCs w:val="4"/>
              </w:rPr>
            </w:pPr>
            <w:r>
              <w:rPr>
                <w:sz w:val="4"/>
                <w:szCs w:val="4"/>
              </w:rPr>
            </w:r>
          </w:p>
        </w:tc>
        <w:tc>
          <w:tcPr>
            <w:tcW w:w="99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41" w:type="dxa"/>
            <w:gridSpan w:val="3"/>
            <w:tcBorders/>
            <w:shd w:fill="auto" w:val="clear"/>
            <w:vAlign w:val="center"/>
          </w:tcPr>
          <w:p>
            <w:pPr>
              <w:pStyle w:val="TableContents"/>
              <w:spacing w:before="0" w:after="283"/>
              <w:rPr>
                <w:sz w:val="4"/>
                <w:szCs w:val="4"/>
              </w:rPr>
            </w:pPr>
            <w:r>
              <w:rPr>
                <w:sz w:val="4"/>
                <w:szCs w:val="4"/>
              </w:rPr>
            </w:r>
          </w:p>
        </w:tc>
      </w:tr>
      <w:tr>
        <w:trPr/>
        <w:tc>
          <w:tcPr>
            <w:tcW w:w="1261" w:type="dxa"/>
            <w:gridSpan w:val="3"/>
            <w:tcBorders/>
            <w:shd w:fill="auto" w:val="clear"/>
            <w:vAlign w:val="center"/>
          </w:tcPr>
          <w:p>
            <w:pPr>
              <w:pStyle w:val="TableContents"/>
              <w:spacing w:before="0" w:after="283"/>
              <w:rPr>
                <w:sz w:val="4"/>
                <w:szCs w:val="4"/>
              </w:rPr>
            </w:pPr>
            <w:r>
              <w:rPr>
                <w:sz w:val="4"/>
                <w:szCs w:val="4"/>
              </w:rPr>
            </w:r>
          </w:p>
        </w:tc>
        <w:tc>
          <w:tcPr>
            <w:tcW w:w="99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41" w:type="dxa"/>
            <w:gridSpan w:val="3"/>
            <w:tcBorders/>
            <w:shd w:fill="auto" w:val="clear"/>
            <w:vAlign w:val="center"/>
          </w:tcPr>
          <w:p>
            <w:pPr>
              <w:pStyle w:val="TableContents"/>
              <w:spacing w:before="0" w:after="283"/>
              <w:rPr>
                <w:sz w:val="4"/>
                <w:szCs w:val="4"/>
              </w:rPr>
            </w:pPr>
            <w:r>
              <w:rPr>
                <w:sz w:val="4"/>
                <w:szCs w:val="4"/>
              </w:rPr>
            </w:r>
          </w:p>
        </w:tc>
      </w:tr>
      <w:tr>
        <w:trPr/>
        <w:tc>
          <w:tcPr>
            <w:tcW w:w="1261" w:type="dxa"/>
            <w:gridSpan w:val="3"/>
            <w:tcBorders/>
            <w:shd w:fill="auto" w:val="clear"/>
            <w:vAlign w:val="center"/>
          </w:tcPr>
          <w:p>
            <w:pPr>
              <w:pStyle w:val="TableContents"/>
              <w:spacing w:before="0" w:after="283"/>
              <w:rPr>
                <w:sz w:val="4"/>
                <w:szCs w:val="4"/>
              </w:rPr>
            </w:pPr>
            <w:r>
              <w:rPr>
                <w:sz w:val="4"/>
                <w:szCs w:val="4"/>
              </w:rPr>
            </w:r>
          </w:p>
        </w:tc>
        <w:tc>
          <w:tcPr>
            <w:tcW w:w="99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41" w:type="dxa"/>
            <w:gridSpan w:val="3"/>
            <w:tcBorders/>
            <w:shd w:fill="auto" w:val="clear"/>
            <w:vAlign w:val="center"/>
          </w:tcPr>
          <w:p>
            <w:pPr>
              <w:pStyle w:val="TableContents"/>
              <w:spacing w:before="0" w:after="283"/>
              <w:rPr>
                <w:sz w:val="4"/>
                <w:szCs w:val="4"/>
              </w:rPr>
            </w:pPr>
            <w:r>
              <w:rPr>
                <w:sz w:val="4"/>
                <w:szCs w:val="4"/>
              </w:rPr>
            </w:r>
          </w:p>
        </w:tc>
      </w:tr>
      <w:tr>
        <w:trPr/>
        <w:tc>
          <w:tcPr>
            <w:tcW w:w="1261" w:type="dxa"/>
            <w:gridSpan w:val="3"/>
            <w:tcBorders/>
            <w:shd w:fill="auto" w:val="clear"/>
            <w:vAlign w:val="center"/>
          </w:tcPr>
          <w:p>
            <w:pPr>
              <w:pStyle w:val="TableContents"/>
              <w:spacing w:before="0" w:after="283"/>
              <w:rPr>
                <w:sz w:val="4"/>
                <w:szCs w:val="4"/>
              </w:rPr>
            </w:pPr>
            <w:r>
              <w:rPr>
                <w:sz w:val="4"/>
                <w:szCs w:val="4"/>
              </w:rPr>
            </w:r>
          </w:p>
        </w:tc>
        <w:tc>
          <w:tcPr>
            <w:tcW w:w="99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41" w:type="dxa"/>
            <w:gridSpan w:val="3"/>
            <w:tcBorders/>
            <w:shd w:fill="auto" w:val="clear"/>
            <w:vAlign w:val="center"/>
          </w:tcPr>
          <w:p>
            <w:pPr>
              <w:pStyle w:val="TableContents"/>
              <w:spacing w:before="0" w:after="283"/>
              <w:rPr>
                <w:sz w:val="4"/>
                <w:szCs w:val="4"/>
              </w:rPr>
            </w:pPr>
            <w:r>
              <w:rPr>
                <w:sz w:val="4"/>
                <w:szCs w:val="4"/>
              </w:rPr>
            </w:r>
          </w:p>
        </w:tc>
      </w:tr>
      <w:tr>
        <w:trPr/>
        <w:tc>
          <w:tcPr>
            <w:tcW w:w="1261" w:type="dxa"/>
            <w:gridSpan w:val="3"/>
            <w:tcBorders/>
            <w:shd w:fill="auto" w:val="clear"/>
            <w:vAlign w:val="center"/>
          </w:tcPr>
          <w:p>
            <w:pPr>
              <w:pStyle w:val="TableContents"/>
              <w:spacing w:before="0" w:after="283"/>
              <w:rPr>
                <w:sz w:val="4"/>
                <w:szCs w:val="4"/>
              </w:rPr>
            </w:pPr>
            <w:r>
              <w:rPr>
                <w:sz w:val="4"/>
                <w:szCs w:val="4"/>
              </w:rPr>
            </w:r>
          </w:p>
        </w:tc>
        <w:tc>
          <w:tcPr>
            <w:tcW w:w="99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41" w:type="dxa"/>
            <w:gridSpan w:val="3"/>
            <w:tcBorders/>
            <w:shd w:fill="auto" w:val="clear"/>
            <w:vAlign w:val="center"/>
          </w:tcPr>
          <w:p>
            <w:pPr>
              <w:pStyle w:val="TableContents"/>
              <w:spacing w:before="0" w:after="283"/>
              <w:rPr>
                <w:sz w:val="4"/>
                <w:szCs w:val="4"/>
              </w:rPr>
            </w:pPr>
            <w:r>
              <w:rPr>
                <w:sz w:val="4"/>
                <w:szCs w:val="4"/>
              </w:rPr>
            </w:r>
          </w:p>
        </w:tc>
      </w:tr>
      <w:tr>
        <w:trPr/>
        <w:tc>
          <w:tcPr>
            <w:tcW w:w="1261" w:type="dxa"/>
            <w:gridSpan w:val="3"/>
            <w:tcBorders/>
            <w:shd w:fill="auto" w:val="clear"/>
            <w:vAlign w:val="center"/>
          </w:tcPr>
          <w:p>
            <w:pPr>
              <w:pStyle w:val="TableContents"/>
              <w:spacing w:before="0" w:after="283"/>
              <w:rPr>
                <w:sz w:val="4"/>
                <w:szCs w:val="4"/>
              </w:rPr>
            </w:pPr>
            <w:r>
              <w:rPr>
                <w:sz w:val="4"/>
                <w:szCs w:val="4"/>
              </w:rPr>
            </w:r>
          </w:p>
        </w:tc>
        <w:tc>
          <w:tcPr>
            <w:tcW w:w="99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41" w:type="dxa"/>
            <w:gridSpan w:val="3"/>
            <w:tcBorders/>
            <w:shd w:fill="auto" w:val="clear"/>
            <w:vAlign w:val="center"/>
          </w:tcPr>
          <w:p>
            <w:pPr>
              <w:pStyle w:val="TableContents"/>
              <w:spacing w:before="0" w:after="283"/>
              <w:rPr>
                <w:sz w:val="4"/>
                <w:szCs w:val="4"/>
              </w:rPr>
            </w:pPr>
            <w:r>
              <w:rPr>
                <w:sz w:val="4"/>
                <w:szCs w:val="4"/>
              </w:rPr>
            </w:r>
          </w:p>
        </w:tc>
      </w:tr>
      <w:tr>
        <w:trPr/>
        <w:tc>
          <w:tcPr>
            <w:tcW w:w="1261" w:type="dxa"/>
            <w:gridSpan w:val="3"/>
            <w:tcBorders/>
            <w:shd w:fill="auto" w:val="clear"/>
            <w:vAlign w:val="center"/>
          </w:tcPr>
          <w:p>
            <w:pPr>
              <w:pStyle w:val="TableContents"/>
              <w:spacing w:before="0" w:after="283"/>
              <w:rPr>
                <w:sz w:val="4"/>
                <w:szCs w:val="4"/>
              </w:rPr>
            </w:pPr>
            <w:r>
              <w:rPr>
                <w:sz w:val="4"/>
                <w:szCs w:val="4"/>
              </w:rPr>
            </w:r>
          </w:p>
        </w:tc>
        <w:tc>
          <w:tcPr>
            <w:tcW w:w="99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41" w:type="dxa"/>
            <w:gridSpan w:val="3"/>
            <w:tcBorders/>
            <w:shd w:fill="auto" w:val="clear"/>
            <w:vAlign w:val="center"/>
          </w:tcPr>
          <w:p>
            <w:pPr>
              <w:pStyle w:val="TableContents"/>
              <w:spacing w:before="0" w:after="283"/>
              <w:rPr>
                <w:sz w:val="4"/>
                <w:szCs w:val="4"/>
              </w:rPr>
            </w:pPr>
            <w:r>
              <w:rPr>
                <w:sz w:val="4"/>
                <w:szCs w:val="4"/>
              </w:rPr>
            </w:r>
          </w:p>
        </w:tc>
      </w:tr>
      <w:tr>
        <w:trPr/>
        <w:tc>
          <w:tcPr>
            <w:tcW w:w="1261" w:type="dxa"/>
            <w:gridSpan w:val="3"/>
            <w:tcBorders/>
            <w:shd w:fill="auto" w:val="clear"/>
            <w:vAlign w:val="center"/>
          </w:tcPr>
          <w:p>
            <w:pPr>
              <w:pStyle w:val="TableContents"/>
              <w:spacing w:before="0" w:after="283"/>
              <w:rPr>
                <w:sz w:val="4"/>
                <w:szCs w:val="4"/>
              </w:rPr>
            </w:pPr>
            <w:r>
              <w:rPr>
                <w:sz w:val="4"/>
                <w:szCs w:val="4"/>
              </w:rPr>
            </w:r>
          </w:p>
        </w:tc>
        <w:tc>
          <w:tcPr>
            <w:tcW w:w="99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41" w:type="dxa"/>
            <w:gridSpan w:val="3"/>
            <w:tcBorders/>
            <w:shd w:fill="auto" w:val="clear"/>
            <w:vAlign w:val="center"/>
          </w:tcPr>
          <w:p>
            <w:pPr>
              <w:pStyle w:val="TableContents"/>
              <w:spacing w:before="0" w:after="283"/>
              <w:rPr>
                <w:sz w:val="4"/>
                <w:szCs w:val="4"/>
              </w:rPr>
            </w:pPr>
            <w:r>
              <w:rPr>
                <w:sz w:val="4"/>
                <w:szCs w:val="4"/>
              </w:rPr>
            </w:r>
          </w:p>
        </w:tc>
      </w:tr>
      <w:tr>
        <w:trPr/>
        <w:tc>
          <w:tcPr>
            <w:tcW w:w="1261" w:type="dxa"/>
            <w:gridSpan w:val="3"/>
            <w:tcBorders/>
            <w:shd w:fill="auto" w:val="clear"/>
            <w:vAlign w:val="center"/>
          </w:tcPr>
          <w:p>
            <w:pPr>
              <w:pStyle w:val="TableContents"/>
              <w:spacing w:before="0" w:after="283"/>
              <w:rPr>
                <w:sz w:val="4"/>
                <w:szCs w:val="4"/>
              </w:rPr>
            </w:pPr>
            <w:r>
              <w:rPr>
                <w:sz w:val="4"/>
                <w:szCs w:val="4"/>
              </w:rPr>
            </w:r>
          </w:p>
        </w:tc>
        <w:tc>
          <w:tcPr>
            <w:tcW w:w="99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41" w:type="dxa"/>
            <w:gridSpan w:val="3"/>
            <w:tcBorders/>
            <w:shd w:fill="auto" w:val="clear"/>
            <w:vAlign w:val="center"/>
          </w:tcPr>
          <w:p>
            <w:pPr>
              <w:pStyle w:val="TableContents"/>
              <w:spacing w:before="0" w:after="283"/>
              <w:rPr>
                <w:sz w:val="4"/>
                <w:szCs w:val="4"/>
              </w:rPr>
            </w:pPr>
            <w:r>
              <w:rPr>
                <w:sz w:val="4"/>
                <w:szCs w:val="4"/>
              </w:rPr>
            </w:r>
          </w:p>
        </w:tc>
      </w:tr>
      <w:tr>
        <w:trPr/>
        <w:tc>
          <w:tcPr>
            <w:tcW w:w="1261" w:type="dxa"/>
            <w:gridSpan w:val="3"/>
            <w:tcBorders/>
            <w:shd w:fill="auto" w:val="clear"/>
            <w:vAlign w:val="center"/>
          </w:tcPr>
          <w:p>
            <w:pPr>
              <w:pStyle w:val="TableContents"/>
              <w:spacing w:before="0" w:after="283"/>
              <w:rPr>
                <w:sz w:val="4"/>
                <w:szCs w:val="4"/>
              </w:rPr>
            </w:pPr>
            <w:r>
              <w:rPr>
                <w:sz w:val="4"/>
                <w:szCs w:val="4"/>
              </w:rPr>
            </w:r>
          </w:p>
        </w:tc>
        <w:tc>
          <w:tcPr>
            <w:tcW w:w="99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41" w:type="dxa"/>
            <w:gridSpan w:val="3"/>
            <w:tcBorders/>
            <w:shd w:fill="auto" w:val="clear"/>
            <w:vAlign w:val="center"/>
          </w:tcPr>
          <w:p>
            <w:pPr>
              <w:pStyle w:val="TableContents"/>
              <w:spacing w:before="0" w:after="283"/>
              <w:rPr>
                <w:sz w:val="4"/>
                <w:szCs w:val="4"/>
              </w:rPr>
            </w:pPr>
            <w:r>
              <w:rPr>
                <w:sz w:val="4"/>
                <w:szCs w:val="4"/>
              </w:rPr>
            </w:r>
          </w:p>
        </w:tc>
      </w:tr>
      <w:tr>
        <w:trPr/>
        <w:tc>
          <w:tcPr>
            <w:tcW w:w="1261" w:type="dxa"/>
            <w:gridSpan w:val="3"/>
            <w:tcBorders/>
            <w:shd w:fill="auto" w:val="clear"/>
            <w:vAlign w:val="center"/>
          </w:tcPr>
          <w:p>
            <w:pPr>
              <w:pStyle w:val="TableContents"/>
              <w:spacing w:before="0" w:after="283"/>
              <w:rPr>
                <w:sz w:val="4"/>
                <w:szCs w:val="4"/>
              </w:rPr>
            </w:pPr>
            <w:r>
              <w:rPr>
                <w:sz w:val="4"/>
                <w:szCs w:val="4"/>
              </w:rPr>
            </w:r>
          </w:p>
        </w:tc>
        <w:tc>
          <w:tcPr>
            <w:tcW w:w="99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41" w:type="dxa"/>
            <w:gridSpan w:val="3"/>
            <w:tcBorders/>
            <w:shd w:fill="auto" w:val="clear"/>
            <w:vAlign w:val="center"/>
          </w:tcPr>
          <w:p>
            <w:pPr>
              <w:pStyle w:val="TableContents"/>
              <w:spacing w:before="0" w:after="283"/>
              <w:rPr>
                <w:sz w:val="4"/>
                <w:szCs w:val="4"/>
              </w:rPr>
            </w:pPr>
            <w:r>
              <w:rPr>
                <w:sz w:val="4"/>
                <w:szCs w:val="4"/>
              </w:rPr>
            </w:r>
          </w:p>
        </w:tc>
      </w:tr>
      <w:tr>
        <w:trPr/>
        <w:tc>
          <w:tcPr>
            <w:tcW w:w="1261" w:type="dxa"/>
            <w:gridSpan w:val="3"/>
            <w:tcBorders/>
            <w:shd w:fill="auto" w:val="clear"/>
            <w:vAlign w:val="center"/>
          </w:tcPr>
          <w:p>
            <w:pPr>
              <w:pStyle w:val="TableContents"/>
              <w:spacing w:before="0" w:after="283"/>
              <w:rPr>
                <w:sz w:val="4"/>
                <w:szCs w:val="4"/>
              </w:rPr>
            </w:pPr>
            <w:r>
              <w:rPr>
                <w:sz w:val="4"/>
                <w:szCs w:val="4"/>
              </w:rPr>
            </w:r>
          </w:p>
        </w:tc>
        <w:tc>
          <w:tcPr>
            <w:tcW w:w="99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41" w:type="dxa"/>
            <w:gridSpan w:val="3"/>
            <w:tcBorders/>
            <w:shd w:fill="auto" w:val="clear"/>
            <w:vAlign w:val="center"/>
          </w:tcPr>
          <w:p>
            <w:pPr>
              <w:pStyle w:val="TableContents"/>
              <w:spacing w:before="0" w:after="283"/>
              <w:rPr>
                <w:sz w:val="4"/>
                <w:szCs w:val="4"/>
              </w:rPr>
            </w:pPr>
            <w:r>
              <w:rPr>
                <w:sz w:val="4"/>
                <w:szCs w:val="4"/>
              </w:rPr>
            </w:r>
          </w:p>
        </w:tc>
      </w:tr>
      <w:tr>
        <w:trPr/>
        <w:tc>
          <w:tcPr>
            <w:tcW w:w="1261" w:type="dxa"/>
            <w:gridSpan w:val="3"/>
            <w:tcBorders/>
            <w:shd w:fill="auto" w:val="clear"/>
            <w:vAlign w:val="center"/>
          </w:tcPr>
          <w:p>
            <w:pPr>
              <w:pStyle w:val="TableContents"/>
              <w:spacing w:before="0" w:after="283"/>
              <w:rPr>
                <w:sz w:val="4"/>
                <w:szCs w:val="4"/>
              </w:rPr>
            </w:pPr>
            <w:r>
              <w:rPr>
                <w:sz w:val="4"/>
                <w:szCs w:val="4"/>
              </w:rPr>
            </w:r>
          </w:p>
        </w:tc>
        <w:tc>
          <w:tcPr>
            <w:tcW w:w="99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41" w:type="dxa"/>
            <w:gridSpan w:val="3"/>
            <w:tcBorders/>
            <w:shd w:fill="auto" w:val="clear"/>
            <w:vAlign w:val="center"/>
          </w:tcPr>
          <w:p>
            <w:pPr>
              <w:pStyle w:val="TableContents"/>
              <w:spacing w:before="0" w:after="283"/>
              <w:rPr>
                <w:sz w:val="4"/>
                <w:szCs w:val="4"/>
              </w:rPr>
            </w:pPr>
            <w:r>
              <w:rPr>
                <w:sz w:val="4"/>
                <w:szCs w:val="4"/>
              </w:rPr>
            </w:r>
          </w:p>
        </w:tc>
      </w:tr>
      <w:tr>
        <w:trPr/>
        <w:tc>
          <w:tcPr>
            <w:tcW w:w="1261" w:type="dxa"/>
            <w:gridSpan w:val="3"/>
            <w:tcBorders/>
            <w:shd w:fill="auto" w:val="clear"/>
            <w:vAlign w:val="center"/>
          </w:tcPr>
          <w:p>
            <w:pPr>
              <w:pStyle w:val="TableContents"/>
              <w:spacing w:before="0" w:after="283"/>
              <w:rPr>
                <w:sz w:val="4"/>
                <w:szCs w:val="4"/>
              </w:rPr>
            </w:pPr>
            <w:r>
              <w:rPr>
                <w:sz w:val="4"/>
                <w:szCs w:val="4"/>
              </w:rPr>
            </w:r>
          </w:p>
        </w:tc>
        <w:tc>
          <w:tcPr>
            <w:tcW w:w="99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41" w:type="dxa"/>
            <w:gridSpan w:val="3"/>
            <w:tcBorders/>
            <w:shd w:fill="auto" w:val="clear"/>
            <w:vAlign w:val="center"/>
          </w:tcPr>
          <w:p>
            <w:pPr>
              <w:pStyle w:val="TableContents"/>
              <w:spacing w:before="0" w:after="283"/>
              <w:rPr>
                <w:sz w:val="4"/>
                <w:szCs w:val="4"/>
              </w:rPr>
            </w:pPr>
            <w:r>
              <w:rPr>
                <w:sz w:val="4"/>
                <w:szCs w:val="4"/>
              </w:rPr>
            </w:r>
          </w:p>
        </w:tc>
      </w:tr>
      <w:tr>
        <w:trPr/>
        <w:tc>
          <w:tcPr>
            <w:tcW w:w="1261" w:type="dxa"/>
            <w:gridSpan w:val="3"/>
            <w:tcBorders/>
            <w:shd w:fill="auto" w:val="clear"/>
            <w:vAlign w:val="center"/>
          </w:tcPr>
          <w:p>
            <w:pPr>
              <w:pStyle w:val="TableContents"/>
              <w:spacing w:before="0" w:after="283"/>
              <w:rPr>
                <w:sz w:val="4"/>
                <w:szCs w:val="4"/>
              </w:rPr>
            </w:pPr>
            <w:r>
              <w:rPr>
                <w:sz w:val="4"/>
                <w:szCs w:val="4"/>
              </w:rPr>
            </w:r>
          </w:p>
        </w:tc>
        <w:tc>
          <w:tcPr>
            <w:tcW w:w="99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41" w:type="dxa"/>
            <w:gridSpan w:val="3"/>
            <w:tcBorders/>
            <w:shd w:fill="auto" w:val="clear"/>
            <w:vAlign w:val="center"/>
          </w:tcPr>
          <w:p>
            <w:pPr>
              <w:pStyle w:val="TableContents"/>
              <w:spacing w:before="0" w:after="283"/>
              <w:rPr>
                <w:sz w:val="4"/>
                <w:szCs w:val="4"/>
              </w:rPr>
            </w:pPr>
            <w:r>
              <w:rPr>
                <w:sz w:val="4"/>
                <w:szCs w:val="4"/>
              </w:rPr>
            </w:r>
          </w:p>
        </w:tc>
      </w:tr>
      <w:tr>
        <w:trPr/>
        <w:tc>
          <w:tcPr>
            <w:tcW w:w="1261" w:type="dxa"/>
            <w:gridSpan w:val="3"/>
            <w:tcBorders/>
            <w:shd w:fill="auto" w:val="clear"/>
            <w:vAlign w:val="center"/>
          </w:tcPr>
          <w:p>
            <w:pPr>
              <w:pStyle w:val="TableContents"/>
              <w:spacing w:before="0" w:after="283"/>
              <w:rPr>
                <w:sz w:val="4"/>
                <w:szCs w:val="4"/>
              </w:rPr>
            </w:pPr>
            <w:r>
              <w:rPr>
                <w:sz w:val="4"/>
                <w:szCs w:val="4"/>
              </w:rPr>
            </w:r>
          </w:p>
        </w:tc>
        <w:tc>
          <w:tcPr>
            <w:tcW w:w="99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41" w:type="dxa"/>
            <w:gridSpan w:val="3"/>
            <w:tcBorders/>
            <w:shd w:fill="auto" w:val="clear"/>
            <w:vAlign w:val="center"/>
          </w:tcPr>
          <w:p>
            <w:pPr>
              <w:pStyle w:val="TableContents"/>
              <w:spacing w:before="0" w:after="283"/>
              <w:rPr>
                <w:sz w:val="4"/>
                <w:szCs w:val="4"/>
              </w:rPr>
            </w:pPr>
            <w:r>
              <w:rPr>
                <w:sz w:val="4"/>
                <w:szCs w:val="4"/>
              </w:rPr>
            </w:r>
          </w:p>
        </w:tc>
      </w:tr>
      <w:tr>
        <w:trPr/>
        <w:tc>
          <w:tcPr>
            <w:tcW w:w="1261" w:type="dxa"/>
            <w:gridSpan w:val="3"/>
            <w:tcBorders/>
            <w:shd w:fill="auto" w:val="clear"/>
            <w:vAlign w:val="center"/>
          </w:tcPr>
          <w:p>
            <w:pPr>
              <w:pStyle w:val="TableContents"/>
              <w:spacing w:before="0" w:after="283"/>
              <w:rPr>
                <w:sz w:val="4"/>
                <w:szCs w:val="4"/>
              </w:rPr>
            </w:pPr>
            <w:r>
              <w:rPr>
                <w:sz w:val="4"/>
                <w:szCs w:val="4"/>
              </w:rPr>
            </w:r>
          </w:p>
        </w:tc>
        <w:tc>
          <w:tcPr>
            <w:tcW w:w="99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41" w:type="dxa"/>
            <w:gridSpan w:val="3"/>
            <w:tcBorders/>
            <w:shd w:fill="auto" w:val="clear"/>
            <w:vAlign w:val="center"/>
          </w:tcPr>
          <w:p>
            <w:pPr>
              <w:pStyle w:val="TableContents"/>
              <w:spacing w:before="0" w:after="283"/>
              <w:rPr>
                <w:sz w:val="4"/>
                <w:szCs w:val="4"/>
              </w:rPr>
            </w:pPr>
            <w:r>
              <w:rPr>
                <w:sz w:val="4"/>
                <w:szCs w:val="4"/>
              </w:rPr>
            </w:r>
          </w:p>
        </w:tc>
      </w:tr>
      <w:tr>
        <w:trPr/>
        <w:tc>
          <w:tcPr>
            <w:tcW w:w="1261" w:type="dxa"/>
            <w:gridSpan w:val="3"/>
            <w:tcBorders/>
            <w:shd w:fill="auto" w:val="clear"/>
            <w:vAlign w:val="center"/>
          </w:tcPr>
          <w:p>
            <w:pPr>
              <w:pStyle w:val="TableContents"/>
              <w:spacing w:before="0" w:after="283"/>
              <w:rPr>
                <w:sz w:val="4"/>
                <w:szCs w:val="4"/>
              </w:rPr>
            </w:pPr>
            <w:r>
              <w:rPr>
                <w:sz w:val="4"/>
                <w:szCs w:val="4"/>
              </w:rPr>
            </w:r>
          </w:p>
        </w:tc>
        <w:tc>
          <w:tcPr>
            <w:tcW w:w="99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41" w:type="dxa"/>
            <w:gridSpan w:val="3"/>
            <w:tcBorders/>
            <w:shd w:fill="auto" w:val="clear"/>
            <w:vAlign w:val="center"/>
          </w:tcPr>
          <w:p>
            <w:pPr>
              <w:pStyle w:val="TableContents"/>
              <w:spacing w:before="0" w:after="283"/>
              <w:rPr>
                <w:sz w:val="4"/>
                <w:szCs w:val="4"/>
              </w:rPr>
            </w:pPr>
            <w:r>
              <w:rPr>
                <w:sz w:val="4"/>
                <w:szCs w:val="4"/>
              </w:rPr>
            </w:r>
          </w:p>
        </w:tc>
      </w:tr>
      <w:tr>
        <w:trPr/>
        <w:tc>
          <w:tcPr>
            <w:tcW w:w="1261" w:type="dxa"/>
            <w:gridSpan w:val="3"/>
            <w:tcBorders/>
            <w:shd w:fill="auto" w:val="clear"/>
            <w:vAlign w:val="center"/>
          </w:tcPr>
          <w:p>
            <w:pPr>
              <w:pStyle w:val="TableContents"/>
              <w:spacing w:before="0" w:after="283"/>
              <w:rPr>
                <w:sz w:val="4"/>
                <w:szCs w:val="4"/>
              </w:rPr>
            </w:pPr>
            <w:r>
              <w:rPr>
                <w:sz w:val="4"/>
                <w:szCs w:val="4"/>
              </w:rPr>
            </w:r>
          </w:p>
        </w:tc>
        <w:tc>
          <w:tcPr>
            <w:tcW w:w="99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41" w:type="dxa"/>
            <w:gridSpan w:val="3"/>
            <w:tcBorders/>
            <w:shd w:fill="auto" w:val="clear"/>
            <w:vAlign w:val="center"/>
          </w:tcPr>
          <w:p>
            <w:pPr>
              <w:pStyle w:val="TableContents"/>
              <w:spacing w:before="0" w:after="283"/>
              <w:rPr>
                <w:sz w:val="4"/>
                <w:szCs w:val="4"/>
              </w:rPr>
            </w:pPr>
            <w:r>
              <w:rPr>
                <w:sz w:val="4"/>
                <w:szCs w:val="4"/>
              </w:rPr>
            </w:r>
          </w:p>
        </w:tc>
      </w:tr>
      <w:tr>
        <w:trPr/>
        <w:tc>
          <w:tcPr>
            <w:tcW w:w="1261" w:type="dxa"/>
            <w:gridSpan w:val="3"/>
            <w:tcBorders/>
            <w:shd w:fill="auto" w:val="clear"/>
            <w:vAlign w:val="center"/>
          </w:tcPr>
          <w:p>
            <w:pPr>
              <w:pStyle w:val="TableContents"/>
              <w:spacing w:before="0" w:after="283"/>
              <w:rPr>
                <w:sz w:val="4"/>
                <w:szCs w:val="4"/>
              </w:rPr>
            </w:pPr>
            <w:r>
              <w:rPr>
                <w:sz w:val="4"/>
                <w:szCs w:val="4"/>
              </w:rPr>
            </w:r>
          </w:p>
        </w:tc>
        <w:tc>
          <w:tcPr>
            <w:tcW w:w="99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41" w:type="dxa"/>
            <w:gridSpan w:val="3"/>
            <w:tcBorders/>
            <w:shd w:fill="auto" w:val="clear"/>
            <w:vAlign w:val="center"/>
          </w:tcPr>
          <w:p>
            <w:pPr>
              <w:pStyle w:val="TableContents"/>
              <w:spacing w:before="0" w:after="283"/>
              <w:rPr>
                <w:sz w:val="4"/>
                <w:szCs w:val="4"/>
              </w:rPr>
            </w:pPr>
            <w:r>
              <w:rPr>
                <w:sz w:val="4"/>
                <w:szCs w:val="4"/>
              </w:rPr>
            </w:r>
          </w:p>
        </w:tc>
      </w:tr>
      <w:tr>
        <w:trPr/>
        <w:tc>
          <w:tcPr>
            <w:tcW w:w="1261" w:type="dxa"/>
            <w:gridSpan w:val="3"/>
            <w:tcBorders/>
            <w:shd w:fill="auto" w:val="clear"/>
            <w:vAlign w:val="center"/>
          </w:tcPr>
          <w:p>
            <w:pPr>
              <w:pStyle w:val="TableContents"/>
              <w:spacing w:before="0" w:after="283"/>
              <w:rPr>
                <w:sz w:val="4"/>
                <w:szCs w:val="4"/>
              </w:rPr>
            </w:pPr>
            <w:r>
              <w:rPr>
                <w:sz w:val="4"/>
                <w:szCs w:val="4"/>
              </w:rPr>
            </w:r>
          </w:p>
        </w:tc>
        <w:tc>
          <w:tcPr>
            <w:tcW w:w="99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41" w:type="dxa"/>
            <w:gridSpan w:val="3"/>
            <w:tcBorders/>
            <w:shd w:fill="auto" w:val="clear"/>
            <w:vAlign w:val="center"/>
          </w:tcPr>
          <w:p>
            <w:pPr>
              <w:pStyle w:val="TableContents"/>
              <w:spacing w:before="0" w:after="283"/>
              <w:rPr>
                <w:sz w:val="4"/>
                <w:szCs w:val="4"/>
              </w:rPr>
            </w:pPr>
            <w:r>
              <w:rPr>
                <w:sz w:val="4"/>
                <w:szCs w:val="4"/>
              </w:rPr>
            </w:r>
          </w:p>
        </w:tc>
      </w:tr>
      <w:tr>
        <w:trPr/>
        <w:tc>
          <w:tcPr>
            <w:tcW w:w="1261" w:type="dxa"/>
            <w:gridSpan w:val="3"/>
            <w:tcBorders/>
            <w:shd w:fill="auto" w:val="clear"/>
            <w:vAlign w:val="center"/>
          </w:tcPr>
          <w:p>
            <w:pPr>
              <w:pStyle w:val="TableContents"/>
              <w:spacing w:before="0" w:after="283"/>
              <w:rPr>
                <w:sz w:val="4"/>
                <w:szCs w:val="4"/>
              </w:rPr>
            </w:pPr>
            <w:r>
              <w:rPr>
                <w:sz w:val="4"/>
                <w:szCs w:val="4"/>
              </w:rPr>
            </w:r>
          </w:p>
        </w:tc>
        <w:tc>
          <w:tcPr>
            <w:tcW w:w="99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41" w:type="dxa"/>
            <w:gridSpan w:val="3"/>
            <w:tcBorders/>
            <w:shd w:fill="auto" w:val="clear"/>
            <w:vAlign w:val="center"/>
          </w:tcPr>
          <w:p>
            <w:pPr>
              <w:pStyle w:val="TableContents"/>
              <w:spacing w:before="0" w:after="283"/>
              <w:rPr>
                <w:sz w:val="4"/>
                <w:szCs w:val="4"/>
              </w:rPr>
            </w:pPr>
            <w:r>
              <w:rPr>
                <w:sz w:val="4"/>
                <w:szCs w:val="4"/>
              </w:rPr>
            </w:r>
          </w:p>
        </w:tc>
      </w:tr>
    </w:tbl>
    <w:p>
      <w:pPr>
        <w:pStyle w:val="TextBody"/>
        <w:spacing w:before="0" w:after="0"/>
        <w:jc w:val="center"/>
        <w:rPr/>
      </w:pPr>
      <w:r>
        <w:rPr/>
      </w:r>
    </w:p>
    <w:tbl>
      <w:tblPr>
        <w:tblW w:w="10557" w:type="dxa"/>
        <w:jc w:val="left"/>
        <w:tblInd w:w="0" w:type="dxa"/>
        <w:tblCellMar>
          <w:top w:w="28" w:type="dxa"/>
          <w:left w:w="28" w:type="dxa"/>
          <w:bottom w:w="28" w:type="dxa"/>
          <w:right w:w="28" w:type="dxa"/>
        </w:tblCellMar>
      </w:tblPr>
      <w:tblGrid>
        <w:gridCol w:w="696"/>
        <w:gridCol w:w="282"/>
        <w:gridCol w:w="283"/>
        <w:gridCol w:w="360"/>
        <w:gridCol w:w="361"/>
        <w:gridCol w:w="276"/>
        <w:gridCol w:w="109"/>
        <w:gridCol w:w="109"/>
        <w:gridCol w:w="109"/>
        <w:gridCol w:w="211"/>
        <w:gridCol w:w="826"/>
        <w:gridCol w:w="109"/>
        <w:gridCol w:w="109"/>
        <w:gridCol w:w="109"/>
        <w:gridCol w:w="109"/>
        <w:gridCol w:w="360"/>
        <w:gridCol w:w="361"/>
        <w:gridCol w:w="176"/>
        <w:gridCol w:w="109"/>
        <w:gridCol w:w="109"/>
        <w:gridCol w:w="109"/>
        <w:gridCol w:w="211"/>
        <w:gridCol w:w="466"/>
        <w:gridCol w:w="109"/>
        <w:gridCol w:w="109"/>
        <w:gridCol w:w="109"/>
        <w:gridCol w:w="109"/>
        <w:gridCol w:w="211"/>
        <w:gridCol w:w="466"/>
        <w:gridCol w:w="109"/>
        <w:gridCol w:w="109"/>
        <w:gridCol w:w="109"/>
        <w:gridCol w:w="109"/>
        <w:gridCol w:w="224"/>
        <w:gridCol w:w="1040"/>
        <w:gridCol w:w="117"/>
        <w:gridCol w:w="109"/>
        <w:gridCol w:w="109"/>
        <w:gridCol w:w="109"/>
        <w:gridCol w:w="211"/>
        <w:gridCol w:w="976"/>
        <w:gridCol w:w="154"/>
      </w:tblGrid>
      <w:tr>
        <w:trPr/>
        <w:tc>
          <w:tcPr>
            <w:tcW w:w="696" w:type="dxa"/>
            <w:tcBorders/>
            <w:shd w:fill="auto" w:val="clear"/>
            <w:vAlign w:val="center"/>
          </w:tcPr>
          <w:p>
            <w:pPr>
              <w:pStyle w:val="TableContents"/>
              <w:spacing w:before="0" w:after="283"/>
              <w:rPr>
                <w:sz w:val="4"/>
                <w:szCs w:val="4"/>
              </w:rPr>
            </w:pPr>
            <w:r>
              <w:rPr>
                <w:sz w:val="4"/>
                <w:szCs w:val="4"/>
              </w:rPr>
            </w:r>
          </w:p>
        </w:tc>
        <w:tc>
          <w:tcPr>
            <w:tcW w:w="282" w:type="dxa"/>
            <w:tcBorders/>
            <w:shd w:fill="auto" w:val="clear"/>
            <w:vAlign w:val="center"/>
          </w:tcPr>
          <w:p>
            <w:pPr>
              <w:pStyle w:val="TableContents"/>
              <w:spacing w:before="0" w:after="283"/>
              <w:rPr>
                <w:sz w:val="4"/>
                <w:szCs w:val="4"/>
              </w:rPr>
            </w:pPr>
            <w:r>
              <w:rPr>
                <w:sz w:val="4"/>
                <w:szCs w:val="4"/>
              </w:rPr>
            </w:r>
          </w:p>
        </w:tc>
        <w:tc>
          <w:tcPr>
            <w:tcW w:w="283"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c>
          <w:tcPr>
            <w:tcW w:w="2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4" w:type="dxa"/>
            <w:tcBorders/>
            <w:shd w:fill="auto" w:val="clear"/>
            <w:vAlign w:val="center"/>
          </w:tcPr>
          <w:p>
            <w:pPr>
              <w:pStyle w:val="TableContents"/>
              <w:spacing w:before="0" w:after="283"/>
              <w:rPr>
                <w:sz w:val="4"/>
                <w:szCs w:val="4"/>
              </w:rPr>
            </w:pPr>
            <w:r>
              <w:rPr>
                <w:sz w:val="4"/>
                <w:szCs w:val="4"/>
              </w:rPr>
            </w:r>
          </w:p>
        </w:tc>
        <w:tc>
          <w:tcPr>
            <w:tcW w:w="1040" w:type="dxa"/>
            <w:tcBorders/>
            <w:shd w:fill="auto" w:val="cle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26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07" w:type="dxa"/>
            <w:gridSpan w:val="21"/>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Limited Partners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General Partner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Non-Controlling Interest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6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Common</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9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Class B </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vMerge w:val="restart"/>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1" w:type="dxa"/>
            <w:gridSpan w:val="3"/>
            <w:vMerge w:val="restart"/>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6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Units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7"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Units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vMerge w:val="continue"/>
            <w:tcBorders>
              <w:top w:val="single" w:sz="8" w:space="0" w:color="000000"/>
              <w:bottom w:val="single" w:sz="8" w:space="0" w:color="000000"/>
            </w:tcBorders>
            <w:shd w:fill="auto" w:val="clear"/>
            <w:tcMar>
              <w:top w:w="30" w:type="dxa"/>
              <w:left w:w="0" w:type="dxa"/>
              <w:bottom w:w="3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1" w:type="dxa"/>
            <w:gridSpan w:val="3"/>
            <w:vMerge w:val="continue"/>
            <w:tcBorders>
              <w:top w:val="single" w:sz="8" w:space="0" w:color="000000"/>
              <w:bottom w:val="single" w:sz="8" w:space="0" w:color="000000"/>
            </w:tcBorders>
            <w:shd w:fill="auto" w:val="clear"/>
            <w:tcMar>
              <w:top w:w="30" w:type="dxa"/>
              <w:left w:w="0" w:type="dxa"/>
              <w:bottom w:w="3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126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96" w:type="dxa"/>
            <w:gridSpan w:val="3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thousands)</w:t>
            </w:r>
          </w:p>
        </w:tc>
      </w:tr>
      <w:tr>
        <w:trPr/>
        <w:tc>
          <w:tcPr>
            <w:tcW w:w="126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at December 31, 2021</w:t>
            </w:r>
          </w:p>
        </w:tc>
        <w:tc>
          <w:tcPr>
            <w:tcW w:w="7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78,546 </w:t>
            </w:r>
          </w:p>
        </w:tc>
        <w:tc>
          <w:tcPr>
            <w:tcW w:w="2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813,161 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90,710 </w:t>
            </w:r>
          </w:p>
        </w:tc>
        <w:tc>
          <w:tcPr>
            <w:tcW w:w="1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1,418,007 </w:t>
            </w:r>
          </w:p>
        </w:tc>
        <w:tc>
          <w:tcPr>
            <w:tcW w:w="1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2,232,828 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61" w:type="dxa"/>
            <w:gridSpan w:val="3"/>
            <w:tcBorders/>
            <w:shd w:fill="auto" w:val="clear"/>
            <w:vAlign w:val="center"/>
          </w:tcPr>
          <w:p>
            <w:pPr>
              <w:pStyle w:val="TableContents"/>
              <w:spacing w:before="0" w:after="283"/>
              <w:rPr>
                <w:sz w:val="4"/>
                <w:szCs w:val="4"/>
              </w:rPr>
            </w:pPr>
            <w:r>
              <w:rPr>
                <w:sz w:val="4"/>
                <w:szCs w:val="4"/>
              </w:rPr>
            </w:r>
          </w:p>
        </w:tc>
        <w:tc>
          <w:tcPr>
            <w:tcW w:w="99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41" w:type="dxa"/>
            <w:gridSpan w:val="3"/>
            <w:tcBorders/>
            <w:shd w:fill="auto" w:val="clear"/>
            <w:vAlign w:val="center"/>
          </w:tcPr>
          <w:p>
            <w:pPr>
              <w:pStyle w:val="TableContents"/>
              <w:spacing w:before="0" w:after="283"/>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Unit-based compensation</w:t>
            </w:r>
          </w:p>
        </w:tc>
        <w:tc>
          <w:tcPr>
            <w:tcW w:w="7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61" w:type="dxa"/>
            <w:gridSpan w:val="3"/>
            <w:tcBorders/>
            <w:shd w:fill="auto" w:val="clear"/>
            <w:vAlign w:val="center"/>
          </w:tcPr>
          <w:p>
            <w:pPr>
              <w:pStyle w:val="TableContents"/>
              <w:spacing w:before="0" w:after="283"/>
              <w:rPr>
                <w:sz w:val="4"/>
                <w:szCs w:val="4"/>
              </w:rPr>
            </w:pPr>
            <w:r>
              <w:rPr>
                <w:sz w:val="4"/>
                <w:szCs w:val="4"/>
              </w:rPr>
            </w:r>
          </w:p>
        </w:tc>
        <w:tc>
          <w:tcPr>
            <w:tcW w:w="99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41" w:type="dxa"/>
            <w:gridSpan w:val="3"/>
            <w:tcBorders/>
            <w:shd w:fill="auto" w:val="clear"/>
            <w:vAlign w:val="center"/>
          </w:tcPr>
          <w:p>
            <w:pPr>
              <w:pStyle w:val="TableContents"/>
              <w:spacing w:before="0" w:after="283"/>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Distribution equivalent rights payments</w:t>
            </w:r>
          </w:p>
        </w:tc>
        <w:tc>
          <w:tcPr>
            <w:tcW w:w="7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Distributions to public</w:t>
            </w:r>
          </w:p>
        </w:tc>
        <w:tc>
          <w:tcPr>
            <w:tcW w:w="7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(35,830)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(35,830)</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Distributions to Diamondback</w:t>
            </w:r>
          </w:p>
        </w:tc>
        <w:tc>
          <w:tcPr>
            <w:tcW w:w="7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(42,634)</w:t>
            </w:r>
          </w:p>
        </w:tc>
        <w:tc>
          <w:tcPr>
            <w:tcW w:w="1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(43,003)</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Distributions to General Partner</w:t>
            </w:r>
          </w:p>
        </w:tc>
        <w:tc>
          <w:tcPr>
            <w:tcW w:w="7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ownership of consolidated subsidiaries, net</w:t>
            </w:r>
          </w:p>
        </w:tc>
        <w:tc>
          <w:tcPr>
            <w:tcW w:w="7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14,195 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(14,195)</w:t>
            </w:r>
          </w:p>
        </w:tc>
        <w:tc>
          <w:tcPr>
            <w:tcW w:w="1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61" w:type="dxa"/>
            <w:gridSpan w:val="3"/>
            <w:tcBorders/>
            <w:shd w:fill="auto" w:val="clear"/>
            <w:vAlign w:val="center"/>
          </w:tcPr>
          <w:p>
            <w:pPr>
              <w:pStyle w:val="TableContents"/>
              <w:spacing w:before="0" w:after="283"/>
              <w:rPr>
                <w:sz w:val="4"/>
                <w:szCs w:val="4"/>
              </w:rPr>
            </w:pPr>
            <w:r>
              <w:rPr>
                <w:sz w:val="4"/>
                <w:szCs w:val="4"/>
              </w:rPr>
            </w:r>
          </w:p>
        </w:tc>
        <w:tc>
          <w:tcPr>
            <w:tcW w:w="99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41" w:type="dxa"/>
            <w:gridSpan w:val="3"/>
            <w:tcBorders/>
            <w:shd w:fill="auto" w:val="clear"/>
            <w:vAlign w:val="center"/>
          </w:tcPr>
          <w:p>
            <w:pPr>
              <w:pStyle w:val="TableContents"/>
              <w:spacing w:before="0" w:after="283"/>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Repurchased units as part of unit buyback</w:t>
            </w:r>
          </w:p>
        </w:tc>
        <w:tc>
          <w:tcPr>
            <w:tcW w:w="7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(1,580)</w:t>
            </w:r>
          </w:p>
        </w:tc>
        <w:tc>
          <w:tcPr>
            <w:tcW w:w="2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(39,260)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(39,260)</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w:t>
            </w:r>
          </w:p>
        </w:tc>
        <w:tc>
          <w:tcPr>
            <w:tcW w:w="7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16,605 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111,436 </w:t>
            </w:r>
          </w:p>
        </w:tc>
        <w:tc>
          <w:tcPr>
            <w:tcW w:w="1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128,041 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at March 31, 2022</w:t>
            </w:r>
          </w:p>
        </w:tc>
        <w:tc>
          <w:tcPr>
            <w:tcW w:w="72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76,966 </w:t>
            </w:r>
          </w:p>
        </w:tc>
        <w:tc>
          <w:tcPr>
            <w:tcW w:w="2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768,747 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90,710 </w:t>
            </w:r>
          </w:p>
        </w:tc>
        <w:tc>
          <w:tcPr>
            <w:tcW w:w="1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4"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1,472,614 </w:t>
            </w:r>
          </w:p>
        </w:tc>
        <w:tc>
          <w:tcPr>
            <w:tcW w:w="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2,242,976 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r>
        <w:trPr/>
        <w:tc>
          <w:tcPr>
            <w:tcW w:w="1261" w:type="dxa"/>
            <w:gridSpan w:val="3"/>
            <w:tcBorders/>
            <w:shd w:fill="auto" w:val="clear"/>
            <w:vAlign w:val="center"/>
          </w:tcPr>
          <w:p>
            <w:pPr>
              <w:pStyle w:val="TableContents"/>
              <w:spacing w:before="0" w:after="283"/>
              <w:rPr>
                <w:sz w:val="4"/>
                <w:szCs w:val="4"/>
              </w:rPr>
            </w:pPr>
            <w:r>
              <w:rPr>
                <w:sz w:val="4"/>
                <w:szCs w:val="4"/>
              </w:rPr>
            </w:r>
          </w:p>
        </w:tc>
        <w:tc>
          <w:tcPr>
            <w:tcW w:w="99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41" w:type="dxa"/>
            <w:gridSpan w:val="3"/>
            <w:tcBorders/>
            <w:shd w:fill="auto" w:val="clear"/>
            <w:vAlign w:val="center"/>
          </w:tcPr>
          <w:p>
            <w:pPr>
              <w:pStyle w:val="TableContents"/>
              <w:spacing w:before="0" w:after="283"/>
              <w:rPr>
                <w:sz w:val="4"/>
                <w:szCs w:val="4"/>
              </w:rPr>
            </w:pPr>
            <w:r>
              <w:rPr>
                <w:sz w:val="4"/>
                <w:szCs w:val="4"/>
              </w:rPr>
            </w:r>
          </w:p>
        </w:tc>
      </w:tr>
      <w:tr>
        <w:trPr/>
        <w:tc>
          <w:tcPr>
            <w:tcW w:w="1261" w:type="dxa"/>
            <w:gridSpan w:val="3"/>
            <w:tcBorders/>
            <w:shd w:fill="auto" w:val="clear"/>
            <w:vAlign w:val="center"/>
          </w:tcPr>
          <w:p>
            <w:pPr>
              <w:pStyle w:val="TableContents"/>
              <w:spacing w:before="0" w:after="283"/>
              <w:rPr>
                <w:sz w:val="4"/>
                <w:szCs w:val="4"/>
              </w:rPr>
            </w:pPr>
            <w:r>
              <w:rPr>
                <w:sz w:val="4"/>
                <w:szCs w:val="4"/>
              </w:rPr>
            </w:r>
          </w:p>
        </w:tc>
        <w:tc>
          <w:tcPr>
            <w:tcW w:w="99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41" w:type="dxa"/>
            <w:gridSpan w:val="3"/>
            <w:tcBorders/>
            <w:shd w:fill="auto" w:val="clear"/>
            <w:vAlign w:val="center"/>
          </w:tcPr>
          <w:p>
            <w:pPr>
              <w:pStyle w:val="TableContents"/>
              <w:spacing w:before="0" w:after="283"/>
              <w:rPr>
                <w:sz w:val="4"/>
                <w:szCs w:val="4"/>
              </w:rPr>
            </w:pPr>
            <w:r>
              <w:rPr>
                <w:sz w:val="4"/>
                <w:szCs w:val="4"/>
              </w:rPr>
            </w:r>
          </w:p>
        </w:tc>
      </w:tr>
      <w:tr>
        <w:trPr/>
        <w:tc>
          <w:tcPr>
            <w:tcW w:w="1261" w:type="dxa"/>
            <w:gridSpan w:val="3"/>
            <w:tcBorders/>
            <w:shd w:fill="auto" w:val="clear"/>
            <w:vAlign w:val="center"/>
          </w:tcPr>
          <w:p>
            <w:pPr>
              <w:pStyle w:val="TableContents"/>
              <w:spacing w:before="0" w:after="283"/>
              <w:rPr>
                <w:sz w:val="4"/>
                <w:szCs w:val="4"/>
              </w:rPr>
            </w:pPr>
            <w:r>
              <w:rPr>
                <w:sz w:val="4"/>
                <w:szCs w:val="4"/>
              </w:rPr>
            </w:r>
          </w:p>
        </w:tc>
        <w:tc>
          <w:tcPr>
            <w:tcW w:w="99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41" w:type="dxa"/>
            <w:gridSpan w:val="3"/>
            <w:tcBorders/>
            <w:shd w:fill="auto" w:val="clear"/>
            <w:vAlign w:val="center"/>
          </w:tcPr>
          <w:p>
            <w:pPr>
              <w:pStyle w:val="TableContents"/>
              <w:spacing w:before="0" w:after="283"/>
              <w:rPr>
                <w:sz w:val="4"/>
                <w:szCs w:val="4"/>
              </w:rPr>
            </w:pPr>
            <w:r>
              <w:rPr>
                <w:sz w:val="4"/>
                <w:szCs w:val="4"/>
              </w:rPr>
            </w:r>
          </w:p>
        </w:tc>
      </w:tr>
      <w:tr>
        <w:trPr/>
        <w:tc>
          <w:tcPr>
            <w:tcW w:w="1261" w:type="dxa"/>
            <w:gridSpan w:val="3"/>
            <w:tcBorders/>
            <w:shd w:fill="auto" w:val="clear"/>
            <w:vAlign w:val="center"/>
          </w:tcPr>
          <w:p>
            <w:pPr>
              <w:pStyle w:val="TableContents"/>
              <w:spacing w:before="0" w:after="283"/>
              <w:rPr>
                <w:sz w:val="4"/>
                <w:szCs w:val="4"/>
              </w:rPr>
            </w:pPr>
            <w:r>
              <w:rPr>
                <w:sz w:val="4"/>
                <w:szCs w:val="4"/>
              </w:rPr>
            </w:r>
          </w:p>
        </w:tc>
        <w:tc>
          <w:tcPr>
            <w:tcW w:w="99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41" w:type="dxa"/>
            <w:gridSpan w:val="3"/>
            <w:tcBorders/>
            <w:shd w:fill="auto" w:val="clear"/>
            <w:vAlign w:val="center"/>
          </w:tcPr>
          <w:p>
            <w:pPr>
              <w:pStyle w:val="TableContents"/>
              <w:spacing w:before="0" w:after="283"/>
              <w:rPr>
                <w:sz w:val="4"/>
                <w:szCs w:val="4"/>
              </w:rPr>
            </w:pPr>
            <w:r>
              <w:rPr>
                <w:sz w:val="4"/>
                <w:szCs w:val="4"/>
              </w:rPr>
            </w:r>
          </w:p>
        </w:tc>
      </w:tr>
      <w:tr>
        <w:trPr/>
        <w:tc>
          <w:tcPr>
            <w:tcW w:w="1261" w:type="dxa"/>
            <w:gridSpan w:val="3"/>
            <w:tcBorders/>
            <w:shd w:fill="auto" w:val="clear"/>
            <w:vAlign w:val="center"/>
          </w:tcPr>
          <w:p>
            <w:pPr>
              <w:pStyle w:val="TableContents"/>
              <w:spacing w:before="0" w:after="283"/>
              <w:rPr>
                <w:sz w:val="4"/>
                <w:szCs w:val="4"/>
              </w:rPr>
            </w:pPr>
            <w:r>
              <w:rPr>
                <w:sz w:val="4"/>
                <w:szCs w:val="4"/>
              </w:rPr>
            </w:r>
          </w:p>
        </w:tc>
        <w:tc>
          <w:tcPr>
            <w:tcW w:w="99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41" w:type="dxa"/>
            <w:gridSpan w:val="3"/>
            <w:tcBorders/>
            <w:shd w:fill="auto" w:val="clear"/>
            <w:vAlign w:val="center"/>
          </w:tcPr>
          <w:p>
            <w:pPr>
              <w:pStyle w:val="TableContents"/>
              <w:spacing w:before="0" w:after="283"/>
              <w:rPr>
                <w:sz w:val="4"/>
                <w:szCs w:val="4"/>
              </w:rPr>
            </w:pPr>
            <w:r>
              <w:rPr>
                <w:sz w:val="4"/>
                <w:szCs w:val="4"/>
              </w:rPr>
            </w:r>
          </w:p>
        </w:tc>
      </w:tr>
      <w:tr>
        <w:trPr/>
        <w:tc>
          <w:tcPr>
            <w:tcW w:w="1261" w:type="dxa"/>
            <w:gridSpan w:val="3"/>
            <w:tcBorders/>
            <w:shd w:fill="auto" w:val="clear"/>
            <w:vAlign w:val="center"/>
          </w:tcPr>
          <w:p>
            <w:pPr>
              <w:pStyle w:val="TableContents"/>
              <w:spacing w:before="0" w:after="283"/>
              <w:rPr>
                <w:sz w:val="4"/>
                <w:szCs w:val="4"/>
              </w:rPr>
            </w:pPr>
            <w:r>
              <w:rPr>
                <w:sz w:val="4"/>
                <w:szCs w:val="4"/>
              </w:rPr>
            </w:r>
          </w:p>
        </w:tc>
        <w:tc>
          <w:tcPr>
            <w:tcW w:w="99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41" w:type="dxa"/>
            <w:gridSpan w:val="3"/>
            <w:tcBorders/>
            <w:shd w:fill="auto" w:val="clear"/>
            <w:vAlign w:val="center"/>
          </w:tcPr>
          <w:p>
            <w:pPr>
              <w:pStyle w:val="TableContents"/>
              <w:spacing w:before="0" w:after="283"/>
              <w:rPr>
                <w:sz w:val="4"/>
                <w:szCs w:val="4"/>
              </w:rPr>
            </w:pPr>
            <w:r>
              <w:rPr>
                <w:sz w:val="4"/>
                <w:szCs w:val="4"/>
              </w:rPr>
            </w:r>
          </w:p>
        </w:tc>
      </w:tr>
      <w:tr>
        <w:trPr/>
        <w:tc>
          <w:tcPr>
            <w:tcW w:w="1261" w:type="dxa"/>
            <w:gridSpan w:val="3"/>
            <w:tcBorders/>
            <w:shd w:fill="auto" w:val="clear"/>
            <w:vAlign w:val="center"/>
          </w:tcPr>
          <w:p>
            <w:pPr>
              <w:pStyle w:val="TableContents"/>
              <w:spacing w:before="0" w:after="283"/>
              <w:rPr>
                <w:sz w:val="4"/>
                <w:szCs w:val="4"/>
              </w:rPr>
            </w:pPr>
            <w:r>
              <w:rPr>
                <w:sz w:val="4"/>
                <w:szCs w:val="4"/>
              </w:rPr>
            </w:r>
          </w:p>
        </w:tc>
        <w:tc>
          <w:tcPr>
            <w:tcW w:w="99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41" w:type="dxa"/>
            <w:gridSpan w:val="3"/>
            <w:tcBorders/>
            <w:shd w:fill="auto" w:val="clear"/>
            <w:vAlign w:val="center"/>
          </w:tcPr>
          <w:p>
            <w:pPr>
              <w:pStyle w:val="TableContents"/>
              <w:spacing w:before="0" w:after="283"/>
              <w:rPr>
                <w:sz w:val="4"/>
                <w:szCs w:val="4"/>
              </w:rPr>
            </w:pPr>
            <w:r>
              <w:rPr>
                <w:sz w:val="4"/>
                <w:szCs w:val="4"/>
              </w:rPr>
            </w:r>
          </w:p>
        </w:tc>
      </w:tr>
      <w:tr>
        <w:trPr/>
        <w:tc>
          <w:tcPr>
            <w:tcW w:w="1261" w:type="dxa"/>
            <w:gridSpan w:val="3"/>
            <w:tcBorders/>
            <w:shd w:fill="auto" w:val="clear"/>
            <w:vAlign w:val="center"/>
          </w:tcPr>
          <w:p>
            <w:pPr>
              <w:pStyle w:val="TableContents"/>
              <w:spacing w:before="0" w:after="283"/>
              <w:rPr>
                <w:sz w:val="4"/>
                <w:szCs w:val="4"/>
              </w:rPr>
            </w:pPr>
            <w:r>
              <w:rPr>
                <w:sz w:val="4"/>
                <w:szCs w:val="4"/>
              </w:rPr>
            </w:r>
          </w:p>
        </w:tc>
        <w:tc>
          <w:tcPr>
            <w:tcW w:w="99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41" w:type="dxa"/>
            <w:gridSpan w:val="3"/>
            <w:tcBorders/>
            <w:shd w:fill="auto" w:val="clear"/>
            <w:vAlign w:val="center"/>
          </w:tcPr>
          <w:p>
            <w:pPr>
              <w:pStyle w:val="TableContents"/>
              <w:spacing w:before="0" w:after="283"/>
              <w:rPr>
                <w:sz w:val="4"/>
                <w:szCs w:val="4"/>
              </w:rPr>
            </w:pPr>
            <w:r>
              <w:rPr>
                <w:sz w:val="4"/>
                <w:szCs w:val="4"/>
              </w:rPr>
            </w:r>
          </w:p>
        </w:tc>
      </w:tr>
      <w:tr>
        <w:trPr/>
        <w:tc>
          <w:tcPr>
            <w:tcW w:w="1261" w:type="dxa"/>
            <w:gridSpan w:val="3"/>
            <w:tcBorders/>
            <w:shd w:fill="auto" w:val="clear"/>
            <w:vAlign w:val="center"/>
          </w:tcPr>
          <w:p>
            <w:pPr>
              <w:pStyle w:val="TableContents"/>
              <w:spacing w:before="0" w:after="283"/>
              <w:rPr>
                <w:sz w:val="4"/>
                <w:szCs w:val="4"/>
              </w:rPr>
            </w:pPr>
            <w:r>
              <w:rPr>
                <w:sz w:val="4"/>
                <w:szCs w:val="4"/>
              </w:rPr>
            </w:r>
          </w:p>
        </w:tc>
        <w:tc>
          <w:tcPr>
            <w:tcW w:w="99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41" w:type="dxa"/>
            <w:gridSpan w:val="3"/>
            <w:tcBorders/>
            <w:shd w:fill="auto" w:val="clear"/>
            <w:vAlign w:val="center"/>
          </w:tcPr>
          <w:p>
            <w:pPr>
              <w:pStyle w:val="TableContents"/>
              <w:spacing w:before="0" w:after="283"/>
              <w:rPr>
                <w:sz w:val="4"/>
                <w:szCs w:val="4"/>
              </w:rPr>
            </w:pPr>
            <w:r>
              <w:rPr>
                <w:sz w:val="4"/>
                <w:szCs w:val="4"/>
              </w:rPr>
            </w:r>
          </w:p>
        </w:tc>
      </w:tr>
      <w:tr>
        <w:trPr/>
        <w:tc>
          <w:tcPr>
            <w:tcW w:w="1261" w:type="dxa"/>
            <w:gridSpan w:val="3"/>
            <w:tcBorders/>
            <w:shd w:fill="auto" w:val="clear"/>
            <w:vAlign w:val="center"/>
          </w:tcPr>
          <w:p>
            <w:pPr>
              <w:pStyle w:val="TableContents"/>
              <w:spacing w:before="0" w:after="283"/>
              <w:rPr>
                <w:sz w:val="4"/>
                <w:szCs w:val="4"/>
              </w:rPr>
            </w:pPr>
            <w:r>
              <w:rPr>
                <w:sz w:val="4"/>
                <w:szCs w:val="4"/>
              </w:rPr>
            </w:r>
          </w:p>
        </w:tc>
        <w:tc>
          <w:tcPr>
            <w:tcW w:w="99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41" w:type="dxa"/>
            <w:gridSpan w:val="3"/>
            <w:tcBorders/>
            <w:shd w:fill="auto" w:val="clear"/>
            <w:vAlign w:val="center"/>
          </w:tcPr>
          <w:p>
            <w:pPr>
              <w:pStyle w:val="TableContents"/>
              <w:spacing w:before="0" w:after="283"/>
              <w:rPr>
                <w:sz w:val="4"/>
                <w:szCs w:val="4"/>
              </w:rPr>
            </w:pPr>
            <w:r>
              <w:rPr>
                <w:sz w:val="4"/>
                <w:szCs w:val="4"/>
              </w:rPr>
            </w:r>
          </w:p>
        </w:tc>
      </w:tr>
      <w:tr>
        <w:trPr/>
        <w:tc>
          <w:tcPr>
            <w:tcW w:w="1261" w:type="dxa"/>
            <w:gridSpan w:val="3"/>
            <w:tcBorders/>
            <w:shd w:fill="auto" w:val="clear"/>
            <w:vAlign w:val="center"/>
          </w:tcPr>
          <w:p>
            <w:pPr>
              <w:pStyle w:val="TableContents"/>
              <w:spacing w:before="0" w:after="283"/>
              <w:rPr>
                <w:sz w:val="4"/>
                <w:szCs w:val="4"/>
              </w:rPr>
            </w:pPr>
            <w:r>
              <w:rPr>
                <w:sz w:val="4"/>
                <w:szCs w:val="4"/>
              </w:rPr>
            </w:r>
          </w:p>
        </w:tc>
        <w:tc>
          <w:tcPr>
            <w:tcW w:w="99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41" w:type="dxa"/>
            <w:gridSpan w:val="3"/>
            <w:tcBorders/>
            <w:shd w:fill="auto" w:val="clear"/>
            <w:vAlign w:val="center"/>
          </w:tcPr>
          <w:p>
            <w:pPr>
              <w:pStyle w:val="TableContents"/>
              <w:spacing w:before="0" w:after="283"/>
              <w:rPr>
                <w:sz w:val="4"/>
                <w:szCs w:val="4"/>
              </w:rPr>
            </w:pPr>
            <w:r>
              <w:rPr>
                <w:sz w:val="4"/>
                <w:szCs w:val="4"/>
              </w:rPr>
            </w:r>
          </w:p>
        </w:tc>
      </w:tr>
      <w:tr>
        <w:trPr/>
        <w:tc>
          <w:tcPr>
            <w:tcW w:w="1261" w:type="dxa"/>
            <w:gridSpan w:val="3"/>
            <w:tcBorders/>
            <w:shd w:fill="auto" w:val="clear"/>
            <w:vAlign w:val="center"/>
          </w:tcPr>
          <w:p>
            <w:pPr>
              <w:pStyle w:val="TableContents"/>
              <w:spacing w:before="0" w:after="283"/>
              <w:rPr>
                <w:sz w:val="4"/>
                <w:szCs w:val="4"/>
              </w:rPr>
            </w:pPr>
            <w:r>
              <w:rPr>
                <w:sz w:val="4"/>
                <w:szCs w:val="4"/>
              </w:rPr>
            </w:r>
          </w:p>
        </w:tc>
        <w:tc>
          <w:tcPr>
            <w:tcW w:w="99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41" w:type="dxa"/>
            <w:gridSpan w:val="3"/>
            <w:tcBorders/>
            <w:shd w:fill="auto" w:val="clear"/>
            <w:vAlign w:val="center"/>
          </w:tcPr>
          <w:p>
            <w:pPr>
              <w:pStyle w:val="TableContents"/>
              <w:spacing w:before="0" w:after="283"/>
              <w:rPr>
                <w:sz w:val="4"/>
                <w:szCs w:val="4"/>
              </w:rPr>
            </w:pPr>
            <w:r>
              <w:rPr>
                <w:sz w:val="4"/>
                <w:szCs w:val="4"/>
              </w:rPr>
            </w:r>
          </w:p>
        </w:tc>
      </w:tr>
      <w:tr>
        <w:trPr/>
        <w:tc>
          <w:tcPr>
            <w:tcW w:w="1261" w:type="dxa"/>
            <w:gridSpan w:val="3"/>
            <w:tcBorders/>
            <w:shd w:fill="auto" w:val="clear"/>
            <w:vAlign w:val="center"/>
          </w:tcPr>
          <w:p>
            <w:pPr>
              <w:pStyle w:val="TableContents"/>
              <w:spacing w:before="0" w:after="283"/>
              <w:rPr>
                <w:sz w:val="4"/>
                <w:szCs w:val="4"/>
              </w:rPr>
            </w:pPr>
            <w:r>
              <w:rPr>
                <w:sz w:val="4"/>
                <w:szCs w:val="4"/>
              </w:rPr>
            </w:r>
          </w:p>
        </w:tc>
        <w:tc>
          <w:tcPr>
            <w:tcW w:w="99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41" w:type="dxa"/>
            <w:gridSpan w:val="3"/>
            <w:tcBorders/>
            <w:shd w:fill="auto" w:val="clear"/>
            <w:vAlign w:val="center"/>
          </w:tcPr>
          <w:p>
            <w:pPr>
              <w:pStyle w:val="TableContents"/>
              <w:spacing w:before="0" w:after="283"/>
              <w:rPr>
                <w:sz w:val="4"/>
                <w:szCs w:val="4"/>
              </w:rPr>
            </w:pPr>
            <w:r>
              <w:rPr>
                <w:sz w:val="4"/>
                <w:szCs w:val="4"/>
              </w:rPr>
            </w:r>
          </w:p>
        </w:tc>
      </w:tr>
      <w:tr>
        <w:trPr/>
        <w:tc>
          <w:tcPr>
            <w:tcW w:w="1261" w:type="dxa"/>
            <w:gridSpan w:val="3"/>
            <w:tcBorders/>
            <w:shd w:fill="auto" w:val="clear"/>
            <w:vAlign w:val="center"/>
          </w:tcPr>
          <w:p>
            <w:pPr>
              <w:pStyle w:val="TableContents"/>
              <w:spacing w:before="0" w:after="283"/>
              <w:rPr>
                <w:sz w:val="4"/>
                <w:szCs w:val="4"/>
              </w:rPr>
            </w:pPr>
            <w:r>
              <w:rPr>
                <w:sz w:val="4"/>
                <w:szCs w:val="4"/>
              </w:rPr>
            </w:r>
          </w:p>
        </w:tc>
        <w:tc>
          <w:tcPr>
            <w:tcW w:w="99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41" w:type="dxa"/>
            <w:gridSpan w:val="3"/>
            <w:tcBorders/>
            <w:shd w:fill="auto" w:val="clear"/>
            <w:vAlign w:val="center"/>
          </w:tcPr>
          <w:p>
            <w:pPr>
              <w:pStyle w:val="TableContents"/>
              <w:spacing w:before="0" w:after="283"/>
              <w:rPr>
                <w:sz w:val="4"/>
                <w:szCs w:val="4"/>
              </w:rPr>
            </w:pPr>
            <w:r>
              <w:rPr>
                <w:sz w:val="4"/>
                <w:szCs w:val="4"/>
              </w:rPr>
            </w:r>
          </w:p>
        </w:tc>
      </w:tr>
      <w:tr>
        <w:trPr/>
        <w:tc>
          <w:tcPr>
            <w:tcW w:w="1261" w:type="dxa"/>
            <w:gridSpan w:val="3"/>
            <w:tcBorders/>
            <w:shd w:fill="auto" w:val="clear"/>
            <w:vAlign w:val="center"/>
          </w:tcPr>
          <w:p>
            <w:pPr>
              <w:pStyle w:val="TableContents"/>
              <w:spacing w:before="0" w:after="283"/>
              <w:rPr>
                <w:sz w:val="4"/>
                <w:szCs w:val="4"/>
              </w:rPr>
            </w:pPr>
            <w:r>
              <w:rPr>
                <w:sz w:val="4"/>
                <w:szCs w:val="4"/>
              </w:rPr>
            </w:r>
          </w:p>
        </w:tc>
        <w:tc>
          <w:tcPr>
            <w:tcW w:w="99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41" w:type="dxa"/>
            <w:gridSpan w:val="3"/>
            <w:tcBorders/>
            <w:shd w:fill="auto" w:val="clear"/>
            <w:vAlign w:val="center"/>
          </w:tcPr>
          <w:p>
            <w:pPr>
              <w:pStyle w:val="TableContents"/>
              <w:spacing w:before="0" w:after="283"/>
              <w:rPr>
                <w:sz w:val="4"/>
                <w:szCs w:val="4"/>
              </w:rPr>
            </w:pPr>
            <w:r>
              <w:rPr>
                <w:sz w:val="4"/>
                <w:szCs w:val="4"/>
              </w:rPr>
            </w:r>
          </w:p>
        </w:tc>
      </w:tr>
      <w:tr>
        <w:trPr/>
        <w:tc>
          <w:tcPr>
            <w:tcW w:w="1261" w:type="dxa"/>
            <w:gridSpan w:val="3"/>
            <w:tcBorders/>
            <w:shd w:fill="auto" w:val="clear"/>
            <w:vAlign w:val="center"/>
          </w:tcPr>
          <w:p>
            <w:pPr>
              <w:pStyle w:val="TableContents"/>
              <w:spacing w:before="0" w:after="283"/>
              <w:rPr>
                <w:sz w:val="4"/>
                <w:szCs w:val="4"/>
              </w:rPr>
            </w:pPr>
            <w:r>
              <w:rPr>
                <w:sz w:val="4"/>
                <w:szCs w:val="4"/>
              </w:rPr>
            </w:r>
          </w:p>
        </w:tc>
        <w:tc>
          <w:tcPr>
            <w:tcW w:w="99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41" w:type="dxa"/>
            <w:gridSpan w:val="3"/>
            <w:tcBorders/>
            <w:shd w:fill="auto" w:val="clear"/>
            <w:vAlign w:val="center"/>
          </w:tcPr>
          <w:p>
            <w:pPr>
              <w:pStyle w:val="TableContents"/>
              <w:spacing w:before="0" w:after="283"/>
              <w:rPr>
                <w:sz w:val="4"/>
                <w:szCs w:val="4"/>
              </w:rPr>
            </w:pPr>
            <w:r>
              <w:rPr>
                <w:sz w:val="4"/>
                <w:szCs w:val="4"/>
              </w:rPr>
            </w:r>
          </w:p>
        </w:tc>
      </w:tr>
      <w:tr>
        <w:trPr/>
        <w:tc>
          <w:tcPr>
            <w:tcW w:w="1261" w:type="dxa"/>
            <w:gridSpan w:val="3"/>
            <w:tcBorders/>
            <w:shd w:fill="auto" w:val="clear"/>
            <w:vAlign w:val="center"/>
          </w:tcPr>
          <w:p>
            <w:pPr>
              <w:pStyle w:val="TableContents"/>
              <w:spacing w:before="0" w:after="283"/>
              <w:rPr>
                <w:sz w:val="4"/>
                <w:szCs w:val="4"/>
              </w:rPr>
            </w:pPr>
            <w:r>
              <w:rPr>
                <w:sz w:val="4"/>
                <w:szCs w:val="4"/>
              </w:rPr>
            </w:r>
          </w:p>
        </w:tc>
        <w:tc>
          <w:tcPr>
            <w:tcW w:w="99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41" w:type="dxa"/>
            <w:gridSpan w:val="3"/>
            <w:tcBorders/>
            <w:shd w:fill="auto" w:val="clear"/>
            <w:vAlign w:val="center"/>
          </w:tcPr>
          <w:p>
            <w:pPr>
              <w:pStyle w:val="TableContents"/>
              <w:spacing w:before="0" w:after="283"/>
              <w:rPr>
                <w:sz w:val="4"/>
                <w:szCs w:val="4"/>
              </w:rPr>
            </w:pPr>
            <w:r>
              <w:rPr>
                <w:sz w:val="4"/>
                <w:szCs w:val="4"/>
              </w:rPr>
            </w:r>
          </w:p>
        </w:tc>
      </w:tr>
      <w:tr>
        <w:trPr/>
        <w:tc>
          <w:tcPr>
            <w:tcW w:w="1261" w:type="dxa"/>
            <w:gridSpan w:val="3"/>
            <w:tcBorders/>
            <w:shd w:fill="auto" w:val="clear"/>
            <w:vAlign w:val="center"/>
          </w:tcPr>
          <w:p>
            <w:pPr>
              <w:pStyle w:val="TableContents"/>
              <w:spacing w:before="0" w:after="283"/>
              <w:rPr>
                <w:sz w:val="4"/>
                <w:szCs w:val="4"/>
              </w:rPr>
            </w:pPr>
            <w:r>
              <w:rPr>
                <w:sz w:val="4"/>
                <w:szCs w:val="4"/>
              </w:rPr>
            </w:r>
          </w:p>
        </w:tc>
        <w:tc>
          <w:tcPr>
            <w:tcW w:w="99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41" w:type="dxa"/>
            <w:gridSpan w:val="3"/>
            <w:tcBorders/>
            <w:shd w:fill="auto" w:val="clear"/>
            <w:vAlign w:val="center"/>
          </w:tcPr>
          <w:p>
            <w:pPr>
              <w:pStyle w:val="TableContents"/>
              <w:spacing w:before="0" w:after="283"/>
              <w:rPr>
                <w:sz w:val="4"/>
                <w:szCs w:val="4"/>
              </w:rPr>
            </w:pPr>
            <w:r>
              <w:rPr>
                <w:sz w:val="4"/>
                <w:szCs w:val="4"/>
              </w:rPr>
            </w:r>
          </w:p>
        </w:tc>
      </w:tr>
      <w:tr>
        <w:trPr/>
        <w:tc>
          <w:tcPr>
            <w:tcW w:w="1261" w:type="dxa"/>
            <w:gridSpan w:val="3"/>
            <w:tcBorders/>
            <w:shd w:fill="auto" w:val="clear"/>
            <w:vAlign w:val="center"/>
          </w:tcPr>
          <w:p>
            <w:pPr>
              <w:pStyle w:val="TableContents"/>
              <w:spacing w:before="0" w:after="283"/>
              <w:rPr>
                <w:sz w:val="4"/>
                <w:szCs w:val="4"/>
              </w:rPr>
            </w:pPr>
            <w:r>
              <w:rPr>
                <w:sz w:val="4"/>
                <w:szCs w:val="4"/>
              </w:rPr>
            </w:r>
          </w:p>
        </w:tc>
        <w:tc>
          <w:tcPr>
            <w:tcW w:w="99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41" w:type="dxa"/>
            <w:gridSpan w:val="3"/>
            <w:tcBorders/>
            <w:shd w:fill="auto" w:val="clear"/>
            <w:vAlign w:val="center"/>
          </w:tcPr>
          <w:p>
            <w:pPr>
              <w:pStyle w:val="TableContents"/>
              <w:spacing w:before="0" w:after="283"/>
              <w:rPr>
                <w:sz w:val="4"/>
                <w:szCs w:val="4"/>
              </w:rPr>
            </w:pPr>
            <w:r>
              <w:rPr>
                <w:sz w:val="4"/>
                <w:szCs w:val="4"/>
              </w:rPr>
            </w:r>
          </w:p>
        </w:tc>
      </w:tr>
      <w:tr>
        <w:trPr/>
        <w:tc>
          <w:tcPr>
            <w:tcW w:w="1261" w:type="dxa"/>
            <w:gridSpan w:val="3"/>
            <w:tcBorders/>
            <w:shd w:fill="auto" w:val="clear"/>
            <w:vAlign w:val="center"/>
          </w:tcPr>
          <w:p>
            <w:pPr>
              <w:pStyle w:val="TableContents"/>
              <w:spacing w:before="0" w:after="283"/>
              <w:rPr>
                <w:sz w:val="4"/>
                <w:szCs w:val="4"/>
              </w:rPr>
            </w:pPr>
            <w:r>
              <w:rPr>
                <w:sz w:val="4"/>
                <w:szCs w:val="4"/>
              </w:rPr>
            </w:r>
          </w:p>
        </w:tc>
        <w:tc>
          <w:tcPr>
            <w:tcW w:w="99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41" w:type="dxa"/>
            <w:gridSpan w:val="3"/>
            <w:tcBorders/>
            <w:shd w:fill="auto" w:val="clear"/>
            <w:vAlign w:val="center"/>
          </w:tcPr>
          <w:p>
            <w:pPr>
              <w:pStyle w:val="TableContents"/>
              <w:spacing w:before="0" w:after="283"/>
              <w:rPr>
                <w:sz w:val="4"/>
                <w:szCs w:val="4"/>
              </w:rPr>
            </w:pPr>
            <w:r>
              <w:rPr>
                <w:sz w:val="4"/>
                <w:szCs w:val="4"/>
              </w:rPr>
            </w:r>
          </w:p>
        </w:tc>
      </w:tr>
      <w:tr>
        <w:trPr/>
        <w:tc>
          <w:tcPr>
            <w:tcW w:w="1261" w:type="dxa"/>
            <w:gridSpan w:val="3"/>
            <w:tcBorders/>
            <w:shd w:fill="auto" w:val="clear"/>
            <w:vAlign w:val="center"/>
          </w:tcPr>
          <w:p>
            <w:pPr>
              <w:pStyle w:val="TableContents"/>
              <w:spacing w:before="0" w:after="283"/>
              <w:rPr>
                <w:sz w:val="4"/>
                <w:szCs w:val="4"/>
              </w:rPr>
            </w:pPr>
            <w:r>
              <w:rPr>
                <w:sz w:val="4"/>
                <w:szCs w:val="4"/>
              </w:rPr>
            </w:r>
          </w:p>
        </w:tc>
        <w:tc>
          <w:tcPr>
            <w:tcW w:w="99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41" w:type="dxa"/>
            <w:gridSpan w:val="3"/>
            <w:tcBorders/>
            <w:shd w:fill="auto" w:val="clear"/>
            <w:vAlign w:val="center"/>
          </w:tcPr>
          <w:p>
            <w:pPr>
              <w:pStyle w:val="TableContents"/>
              <w:spacing w:before="0" w:after="283"/>
              <w:rPr>
                <w:sz w:val="4"/>
                <w:szCs w:val="4"/>
              </w:rPr>
            </w:pPr>
            <w:r>
              <w:rPr>
                <w:sz w:val="4"/>
                <w:szCs w:val="4"/>
              </w:rPr>
            </w:r>
          </w:p>
        </w:tc>
      </w:tr>
    </w:tbl>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condensed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v:rect>
            </w:pict>
          </mc:Fallback>
        </mc:AlternateContent>
      </w:r>
    </w:p>
    <w:p>
      <w:pPr>
        <w:pStyle w:val="TextBody"/>
        <w:spacing w:lineRule="auto" w:line="288" w:before="0" w:after="0"/>
        <w:rPr/>
      </w:pPr>
      <w:hyperlink w:anchor="i8dd89f0c72444a288e2bb25168f12b04_7">
        <w:r>
          <w:rPr>
            <w:rStyle w:val="InternetLink"/>
            <w:rFonts w:ascii="Times New Roman;sans-serif" w:hAnsi="Times New Roman;sans-serif"/>
            <w:b w:val="false"/>
            <w:color w:val="0000FF"/>
            <w:sz w:val="16"/>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Viper Energy Partners LP</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Cash Flows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spacing w:before="0" w:after="0"/>
        <w:jc w:val="both"/>
        <w:rPr/>
      </w:pPr>
      <w:r>
        <w:rPr/>
      </w:r>
    </w:p>
    <w:tbl>
      <w:tblPr>
        <w:tblW w:w="9820" w:type="dxa"/>
        <w:jc w:val="left"/>
        <w:tblInd w:w="0" w:type="dxa"/>
        <w:tblCellMar>
          <w:top w:w="28" w:type="dxa"/>
          <w:left w:w="28" w:type="dxa"/>
          <w:bottom w:w="28" w:type="dxa"/>
          <w:right w:w="28" w:type="dxa"/>
        </w:tblCellMar>
      </w:tblPr>
      <w:tblGrid>
        <w:gridCol w:w="2605"/>
        <w:gridCol w:w="2294"/>
        <w:gridCol w:w="2301"/>
        <w:gridCol w:w="216"/>
        <w:gridCol w:w="739"/>
        <w:gridCol w:w="111"/>
        <w:gridCol w:w="111"/>
        <w:gridCol w:w="111"/>
        <w:gridCol w:w="111"/>
        <w:gridCol w:w="216"/>
        <w:gridCol w:w="847"/>
        <w:gridCol w:w="158"/>
      </w:tblGrid>
      <w:tr>
        <w:trPr/>
        <w:tc>
          <w:tcPr>
            <w:tcW w:w="2605" w:type="dxa"/>
            <w:tcBorders/>
            <w:shd w:fill="auto" w:val="clear"/>
            <w:vAlign w:val="center"/>
          </w:tcPr>
          <w:p>
            <w:pPr>
              <w:pStyle w:val="TableContents"/>
              <w:spacing w:before="0" w:after="283"/>
              <w:rPr>
                <w:sz w:val="4"/>
                <w:szCs w:val="4"/>
              </w:rPr>
            </w:pPr>
            <w:r>
              <w:rPr>
                <w:sz w:val="4"/>
                <w:szCs w:val="4"/>
              </w:rPr>
            </w:r>
          </w:p>
        </w:tc>
        <w:tc>
          <w:tcPr>
            <w:tcW w:w="2294" w:type="dxa"/>
            <w:tcBorders/>
            <w:shd w:fill="auto" w:val="clear"/>
            <w:vAlign w:val="center"/>
          </w:tcPr>
          <w:p>
            <w:pPr>
              <w:pStyle w:val="TableContents"/>
              <w:spacing w:before="0" w:after="283"/>
              <w:rPr>
                <w:sz w:val="4"/>
                <w:szCs w:val="4"/>
              </w:rPr>
            </w:pPr>
            <w:r>
              <w:rPr>
                <w:sz w:val="4"/>
                <w:szCs w:val="4"/>
              </w:rPr>
            </w:r>
          </w:p>
        </w:tc>
        <w:tc>
          <w:tcPr>
            <w:tcW w:w="2301" w:type="dxa"/>
            <w:tcBorders/>
            <w:shd w:fill="auto" w:val="clear"/>
            <w:vAlign w:val="center"/>
          </w:tcPr>
          <w:p>
            <w:pPr>
              <w:pStyle w:val="TableContents"/>
              <w:spacing w:before="0" w:after="283"/>
              <w:rPr>
                <w:sz w:val="4"/>
                <w:szCs w:val="4"/>
              </w:rPr>
            </w:pPr>
            <w:r>
              <w:rPr>
                <w:sz w:val="4"/>
                <w:szCs w:val="4"/>
              </w:rPr>
            </w:r>
          </w:p>
        </w:tc>
        <w:tc>
          <w:tcPr>
            <w:tcW w:w="216" w:type="dxa"/>
            <w:tcBorders/>
            <w:shd w:fill="auto" w:val="clear"/>
            <w:vAlign w:val="center"/>
          </w:tcPr>
          <w:p>
            <w:pPr>
              <w:pStyle w:val="TableContents"/>
              <w:spacing w:before="0" w:after="283"/>
              <w:rPr>
                <w:sz w:val="4"/>
                <w:szCs w:val="4"/>
              </w:rPr>
            </w:pPr>
            <w:r>
              <w:rPr>
                <w:sz w:val="4"/>
                <w:szCs w:val="4"/>
              </w:rPr>
            </w:r>
          </w:p>
        </w:tc>
        <w:tc>
          <w:tcPr>
            <w:tcW w:w="739"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216" w:type="dxa"/>
            <w:tcBorders/>
            <w:shd w:fill="auto" w:val="clear"/>
            <w:vAlign w:val="center"/>
          </w:tcPr>
          <w:p>
            <w:pPr>
              <w:pStyle w:val="TableContents"/>
              <w:spacing w:before="0" w:after="283"/>
              <w:rPr>
                <w:sz w:val="4"/>
                <w:szCs w:val="4"/>
              </w:rPr>
            </w:pPr>
            <w:r>
              <w:rPr>
                <w:sz w:val="4"/>
                <w:szCs w:val="4"/>
              </w:rPr>
            </w:r>
          </w:p>
        </w:tc>
        <w:tc>
          <w:tcPr>
            <w:tcW w:w="847"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72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20"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r>
      <w:tr>
        <w:trPr/>
        <w:tc>
          <w:tcPr>
            <w:tcW w:w="72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3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72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20"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thousands)</w:t>
            </w:r>
          </w:p>
        </w:tc>
      </w:tr>
      <w:tr>
        <w:trPr/>
        <w:tc>
          <w:tcPr>
            <w:tcW w:w="72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flows from operating activities:</w:t>
            </w:r>
          </w:p>
        </w:tc>
        <w:tc>
          <w:tcPr>
            <w:tcW w:w="10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w:t>
            </w:r>
          </w:p>
        </w:tc>
        <w:tc>
          <w:tcPr>
            <w:tcW w:w="21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88,266 </w:t>
            </w:r>
          </w:p>
        </w:tc>
        <w:tc>
          <w:tcPr>
            <w:tcW w:w="1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128,041 </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to reconcile net income (loss) to net cash provided by operating activities:</w:t>
            </w:r>
          </w:p>
        </w:tc>
        <w:tc>
          <w:tcPr>
            <w:tcW w:w="10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(benefit from) deferred income taxes</w:t>
            </w:r>
          </w:p>
        </w:tc>
        <w:tc>
          <w:tcPr>
            <w:tcW w:w="95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429 </w:t>
            </w:r>
          </w:p>
        </w:tc>
        <w:tc>
          <w:tcPr>
            <w:tcW w:w="1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Depletion</w:t>
            </w:r>
          </w:p>
        </w:tc>
        <w:tc>
          <w:tcPr>
            <w:tcW w:w="95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30,987 </w:t>
            </w:r>
          </w:p>
        </w:tc>
        <w:tc>
          <w:tcPr>
            <w:tcW w:w="1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27,411 </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00" w:type="dxa"/>
            <w:gridSpan w:val="3"/>
            <w:tcBorders/>
            <w:shd w:fill="auto" w:val="clear"/>
            <w:vAlign w:val="center"/>
          </w:tcPr>
          <w:p>
            <w:pPr>
              <w:pStyle w:val="TableContents"/>
              <w:spacing w:before="0" w:after="283"/>
              <w:rPr>
                <w:sz w:val="4"/>
                <w:szCs w:val="4"/>
              </w:rPr>
            </w:pPr>
            <w:r>
              <w:rPr>
                <w:sz w:val="4"/>
                <w:szCs w:val="4"/>
              </w:rPr>
            </w:r>
          </w:p>
        </w:tc>
        <w:tc>
          <w:tcPr>
            <w:tcW w:w="1066" w:type="dxa"/>
            <w:gridSpan w:val="3"/>
            <w:tcBorders/>
            <w:shd w:fill="auto" w:val="clear"/>
            <w:vAlign w:val="center"/>
          </w:tcPr>
          <w:p>
            <w:pPr>
              <w:pStyle w:val="TableContents"/>
              <w:spacing w:before="0" w:after="283"/>
              <w:rPr>
                <w:sz w:val="4"/>
                <w:szCs w:val="4"/>
              </w:rPr>
            </w:pPr>
            <w:r>
              <w:rPr>
                <w:sz w:val="4"/>
                <w:szCs w:val="4"/>
              </w:rPr>
            </w:r>
          </w:p>
        </w:tc>
        <w:tc>
          <w:tcPr>
            <w:tcW w:w="333"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72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loss on derivative instruments, net</w:t>
            </w:r>
          </w:p>
        </w:tc>
        <w:tc>
          <w:tcPr>
            <w:tcW w:w="95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15,103 </w:t>
            </w:r>
          </w:p>
        </w:tc>
        <w:tc>
          <w:tcPr>
            <w:tcW w:w="1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18,359 </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receipts (payments) on derivatives</w:t>
            </w:r>
          </w:p>
        </w:tc>
        <w:tc>
          <w:tcPr>
            <w:tcW w:w="95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(2,215)</w:t>
            </w:r>
          </w:p>
        </w:tc>
        <w:tc>
          <w:tcPr>
            <w:tcW w:w="1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(10,264)</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00" w:type="dxa"/>
            <w:gridSpan w:val="3"/>
            <w:tcBorders/>
            <w:shd w:fill="auto" w:val="clear"/>
            <w:vAlign w:val="center"/>
          </w:tcPr>
          <w:p>
            <w:pPr>
              <w:pStyle w:val="TableContents"/>
              <w:spacing w:before="0" w:after="283"/>
              <w:rPr>
                <w:sz w:val="4"/>
                <w:szCs w:val="4"/>
              </w:rPr>
            </w:pPr>
            <w:r>
              <w:rPr>
                <w:sz w:val="4"/>
                <w:szCs w:val="4"/>
              </w:rPr>
            </w:r>
          </w:p>
        </w:tc>
        <w:tc>
          <w:tcPr>
            <w:tcW w:w="1066" w:type="dxa"/>
            <w:gridSpan w:val="3"/>
            <w:tcBorders/>
            <w:shd w:fill="auto" w:val="clear"/>
            <w:vAlign w:val="center"/>
          </w:tcPr>
          <w:p>
            <w:pPr>
              <w:pStyle w:val="TableContents"/>
              <w:spacing w:before="0" w:after="283"/>
              <w:rPr>
                <w:sz w:val="4"/>
                <w:szCs w:val="4"/>
              </w:rPr>
            </w:pPr>
            <w:r>
              <w:rPr>
                <w:sz w:val="4"/>
                <w:szCs w:val="4"/>
              </w:rPr>
            </w:r>
          </w:p>
        </w:tc>
        <w:tc>
          <w:tcPr>
            <w:tcW w:w="333"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7200" w:type="dxa"/>
            <w:gridSpan w:val="3"/>
            <w:tcBorders/>
            <w:shd w:fill="auto" w:val="clear"/>
            <w:vAlign w:val="center"/>
          </w:tcPr>
          <w:p>
            <w:pPr>
              <w:pStyle w:val="TableContents"/>
              <w:spacing w:before="0" w:after="283"/>
              <w:rPr>
                <w:sz w:val="4"/>
                <w:szCs w:val="4"/>
              </w:rPr>
            </w:pPr>
            <w:r>
              <w:rPr>
                <w:sz w:val="4"/>
                <w:szCs w:val="4"/>
              </w:rPr>
            </w:r>
          </w:p>
        </w:tc>
        <w:tc>
          <w:tcPr>
            <w:tcW w:w="1066" w:type="dxa"/>
            <w:gridSpan w:val="3"/>
            <w:tcBorders/>
            <w:shd w:fill="auto" w:val="clear"/>
            <w:vAlign w:val="center"/>
          </w:tcPr>
          <w:p>
            <w:pPr>
              <w:pStyle w:val="TableContents"/>
              <w:spacing w:before="0" w:after="283"/>
              <w:rPr>
                <w:sz w:val="4"/>
                <w:szCs w:val="4"/>
              </w:rPr>
            </w:pPr>
            <w:r>
              <w:rPr>
                <w:sz w:val="4"/>
                <w:szCs w:val="4"/>
              </w:rPr>
            </w:r>
          </w:p>
        </w:tc>
        <w:tc>
          <w:tcPr>
            <w:tcW w:w="333"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7200" w:type="dxa"/>
            <w:gridSpan w:val="3"/>
            <w:tcBorders/>
            <w:shd w:fill="auto" w:val="clear"/>
            <w:vAlign w:val="center"/>
          </w:tcPr>
          <w:p>
            <w:pPr>
              <w:pStyle w:val="TableContents"/>
              <w:spacing w:before="0" w:after="283"/>
              <w:rPr>
                <w:sz w:val="4"/>
                <w:szCs w:val="4"/>
              </w:rPr>
            </w:pPr>
            <w:r>
              <w:rPr>
                <w:sz w:val="4"/>
                <w:szCs w:val="4"/>
              </w:rPr>
            </w:r>
          </w:p>
        </w:tc>
        <w:tc>
          <w:tcPr>
            <w:tcW w:w="1066" w:type="dxa"/>
            <w:gridSpan w:val="3"/>
            <w:tcBorders/>
            <w:shd w:fill="auto" w:val="clear"/>
            <w:vAlign w:val="center"/>
          </w:tcPr>
          <w:p>
            <w:pPr>
              <w:pStyle w:val="TableContents"/>
              <w:spacing w:before="0" w:after="283"/>
              <w:rPr>
                <w:sz w:val="4"/>
                <w:szCs w:val="4"/>
              </w:rPr>
            </w:pPr>
            <w:r>
              <w:rPr>
                <w:sz w:val="4"/>
                <w:szCs w:val="4"/>
              </w:rPr>
            </w:r>
          </w:p>
        </w:tc>
        <w:tc>
          <w:tcPr>
            <w:tcW w:w="333"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7200" w:type="dxa"/>
            <w:gridSpan w:val="3"/>
            <w:tcBorders/>
            <w:shd w:fill="auto" w:val="clear"/>
            <w:vAlign w:val="center"/>
          </w:tcPr>
          <w:p>
            <w:pPr>
              <w:pStyle w:val="TableContents"/>
              <w:spacing w:before="0" w:after="283"/>
              <w:rPr>
                <w:sz w:val="4"/>
                <w:szCs w:val="4"/>
              </w:rPr>
            </w:pPr>
            <w:r>
              <w:rPr>
                <w:sz w:val="4"/>
                <w:szCs w:val="4"/>
              </w:rPr>
            </w:r>
          </w:p>
        </w:tc>
        <w:tc>
          <w:tcPr>
            <w:tcW w:w="1066" w:type="dxa"/>
            <w:gridSpan w:val="3"/>
            <w:tcBorders/>
            <w:shd w:fill="auto" w:val="clear"/>
            <w:vAlign w:val="center"/>
          </w:tcPr>
          <w:p>
            <w:pPr>
              <w:pStyle w:val="TableContents"/>
              <w:spacing w:before="0" w:after="283"/>
              <w:rPr>
                <w:sz w:val="4"/>
                <w:szCs w:val="4"/>
              </w:rPr>
            </w:pPr>
            <w:r>
              <w:rPr>
                <w:sz w:val="4"/>
                <w:szCs w:val="4"/>
              </w:rPr>
            </w:r>
          </w:p>
        </w:tc>
        <w:tc>
          <w:tcPr>
            <w:tcW w:w="333"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7200" w:type="dxa"/>
            <w:gridSpan w:val="3"/>
            <w:tcBorders/>
            <w:shd w:fill="auto" w:val="clear"/>
            <w:vAlign w:val="center"/>
          </w:tcPr>
          <w:p>
            <w:pPr>
              <w:pStyle w:val="TableContents"/>
              <w:spacing w:before="0" w:after="283"/>
              <w:rPr>
                <w:sz w:val="4"/>
                <w:szCs w:val="4"/>
              </w:rPr>
            </w:pPr>
            <w:r>
              <w:rPr>
                <w:sz w:val="4"/>
                <w:szCs w:val="4"/>
              </w:rPr>
            </w:r>
          </w:p>
        </w:tc>
        <w:tc>
          <w:tcPr>
            <w:tcW w:w="1066" w:type="dxa"/>
            <w:gridSpan w:val="3"/>
            <w:tcBorders/>
            <w:shd w:fill="auto" w:val="clear"/>
            <w:vAlign w:val="center"/>
          </w:tcPr>
          <w:p>
            <w:pPr>
              <w:pStyle w:val="TableContents"/>
              <w:spacing w:before="0" w:after="283"/>
              <w:rPr>
                <w:sz w:val="4"/>
                <w:szCs w:val="4"/>
              </w:rPr>
            </w:pPr>
            <w:r>
              <w:rPr>
                <w:sz w:val="4"/>
                <w:szCs w:val="4"/>
              </w:rPr>
            </w:r>
          </w:p>
        </w:tc>
        <w:tc>
          <w:tcPr>
            <w:tcW w:w="333"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7200" w:type="dxa"/>
            <w:gridSpan w:val="3"/>
            <w:tcBorders/>
            <w:shd w:fill="auto" w:val="clear"/>
            <w:vAlign w:val="center"/>
          </w:tcPr>
          <w:p>
            <w:pPr>
              <w:pStyle w:val="TableContents"/>
              <w:spacing w:before="0" w:after="283"/>
              <w:rPr>
                <w:sz w:val="4"/>
                <w:szCs w:val="4"/>
              </w:rPr>
            </w:pPr>
            <w:r>
              <w:rPr>
                <w:sz w:val="4"/>
                <w:szCs w:val="4"/>
              </w:rPr>
            </w:r>
          </w:p>
        </w:tc>
        <w:tc>
          <w:tcPr>
            <w:tcW w:w="1066" w:type="dxa"/>
            <w:gridSpan w:val="3"/>
            <w:tcBorders/>
            <w:shd w:fill="auto" w:val="clear"/>
            <w:vAlign w:val="center"/>
          </w:tcPr>
          <w:p>
            <w:pPr>
              <w:pStyle w:val="TableContents"/>
              <w:spacing w:before="0" w:after="283"/>
              <w:rPr>
                <w:sz w:val="4"/>
                <w:szCs w:val="4"/>
              </w:rPr>
            </w:pPr>
            <w:r>
              <w:rPr>
                <w:sz w:val="4"/>
                <w:szCs w:val="4"/>
              </w:rPr>
            </w:r>
          </w:p>
        </w:tc>
        <w:tc>
          <w:tcPr>
            <w:tcW w:w="333"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72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95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643 </w:t>
            </w:r>
          </w:p>
        </w:tc>
        <w:tc>
          <w:tcPr>
            <w:tcW w:w="1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1,388 </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operating assets and liabilities:</w:t>
            </w:r>
          </w:p>
        </w:tc>
        <w:tc>
          <w:tcPr>
            <w:tcW w:w="10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00" w:type="dxa"/>
            <w:gridSpan w:val="3"/>
            <w:tcBorders/>
            <w:shd w:fill="auto" w:val="clear"/>
            <w:vAlign w:val="center"/>
          </w:tcPr>
          <w:p>
            <w:pPr>
              <w:pStyle w:val="TableContents"/>
              <w:spacing w:before="0" w:after="283"/>
              <w:rPr>
                <w:sz w:val="4"/>
                <w:szCs w:val="4"/>
              </w:rPr>
            </w:pPr>
            <w:r>
              <w:rPr>
                <w:sz w:val="4"/>
                <w:szCs w:val="4"/>
              </w:rPr>
            </w:r>
          </w:p>
        </w:tc>
        <w:tc>
          <w:tcPr>
            <w:tcW w:w="1066" w:type="dxa"/>
            <w:gridSpan w:val="3"/>
            <w:tcBorders/>
            <w:shd w:fill="auto" w:val="clear"/>
            <w:vAlign w:val="center"/>
          </w:tcPr>
          <w:p>
            <w:pPr>
              <w:pStyle w:val="TableContents"/>
              <w:spacing w:before="0" w:after="283"/>
              <w:rPr>
                <w:sz w:val="4"/>
                <w:szCs w:val="4"/>
              </w:rPr>
            </w:pPr>
            <w:r>
              <w:rPr>
                <w:sz w:val="4"/>
                <w:szCs w:val="4"/>
              </w:rPr>
            </w:r>
          </w:p>
        </w:tc>
        <w:tc>
          <w:tcPr>
            <w:tcW w:w="333"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72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Royalty income receivable</w:t>
            </w:r>
          </w:p>
        </w:tc>
        <w:tc>
          <w:tcPr>
            <w:tcW w:w="95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(1,381)</w:t>
            </w:r>
          </w:p>
        </w:tc>
        <w:tc>
          <w:tcPr>
            <w:tcW w:w="1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(29,932)</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Royalty income receivable—related party</w:t>
            </w:r>
          </w:p>
        </w:tc>
        <w:tc>
          <w:tcPr>
            <w:tcW w:w="95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(30,064)</w:t>
            </w:r>
          </w:p>
        </w:tc>
        <w:tc>
          <w:tcPr>
            <w:tcW w:w="1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(2,048)</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00" w:type="dxa"/>
            <w:gridSpan w:val="3"/>
            <w:tcBorders/>
            <w:shd w:fill="auto" w:val="clear"/>
            <w:vAlign w:val="center"/>
          </w:tcPr>
          <w:p>
            <w:pPr>
              <w:pStyle w:val="TableContents"/>
              <w:spacing w:before="0" w:after="283"/>
              <w:rPr>
                <w:sz w:val="4"/>
                <w:szCs w:val="4"/>
              </w:rPr>
            </w:pPr>
            <w:r>
              <w:rPr>
                <w:sz w:val="4"/>
                <w:szCs w:val="4"/>
              </w:rPr>
            </w:r>
          </w:p>
        </w:tc>
        <w:tc>
          <w:tcPr>
            <w:tcW w:w="1066" w:type="dxa"/>
            <w:gridSpan w:val="3"/>
            <w:tcBorders/>
            <w:shd w:fill="auto" w:val="clear"/>
            <w:vAlign w:val="center"/>
          </w:tcPr>
          <w:p>
            <w:pPr>
              <w:pStyle w:val="TableContents"/>
              <w:spacing w:before="0" w:after="283"/>
              <w:rPr>
                <w:sz w:val="4"/>
                <w:szCs w:val="4"/>
              </w:rPr>
            </w:pPr>
            <w:r>
              <w:rPr>
                <w:sz w:val="4"/>
                <w:szCs w:val="4"/>
              </w:rPr>
            </w:r>
          </w:p>
        </w:tc>
        <w:tc>
          <w:tcPr>
            <w:tcW w:w="333"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7200" w:type="dxa"/>
            <w:gridSpan w:val="3"/>
            <w:tcBorders/>
            <w:shd w:fill="auto" w:val="clear"/>
            <w:vAlign w:val="center"/>
          </w:tcPr>
          <w:p>
            <w:pPr>
              <w:pStyle w:val="TableContents"/>
              <w:spacing w:before="0" w:after="283"/>
              <w:rPr>
                <w:sz w:val="4"/>
                <w:szCs w:val="4"/>
              </w:rPr>
            </w:pPr>
            <w:r>
              <w:rPr>
                <w:sz w:val="4"/>
                <w:szCs w:val="4"/>
              </w:rPr>
            </w:r>
          </w:p>
        </w:tc>
        <w:tc>
          <w:tcPr>
            <w:tcW w:w="1066" w:type="dxa"/>
            <w:gridSpan w:val="3"/>
            <w:tcBorders/>
            <w:shd w:fill="auto" w:val="clear"/>
            <w:vAlign w:val="center"/>
          </w:tcPr>
          <w:p>
            <w:pPr>
              <w:pStyle w:val="TableContents"/>
              <w:spacing w:before="0" w:after="283"/>
              <w:rPr>
                <w:sz w:val="4"/>
                <w:szCs w:val="4"/>
              </w:rPr>
            </w:pPr>
            <w:r>
              <w:rPr>
                <w:sz w:val="4"/>
                <w:szCs w:val="4"/>
              </w:rPr>
            </w:r>
          </w:p>
        </w:tc>
        <w:tc>
          <w:tcPr>
            <w:tcW w:w="333"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72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 and accrued liabilities</w:t>
            </w:r>
          </w:p>
        </w:tc>
        <w:tc>
          <w:tcPr>
            <w:tcW w:w="95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(2,534)</w:t>
            </w:r>
          </w:p>
        </w:tc>
        <w:tc>
          <w:tcPr>
            <w:tcW w:w="1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2,838 </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00" w:type="dxa"/>
            <w:gridSpan w:val="3"/>
            <w:tcBorders/>
            <w:shd w:fill="auto" w:val="clear"/>
            <w:vAlign w:val="center"/>
          </w:tcPr>
          <w:p>
            <w:pPr>
              <w:pStyle w:val="TableContents"/>
              <w:spacing w:before="0" w:after="283"/>
              <w:rPr>
                <w:sz w:val="4"/>
                <w:szCs w:val="4"/>
              </w:rPr>
            </w:pPr>
            <w:r>
              <w:rPr>
                <w:sz w:val="4"/>
                <w:szCs w:val="4"/>
              </w:rPr>
            </w:r>
          </w:p>
        </w:tc>
        <w:tc>
          <w:tcPr>
            <w:tcW w:w="1066" w:type="dxa"/>
            <w:gridSpan w:val="3"/>
            <w:tcBorders/>
            <w:shd w:fill="auto" w:val="clear"/>
            <w:vAlign w:val="center"/>
          </w:tcPr>
          <w:p>
            <w:pPr>
              <w:pStyle w:val="TableContents"/>
              <w:spacing w:before="0" w:after="283"/>
              <w:rPr>
                <w:sz w:val="4"/>
                <w:szCs w:val="4"/>
              </w:rPr>
            </w:pPr>
            <w:r>
              <w:rPr>
                <w:sz w:val="4"/>
                <w:szCs w:val="4"/>
              </w:rPr>
            </w:r>
          </w:p>
        </w:tc>
        <w:tc>
          <w:tcPr>
            <w:tcW w:w="333"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72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payable—related party</w:t>
            </w:r>
          </w:p>
        </w:tc>
        <w:tc>
          <w:tcPr>
            <w:tcW w:w="95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w:t>
            </w:r>
          </w:p>
        </w:tc>
        <w:tc>
          <w:tcPr>
            <w:tcW w:w="1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payable</w:t>
            </w:r>
          </w:p>
        </w:tc>
        <w:tc>
          <w:tcPr>
            <w:tcW w:w="95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8,566 </w:t>
            </w:r>
          </w:p>
        </w:tc>
        <w:tc>
          <w:tcPr>
            <w:tcW w:w="1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00" w:type="dxa"/>
            <w:gridSpan w:val="3"/>
            <w:tcBorders/>
            <w:shd w:fill="auto" w:val="clear"/>
            <w:vAlign w:val="center"/>
          </w:tcPr>
          <w:p>
            <w:pPr>
              <w:pStyle w:val="TableContents"/>
              <w:spacing w:before="0" w:after="283"/>
              <w:rPr>
                <w:sz w:val="4"/>
                <w:szCs w:val="4"/>
              </w:rPr>
            </w:pPr>
            <w:r>
              <w:rPr>
                <w:sz w:val="4"/>
                <w:szCs w:val="4"/>
              </w:rPr>
            </w:r>
          </w:p>
        </w:tc>
        <w:tc>
          <w:tcPr>
            <w:tcW w:w="1066" w:type="dxa"/>
            <w:gridSpan w:val="3"/>
            <w:tcBorders/>
            <w:shd w:fill="auto" w:val="clear"/>
            <w:vAlign w:val="center"/>
          </w:tcPr>
          <w:p>
            <w:pPr>
              <w:pStyle w:val="TableContents"/>
              <w:spacing w:before="0" w:after="283"/>
              <w:rPr>
                <w:sz w:val="4"/>
                <w:szCs w:val="4"/>
              </w:rPr>
            </w:pPr>
            <w:r>
              <w:rPr>
                <w:sz w:val="4"/>
                <w:szCs w:val="4"/>
              </w:rPr>
            </w:r>
          </w:p>
        </w:tc>
        <w:tc>
          <w:tcPr>
            <w:tcW w:w="333"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72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95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w:t>
            </w:r>
          </w:p>
        </w:tc>
        <w:tc>
          <w:tcPr>
            <w:tcW w:w="1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 operating activities</w:t>
            </w:r>
          </w:p>
        </w:tc>
        <w:tc>
          <w:tcPr>
            <w:tcW w:w="955"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107,243 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3"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135,838 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flows from investing activities:</w:t>
            </w:r>
          </w:p>
        </w:tc>
        <w:tc>
          <w:tcPr>
            <w:tcW w:w="106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200" w:type="dxa"/>
            <w:gridSpan w:val="3"/>
            <w:tcBorders/>
            <w:shd w:fill="auto" w:val="clear"/>
            <w:vAlign w:val="center"/>
          </w:tcPr>
          <w:p>
            <w:pPr>
              <w:pStyle w:val="TableContents"/>
              <w:spacing w:before="0" w:after="283"/>
              <w:rPr>
                <w:sz w:val="4"/>
                <w:szCs w:val="4"/>
              </w:rPr>
            </w:pPr>
            <w:r>
              <w:rPr>
                <w:sz w:val="4"/>
                <w:szCs w:val="4"/>
              </w:rPr>
            </w:r>
          </w:p>
        </w:tc>
        <w:tc>
          <w:tcPr>
            <w:tcW w:w="1066" w:type="dxa"/>
            <w:gridSpan w:val="3"/>
            <w:tcBorders/>
            <w:shd w:fill="auto" w:val="clear"/>
            <w:vAlign w:val="center"/>
          </w:tcPr>
          <w:p>
            <w:pPr>
              <w:pStyle w:val="TableContents"/>
              <w:spacing w:before="0" w:after="283"/>
              <w:rPr>
                <w:sz w:val="4"/>
                <w:szCs w:val="4"/>
              </w:rPr>
            </w:pPr>
            <w:r>
              <w:rPr>
                <w:sz w:val="4"/>
                <w:szCs w:val="4"/>
              </w:rPr>
            </w:r>
          </w:p>
        </w:tc>
        <w:tc>
          <w:tcPr>
            <w:tcW w:w="333"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72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Acquisitions of oil and natural gas interests—related party</w:t>
            </w:r>
          </w:p>
        </w:tc>
        <w:tc>
          <w:tcPr>
            <w:tcW w:w="95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(75,073)</w:t>
            </w:r>
          </w:p>
        </w:tc>
        <w:tc>
          <w:tcPr>
            <w:tcW w:w="1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Acquisitions of oil and natural gas interests</w:t>
            </w:r>
          </w:p>
        </w:tc>
        <w:tc>
          <w:tcPr>
            <w:tcW w:w="95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(40,802)</w:t>
            </w:r>
          </w:p>
        </w:tc>
        <w:tc>
          <w:tcPr>
            <w:tcW w:w="1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2,621 </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00" w:type="dxa"/>
            <w:gridSpan w:val="3"/>
            <w:tcBorders/>
            <w:shd w:fill="auto" w:val="clear"/>
            <w:vAlign w:val="center"/>
          </w:tcPr>
          <w:p>
            <w:pPr>
              <w:pStyle w:val="TableContents"/>
              <w:spacing w:before="0" w:after="283"/>
              <w:rPr>
                <w:sz w:val="4"/>
                <w:szCs w:val="4"/>
              </w:rPr>
            </w:pPr>
            <w:r>
              <w:rPr>
                <w:sz w:val="4"/>
                <w:szCs w:val="4"/>
              </w:rPr>
            </w:r>
          </w:p>
        </w:tc>
        <w:tc>
          <w:tcPr>
            <w:tcW w:w="1066" w:type="dxa"/>
            <w:gridSpan w:val="3"/>
            <w:tcBorders/>
            <w:shd w:fill="auto" w:val="clear"/>
            <w:vAlign w:val="center"/>
          </w:tcPr>
          <w:p>
            <w:pPr>
              <w:pStyle w:val="TableContents"/>
              <w:spacing w:before="0" w:after="283"/>
              <w:rPr>
                <w:sz w:val="4"/>
                <w:szCs w:val="4"/>
              </w:rPr>
            </w:pPr>
            <w:r>
              <w:rPr>
                <w:sz w:val="4"/>
                <w:szCs w:val="4"/>
              </w:rPr>
            </w:r>
          </w:p>
        </w:tc>
        <w:tc>
          <w:tcPr>
            <w:tcW w:w="333"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7200" w:type="dxa"/>
            <w:gridSpan w:val="3"/>
            <w:tcBorders/>
            <w:shd w:fill="auto" w:val="clear"/>
            <w:vAlign w:val="center"/>
          </w:tcPr>
          <w:p>
            <w:pPr>
              <w:pStyle w:val="TableContents"/>
              <w:spacing w:before="0" w:after="283"/>
              <w:rPr>
                <w:sz w:val="4"/>
                <w:szCs w:val="4"/>
              </w:rPr>
            </w:pPr>
            <w:r>
              <w:rPr>
                <w:sz w:val="4"/>
                <w:szCs w:val="4"/>
              </w:rPr>
            </w:r>
          </w:p>
        </w:tc>
        <w:tc>
          <w:tcPr>
            <w:tcW w:w="1066" w:type="dxa"/>
            <w:gridSpan w:val="3"/>
            <w:tcBorders/>
            <w:shd w:fill="auto" w:val="clear"/>
            <w:vAlign w:val="center"/>
          </w:tcPr>
          <w:p>
            <w:pPr>
              <w:pStyle w:val="TableContents"/>
              <w:spacing w:before="0" w:after="283"/>
              <w:rPr>
                <w:sz w:val="4"/>
                <w:szCs w:val="4"/>
              </w:rPr>
            </w:pPr>
            <w:r>
              <w:rPr>
                <w:sz w:val="4"/>
                <w:szCs w:val="4"/>
              </w:rPr>
            </w:r>
          </w:p>
        </w:tc>
        <w:tc>
          <w:tcPr>
            <w:tcW w:w="333"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7200" w:type="dxa"/>
            <w:gridSpan w:val="3"/>
            <w:tcBorders/>
            <w:shd w:fill="auto" w:val="clear"/>
            <w:vAlign w:val="center"/>
          </w:tcPr>
          <w:p>
            <w:pPr>
              <w:pStyle w:val="TableContents"/>
              <w:spacing w:before="0" w:after="283"/>
              <w:rPr>
                <w:sz w:val="4"/>
                <w:szCs w:val="4"/>
              </w:rPr>
            </w:pPr>
            <w:r>
              <w:rPr>
                <w:sz w:val="4"/>
                <w:szCs w:val="4"/>
              </w:rPr>
            </w:r>
          </w:p>
        </w:tc>
        <w:tc>
          <w:tcPr>
            <w:tcW w:w="1066" w:type="dxa"/>
            <w:gridSpan w:val="3"/>
            <w:tcBorders/>
            <w:shd w:fill="auto" w:val="clear"/>
            <w:vAlign w:val="center"/>
          </w:tcPr>
          <w:p>
            <w:pPr>
              <w:pStyle w:val="TableContents"/>
              <w:spacing w:before="0" w:after="283"/>
              <w:rPr>
                <w:sz w:val="4"/>
                <w:szCs w:val="4"/>
              </w:rPr>
            </w:pPr>
            <w:r>
              <w:rPr>
                <w:sz w:val="4"/>
                <w:szCs w:val="4"/>
              </w:rPr>
            </w:r>
          </w:p>
        </w:tc>
        <w:tc>
          <w:tcPr>
            <w:tcW w:w="333"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72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sale of oil and natural gas interests</w:t>
            </w:r>
          </w:p>
        </w:tc>
        <w:tc>
          <w:tcPr>
            <w:tcW w:w="95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(1,908)</w:t>
            </w:r>
          </w:p>
        </w:tc>
        <w:tc>
          <w:tcPr>
            <w:tcW w:w="1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29,336 </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00" w:type="dxa"/>
            <w:gridSpan w:val="3"/>
            <w:tcBorders/>
            <w:shd w:fill="auto" w:val="clear"/>
            <w:vAlign w:val="center"/>
          </w:tcPr>
          <w:p>
            <w:pPr>
              <w:pStyle w:val="TableContents"/>
              <w:spacing w:before="0" w:after="283"/>
              <w:rPr>
                <w:sz w:val="4"/>
                <w:szCs w:val="4"/>
              </w:rPr>
            </w:pPr>
            <w:r>
              <w:rPr>
                <w:sz w:val="4"/>
                <w:szCs w:val="4"/>
              </w:rPr>
            </w:r>
          </w:p>
        </w:tc>
        <w:tc>
          <w:tcPr>
            <w:tcW w:w="1066" w:type="dxa"/>
            <w:gridSpan w:val="3"/>
            <w:tcBorders/>
            <w:shd w:fill="auto" w:val="clear"/>
            <w:vAlign w:val="center"/>
          </w:tcPr>
          <w:p>
            <w:pPr>
              <w:pStyle w:val="TableContents"/>
              <w:spacing w:before="0" w:after="283"/>
              <w:rPr>
                <w:sz w:val="4"/>
                <w:szCs w:val="4"/>
              </w:rPr>
            </w:pPr>
            <w:r>
              <w:rPr>
                <w:sz w:val="4"/>
                <w:szCs w:val="4"/>
              </w:rPr>
            </w:r>
          </w:p>
        </w:tc>
        <w:tc>
          <w:tcPr>
            <w:tcW w:w="333"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72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95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1,200 </w:t>
            </w:r>
          </w:p>
        </w:tc>
        <w:tc>
          <w:tcPr>
            <w:tcW w:w="1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 investing activities</w:t>
            </w:r>
          </w:p>
        </w:tc>
        <w:tc>
          <w:tcPr>
            <w:tcW w:w="955"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(116,583)</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3"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31,957 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flows from financing activities:</w:t>
            </w:r>
          </w:p>
        </w:tc>
        <w:tc>
          <w:tcPr>
            <w:tcW w:w="106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2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borrowings under credit facility</w:t>
            </w:r>
          </w:p>
        </w:tc>
        <w:tc>
          <w:tcPr>
            <w:tcW w:w="95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118,000 </w:t>
            </w:r>
          </w:p>
        </w:tc>
        <w:tc>
          <w:tcPr>
            <w:tcW w:w="1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44,000 </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Repayment on credit facility</w:t>
            </w:r>
          </w:p>
        </w:tc>
        <w:tc>
          <w:tcPr>
            <w:tcW w:w="95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(100,000)</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00" w:type="dxa"/>
            <w:gridSpan w:val="3"/>
            <w:tcBorders/>
            <w:shd w:fill="auto" w:val="clear"/>
            <w:vAlign w:val="center"/>
          </w:tcPr>
          <w:p>
            <w:pPr>
              <w:pStyle w:val="TableContents"/>
              <w:spacing w:before="0" w:after="283"/>
              <w:rPr>
                <w:sz w:val="4"/>
                <w:szCs w:val="4"/>
              </w:rPr>
            </w:pPr>
            <w:r>
              <w:rPr>
                <w:sz w:val="4"/>
                <w:szCs w:val="4"/>
              </w:rPr>
            </w:r>
          </w:p>
        </w:tc>
        <w:tc>
          <w:tcPr>
            <w:tcW w:w="1066" w:type="dxa"/>
            <w:gridSpan w:val="3"/>
            <w:tcBorders/>
            <w:shd w:fill="auto" w:val="clear"/>
            <w:vAlign w:val="center"/>
          </w:tcPr>
          <w:p>
            <w:pPr>
              <w:pStyle w:val="TableContents"/>
              <w:spacing w:before="0" w:after="283"/>
              <w:rPr>
                <w:sz w:val="4"/>
                <w:szCs w:val="4"/>
              </w:rPr>
            </w:pPr>
            <w:r>
              <w:rPr>
                <w:sz w:val="4"/>
                <w:szCs w:val="4"/>
              </w:rPr>
            </w:r>
          </w:p>
        </w:tc>
        <w:tc>
          <w:tcPr>
            <w:tcW w:w="333"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7200" w:type="dxa"/>
            <w:gridSpan w:val="3"/>
            <w:tcBorders/>
            <w:shd w:fill="auto" w:val="clear"/>
            <w:vAlign w:val="center"/>
          </w:tcPr>
          <w:p>
            <w:pPr>
              <w:pStyle w:val="TableContents"/>
              <w:spacing w:before="0" w:after="283"/>
              <w:rPr>
                <w:sz w:val="4"/>
                <w:szCs w:val="4"/>
              </w:rPr>
            </w:pPr>
            <w:r>
              <w:rPr>
                <w:sz w:val="4"/>
                <w:szCs w:val="4"/>
              </w:rPr>
            </w:r>
          </w:p>
        </w:tc>
        <w:tc>
          <w:tcPr>
            <w:tcW w:w="1066" w:type="dxa"/>
            <w:gridSpan w:val="3"/>
            <w:tcBorders/>
            <w:shd w:fill="auto" w:val="clear"/>
            <w:vAlign w:val="center"/>
          </w:tcPr>
          <w:p>
            <w:pPr>
              <w:pStyle w:val="TableContents"/>
              <w:spacing w:before="0" w:after="283"/>
              <w:rPr>
                <w:sz w:val="4"/>
                <w:szCs w:val="4"/>
              </w:rPr>
            </w:pPr>
            <w:r>
              <w:rPr>
                <w:sz w:val="4"/>
                <w:szCs w:val="4"/>
              </w:rPr>
            </w:r>
          </w:p>
        </w:tc>
        <w:tc>
          <w:tcPr>
            <w:tcW w:w="333"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7200" w:type="dxa"/>
            <w:gridSpan w:val="3"/>
            <w:tcBorders/>
            <w:shd w:fill="auto" w:val="clear"/>
            <w:vAlign w:val="center"/>
          </w:tcPr>
          <w:p>
            <w:pPr>
              <w:pStyle w:val="TableContents"/>
              <w:spacing w:before="0" w:after="283"/>
              <w:rPr>
                <w:sz w:val="4"/>
                <w:szCs w:val="4"/>
              </w:rPr>
            </w:pPr>
            <w:r>
              <w:rPr>
                <w:sz w:val="4"/>
                <w:szCs w:val="4"/>
              </w:rPr>
            </w:r>
          </w:p>
        </w:tc>
        <w:tc>
          <w:tcPr>
            <w:tcW w:w="1066" w:type="dxa"/>
            <w:gridSpan w:val="3"/>
            <w:tcBorders/>
            <w:shd w:fill="auto" w:val="clear"/>
            <w:vAlign w:val="center"/>
          </w:tcPr>
          <w:p>
            <w:pPr>
              <w:pStyle w:val="TableContents"/>
              <w:spacing w:before="0" w:after="283"/>
              <w:rPr>
                <w:sz w:val="4"/>
                <w:szCs w:val="4"/>
              </w:rPr>
            </w:pPr>
            <w:r>
              <w:rPr>
                <w:sz w:val="4"/>
                <w:szCs w:val="4"/>
              </w:rPr>
            </w:r>
          </w:p>
        </w:tc>
        <w:tc>
          <w:tcPr>
            <w:tcW w:w="333"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7200" w:type="dxa"/>
            <w:gridSpan w:val="3"/>
            <w:tcBorders/>
            <w:shd w:fill="auto" w:val="clear"/>
            <w:vAlign w:val="center"/>
          </w:tcPr>
          <w:p>
            <w:pPr>
              <w:pStyle w:val="TableContents"/>
              <w:spacing w:before="0" w:after="283"/>
              <w:rPr>
                <w:sz w:val="4"/>
                <w:szCs w:val="4"/>
              </w:rPr>
            </w:pPr>
            <w:r>
              <w:rPr>
                <w:sz w:val="4"/>
                <w:szCs w:val="4"/>
              </w:rPr>
            </w:r>
          </w:p>
        </w:tc>
        <w:tc>
          <w:tcPr>
            <w:tcW w:w="1066" w:type="dxa"/>
            <w:gridSpan w:val="3"/>
            <w:tcBorders/>
            <w:shd w:fill="auto" w:val="clear"/>
            <w:vAlign w:val="center"/>
          </w:tcPr>
          <w:p>
            <w:pPr>
              <w:pStyle w:val="TableContents"/>
              <w:spacing w:before="0" w:after="283"/>
              <w:rPr>
                <w:sz w:val="4"/>
                <w:szCs w:val="4"/>
              </w:rPr>
            </w:pPr>
            <w:r>
              <w:rPr>
                <w:sz w:val="4"/>
                <w:szCs w:val="4"/>
              </w:rPr>
            </w:r>
          </w:p>
        </w:tc>
        <w:tc>
          <w:tcPr>
            <w:tcW w:w="333"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7200" w:type="dxa"/>
            <w:gridSpan w:val="3"/>
            <w:tcBorders/>
            <w:shd w:fill="auto" w:val="clear"/>
            <w:vAlign w:val="center"/>
          </w:tcPr>
          <w:p>
            <w:pPr>
              <w:pStyle w:val="TableContents"/>
              <w:spacing w:before="0" w:after="283"/>
              <w:rPr>
                <w:sz w:val="4"/>
                <w:szCs w:val="4"/>
              </w:rPr>
            </w:pPr>
            <w:r>
              <w:rPr>
                <w:sz w:val="4"/>
                <w:szCs w:val="4"/>
              </w:rPr>
            </w:r>
          </w:p>
        </w:tc>
        <w:tc>
          <w:tcPr>
            <w:tcW w:w="1066" w:type="dxa"/>
            <w:gridSpan w:val="3"/>
            <w:tcBorders/>
            <w:shd w:fill="auto" w:val="clear"/>
            <w:vAlign w:val="center"/>
          </w:tcPr>
          <w:p>
            <w:pPr>
              <w:pStyle w:val="TableContents"/>
              <w:spacing w:before="0" w:after="283"/>
              <w:rPr>
                <w:sz w:val="4"/>
                <w:szCs w:val="4"/>
              </w:rPr>
            </w:pPr>
            <w:r>
              <w:rPr>
                <w:sz w:val="4"/>
                <w:szCs w:val="4"/>
              </w:rPr>
            </w:r>
          </w:p>
        </w:tc>
        <w:tc>
          <w:tcPr>
            <w:tcW w:w="333"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7200" w:type="dxa"/>
            <w:gridSpan w:val="3"/>
            <w:tcBorders/>
            <w:shd w:fill="auto" w:val="clear"/>
            <w:vAlign w:val="center"/>
          </w:tcPr>
          <w:p>
            <w:pPr>
              <w:pStyle w:val="TableContents"/>
              <w:spacing w:before="0" w:after="283"/>
              <w:rPr>
                <w:sz w:val="4"/>
                <w:szCs w:val="4"/>
              </w:rPr>
            </w:pPr>
            <w:r>
              <w:rPr>
                <w:sz w:val="4"/>
                <w:szCs w:val="4"/>
              </w:rPr>
            </w:r>
          </w:p>
        </w:tc>
        <w:tc>
          <w:tcPr>
            <w:tcW w:w="1066" w:type="dxa"/>
            <w:gridSpan w:val="3"/>
            <w:tcBorders/>
            <w:shd w:fill="auto" w:val="clear"/>
            <w:vAlign w:val="center"/>
          </w:tcPr>
          <w:p>
            <w:pPr>
              <w:pStyle w:val="TableContents"/>
              <w:spacing w:before="0" w:after="283"/>
              <w:rPr>
                <w:sz w:val="4"/>
                <w:szCs w:val="4"/>
              </w:rPr>
            </w:pPr>
            <w:r>
              <w:rPr>
                <w:sz w:val="4"/>
                <w:szCs w:val="4"/>
              </w:rPr>
            </w:r>
          </w:p>
        </w:tc>
        <w:tc>
          <w:tcPr>
            <w:tcW w:w="333"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7200" w:type="dxa"/>
            <w:gridSpan w:val="3"/>
            <w:tcBorders/>
            <w:shd w:fill="auto" w:val="clear"/>
            <w:vAlign w:val="center"/>
          </w:tcPr>
          <w:p>
            <w:pPr>
              <w:pStyle w:val="TableContents"/>
              <w:spacing w:before="0" w:after="283"/>
              <w:rPr>
                <w:sz w:val="4"/>
                <w:szCs w:val="4"/>
              </w:rPr>
            </w:pPr>
            <w:r>
              <w:rPr>
                <w:sz w:val="4"/>
                <w:szCs w:val="4"/>
              </w:rPr>
            </w:r>
          </w:p>
        </w:tc>
        <w:tc>
          <w:tcPr>
            <w:tcW w:w="1066" w:type="dxa"/>
            <w:gridSpan w:val="3"/>
            <w:tcBorders/>
            <w:shd w:fill="auto" w:val="clear"/>
            <w:vAlign w:val="center"/>
          </w:tcPr>
          <w:p>
            <w:pPr>
              <w:pStyle w:val="TableContents"/>
              <w:spacing w:before="0" w:after="283"/>
              <w:rPr>
                <w:sz w:val="4"/>
                <w:szCs w:val="4"/>
              </w:rPr>
            </w:pPr>
            <w:r>
              <w:rPr>
                <w:sz w:val="4"/>
                <w:szCs w:val="4"/>
              </w:rPr>
            </w:r>
          </w:p>
        </w:tc>
        <w:tc>
          <w:tcPr>
            <w:tcW w:w="333"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7200" w:type="dxa"/>
            <w:gridSpan w:val="3"/>
            <w:tcBorders/>
            <w:shd w:fill="auto" w:val="clear"/>
            <w:vAlign w:val="center"/>
          </w:tcPr>
          <w:p>
            <w:pPr>
              <w:pStyle w:val="TableContents"/>
              <w:spacing w:before="0" w:after="283"/>
              <w:rPr>
                <w:sz w:val="4"/>
                <w:szCs w:val="4"/>
              </w:rPr>
            </w:pPr>
            <w:r>
              <w:rPr>
                <w:sz w:val="4"/>
                <w:szCs w:val="4"/>
              </w:rPr>
            </w:r>
          </w:p>
        </w:tc>
        <w:tc>
          <w:tcPr>
            <w:tcW w:w="1066" w:type="dxa"/>
            <w:gridSpan w:val="3"/>
            <w:tcBorders/>
            <w:shd w:fill="auto" w:val="clear"/>
            <w:vAlign w:val="center"/>
          </w:tcPr>
          <w:p>
            <w:pPr>
              <w:pStyle w:val="TableContents"/>
              <w:spacing w:before="0" w:after="283"/>
              <w:rPr>
                <w:sz w:val="4"/>
                <w:szCs w:val="4"/>
              </w:rPr>
            </w:pPr>
            <w:r>
              <w:rPr>
                <w:sz w:val="4"/>
                <w:szCs w:val="4"/>
              </w:rPr>
            </w:r>
          </w:p>
        </w:tc>
        <w:tc>
          <w:tcPr>
            <w:tcW w:w="333"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7200" w:type="dxa"/>
            <w:gridSpan w:val="3"/>
            <w:tcBorders/>
            <w:shd w:fill="auto" w:val="clear"/>
            <w:vAlign w:val="center"/>
          </w:tcPr>
          <w:p>
            <w:pPr>
              <w:pStyle w:val="TableContents"/>
              <w:spacing w:before="0" w:after="283"/>
              <w:rPr>
                <w:sz w:val="4"/>
                <w:szCs w:val="4"/>
              </w:rPr>
            </w:pPr>
            <w:r>
              <w:rPr>
                <w:sz w:val="4"/>
                <w:szCs w:val="4"/>
              </w:rPr>
            </w:r>
          </w:p>
        </w:tc>
        <w:tc>
          <w:tcPr>
            <w:tcW w:w="1066" w:type="dxa"/>
            <w:gridSpan w:val="3"/>
            <w:tcBorders/>
            <w:shd w:fill="auto" w:val="clear"/>
            <w:vAlign w:val="center"/>
          </w:tcPr>
          <w:p>
            <w:pPr>
              <w:pStyle w:val="TableContents"/>
              <w:spacing w:before="0" w:after="283"/>
              <w:rPr>
                <w:sz w:val="4"/>
                <w:szCs w:val="4"/>
              </w:rPr>
            </w:pPr>
            <w:r>
              <w:rPr>
                <w:sz w:val="4"/>
                <w:szCs w:val="4"/>
              </w:rPr>
            </w:r>
          </w:p>
        </w:tc>
        <w:tc>
          <w:tcPr>
            <w:tcW w:w="333"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7200" w:type="dxa"/>
            <w:gridSpan w:val="3"/>
            <w:tcBorders/>
            <w:shd w:fill="auto" w:val="clear"/>
            <w:vAlign w:val="center"/>
          </w:tcPr>
          <w:p>
            <w:pPr>
              <w:pStyle w:val="TableContents"/>
              <w:spacing w:before="0" w:after="283"/>
              <w:rPr>
                <w:sz w:val="4"/>
                <w:szCs w:val="4"/>
              </w:rPr>
            </w:pPr>
            <w:r>
              <w:rPr>
                <w:sz w:val="4"/>
                <w:szCs w:val="4"/>
              </w:rPr>
            </w:r>
          </w:p>
        </w:tc>
        <w:tc>
          <w:tcPr>
            <w:tcW w:w="1066" w:type="dxa"/>
            <w:gridSpan w:val="3"/>
            <w:tcBorders/>
            <w:shd w:fill="auto" w:val="clear"/>
            <w:vAlign w:val="center"/>
          </w:tcPr>
          <w:p>
            <w:pPr>
              <w:pStyle w:val="TableContents"/>
              <w:spacing w:before="0" w:after="283"/>
              <w:rPr>
                <w:sz w:val="4"/>
                <w:szCs w:val="4"/>
              </w:rPr>
            </w:pPr>
            <w:r>
              <w:rPr>
                <w:sz w:val="4"/>
                <w:szCs w:val="4"/>
              </w:rPr>
            </w:r>
          </w:p>
        </w:tc>
        <w:tc>
          <w:tcPr>
            <w:tcW w:w="333"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72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Repurchased units as part of unit buyback</w:t>
            </w:r>
          </w:p>
        </w:tc>
        <w:tc>
          <w:tcPr>
            <w:tcW w:w="95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(33,022)</w:t>
            </w:r>
          </w:p>
        </w:tc>
        <w:tc>
          <w:tcPr>
            <w:tcW w:w="1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(39,260)</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Distributions to public </w:t>
            </w:r>
          </w:p>
        </w:tc>
        <w:tc>
          <w:tcPr>
            <w:tcW w:w="95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(35,325)</w:t>
            </w:r>
          </w:p>
        </w:tc>
        <w:tc>
          <w:tcPr>
            <w:tcW w:w="1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(35,894)</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Distributions to Diamondback </w:t>
            </w:r>
          </w:p>
        </w:tc>
        <w:tc>
          <w:tcPr>
            <w:tcW w:w="95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(49,366)</w:t>
            </w:r>
          </w:p>
        </w:tc>
        <w:tc>
          <w:tcPr>
            <w:tcW w:w="1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(43,003)</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95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1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 financing activities</w:t>
            </w:r>
          </w:p>
        </w:tc>
        <w:tc>
          <w:tcPr>
            <w:tcW w:w="955"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3"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(174,177)</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increase (decrease) in cash and cash equivalents</w:t>
            </w:r>
          </w:p>
        </w:tc>
        <w:tc>
          <w:tcPr>
            <w:tcW w:w="95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(9,073)</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3"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(6,382)</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cash equivalents and restricted cash at beginning of period</w:t>
            </w:r>
          </w:p>
        </w:tc>
        <w:tc>
          <w:tcPr>
            <w:tcW w:w="95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18,179 </w:t>
            </w:r>
          </w:p>
        </w:tc>
        <w:tc>
          <w:tcPr>
            <w:tcW w:w="1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39,448 </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cash equivalents and restricted cash at end of period</w:t>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9,106 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33,066 </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r>
        <w:trPr/>
        <w:tc>
          <w:tcPr>
            <w:tcW w:w="7200" w:type="dxa"/>
            <w:gridSpan w:val="3"/>
            <w:tcBorders/>
            <w:shd w:fill="auto" w:val="clear"/>
            <w:vAlign w:val="center"/>
          </w:tcPr>
          <w:p>
            <w:pPr>
              <w:pStyle w:val="TableContents"/>
              <w:spacing w:before="0" w:after="283"/>
              <w:rPr>
                <w:sz w:val="4"/>
                <w:szCs w:val="4"/>
              </w:rPr>
            </w:pPr>
            <w:r>
              <w:rPr>
                <w:sz w:val="4"/>
                <w:szCs w:val="4"/>
              </w:rPr>
            </w:r>
          </w:p>
        </w:tc>
        <w:tc>
          <w:tcPr>
            <w:tcW w:w="1066" w:type="dxa"/>
            <w:gridSpan w:val="3"/>
            <w:tcBorders/>
            <w:shd w:fill="auto" w:val="clear"/>
            <w:vAlign w:val="center"/>
          </w:tcPr>
          <w:p>
            <w:pPr>
              <w:pStyle w:val="TableContents"/>
              <w:spacing w:before="0" w:after="283"/>
              <w:rPr>
                <w:sz w:val="4"/>
                <w:szCs w:val="4"/>
              </w:rPr>
            </w:pPr>
            <w:r>
              <w:rPr>
                <w:sz w:val="4"/>
                <w:szCs w:val="4"/>
              </w:rPr>
            </w:r>
          </w:p>
        </w:tc>
        <w:tc>
          <w:tcPr>
            <w:tcW w:w="333"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7200" w:type="dxa"/>
            <w:gridSpan w:val="3"/>
            <w:tcBorders/>
            <w:shd w:fill="auto" w:val="clear"/>
            <w:vAlign w:val="center"/>
          </w:tcPr>
          <w:p>
            <w:pPr>
              <w:pStyle w:val="TableContents"/>
              <w:spacing w:before="0" w:after="283"/>
              <w:rPr>
                <w:sz w:val="4"/>
                <w:szCs w:val="4"/>
              </w:rPr>
            </w:pPr>
            <w:r>
              <w:rPr>
                <w:sz w:val="4"/>
                <w:szCs w:val="4"/>
              </w:rPr>
            </w:r>
          </w:p>
        </w:tc>
        <w:tc>
          <w:tcPr>
            <w:tcW w:w="1066" w:type="dxa"/>
            <w:gridSpan w:val="3"/>
            <w:tcBorders/>
            <w:shd w:fill="auto" w:val="clear"/>
            <w:vAlign w:val="center"/>
          </w:tcPr>
          <w:p>
            <w:pPr>
              <w:pStyle w:val="TableContents"/>
              <w:spacing w:before="0" w:after="283"/>
              <w:rPr>
                <w:sz w:val="4"/>
                <w:szCs w:val="4"/>
              </w:rPr>
            </w:pPr>
            <w:r>
              <w:rPr>
                <w:sz w:val="4"/>
                <w:szCs w:val="4"/>
              </w:rPr>
            </w:r>
          </w:p>
        </w:tc>
        <w:tc>
          <w:tcPr>
            <w:tcW w:w="333"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7200" w:type="dxa"/>
            <w:gridSpan w:val="3"/>
            <w:tcBorders/>
            <w:shd w:fill="auto" w:val="clear"/>
            <w:vAlign w:val="center"/>
          </w:tcPr>
          <w:p>
            <w:pPr>
              <w:pStyle w:val="TableContents"/>
              <w:spacing w:before="0" w:after="283"/>
              <w:rPr>
                <w:sz w:val="4"/>
                <w:szCs w:val="4"/>
              </w:rPr>
            </w:pPr>
            <w:r>
              <w:rPr>
                <w:sz w:val="4"/>
                <w:szCs w:val="4"/>
              </w:rPr>
            </w:r>
          </w:p>
        </w:tc>
        <w:tc>
          <w:tcPr>
            <w:tcW w:w="1066" w:type="dxa"/>
            <w:gridSpan w:val="3"/>
            <w:tcBorders/>
            <w:shd w:fill="auto" w:val="clear"/>
            <w:vAlign w:val="center"/>
          </w:tcPr>
          <w:p>
            <w:pPr>
              <w:pStyle w:val="TableContents"/>
              <w:spacing w:before="0" w:after="283"/>
              <w:rPr>
                <w:sz w:val="4"/>
                <w:szCs w:val="4"/>
              </w:rPr>
            </w:pPr>
            <w:r>
              <w:rPr>
                <w:sz w:val="4"/>
                <w:szCs w:val="4"/>
              </w:rPr>
            </w:r>
          </w:p>
        </w:tc>
        <w:tc>
          <w:tcPr>
            <w:tcW w:w="333"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7200" w:type="dxa"/>
            <w:gridSpan w:val="3"/>
            <w:tcBorders/>
            <w:shd w:fill="auto" w:val="clear"/>
            <w:vAlign w:val="center"/>
          </w:tcPr>
          <w:p>
            <w:pPr>
              <w:pStyle w:val="TableContents"/>
              <w:spacing w:before="0" w:after="283"/>
              <w:rPr>
                <w:sz w:val="4"/>
                <w:szCs w:val="4"/>
              </w:rPr>
            </w:pPr>
            <w:r>
              <w:rPr>
                <w:sz w:val="4"/>
                <w:szCs w:val="4"/>
              </w:rPr>
            </w:r>
          </w:p>
        </w:tc>
        <w:tc>
          <w:tcPr>
            <w:tcW w:w="1066" w:type="dxa"/>
            <w:gridSpan w:val="3"/>
            <w:tcBorders/>
            <w:shd w:fill="auto" w:val="clear"/>
            <w:vAlign w:val="center"/>
          </w:tcPr>
          <w:p>
            <w:pPr>
              <w:pStyle w:val="TableContents"/>
              <w:spacing w:before="0" w:after="283"/>
              <w:rPr>
                <w:sz w:val="4"/>
                <w:szCs w:val="4"/>
              </w:rPr>
            </w:pPr>
            <w:r>
              <w:rPr>
                <w:sz w:val="4"/>
                <w:szCs w:val="4"/>
              </w:rPr>
            </w:r>
          </w:p>
        </w:tc>
        <w:tc>
          <w:tcPr>
            <w:tcW w:w="333"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7200" w:type="dxa"/>
            <w:gridSpan w:val="3"/>
            <w:tcBorders/>
            <w:shd w:fill="auto" w:val="clear"/>
            <w:vAlign w:val="center"/>
          </w:tcPr>
          <w:p>
            <w:pPr>
              <w:pStyle w:val="TableContents"/>
              <w:spacing w:before="0" w:after="283"/>
              <w:rPr>
                <w:sz w:val="4"/>
                <w:szCs w:val="4"/>
              </w:rPr>
            </w:pPr>
            <w:r>
              <w:rPr>
                <w:sz w:val="4"/>
                <w:szCs w:val="4"/>
              </w:rPr>
            </w:r>
          </w:p>
        </w:tc>
        <w:tc>
          <w:tcPr>
            <w:tcW w:w="1066" w:type="dxa"/>
            <w:gridSpan w:val="3"/>
            <w:tcBorders/>
            <w:shd w:fill="auto" w:val="clear"/>
            <w:vAlign w:val="center"/>
          </w:tcPr>
          <w:p>
            <w:pPr>
              <w:pStyle w:val="TableContents"/>
              <w:spacing w:before="0" w:after="283"/>
              <w:rPr>
                <w:sz w:val="4"/>
                <w:szCs w:val="4"/>
              </w:rPr>
            </w:pPr>
            <w:r>
              <w:rPr>
                <w:sz w:val="4"/>
                <w:szCs w:val="4"/>
              </w:rPr>
            </w:r>
          </w:p>
        </w:tc>
        <w:tc>
          <w:tcPr>
            <w:tcW w:w="333"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7200" w:type="dxa"/>
            <w:gridSpan w:val="3"/>
            <w:tcBorders/>
            <w:shd w:fill="auto" w:val="clear"/>
            <w:vAlign w:val="center"/>
          </w:tcPr>
          <w:p>
            <w:pPr>
              <w:pStyle w:val="TableContents"/>
              <w:spacing w:before="0" w:after="283"/>
              <w:rPr>
                <w:sz w:val="4"/>
                <w:szCs w:val="4"/>
              </w:rPr>
            </w:pPr>
            <w:r>
              <w:rPr>
                <w:sz w:val="4"/>
                <w:szCs w:val="4"/>
              </w:rPr>
            </w:r>
          </w:p>
        </w:tc>
        <w:tc>
          <w:tcPr>
            <w:tcW w:w="1066" w:type="dxa"/>
            <w:gridSpan w:val="3"/>
            <w:tcBorders/>
            <w:shd w:fill="auto" w:val="clear"/>
            <w:vAlign w:val="center"/>
          </w:tcPr>
          <w:p>
            <w:pPr>
              <w:pStyle w:val="TableContents"/>
              <w:spacing w:before="0" w:after="283"/>
              <w:rPr>
                <w:sz w:val="4"/>
                <w:szCs w:val="4"/>
              </w:rPr>
            </w:pPr>
            <w:r>
              <w:rPr>
                <w:sz w:val="4"/>
                <w:szCs w:val="4"/>
              </w:rPr>
            </w:r>
          </w:p>
        </w:tc>
        <w:tc>
          <w:tcPr>
            <w:tcW w:w="333"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7200" w:type="dxa"/>
            <w:gridSpan w:val="3"/>
            <w:tcBorders/>
            <w:shd w:fill="auto" w:val="clear"/>
            <w:vAlign w:val="center"/>
          </w:tcPr>
          <w:p>
            <w:pPr>
              <w:pStyle w:val="TableContents"/>
              <w:spacing w:before="0" w:after="283"/>
              <w:rPr>
                <w:sz w:val="4"/>
                <w:szCs w:val="4"/>
              </w:rPr>
            </w:pPr>
            <w:r>
              <w:rPr>
                <w:sz w:val="4"/>
                <w:szCs w:val="4"/>
              </w:rPr>
            </w:r>
          </w:p>
        </w:tc>
        <w:tc>
          <w:tcPr>
            <w:tcW w:w="1066" w:type="dxa"/>
            <w:gridSpan w:val="3"/>
            <w:tcBorders/>
            <w:shd w:fill="auto" w:val="clear"/>
            <w:vAlign w:val="center"/>
          </w:tcPr>
          <w:p>
            <w:pPr>
              <w:pStyle w:val="TableContents"/>
              <w:spacing w:before="0" w:after="283"/>
              <w:rPr>
                <w:sz w:val="4"/>
                <w:szCs w:val="4"/>
              </w:rPr>
            </w:pPr>
            <w:r>
              <w:rPr>
                <w:sz w:val="4"/>
                <w:szCs w:val="4"/>
              </w:rPr>
            </w:r>
          </w:p>
        </w:tc>
        <w:tc>
          <w:tcPr>
            <w:tcW w:w="333"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7200" w:type="dxa"/>
            <w:gridSpan w:val="3"/>
            <w:tcBorders/>
            <w:shd w:fill="auto" w:val="clear"/>
            <w:vAlign w:val="center"/>
          </w:tcPr>
          <w:p>
            <w:pPr>
              <w:pStyle w:val="TableContents"/>
              <w:spacing w:before="0" w:after="283"/>
              <w:rPr>
                <w:sz w:val="4"/>
                <w:szCs w:val="4"/>
              </w:rPr>
            </w:pPr>
            <w:r>
              <w:rPr>
                <w:sz w:val="4"/>
                <w:szCs w:val="4"/>
              </w:rPr>
            </w:r>
          </w:p>
        </w:tc>
        <w:tc>
          <w:tcPr>
            <w:tcW w:w="1066" w:type="dxa"/>
            <w:gridSpan w:val="3"/>
            <w:tcBorders/>
            <w:shd w:fill="auto" w:val="clear"/>
            <w:vAlign w:val="center"/>
          </w:tcPr>
          <w:p>
            <w:pPr>
              <w:pStyle w:val="TableContents"/>
              <w:spacing w:before="0" w:after="283"/>
              <w:rPr>
                <w:sz w:val="4"/>
                <w:szCs w:val="4"/>
              </w:rPr>
            </w:pPr>
            <w:r>
              <w:rPr>
                <w:sz w:val="4"/>
                <w:szCs w:val="4"/>
              </w:rPr>
            </w:r>
          </w:p>
        </w:tc>
        <w:tc>
          <w:tcPr>
            <w:tcW w:w="333"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7200" w:type="dxa"/>
            <w:gridSpan w:val="3"/>
            <w:tcBorders/>
            <w:shd w:fill="auto" w:val="clear"/>
            <w:vAlign w:val="center"/>
          </w:tcPr>
          <w:p>
            <w:pPr>
              <w:pStyle w:val="TableContents"/>
              <w:spacing w:before="0" w:after="283"/>
              <w:rPr>
                <w:sz w:val="4"/>
                <w:szCs w:val="4"/>
              </w:rPr>
            </w:pPr>
            <w:r>
              <w:rPr>
                <w:sz w:val="4"/>
                <w:szCs w:val="4"/>
              </w:rPr>
            </w:r>
          </w:p>
        </w:tc>
        <w:tc>
          <w:tcPr>
            <w:tcW w:w="1066" w:type="dxa"/>
            <w:gridSpan w:val="3"/>
            <w:tcBorders/>
            <w:shd w:fill="auto" w:val="clear"/>
            <w:vAlign w:val="center"/>
          </w:tcPr>
          <w:p>
            <w:pPr>
              <w:pStyle w:val="TableContents"/>
              <w:spacing w:before="0" w:after="283"/>
              <w:rPr>
                <w:sz w:val="4"/>
                <w:szCs w:val="4"/>
              </w:rPr>
            </w:pPr>
            <w:r>
              <w:rPr>
                <w:sz w:val="4"/>
                <w:szCs w:val="4"/>
              </w:rPr>
            </w:r>
          </w:p>
        </w:tc>
        <w:tc>
          <w:tcPr>
            <w:tcW w:w="333"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7200" w:type="dxa"/>
            <w:gridSpan w:val="3"/>
            <w:tcBorders/>
            <w:shd w:fill="auto" w:val="clear"/>
            <w:vAlign w:val="center"/>
          </w:tcPr>
          <w:p>
            <w:pPr>
              <w:pStyle w:val="TableContents"/>
              <w:spacing w:before="0" w:after="283"/>
              <w:rPr>
                <w:sz w:val="4"/>
                <w:szCs w:val="4"/>
              </w:rPr>
            </w:pPr>
            <w:r>
              <w:rPr>
                <w:sz w:val="4"/>
                <w:szCs w:val="4"/>
              </w:rPr>
            </w:r>
          </w:p>
        </w:tc>
        <w:tc>
          <w:tcPr>
            <w:tcW w:w="1066" w:type="dxa"/>
            <w:gridSpan w:val="3"/>
            <w:tcBorders/>
            <w:shd w:fill="auto" w:val="clear"/>
            <w:vAlign w:val="center"/>
          </w:tcPr>
          <w:p>
            <w:pPr>
              <w:pStyle w:val="TableContents"/>
              <w:spacing w:before="0" w:after="283"/>
              <w:rPr>
                <w:sz w:val="4"/>
                <w:szCs w:val="4"/>
              </w:rPr>
            </w:pPr>
            <w:r>
              <w:rPr>
                <w:sz w:val="4"/>
                <w:szCs w:val="4"/>
              </w:rPr>
            </w:r>
          </w:p>
        </w:tc>
        <w:tc>
          <w:tcPr>
            <w:tcW w:w="333"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bl>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condensed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v:rect>
            </w:pict>
          </mc:Fallback>
        </mc:AlternateContent>
      </w:r>
    </w:p>
    <w:p>
      <w:pPr>
        <w:pStyle w:val="TextBody"/>
        <w:spacing w:lineRule="auto" w:line="288" w:before="0" w:after="0"/>
        <w:rPr/>
      </w:pPr>
      <w:hyperlink w:anchor="i8dd89f0c72444a288e2bb25168f12b04_7">
        <w:r>
          <w:rPr>
            <w:rStyle w:val="InternetLink"/>
            <w:rFonts w:ascii="Times New Roman;sans-serif" w:hAnsi="Times New Roman;sans-serif"/>
            <w:b w:val="false"/>
            <w:color w:val="0000FF"/>
            <w:sz w:val="16"/>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Viper Energy Partners LP</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Notes to Consolidated Financial Statements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spacing w:before="0" w:after="0"/>
        <w:jc w:val="both"/>
        <w:rPr/>
      </w:pPr>
      <w:r>
        <w:rPr/>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1.    ORGANIZATION AND BASIS OF PRESENTATION</w:t>
      </w:r>
    </w:p>
    <w:p>
      <w:pPr>
        <w:pStyle w:val="TextBody"/>
        <w:spacing w:before="0" w:after="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Organization</w:t>
      </w:r>
    </w:p>
    <w:p>
      <w:pPr>
        <w:pStyle w:val="TextBody"/>
        <w:spacing w:before="0" w:after="0"/>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Viper Energy Partners LP (the “Partnership”) is a publicly traded Delaware limited partnership focused on owning and acquiring mineral interests and royalty interests in oil and natural gas properties primarily in the Permian Basin. </w:t>
      </w:r>
    </w:p>
    <w:p>
      <w:pPr>
        <w:pStyle w:val="TextBody"/>
        <w:spacing w:before="0" w:after="0"/>
        <w:ind w:left="0" w:right="0" w:firstLine="720"/>
        <w:jc w:val="both"/>
        <w:rPr/>
      </w:pPr>
      <w:r>
        <w:rPr/>
      </w:r>
    </w:p>
    <w:p>
      <w:pPr>
        <w:pStyle w:val="TextBody"/>
        <w:spacing w:lineRule="auto" w:line="288" w:before="0" w:after="0"/>
        <w:ind w:left="0" w:right="0" w:firstLine="720"/>
        <w:jc w:val="both"/>
        <w:rPr/>
      </w:pPr>
      <w:r>
        <w:rPr>
          <w:rFonts w:ascii="Times New Roman;sans-serif" w:hAnsi="Times New Roman;sans-serif"/>
          <w:b w:val="false"/>
          <w:color w:val="000000"/>
          <w:sz w:val="20"/>
        </w:rPr>
        <w:t>As of March 31, 2023, Viper Energy Partners GP LLC (the “General Partner”) held a 100% general partner interest in the Partnership and Diamondback Energy, Inc. (“Diamondback”) beneficially owned approximately 56% of th</w:t>
      </w:r>
      <w:r>
        <w:rPr>
          <w:rFonts w:ascii="Times New Roman;sans-serif" w:hAnsi="Times New Roman;sans-serif"/>
          <w:b w:val="false"/>
          <w:color w:val="000000"/>
          <w:sz w:val="20"/>
          <w:highlight w:val="white"/>
        </w:rPr>
        <w:t>e Partnership’s total</w:t>
      </w:r>
      <w:r>
        <w:rPr>
          <w:color w:val="000000"/>
        </w:rPr>
        <w:t xml:space="preserve"> </w:t>
      </w:r>
      <w:r>
        <w:rPr>
          <w:rFonts w:ascii="Times New Roman;sans-serif" w:hAnsi="Times New Roman;sans-serif"/>
          <w:b w:val="false"/>
          <w:color w:val="000000"/>
          <w:sz w:val="20"/>
        </w:rPr>
        <w:t xml:space="preserve">limited partner units outstanding. Diamondback owns and controls the General Partner. </w:t>
      </w:r>
    </w:p>
    <w:p>
      <w:pPr>
        <w:pStyle w:val="TextBody"/>
        <w:spacing w:before="0" w:after="0"/>
        <w:ind w:left="0" w:right="0" w:firstLine="72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 xml:space="preserve">Basis of Presentation </w:t>
      </w:r>
    </w:p>
    <w:p>
      <w:pPr>
        <w:pStyle w:val="TextBody"/>
        <w:spacing w:before="0" w:after="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accompanying condensed consolidated financial statements and related notes thereto were prepared in accordance with GAAP. All material intercompany balances and transactions have been eliminated upon consolidation. We report our operations in one reportable segment.</w:t>
      </w:r>
    </w:p>
    <w:p>
      <w:pPr>
        <w:pStyle w:val="TextBody"/>
        <w:spacing w:before="0" w:after="0"/>
        <w:ind w:left="0" w:right="0" w:firstLine="720"/>
        <w:jc w:val="both"/>
        <w:rPr/>
      </w:pPr>
      <w:r>
        <w:rPr/>
      </w:r>
    </w:p>
    <w:p>
      <w:pPr>
        <w:pStyle w:val="TextBody"/>
        <w:spacing w:lineRule="auto" w:line="288" w:before="0" w:after="0"/>
        <w:ind w:left="0" w:right="0" w:firstLine="720"/>
        <w:jc w:val="both"/>
        <w:rPr/>
      </w:pPr>
      <w:r>
        <w:rPr>
          <w:rFonts w:ascii="Times New Roman;sans-serif" w:hAnsi="Times New Roman;sans-serif"/>
          <w:b w:val="false"/>
          <w:color w:val="000000"/>
          <w:sz w:val="20"/>
        </w:rPr>
        <w:t xml:space="preserve">These condensed consolidated financial statements have been prepared by the Partnership without audit, pursuant to the rules and regulations of the SEC. They reflect all adjustments that are, in the opinion of management, necessary for a fair statement of the results for interim periods, on a basis consistent with the annual audited financial statements. All such adjustments are of a normal recurring nature. Certain information, accounting policies and footnote disclosures normally included in financial statements prepared in accordance with GAAP have been omitted pursuant to SEC rules and regulations, although the Partnership believes the disclosures are adequate to make the information presented not misleading. This report should be read in conjunction with the Partnership’s most recent </w:t>
      </w:r>
      <w:hyperlink r:id="rId2">
        <w:r>
          <w:rPr>
            <w:rStyle w:val="InternetLink"/>
            <w:rFonts w:ascii="Times New Roman;sans-serif" w:hAnsi="Times New Roman;sans-serif"/>
            <w:b w:val="false"/>
            <w:color w:val="0000FF"/>
            <w:sz w:val="20"/>
            <w:u w:val="single"/>
          </w:rPr>
          <w:t>Annual Report on Form 10–K</w:t>
        </w:r>
      </w:hyperlink>
      <w:r>
        <w:rPr>
          <w:color w:val="000000"/>
        </w:rPr>
        <w:t xml:space="preserve"> </w:t>
      </w:r>
      <w:r>
        <w:rPr>
          <w:rFonts w:ascii="Times New Roman;sans-serif" w:hAnsi="Times New Roman;sans-serif"/>
          <w:b w:val="false"/>
          <w:color w:val="000000"/>
          <w:sz w:val="20"/>
        </w:rPr>
        <w:t>for the fiscal year ended December 31, 2022, which contains a summary of the Partnership’s significant accounting policies and other disclosures.</w:t>
      </w:r>
    </w:p>
    <w:p>
      <w:pPr>
        <w:pStyle w:val="TextBody"/>
        <w:spacing w:before="0" w:after="0"/>
        <w:ind w:left="0" w:right="0" w:firstLine="72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Reclassifications</w:t>
      </w:r>
    </w:p>
    <w:p>
      <w:pPr>
        <w:pStyle w:val="TextBody"/>
        <w:spacing w:before="0" w:after="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Certain prior period amounts have been reclassified to conform to the current period financial statement presentation. These reclassifications had no effect on the previously reported total assets, total liabilities, unitholders’ equity, results of operations or cash flows.</w:t>
      </w:r>
    </w:p>
    <w:p>
      <w:pPr>
        <w:pStyle w:val="TextBody"/>
        <w:spacing w:before="0" w:after="0"/>
        <w:ind w:left="0" w:right="0" w:firstLine="72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2.    SUMMARY OF SIGNIFICANT ACCOUNTING POLICIES</w:t>
      </w:r>
    </w:p>
    <w:p>
      <w:pPr>
        <w:pStyle w:val="TextBody"/>
        <w:spacing w:before="0" w:after="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 xml:space="preserve">Use of Estimates </w:t>
      </w:r>
    </w:p>
    <w:p>
      <w:pPr>
        <w:pStyle w:val="TextBody"/>
        <w:spacing w:before="0" w:after="0"/>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Certain amounts included in or affecting the Partnership’s financial statements and related disclosures must be estimated by management, requiring certain assumptions to be made with respect to values or conditions that cannot be known with certainty at the time the financial statements are prepared. These estimates and assumptions affect the amounts the Partnership reports for assets and liabilities and the Partnership’s disclosure of contingent assets and liabilities as of the date of the financial statements.</w:t>
      </w:r>
    </w:p>
    <w:p>
      <w:pPr>
        <w:pStyle w:val="TextBody"/>
        <w:spacing w:before="0" w:after="0"/>
        <w:ind w:left="0" w:right="0" w:firstLine="720"/>
        <w:jc w:val="both"/>
        <w:rPr/>
      </w:pPr>
      <w:r>
        <w:rPr/>
      </w:r>
    </w:p>
    <w:p>
      <w:pPr>
        <w:pStyle w:val="TextBody"/>
        <w:spacing w:lineRule="auto" w:line="27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Making accurate estimates and assumptions is particularly difficult in the oil and natural gas industry given the challenges resulting from volatility in oil and natural gas prices. For instance, the war in Ukraine, the COVID-19 pandemic, rising interest rates, global supply chain disruptions, concerns about a potential economic downturn or recession, and measures to combat persistent inflation and instability in the financial sector have contributed to recent pricing and economic volatility. The financial results of companies in the oil and natural gas industry have been and may continue to be impacted materially as a result of changing market conditions. Such circumstances generally increase uncertainty in the Partnership’s accounting estimates, particularly those involving financial forecasts.</w:t>
      </w:r>
    </w:p>
    <w:p>
      <w:pPr>
        <w:pStyle w:val="TextBody"/>
        <w:spacing w:before="0" w:after="0"/>
        <w:ind w:left="0" w:right="0" w:firstLine="720"/>
        <w:jc w:val="both"/>
        <w:rPr/>
      </w:pPr>
      <w:r>
        <w:rPr/>
      </w:r>
    </w:p>
    <w:p>
      <w:pPr>
        <w:pStyle w:val="HorizontalLine"/>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v:rect>
            </w:pict>
          </mc:Fallback>
        </mc:AlternateContent>
      </w:r>
    </w:p>
    <w:p>
      <w:pPr>
        <w:pStyle w:val="TextBody"/>
        <w:spacing w:lineRule="auto" w:line="288" w:before="0" w:after="0"/>
        <w:rPr/>
      </w:pPr>
      <w:hyperlink w:anchor="i8dd89f0c72444a288e2bb25168f12b04_7">
        <w:r>
          <w:rPr>
            <w:rStyle w:val="InternetLink"/>
            <w:rFonts w:ascii="Times New Roman;sans-serif" w:hAnsi="Times New Roman;sans-serif"/>
            <w:b w:val="false"/>
            <w:color w:val="0000FF"/>
            <w:sz w:val="16"/>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Viper Energy Partners LP</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Notes to Consolidated Financial Statements - (Continued)</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Partnership evaluates these estimates on an ongoing basis, using historical experience, consultation with experts and other methods the Partnership considers reasonable in each particular circumstance. Nevertheless, actual results may differ significantly from the Partnership’s estimates. Any effects on the Partnership’s business, financial position or results of operations resulting from revisions to these estimates are recorded in the period in which the facts that give rise to the revision become known. Significant items subject to such estimates and assumptions include estimates of proved oil and natural gas reserves and related present value estimates of future net cash flows therefrom, the carrying value of oil and natural gas interests, estimates of third party operated royalty income related to expected sales volumes and prices, the recoverability of costs of unevaluated properties, the fair value determination of assets and liabilities, including those acquired by the Partnership, fair value estimates of commodity derivatives and estimates of income taxes, including deferred tax valuation allowances.</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Related Party Transactions</w:t>
      </w:r>
    </w:p>
    <w:p>
      <w:pPr>
        <w:pStyle w:val="TextBody"/>
        <w:spacing w:before="0" w:after="0"/>
        <w:jc w:val="both"/>
        <w:rPr/>
      </w:pPr>
      <w:r>
        <w:rPr/>
      </w:r>
    </w:p>
    <w:p>
      <w:pPr>
        <w:pStyle w:val="TextBody"/>
        <w:spacing w:lineRule="auto" w:line="288" w:before="0" w:after="0"/>
        <w:ind w:left="0" w:right="0" w:firstLine="720"/>
        <w:jc w:val="both"/>
        <w:rPr>
          <w:rFonts w:ascii="Times New Roman;sans-serif" w:hAnsi="Times New Roman;sans-serif"/>
          <w:b w:val="false"/>
          <w:i/>
          <w:color w:val="000000"/>
          <w:sz w:val="20"/>
        </w:rPr>
      </w:pPr>
      <w:r>
        <w:rPr>
          <w:rFonts w:ascii="Times New Roman;sans-serif" w:hAnsi="Times New Roman;sans-serif"/>
          <w:b w:val="false"/>
          <w:i/>
          <w:color w:val="000000"/>
          <w:sz w:val="20"/>
        </w:rPr>
        <w:t>Royalty Income Receivable</w:t>
      </w:r>
    </w:p>
    <w:p>
      <w:pPr>
        <w:pStyle w:val="TextBody"/>
        <w:spacing w:before="0" w:after="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2023, Diamondback, either directly or through its consolidated subsidiaries, owed the Partnership $36.3 million compared to $6.3 million at December 31, 2022 for royalty income received from third parties for the Partnership’s production, which had not yet been remitted to the Partnership.</w:t>
      </w:r>
    </w:p>
    <w:p>
      <w:pPr>
        <w:pStyle w:val="TextBody"/>
        <w:spacing w:before="0" w:after="0"/>
        <w:jc w:val="both"/>
        <w:rPr/>
      </w:pPr>
      <w:r>
        <w:rPr/>
      </w:r>
    </w:p>
    <w:p>
      <w:pPr>
        <w:pStyle w:val="TextBody"/>
        <w:spacing w:lineRule="auto" w:line="288" w:before="0" w:after="0"/>
        <w:ind w:left="0" w:right="0" w:firstLine="720"/>
        <w:jc w:val="both"/>
        <w:rPr>
          <w:rFonts w:ascii="Times New Roman;sans-serif" w:hAnsi="Times New Roman;sans-serif"/>
          <w:b w:val="false"/>
          <w:i/>
          <w:color w:val="000000"/>
          <w:sz w:val="20"/>
        </w:rPr>
      </w:pPr>
      <w:r>
        <w:rPr>
          <w:rFonts w:ascii="Times New Roman;sans-serif" w:hAnsi="Times New Roman;sans-serif"/>
          <w:b w:val="false"/>
          <w:i/>
          <w:color w:val="000000"/>
          <w:sz w:val="20"/>
        </w:rPr>
        <w:t>Lease Bonus Income</w:t>
      </w:r>
    </w:p>
    <w:p>
      <w:pPr>
        <w:pStyle w:val="TextBody"/>
        <w:spacing w:before="0" w:after="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March 31, 2023 and 2022, Diamondback, either directly or through its consolidated subsidiaries, paid the Partnership $7.1 million and $6.3 million of lease bonus income primarily related to lease extensions and new leases in the Midland Basin.</w:t>
      </w:r>
    </w:p>
    <w:p>
      <w:pPr>
        <w:pStyle w:val="TextBody"/>
        <w:spacing w:before="0" w:after="0"/>
        <w:ind w:left="0" w:right="0" w:firstLine="720"/>
        <w:jc w:val="both"/>
        <w:rPr/>
      </w:pPr>
      <w:r>
        <w:rPr/>
      </w:r>
    </w:p>
    <w:p>
      <w:pPr>
        <w:pStyle w:val="TextBody"/>
        <w:spacing w:lineRule="auto" w:line="288" w:before="0" w:after="0"/>
        <w:ind w:left="0" w:right="0" w:firstLine="720"/>
        <w:jc w:val="both"/>
        <w:rPr/>
      </w:pPr>
      <w:r>
        <w:rPr>
          <w:rFonts w:ascii="Times New Roman;sans-serif" w:hAnsi="Times New Roman;sans-serif"/>
          <w:b w:val="false"/>
          <w:color w:val="000000"/>
          <w:sz w:val="20"/>
        </w:rPr>
        <w:t>See Note 4—</w:t>
      </w:r>
      <w:hyperlink w:anchor="i8dd89f0c72444a288e2bb25168f12b04_49">
        <w:r>
          <w:rPr>
            <w:rStyle w:val="InternetLink"/>
            <w:rFonts w:ascii="Times New Roman;sans-serif" w:hAnsi="Times New Roman;sans-serif"/>
            <w:b w:val="false"/>
            <w:color w:val="0000FF"/>
            <w:sz w:val="20"/>
            <w:u w:val="single"/>
          </w:rPr>
          <w:t>Acquisitions and Divestitures</w:t>
        </w:r>
      </w:hyperlink>
      <w:r>
        <w:rPr>
          <w:color w:val="000000"/>
        </w:rPr>
        <w:t xml:space="preserve"> </w:t>
      </w:r>
      <w:r>
        <w:rPr>
          <w:rFonts w:ascii="Times New Roman;sans-serif" w:hAnsi="Times New Roman;sans-serif"/>
          <w:b w:val="false"/>
          <w:color w:val="000000"/>
          <w:sz w:val="20"/>
        </w:rPr>
        <w:t xml:space="preserve">for significant related party acquisitions of oil and natural gas interests. All other significant related party transactions with Diamondback or its affiliates have been stated on the face of the consolidated financial statements included elsewhere in this report as of March 31, 2023 and for the three months ended March 31, 2023 and 2022. </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Accrued Liabilities</w:t>
      </w:r>
    </w:p>
    <w:p>
      <w:pPr>
        <w:pStyle w:val="TextBody"/>
        <w:spacing w:before="0" w:after="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Accrued liabilities consist of the following: </w:t>
      </w:r>
    </w:p>
    <w:p>
      <w:pPr>
        <w:pStyle w:val="TextBody"/>
        <w:spacing w:before="0" w:after="0"/>
        <w:ind w:left="0" w:right="0" w:firstLine="720"/>
        <w:jc w:val="both"/>
        <w:rPr/>
      </w:pPr>
      <w:r>
        <w:rPr/>
      </w:r>
    </w:p>
    <w:tbl>
      <w:tblPr>
        <w:tblW w:w="5282" w:type="dxa"/>
        <w:jc w:val="left"/>
        <w:tblInd w:w="0" w:type="dxa"/>
        <w:tblCellMar>
          <w:top w:w="28" w:type="dxa"/>
          <w:left w:w="28" w:type="dxa"/>
          <w:bottom w:w="28" w:type="dxa"/>
          <w:right w:w="28" w:type="dxa"/>
        </w:tblCellMar>
      </w:tblPr>
      <w:tblGrid>
        <w:gridCol w:w="987"/>
        <w:gridCol w:w="869"/>
        <w:gridCol w:w="873"/>
        <w:gridCol w:w="211"/>
        <w:gridCol w:w="721"/>
        <w:gridCol w:w="109"/>
        <w:gridCol w:w="109"/>
        <w:gridCol w:w="109"/>
        <w:gridCol w:w="109"/>
        <w:gridCol w:w="230"/>
        <w:gridCol w:w="787"/>
        <w:gridCol w:w="168"/>
      </w:tblGrid>
      <w:tr>
        <w:trPr/>
        <w:tc>
          <w:tcPr>
            <w:tcW w:w="987" w:type="dxa"/>
            <w:tcBorders/>
            <w:shd w:fill="auto" w:val="clear"/>
            <w:vAlign w:val="center"/>
          </w:tcPr>
          <w:p>
            <w:pPr>
              <w:pStyle w:val="TableContents"/>
              <w:spacing w:before="0" w:after="283"/>
              <w:rPr>
                <w:sz w:val="4"/>
                <w:szCs w:val="4"/>
              </w:rPr>
            </w:pPr>
            <w:r>
              <w:rPr>
                <w:sz w:val="4"/>
                <w:szCs w:val="4"/>
              </w:rPr>
            </w:r>
          </w:p>
        </w:tc>
        <w:tc>
          <w:tcPr>
            <w:tcW w:w="869" w:type="dxa"/>
            <w:tcBorders/>
            <w:shd w:fill="auto" w:val="clear"/>
            <w:vAlign w:val="center"/>
          </w:tcPr>
          <w:p>
            <w:pPr>
              <w:pStyle w:val="TableContents"/>
              <w:spacing w:before="0" w:after="283"/>
              <w:rPr>
                <w:sz w:val="4"/>
                <w:szCs w:val="4"/>
              </w:rPr>
            </w:pPr>
            <w:r>
              <w:rPr>
                <w:sz w:val="4"/>
                <w:szCs w:val="4"/>
              </w:rPr>
            </w:r>
          </w:p>
        </w:tc>
        <w:tc>
          <w:tcPr>
            <w:tcW w:w="873"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sz w:val="4"/>
                <w:szCs w:val="4"/>
              </w:rPr>
            </w:pPr>
            <w:r>
              <w:rPr>
                <w:sz w:val="4"/>
                <w:szCs w:val="4"/>
              </w:rPr>
            </w:r>
          </w:p>
        </w:tc>
        <w:tc>
          <w:tcPr>
            <w:tcW w:w="787" w:type="dxa"/>
            <w:tcBorders/>
            <w:shd w:fill="auto" w:val="clear"/>
            <w:vAlign w:val="center"/>
          </w:tcPr>
          <w:p>
            <w:pPr>
              <w:pStyle w:val="TableContents"/>
              <w:spacing w:before="0" w:after="283"/>
              <w:rPr>
                <w:sz w:val="4"/>
                <w:szCs w:val="4"/>
              </w:rPr>
            </w:pPr>
            <w:r>
              <w:rPr>
                <w:sz w:val="4"/>
                <w:szCs w:val="4"/>
              </w:rPr>
            </w:r>
          </w:p>
        </w:tc>
        <w:tc>
          <w:tcPr>
            <w:tcW w:w="168" w:type="dxa"/>
            <w:tcBorders/>
            <w:shd w:fill="auto" w:val="clear"/>
            <w:vAlign w:val="center"/>
          </w:tcPr>
          <w:p>
            <w:pPr>
              <w:pStyle w:val="TableContents"/>
              <w:spacing w:before="0" w:after="283"/>
              <w:rPr>
                <w:sz w:val="4"/>
                <w:szCs w:val="4"/>
              </w:rPr>
            </w:pPr>
            <w:r>
              <w:rPr>
                <w:sz w:val="4"/>
                <w:szCs w:val="4"/>
              </w:rPr>
            </w:r>
          </w:p>
        </w:tc>
      </w:tr>
      <w:tr>
        <w:trPr/>
        <w:tc>
          <w:tcPr>
            <w:tcW w:w="27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w:t>
            </w:r>
          </w:p>
        </w:tc>
      </w:tr>
      <w:tr>
        <w:trPr/>
        <w:tc>
          <w:tcPr>
            <w:tcW w:w="27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5"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27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53"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thousands)</w:t>
            </w:r>
          </w:p>
        </w:tc>
      </w:tr>
      <w:tr>
        <w:trPr/>
        <w:tc>
          <w:tcPr>
            <w:tcW w:w="27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payable</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10,405 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3,972 </w:t>
            </w:r>
          </w:p>
        </w:tc>
        <w:tc>
          <w:tcPr>
            <w:tcW w:w="16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 valorem taxes payable</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5,146 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12,492 </w:t>
            </w:r>
          </w:p>
        </w:tc>
        <w:tc>
          <w:tcPr>
            <w:tcW w:w="16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Derivatives instruments payable</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1,684 </w:t>
            </w:r>
          </w:p>
        </w:tc>
        <w:tc>
          <w:tcPr>
            <w:tcW w:w="16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1,452 </w:t>
            </w:r>
          </w:p>
        </w:tc>
        <w:tc>
          <w:tcPr>
            <w:tcW w:w="16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accrued liabilities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17,759 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19,600 </w:t>
            </w:r>
          </w:p>
        </w:tc>
        <w:tc>
          <w:tcPr>
            <w:tcW w:w="1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Recent Accounting Pronouncements</w:t>
      </w:r>
    </w:p>
    <w:p>
      <w:pPr>
        <w:pStyle w:val="TextBody"/>
        <w:spacing w:before="0" w:after="0"/>
        <w:jc w:val="both"/>
        <w:rPr/>
      </w:pPr>
      <w:r>
        <w:rPr/>
      </w:r>
    </w:p>
    <w:p>
      <w:pPr>
        <w:pStyle w:val="TextBody"/>
        <w:spacing w:lineRule="auto" w:line="288" w:before="0" w:after="0"/>
        <w:ind w:left="0" w:right="0" w:firstLine="720"/>
        <w:jc w:val="both"/>
        <w:rPr>
          <w:rFonts w:ascii="Times New Roman;sans-serif" w:hAnsi="Times New Roman;sans-serif"/>
          <w:b w:val="false"/>
          <w:i/>
          <w:color w:val="000000"/>
          <w:sz w:val="20"/>
        </w:rPr>
      </w:pPr>
      <w:r>
        <w:rPr>
          <w:rFonts w:ascii="Times New Roman;sans-serif" w:hAnsi="Times New Roman;sans-serif"/>
          <w:b w:val="false"/>
          <w:i/>
          <w:color w:val="000000"/>
          <w:sz w:val="20"/>
        </w:rPr>
        <w:t>Recently Adopted Pronouncements</w:t>
      </w:r>
    </w:p>
    <w:p>
      <w:pPr>
        <w:pStyle w:val="TextBody"/>
        <w:spacing w:before="0" w:after="0"/>
        <w:ind w:left="0" w:right="0" w:firstLine="72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There are no recently adopted pronouncements.</w:t>
      </w:r>
    </w:p>
    <w:p>
      <w:pPr>
        <w:pStyle w:val="TextBody"/>
        <w:spacing w:before="0" w:after="0"/>
        <w:ind w:left="0" w:right="0" w:firstLine="720"/>
        <w:jc w:val="both"/>
        <w:rPr/>
      </w:pPr>
      <w:r>
        <w:rPr/>
      </w:r>
    </w:p>
    <w:p>
      <w:pPr>
        <w:pStyle w:val="TextBody"/>
        <w:spacing w:lineRule="auto" w:line="288" w:before="0" w:after="0"/>
        <w:ind w:left="0" w:right="0" w:firstLine="720"/>
        <w:jc w:val="both"/>
        <w:rPr>
          <w:rFonts w:ascii="Times New Roman;sans-serif" w:hAnsi="Times New Roman;sans-serif"/>
          <w:b w:val="false"/>
          <w:i/>
          <w:color w:val="000000"/>
          <w:sz w:val="20"/>
        </w:rPr>
      </w:pPr>
      <w:r>
        <w:rPr>
          <w:rFonts w:ascii="Times New Roman;sans-serif" w:hAnsi="Times New Roman;sans-serif"/>
          <w:b w:val="false"/>
          <w:i/>
          <w:color w:val="000000"/>
          <w:sz w:val="20"/>
        </w:rPr>
        <w:t>Accounting Pronouncements Not Yet Adopted</w:t>
      </w:r>
    </w:p>
    <w:p>
      <w:pPr>
        <w:pStyle w:val="TextBody"/>
        <w:spacing w:before="0" w:after="0"/>
        <w:ind w:left="0" w:right="0" w:firstLine="72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Partnership considers the applicability and impact of all ASUs. There are no recent accounting pronouncements not yet adopted that are expected to have a material effect on the Partnership upon adoption, as applicable.</w:t>
      </w:r>
    </w:p>
    <w:p>
      <w:pPr>
        <w:pStyle w:val="TextBody"/>
        <w:spacing w:before="60" w:after="283"/>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v:rect>
            </w:pict>
          </mc:Fallback>
        </mc:AlternateContent>
      </w:r>
    </w:p>
    <w:p>
      <w:pPr>
        <w:pStyle w:val="TextBody"/>
        <w:spacing w:lineRule="auto" w:line="288" w:before="0" w:after="0"/>
        <w:rPr/>
      </w:pPr>
      <w:hyperlink w:anchor="i8dd89f0c72444a288e2bb25168f12b04_7">
        <w:r>
          <w:rPr>
            <w:rStyle w:val="InternetLink"/>
            <w:rFonts w:ascii="Times New Roman;sans-serif" w:hAnsi="Times New Roman;sans-serif"/>
            <w:b w:val="false"/>
            <w:color w:val="0000FF"/>
            <w:sz w:val="16"/>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Viper Energy Partners LP</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Notes to Consolidated Financial Statements - (Continued)</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spacing w:lineRule="auto" w:line="288" w:before="0" w:after="0"/>
        <w:rPr/>
      </w:pPr>
      <w:r>
        <w:rPr>
          <w:rFonts w:ascii="Times New Roman;sans-serif" w:hAnsi="Times New Roman;sans-serif"/>
          <w:b/>
          <w:color w:val="000000"/>
          <w:sz w:val="20"/>
        </w:rPr>
        <w:t>3.    </w:t>
      </w:r>
      <w:r>
        <w:rPr>
          <w:rFonts w:ascii="Times New Roman;sans-serif" w:hAnsi="Times New Roman;sans-serif"/>
          <w:b/>
          <w:color w:val="000000"/>
          <w:sz w:val="20"/>
          <w:highlight w:val="white"/>
        </w:rPr>
        <w:t>REVENUE FROM CONTRACTS WITH CUSTOMERS</w:t>
      </w:r>
    </w:p>
    <w:p>
      <w:pPr>
        <w:pStyle w:val="TextBody"/>
        <w:spacing w:before="0" w:after="0"/>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Royalty income represents the right to receive revenues from oil, natural gas and natural gas liquids sales obtained by the operator of the wells in which the Partnership owns a royalty interest. Royalty income is recognized at the point control of the product is transferred to the purchaser at the wellhead or at the gas processing facility based on the Partnership’s percentage ownership share of the revenue, net of any deductions for gathering and transportation. Virtually all of the pricing provisions in the Partnership’s contracts are tied to a market index. </w:t>
      </w:r>
    </w:p>
    <w:p>
      <w:pPr>
        <w:pStyle w:val="TextBody"/>
        <w:spacing w:before="0" w:after="0"/>
        <w:ind w:left="0" w:right="0" w:firstLine="72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disaggregates the Partnership’s total royalty income by product type:</w:t>
      </w:r>
    </w:p>
    <w:p>
      <w:pPr>
        <w:pStyle w:val="TextBody"/>
        <w:spacing w:before="0" w:after="0"/>
        <w:ind w:left="0" w:right="0" w:firstLine="720"/>
        <w:jc w:val="both"/>
        <w:rPr/>
      </w:pPr>
      <w:r>
        <w:rPr/>
      </w:r>
    </w:p>
    <w:tbl>
      <w:tblPr>
        <w:tblW w:w="5394" w:type="dxa"/>
        <w:jc w:val="left"/>
        <w:tblInd w:w="0" w:type="dxa"/>
        <w:tblCellMar>
          <w:top w:w="28" w:type="dxa"/>
          <w:left w:w="28" w:type="dxa"/>
          <w:bottom w:w="28" w:type="dxa"/>
          <w:right w:w="28" w:type="dxa"/>
        </w:tblCellMar>
      </w:tblPr>
      <w:tblGrid>
        <w:gridCol w:w="831"/>
        <w:gridCol w:w="728"/>
        <w:gridCol w:w="735"/>
        <w:gridCol w:w="211"/>
        <w:gridCol w:w="826"/>
        <w:gridCol w:w="109"/>
        <w:gridCol w:w="109"/>
        <w:gridCol w:w="109"/>
        <w:gridCol w:w="109"/>
        <w:gridCol w:w="211"/>
        <w:gridCol w:w="826"/>
        <w:gridCol w:w="109"/>
        <w:gridCol w:w="109"/>
        <w:gridCol w:w="109"/>
        <w:gridCol w:w="109"/>
        <w:gridCol w:w="154"/>
      </w:tblGrid>
      <w:tr>
        <w:trPr/>
        <w:tc>
          <w:tcPr>
            <w:tcW w:w="831" w:type="dxa"/>
            <w:tcBorders/>
            <w:shd w:fill="auto" w:val="clear"/>
            <w:vAlign w:val="center"/>
          </w:tcPr>
          <w:p>
            <w:pPr>
              <w:pStyle w:val="TableContents"/>
              <w:spacing w:before="0" w:after="283"/>
              <w:rPr>
                <w:sz w:val="4"/>
                <w:szCs w:val="4"/>
              </w:rPr>
            </w:pPr>
            <w:r>
              <w:rPr>
                <w:sz w:val="4"/>
                <w:szCs w:val="4"/>
              </w:rPr>
            </w:r>
          </w:p>
        </w:tc>
        <w:tc>
          <w:tcPr>
            <w:tcW w:w="728" w:type="dxa"/>
            <w:tcBorders/>
            <w:shd w:fill="auto" w:val="clear"/>
            <w:vAlign w:val="center"/>
          </w:tcPr>
          <w:p>
            <w:pPr>
              <w:pStyle w:val="TableContents"/>
              <w:spacing w:before="0" w:after="283"/>
              <w:rPr>
                <w:sz w:val="4"/>
                <w:szCs w:val="4"/>
              </w:rPr>
            </w:pPr>
            <w:r>
              <w:rPr>
                <w:sz w:val="4"/>
                <w:szCs w:val="4"/>
              </w:rPr>
            </w:r>
          </w:p>
        </w:tc>
        <w:tc>
          <w:tcPr>
            <w:tcW w:w="735"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2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1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22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2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19"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thousands)</w:t>
            </w:r>
          </w:p>
        </w:tc>
        <w:tc>
          <w:tcPr>
            <w:tcW w:w="481" w:type="dxa"/>
            <w:gridSpan w:val="4"/>
            <w:tcBorders/>
            <w:shd w:fill="auto" w:val="clear"/>
          </w:tcPr>
          <w:p>
            <w:pPr>
              <w:pStyle w:val="TableContents"/>
              <w:spacing w:before="0" w:after="283"/>
              <w:rPr>
                <w:sz w:val="4"/>
                <w:szCs w:val="4"/>
              </w:rPr>
            </w:pPr>
            <w:r>
              <w:rPr>
                <w:sz w:val="4"/>
                <w:szCs w:val="4"/>
              </w:rPr>
            </w:r>
          </w:p>
        </w:tc>
      </w:tr>
      <w:tr>
        <w:trPr/>
        <w:tc>
          <w:tcPr>
            <w:tcW w:w="22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Oil income</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136,619 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155,051 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2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Natural gas income</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8,991 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15,190 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2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Natural gas liquids income</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15,475 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22,848 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29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royalty income</w:t>
            </w:r>
          </w:p>
        </w:tc>
        <w:tc>
          <w:tcPr>
            <w:tcW w:w="21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161,085 </w:t>
            </w:r>
          </w:p>
        </w:tc>
        <w:tc>
          <w:tcPr>
            <w:tcW w:w="109"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193,089 </w:t>
            </w:r>
          </w:p>
        </w:tc>
        <w:tc>
          <w:tcPr>
            <w:tcW w:w="109"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ind w:left="0" w:right="0" w:firstLine="72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4.    ACQUISITIONS AND DIVESTITURES</w:t>
      </w:r>
    </w:p>
    <w:p>
      <w:pPr>
        <w:pStyle w:val="TextBody"/>
        <w:spacing w:before="0" w:after="0"/>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2023 Activity</w:t>
      </w:r>
    </w:p>
    <w:p>
      <w:pPr>
        <w:pStyle w:val="TextBody"/>
        <w:spacing w:before="0" w:after="0"/>
        <w:jc w:val="both"/>
        <w:rPr/>
      </w:pPr>
      <w:r>
        <w:rPr/>
      </w:r>
    </w:p>
    <w:p>
      <w:pPr>
        <w:pStyle w:val="TextBody"/>
        <w:spacing w:lineRule="auto" w:line="268" w:before="0" w:after="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Drop Down Transaction</w:t>
      </w:r>
    </w:p>
    <w:p>
      <w:pPr>
        <w:pStyle w:val="TextBody"/>
        <w:spacing w:before="0" w:after="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March 8, 2023, the Partnership completed the acquisition of certain mineral and royalty interests from subsidiaries of Diamondback for approximately $75.1 million in cash, subject to customary post-closing adjustments for net title benefits (the ‘‘Drop Down’’). The mineral and royalty interests acquired in the Drop Down represent approximately 660 net royalty acres in Ward County in the Southern Delaware Basin, 100% of which are operated by Diamondback, and have an average net royalty interest of approximately 7.2% and current production of approximately 300 BO/d, approximately 72% of which is from oil. The Partnership funded the Drop Down through a combination of cash on hand and borrowings under the Operating Company’s revolving credit facility. The Drop Down was accounted for as a transaction between entities under common control with the properties acquired recorded at Diamondback’s historical carrying value in the Partnership’s condensed consolidated balance sheet at March 31, 2023. The historical carrying value of the properties approximated the Drop Down purchase price.</w:t>
      </w:r>
    </w:p>
    <w:p>
      <w:pPr>
        <w:pStyle w:val="TextBody"/>
        <w:spacing w:before="0" w:after="0"/>
        <w:ind w:left="0" w:right="0" w:firstLine="720"/>
        <w:jc w:val="both"/>
        <w:rPr/>
      </w:pPr>
      <w:r>
        <w:rPr/>
      </w:r>
    </w:p>
    <w:p>
      <w:pPr>
        <w:pStyle w:val="TextBody"/>
        <w:spacing w:lineRule="auto" w:line="268" w:before="0" w:after="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Other Acquisitions</w:t>
      </w:r>
    </w:p>
    <w:p>
      <w:pPr>
        <w:pStyle w:val="TextBody"/>
        <w:spacing w:before="0" w:after="0"/>
        <w:ind w:left="0" w:right="0" w:firstLine="72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Additionally in the first quarter of 2023, the Partnership acquired, in individually insignificant transactions from unrelated third-party sellers, mineral and royalty interests representing 159 net royalty acres in the Permian Basin for an aggregate purchase price of approximately $40.7 million, subject to customary post-closing adjustments. The Partnership funded these acquisitions with cash on hand and borrowings under the Operating Company’s revolving credit facility.</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2022 Activity</w:t>
      </w:r>
    </w:p>
    <w:p>
      <w:pPr>
        <w:pStyle w:val="TextBody"/>
        <w:spacing w:before="0" w:after="0"/>
        <w:jc w:val="both"/>
        <w:rPr/>
      </w:pPr>
      <w:r>
        <w:rPr/>
      </w:r>
    </w:p>
    <w:p>
      <w:pPr>
        <w:pStyle w:val="TextBody"/>
        <w:spacing w:lineRule="auto" w:line="268" w:before="0" w:after="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Acquisitions</w:t>
      </w:r>
    </w:p>
    <w:p>
      <w:pPr>
        <w:pStyle w:val="TextBody"/>
        <w:spacing w:before="0" w:after="0"/>
        <w:jc w:val="both"/>
        <w:rPr/>
      </w:pPr>
      <w:r>
        <w:rPr/>
      </w:r>
    </w:p>
    <w:p>
      <w:pPr>
        <w:pStyle w:val="TextBody"/>
        <w:spacing w:lineRule="auto" w:line="288" w:before="0" w:after="0"/>
        <w:ind w:left="0" w:right="0" w:firstLine="720"/>
        <w:jc w:val="both"/>
        <w:rPr/>
      </w:pPr>
      <w:r>
        <w:rPr>
          <w:rFonts w:ascii="Times New Roman;sans-serif" w:hAnsi="Times New Roman;sans-serif"/>
          <w:b w:val="false"/>
          <w:color w:val="000000"/>
          <w:sz w:val="20"/>
        </w:rPr>
        <w:t xml:space="preserve">During the </w:t>
      </w:r>
      <w:r>
        <w:rPr>
          <w:rFonts w:ascii="Times New Roman;sans-serif" w:hAnsi="Times New Roman;sans-serif"/>
          <w:b w:val="false"/>
          <w:color w:val="000000"/>
          <w:sz w:val="20"/>
          <w:highlight w:val="white"/>
        </w:rPr>
        <w:t>year ended December 31, 2022</w:t>
      </w:r>
      <w:r>
        <w:rPr>
          <w:rFonts w:ascii="Times New Roman;sans-serif" w:hAnsi="Times New Roman;sans-serif"/>
          <w:b w:val="false"/>
          <w:color w:val="000000"/>
          <w:sz w:val="20"/>
        </w:rPr>
        <w:t>, in individually insignificant transactions, the Partnership acquired from unrelated third-party sellers mineral and royalty interests representing 375 net royalty acres in the Permian Basin for an aggregate net purchase price of approximately $65.9 million, including certain customary post-closing adjustments. The Partnership funded these acquisitions with cash on hand and borrowings under the Operating Company’s revolving credit facility.</w:t>
      </w:r>
    </w:p>
    <w:p>
      <w:pPr>
        <w:pStyle w:val="TextBody"/>
        <w:spacing w:before="0" w:after="0"/>
        <w:ind w:left="0" w:right="0" w:firstLine="720"/>
        <w:jc w:val="both"/>
        <w:rPr/>
      </w:pPr>
      <w:r>
        <w:rPr/>
      </w:r>
    </w:p>
    <w:p>
      <w:pPr>
        <w:pStyle w:val="HorizontalLine"/>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v:rect>
            </w:pict>
          </mc:Fallback>
        </mc:AlternateContent>
      </w:r>
    </w:p>
    <w:p>
      <w:pPr>
        <w:pStyle w:val="TextBody"/>
        <w:spacing w:lineRule="auto" w:line="288" w:before="0" w:after="0"/>
        <w:rPr/>
      </w:pPr>
      <w:hyperlink w:anchor="i8dd89f0c72444a288e2bb25168f12b04_7">
        <w:r>
          <w:rPr>
            <w:rStyle w:val="InternetLink"/>
            <w:rFonts w:ascii="Times New Roman;sans-serif" w:hAnsi="Times New Roman;sans-serif"/>
            <w:b w:val="false"/>
            <w:color w:val="0000FF"/>
            <w:sz w:val="16"/>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Viper Energy Partners LP</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Notes to Consolidated Financial Statements - (Continued)</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spacing w:lineRule="auto" w:line="268" w:before="0" w:after="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Divestitures</w:t>
      </w:r>
    </w:p>
    <w:p>
      <w:pPr>
        <w:pStyle w:val="TextBody"/>
        <w:spacing w:before="0" w:after="0"/>
        <w:ind w:left="0" w:right="0" w:firstLine="720"/>
        <w:jc w:val="both"/>
        <w:rPr/>
      </w:pPr>
      <w:r>
        <w:rPr/>
      </w:r>
    </w:p>
    <w:p>
      <w:pPr>
        <w:pStyle w:val="TextBody"/>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the first quarter of 2022, the Partnership divested 325 net royalty acres of third party operated acreage located entirely in Upton and Reagan counties in the Midland Basin for an aggregate net sales price of $29.3 million, including customary closing adjustments.</w:t>
      </w:r>
    </w:p>
    <w:p>
      <w:pPr>
        <w:pStyle w:val="TextBody"/>
        <w:spacing w:before="0" w:after="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the third quarter of 2022, the Partnership divested 93 net royalty acres of third party operated acreage located entirely in Loving county in the Delaware Basin for an aggregate net sales price of $29.9 million, including customary closing adjustments.</w:t>
      </w:r>
    </w:p>
    <w:p>
      <w:pPr>
        <w:pStyle w:val="TextBody"/>
        <w:spacing w:before="0" w:after="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the fourth quarter of 2022, the Partnership divested its entire position in the Eagle Ford Shale consisting of 681 net royalty acres of third party operated acreage for an aggregate net sales price of $53.8 million, including customary closing adjustments.</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5.    OIL AND NATURAL GAS INTERESTS</w:t>
      </w:r>
    </w:p>
    <w:p>
      <w:pPr>
        <w:pStyle w:val="TextBody"/>
        <w:spacing w:before="0" w:after="0"/>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Oil and natural gas interests include the following:</w:t>
      </w:r>
    </w:p>
    <w:tbl>
      <w:tblPr>
        <w:tblW w:w="7554" w:type="dxa"/>
        <w:jc w:val="left"/>
        <w:tblInd w:w="0" w:type="dxa"/>
        <w:tblCellMar>
          <w:top w:w="28" w:type="dxa"/>
          <w:left w:w="28" w:type="dxa"/>
          <w:bottom w:w="28" w:type="dxa"/>
          <w:right w:w="28" w:type="dxa"/>
        </w:tblCellMar>
      </w:tblPr>
      <w:tblGrid>
        <w:gridCol w:w="1661"/>
        <w:gridCol w:w="1459"/>
        <w:gridCol w:w="1470"/>
        <w:gridCol w:w="211"/>
        <w:gridCol w:w="976"/>
        <w:gridCol w:w="109"/>
        <w:gridCol w:w="109"/>
        <w:gridCol w:w="109"/>
        <w:gridCol w:w="109"/>
        <w:gridCol w:w="211"/>
        <w:gridCol w:w="976"/>
        <w:gridCol w:w="154"/>
      </w:tblGrid>
      <w:tr>
        <w:trPr/>
        <w:tc>
          <w:tcPr>
            <w:tcW w:w="1661" w:type="dxa"/>
            <w:tcBorders/>
            <w:shd w:fill="auto" w:val="clear"/>
            <w:vAlign w:val="center"/>
          </w:tcPr>
          <w:p>
            <w:pPr>
              <w:pStyle w:val="TableContents"/>
              <w:spacing w:before="0" w:after="283"/>
              <w:rPr>
                <w:sz w:val="4"/>
                <w:szCs w:val="4"/>
              </w:rPr>
            </w:pPr>
            <w:r>
              <w:rPr>
                <w:sz w:val="4"/>
                <w:szCs w:val="4"/>
              </w:rPr>
            </w:r>
          </w:p>
        </w:tc>
        <w:tc>
          <w:tcPr>
            <w:tcW w:w="1459" w:type="dxa"/>
            <w:tcBorders/>
            <w:shd w:fill="auto" w:val="clear"/>
            <w:vAlign w:val="center"/>
          </w:tcPr>
          <w:p>
            <w:pPr>
              <w:pStyle w:val="TableContents"/>
              <w:spacing w:before="0" w:after="283"/>
              <w:rPr>
                <w:sz w:val="4"/>
                <w:szCs w:val="4"/>
              </w:rPr>
            </w:pPr>
            <w:r>
              <w:rPr>
                <w:sz w:val="4"/>
                <w:szCs w:val="4"/>
              </w:rPr>
            </w:r>
          </w:p>
        </w:tc>
        <w:tc>
          <w:tcPr>
            <w:tcW w:w="1470"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5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w:t>
            </w:r>
          </w:p>
        </w:tc>
      </w:tr>
      <w:tr>
        <w:trPr/>
        <w:tc>
          <w:tcPr>
            <w:tcW w:w="45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45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64"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thousands)</w:t>
            </w:r>
          </w:p>
        </w:tc>
      </w:tr>
      <w:tr>
        <w:trPr/>
        <w:tc>
          <w:tcPr>
            <w:tcW w:w="45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Oil and natural gas interests:</w:t>
            </w:r>
          </w:p>
        </w:tc>
        <w:tc>
          <w:tcPr>
            <w:tcW w:w="12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Subject to depletion</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2,320,332 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2,167,598 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 subject to depletion</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1,262,269 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1,297,221 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oil and natural gas interests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3,582,601 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3,464,819 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depletion and impairment</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(751,221)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(720,234)</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Oil and natural gas interests, net</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2,831,380 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2,744,585 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Land</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5,688 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5,688 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net of accumulated depletion and impairment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2,837,068 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2,750,273 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r>
        <w:trPr/>
        <w:tc>
          <w:tcPr>
            <w:tcW w:w="4590"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41" w:type="dxa"/>
            <w:gridSpan w:val="3"/>
            <w:tcBorders/>
            <w:shd w:fill="auto" w:val="clear"/>
            <w:vAlign w:val="center"/>
          </w:tcPr>
          <w:p>
            <w:pPr>
              <w:pStyle w:val="TableContents"/>
              <w:spacing w:before="0" w:after="283"/>
              <w:rPr>
                <w:sz w:val="4"/>
                <w:szCs w:val="4"/>
              </w:rPr>
            </w:pPr>
            <w:r>
              <w:rPr>
                <w:sz w:val="4"/>
                <w:szCs w:val="4"/>
              </w:rPr>
            </w:r>
          </w:p>
        </w:tc>
      </w:tr>
      <w:tr>
        <w:trPr/>
        <w:tc>
          <w:tcPr>
            <w:tcW w:w="4590"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41" w:type="dxa"/>
            <w:gridSpan w:val="3"/>
            <w:tcBorders/>
            <w:shd w:fill="auto" w:val="clear"/>
            <w:vAlign w:val="center"/>
          </w:tcPr>
          <w:p>
            <w:pPr>
              <w:pStyle w:val="TableContents"/>
              <w:spacing w:before="0" w:after="283"/>
              <w:rPr>
                <w:sz w:val="4"/>
                <w:szCs w:val="4"/>
              </w:rPr>
            </w:pPr>
            <w:r>
              <w:rPr>
                <w:sz w:val="4"/>
                <w:szCs w:val="4"/>
              </w:rPr>
            </w:r>
          </w:p>
        </w:tc>
      </w:tr>
      <w:tr>
        <w:trPr/>
        <w:tc>
          <w:tcPr>
            <w:tcW w:w="4590"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41" w:type="dxa"/>
            <w:gridSpan w:val="3"/>
            <w:tcBorders/>
            <w:shd w:fill="auto" w:val="clear"/>
            <w:vAlign w:val="center"/>
          </w:tcPr>
          <w:p>
            <w:pPr>
              <w:pStyle w:val="TableContents"/>
              <w:spacing w:before="0" w:after="283"/>
              <w:rPr>
                <w:sz w:val="4"/>
                <w:szCs w:val="4"/>
              </w:rPr>
            </w:pPr>
            <w:r>
              <w:rPr>
                <w:sz w:val="4"/>
                <w:szCs w:val="4"/>
              </w:rPr>
            </w:r>
          </w:p>
        </w:tc>
      </w:tr>
      <w:tr>
        <w:trPr/>
        <w:tc>
          <w:tcPr>
            <w:tcW w:w="4590"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41" w:type="dxa"/>
            <w:gridSpan w:val="3"/>
            <w:tcBorders/>
            <w:shd w:fill="auto" w:val="clear"/>
            <w:vAlign w:val="center"/>
          </w:tcPr>
          <w:p>
            <w:pPr>
              <w:pStyle w:val="TableContents"/>
              <w:spacing w:before="0" w:after="283"/>
              <w:rPr>
                <w:sz w:val="4"/>
                <w:szCs w:val="4"/>
              </w:rPr>
            </w:pPr>
            <w:r>
              <w:rPr>
                <w:sz w:val="4"/>
                <w:szCs w:val="4"/>
              </w:rPr>
            </w:r>
          </w:p>
        </w:tc>
      </w:tr>
      <w:tr>
        <w:trPr/>
        <w:tc>
          <w:tcPr>
            <w:tcW w:w="4590"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41" w:type="dxa"/>
            <w:gridSpan w:val="3"/>
            <w:tcBorders/>
            <w:shd w:fill="auto" w:val="clear"/>
            <w:vAlign w:val="center"/>
          </w:tcPr>
          <w:p>
            <w:pPr>
              <w:pStyle w:val="TableContents"/>
              <w:spacing w:before="0" w:after="283"/>
              <w:rPr>
                <w:sz w:val="4"/>
                <w:szCs w:val="4"/>
              </w:rPr>
            </w:pPr>
            <w:r>
              <w:rPr>
                <w:sz w:val="4"/>
                <w:szCs w:val="4"/>
              </w:rPr>
            </w:r>
          </w:p>
        </w:tc>
      </w:tr>
      <w:tr>
        <w:trPr/>
        <w:tc>
          <w:tcPr>
            <w:tcW w:w="4590"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41" w:type="dxa"/>
            <w:gridSpan w:val="3"/>
            <w:tcBorders/>
            <w:shd w:fill="auto" w:val="clear"/>
            <w:vAlign w:val="center"/>
          </w:tcPr>
          <w:p>
            <w:pPr>
              <w:pStyle w:val="TableContents"/>
              <w:spacing w:before="0" w:after="283"/>
              <w:rPr>
                <w:sz w:val="4"/>
                <w:szCs w:val="4"/>
              </w:rPr>
            </w:pPr>
            <w:r>
              <w:rPr>
                <w:sz w:val="4"/>
                <w:szCs w:val="4"/>
              </w:rPr>
            </w:r>
          </w:p>
        </w:tc>
      </w:tr>
      <w:tr>
        <w:trPr/>
        <w:tc>
          <w:tcPr>
            <w:tcW w:w="4590"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41" w:type="dxa"/>
            <w:gridSpan w:val="3"/>
            <w:tcBorders/>
            <w:shd w:fill="auto" w:val="clear"/>
            <w:vAlign w:val="center"/>
          </w:tcPr>
          <w:p>
            <w:pPr>
              <w:pStyle w:val="TableContents"/>
              <w:spacing w:before="0" w:after="283"/>
              <w:rPr>
                <w:sz w:val="4"/>
                <w:szCs w:val="4"/>
              </w:rPr>
            </w:pPr>
            <w:r>
              <w:rPr>
                <w:sz w:val="4"/>
                <w:szCs w:val="4"/>
              </w:rPr>
            </w:r>
          </w:p>
        </w:tc>
      </w:tr>
      <w:tr>
        <w:trPr/>
        <w:tc>
          <w:tcPr>
            <w:tcW w:w="4590"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41" w:type="dxa"/>
            <w:gridSpan w:val="3"/>
            <w:tcBorders/>
            <w:shd w:fill="auto" w:val="clear"/>
            <w:vAlign w:val="center"/>
          </w:tcPr>
          <w:p>
            <w:pPr>
              <w:pStyle w:val="TableContents"/>
              <w:spacing w:before="0" w:after="283"/>
              <w:rPr>
                <w:sz w:val="4"/>
                <w:szCs w:val="4"/>
              </w:rPr>
            </w:pPr>
            <w:r>
              <w:rPr>
                <w:sz w:val="4"/>
                <w:szCs w:val="4"/>
              </w:rPr>
            </w:r>
          </w:p>
        </w:tc>
      </w:tr>
    </w:tbl>
    <w:p>
      <w:pPr>
        <w:pStyle w:val="TextBody"/>
        <w:spacing w:before="0" w:after="0"/>
        <w:ind w:left="0" w:right="0" w:firstLine="72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March 31, 2023 and December 31, 2022, the Partnership had mineral and royalty interests representing 27,134 and 26,315 net royalty acres, respectively. </w:t>
      </w:r>
    </w:p>
    <w:p>
      <w:pPr>
        <w:pStyle w:val="TextBody"/>
        <w:spacing w:before="0" w:after="0"/>
        <w:ind w:left="0" w:right="0" w:firstLine="720"/>
        <w:jc w:val="both"/>
        <w:rPr/>
      </w:pPr>
      <w:r>
        <w:rPr/>
      </w:r>
    </w:p>
    <w:p>
      <w:pPr>
        <w:pStyle w:val="TextBody"/>
        <w:spacing w:lineRule="auto" w:line="288" w:before="0" w:after="0"/>
        <w:ind w:left="0" w:right="0" w:firstLine="720"/>
        <w:jc w:val="both"/>
        <w:rPr/>
      </w:pPr>
      <w:r>
        <w:rPr>
          <w:rFonts w:ascii="Times New Roman;sans-serif" w:hAnsi="Times New Roman;sans-serif"/>
          <w:b w:val="false"/>
          <w:color w:val="000000"/>
          <w:sz w:val="20"/>
        </w:rPr>
        <w:t xml:space="preserve">No impairment expense was recorded on the Partnership’s oil and natural gas interests for the three months ended March 31, 2023 and 2022 based on the results of the respective quarterly ceiling tests. In addition to commodity prices, the Partnership’s production rates, levels of proved reserves, transfers of unevaluated properties and other factors will determine its actual ceiling test limitations and impairment analysis in future periods. </w:t>
      </w:r>
      <w:r>
        <w:rPr>
          <w:rFonts w:ascii="Times New Roman;sans-serif" w:hAnsi="Times New Roman;sans-serif"/>
          <w:b w:val="false"/>
          <w:color w:val="000000"/>
          <w:sz w:val="20"/>
          <w:highlight w:val="white"/>
        </w:rPr>
        <w:t>If the trailing 12-month commodity prices decline as compared to the com</w:t>
      </w:r>
      <w:r>
        <w:rPr>
          <w:rFonts w:ascii="Times New Roman;sans-serif" w:hAnsi="Times New Roman;sans-serif"/>
          <w:b w:val="false"/>
          <w:color w:val="000000"/>
          <w:sz w:val="20"/>
        </w:rPr>
        <w:t>modity prices used in prior quarters, the Partnership may have material write-downs in subsequent quarters.</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6.    DEBT</w:t>
      </w:r>
    </w:p>
    <w:p>
      <w:pPr>
        <w:pStyle w:val="TextBody"/>
        <w:spacing w:before="0" w:after="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Long-term debt consisted of the following as of the dates indicated:</w:t>
      </w:r>
    </w:p>
    <w:p>
      <w:pPr>
        <w:pStyle w:val="TextBody"/>
        <w:spacing w:before="0" w:after="0"/>
        <w:ind w:left="0" w:right="0" w:firstLine="720"/>
        <w:jc w:val="both"/>
        <w:rPr/>
      </w:pPr>
      <w:r>
        <w:rPr/>
      </w:r>
    </w:p>
    <w:tbl>
      <w:tblPr>
        <w:tblW w:w="6114" w:type="dxa"/>
        <w:jc w:val="center"/>
        <w:tblInd w:w="0" w:type="dxa"/>
        <w:tblCellMar>
          <w:top w:w="28" w:type="dxa"/>
          <w:left w:w="28" w:type="dxa"/>
          <w:bottom w:w="28" w:type="dxa"/>
          <w:right w:w="28" w:type="dxa"/>
        </w:tblCellMar>
      </w:tblPr>
      <w:tblGrid>
        <w:gridCol w:w="1247"/>
        <w:gridCol w:w="1098"/>
        <w:gridCol w:w="1105"/>
        <w:gridCol w:w="211"/>
        <w:gridCol w:w="826"/>
        <w:gridCol w:w="109"/>
        <w:gridCol w:w="109"/>
        <w:gridCol w:w="109"/>
        <w:gridCol w:w="109"/>
        <w:gridCol w:w="211"/>
        <w:gridCol w:w="826"/>
        <w:gridCol w:w="154"/>
      </w:tblGrid>
      <w:tr>
        <w:trPr/>
        <w:tc>
          <w:tcPr>
            <w:tcW w:w="1247" w:type="dxa"/>
            <w:tcBorders/>
            <w:shd w:fill="auto" w:val="clear"/>
            <w:vAlign w:val="center"/>
          </w:tcPr>
          <w:p>
            <w:pPr>
              <w:pStyle w:val="TableContents"/>
              <w:spacing w:before="0" w:after="283"/>
              <w:rPr>
                <w:sz w:val="4"/>
                <w:szCs w:val="4"/>
              </w:rPr>
            </w:pPr>
            <w:r>
              <w:rPr>
                <w:sz w:val="4"/>
                <w:szCs w:val="4"/>
              </w:rPr>
            </w:r>
          </w:p>
        </w:tc>
        <w:tc>
          <w:tcPr>
            <w:tcW w:w="1098" w:type="dxa"/>
            <w:tcBorders/>
            <w:shd w:fill="auto" w:val="clear"/>
            <w:vAlign w:val="center"/>
          </w:tcPr>
          <w:p>
            <w:pPr>
              <w:pStyle w:val="TableContents"/>
              <w:spacing w:before="0" w:after="283"/>
              <w:rPr>
                <w:sz w:val="4"/>
                <w:szCs w:val="4"/>
              </w:rPr>
            </w:pPr>
            <w:r>
              <w:rPr>
                <w:sz w:val="4"/>
                <w:szCs w:val="4"/>
              </w:rPr>
            </w:r>
          </w:p>
        </w:tc>
        <w:tc>
          <w:tcPr>
            <w:tcW w:w="1105"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w:t>
            </w:r>
          </w:p>
        </w:tc>
      </w:tr>
      <w:tr>
        <w:trPr/>
        <w:tc>
          <w:tcPr>
            <w:tcW w:w="34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34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64"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thousands)</w:t>
            </w:r>
          </w:p>
        </w:tc>
      </w:tr>
      <w:tr>
        <w:trPr/>
        <w:tc>
          <w:tcPr>
            <w:tcW w:w="345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5.375% senior unsecured notes due 2027</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430,350 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430,350 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Revolving credit facility</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270,000 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152,000 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Unamortized debt issuance costs</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(1,239)</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(1,306)</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Unamortized discount</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(4,149)</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long-term debt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695,154 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576,895 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v:rect>
            </w:pict>
          </mc:Fallback>
        </mc:AlternateContent>
      </w:r>
    </w:p>
    <w:p>
      <w:pPr>
        <w:pStyle w:val="TextBody"/>
        <w:spacing w:lineRule="auto" w:line="288" w:before="0" w:after="0"/>
        <w:rPr/>
      </w:pPr>
      <w:hyperlink w:anchor="i8dd89f0c72444a288e2bb25168f12b04_7">
        <w:r>
          <w:rPr>
            <w:rStyle w:val="InternetLink"/>
            <w:rFonts w:ascii="Times New Roman;sans-serif" w:hAnsi="Times New Roman;sans-serif"/>
            <w:b w:val="false"/>
            <w:color w:val="0000FF"/>
            <w:sz w:val="16"/>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Viper Energy Partners LP</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Notes to Consolidated Financial Statements - (Continued)</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spacing w:lineRule="auto" w:line="288" w:before="0" w:after="0"/>
        <w:jc w:val="both"/>
        <w:rPr>
          <w:rFonts w:ascii="Times New Roman;sans-serif" w:hAnsi="Times New Roman;sans-serif"/>
          <w:b/>
          <w:i/>
          <w:color w:val="000000"/>
          <w:sz w:val="20"/>
          <w:highlight w:val="white"/>
        </w:rPr>
      </w:pPr>
      <w:r>
        <w:rPr>
          <w:rFonts w:ascii="Times New Roman;sans-serif" w:hAnsi="Times New Roman;sans-serif"/>
          <w:b/>
          <w:i/>
          <w:color w:val="000000"/>
          <w:sz w:val="20"/>
          <w:highlight w:val="white"/>
        </w:rPr>
        <w:t>The Operating Company’s Revolving Credit Facility</w:t>
      </w:r>
    </w:p>
    <w:p>
      <w:pPr>
        <w:pStyle w:val="TextBody"/>
        <w:spacing w:before="0" w:after="0"/>
        <w:ind w:left="0" w:right="0" w:firstLine="720"/>
        <w:jc w:val="both"/>
        <w:rPr/>
      </w:pPr>
      <w:r>
        <w:rPr/>
      </w:r>
    </w:p>
    <w:p>
      <w:pPr>
        <w:pStyle w:val="TextBody"/>
        <w:spacing w:lineRule="auto" w:line="276" w:before="0" w:after="0"/>
        <w:ind w:left="0" w:right="0" w:firstLine="720"/>
        <w:jc w:val="both"/>
        <w:rPr/>
      </w:pPr>
      <w:r>
        <w:rPr>
          <w:rFonts w:ascii="Times New Roman;sans-serif" w:hAnsi="Times New Roman;sans-serif"/>
          <w:b w:val="false"/>
          <w:color w:val="000000"/>
          <w:sz w:val="20"/>
        </w:rPr>
        <w:t>The Operating Company’s credit agreement, as amended to date, provides for a revolving credit facility in the maximum credit amount of $2.0 billion</w:t>
      </w:r>
      <w:r>
        <w:rPr>
          <w:color w:val="000000"/>
          <w:highlight w:val="white"/>
        </w:rPr>
        <w:t xml:space="preserve"> </w:t>
      </w:r>
      <w:r>
        <w:rPr>
          <w:rFonts w:ascii="Times New Roman;sans-serif" w:hAnsi="Times New Roman;sans-serif"/>
          <w:b w:val="false"/>
          <w:color w:val="000000"/>
          <w:sz w:val="20"/>
          <w:highlight w:val="white"/>
        </w:rPr>
        <w:t xml:space="preserve">and a borrowing base of </w:t>
      </w:r>
      <w:r>
        <w:rPr>
          <w:rFonts w:ascii="Times New Roman;sans-serif" w:hAnsi="Times New Roman;sans-serif"/>
          <w:b w:val="false"/>
          <w:color w:val="000000"/>
          <w:sz w:val="20"/>
        </w:rPr>
        <w:t xml:space="preserve">$580.0 million </w:t>
      </w:r>
      <w:r>
        <w:rPr>
          <w:rFonts w:ascii="Times New Roman;sans-serif" w:hAnsi="Times New Roman;sans-serif"/>
          <w:b w:val="false"/>
          <w:color w:val="000000"/>
          <w:sz w:val="20"/>
          <w:highlight w:val="white"/>
        </w:rPr>
        <w:t xml:space="preserve">based on the Operating Company’s oil and natural gas reserves and other factors. </w:t>
      </w:r>
      <w:r>
        <w:rPr>
          <w:rFonts w:ascii="Times New Roman;sans-serif" w:hAnsi="Times New Roman;sans-serif"/>
          <w:b w:val="false"/>
          <w:color w:val="000000"/>
          <w:sz w:val="20"/>
        </w:rPr>
        <w:t>The borrowing base is scheduled to be redetermined semi-annually in May and November. As of March 31, 2023, the Operating Company had elected a commitment amount of $500.0 million, with $270.0 million of outstanding borrowings and $230.0 million available for future borrowings. During the three months ended March 31, 2023 and 2022</w:t>
      </w:r>
      <w:r>
        <w:rPr>
          <w:rFonts w:ascii="Times New Roman;sans-serif" w:hAnsi="Times New Roman;sans-serif"/>
          <w:b w:val="false"/>
          <w:color w:val="000000"/>
          <w:sz w:val="20"/>
          <w:highlight w:val="white"/>
        </w:rPr>
        <w:t>, the weighted average interest rates on the Operating Company’s revolving credit facility were</w:t>
      </w:r>
      <w:r>
        <w:rPr>
          <w:color w:val="000000"/>
        </w:rPr>
        <w:t xml:space="preserve"> </w:t>
      </w:r>
      <w:r>
        <w:rPr>
          <w:rFonts w:ascii="Times New Roman;sans-serif" w:hAnsi="Times New Roman;sans-serif"/>
          <w:b w:val="false"/>
          <w:color w:val="000000"/>
          <w:sz w:val="20"/>
        </w:rPr>
        <w:t>6.10% and 2.58%, respectively</w:t>
      </w:r>
      <w:r>
        <w:rPr>
          <w:rFonts w:ascii="Times New Roman;sans-serif" w:hAnsi="Times New Roman;sans-serif"/>
          <w:b w:val="false"/>
          <w:color w:val="000000"/>
          <w:sz w:val="20"/>
          <w:highlight w:val="white"/>
        </w:rPr>
        <w:t xml:space="preserve">. </w:t>
      </w:r>
      <w:r>
        <w:rPr>
          <w:rFonts w:ascii="Times New Roman;sans-serif" w:hAnsi="Times New Roman;sans-serif"/>
          <w:b w:val="false"/>
          <w:color w:val="000000"/>
          <w:sz w:val="20"/>
        </w:rPr>
        <w:t>The revolving credit f</w:t>
      </w:r>
      <w:r>
        <w:rPr>
          <w:rFonts w:ascii="Times New Roman;sans-serif" w:hAnsi="Times New Roman;sans-serif"/>
          <w:b w:val="false"/>
          <w:color w:val="000000"/>
          <w:sz w:val="20"/>
          <w:highlight w:val="white"/>
        </w:rPr>
        <w:t>acility will mature on June 2, 2025.</w:t>
      </w:r>
    </w:p>
    <w:p>
      <w:pPr>
        <w:pStyle w:val="TextBody"/>
        <w:spacing w:before="0" w:after="0"/>
        <w:ind w:left="0" w:right="0" w:firstLine="720"/>
        <w:jc w:val="both"/>
        <w:rPr/>
      </w:pPr>
      <w:r>
        <w:rPr/>
      </w:r>
    </w:p>
    <w:p>
      <w:pPr>
        <w:pStyle w:val="TextBody"/>
        <w:spacing w:lineRule="auto" w:line="288" w:before="0" w:after="0"/>
        <w:ind w:left="0" w:right="0" w:firstLine="720"/>
        <w:jc w:val="both"/>
        <w:rPr/>
      </w:pPr>
      <w:r>
        <w:rPr>
          <w:rFonts w:ascii="Times New Roman;sans-serif" w:hAnsi="Times New Roman;sans-serif"/>
          <w:b w:val="false"/>
          <w:color w:val="000000"/>
          <w:sz w:val="20"/>
          <w:highlight w:val="white"/>
        </w:rPr>
        <w:t>As of March 31, 2023, the Operating Company w</w:t>
      </w:r>
      <w:r>
        <w:rPr>
          <w:rFonts w:ascii="Times New Roman;sans-serif" w:hAnsi="Times New Roman;sans-serif"/>
          <w:b w:val="false"/>
          <w:color w:val="000000"/>
          <w:sz w:val="20"/>
        </w:rPr>
        <w:t>as in compliance with t</w:t>
      </w:r>
      <w:r>
        <w:rPr>
          <w:rFonts w:ascii="Times New Roman;sans-serif" w:hAnsi="Times New Roman;sans-serif"/>
          <w:b w:val="false"/>
          <w:color w:val="000000"/>
          <w:sz w:val="20"/>
          <w:highlight w:val="white"/>
        </w:rPr>
        <w:t>h</w:t>
      </w:r>
      <w:r>
        <w:rPr>
          <w:rFonts w:ascii="Times New Roman;sans-serif" w:hAnsi="Times New Roman;sans-serif"/>
          <w:b w:val="false"/>
          <w:color w:val="000000"/>
          <w:sz w:val="20"/>
        </w:rPr>
        <w:t xml:space="preserve">e financial maintenance covenants under its credit agreement. </w:t>
      </w:r>
    </w:p>
    <w:p>
      <w:pPr>
        <w:pStyle w:val="TextBody"/>
        <w:spacing w:before="0" w:after="0"/>
        <w:ind w:left="0" w:right="0" w:firstLine="72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7.    UNITHOLDERS’ EQUITY AND DISTRIBUTIONS</w:t>
      </w:r>
    </w:p>
    <w:p>
      <w:pPr>
        <w:pStyle w:val="TextBody"/>
        <w:spacing w:before="0" w:after="0"/>
        <w:rPr/>
      </w:pPr>
      <w:r>
        <w:rPr/>
      </w:r>
    </w:p>
    <w:p>
      <w:pPr>
        <w:pStyle w:val="TextBody"/>
        <w:spacing w:lineRule="auto" w:line="288" w:before="0" w:after="0"/>
        <w:ind w:left="0" w:right="0" w:firstLine="720"/>
        <w:jc w:val="both"/>
        <w:rPr/>
      </w:pPr>
      <w:r>
        <w:rPr>
          <w:rFonts w:ascii="Times New Roman;sans-serif" w:hAnsi="Times New Roman;sans-serif"/>
          <w:b w:val="false"/>
          <w:color w:val="000000"/>
          <w:sz w:val="20"/>
        </w:rPr>
        <w:t>The Partnership has General Partner and limited partner units. At March 31, 2023, the Partnership had a total of 72,118,622 common units issued and outstanding and 90,709,946 Class B units issued and outstanding, of which 731,500 common units and 90,709,946 Class B units were beneficially owned by Diamondback, representing approximately 56% of the Partnership’s total units outstanding. At March 31, 2023, Diamondback also beneficially owns 90,709,946 Operating Company units, representing a 56% non-controlling ownership interest in the Operating Company. The Operating Company units and the Partnership’s Class B units beneficially owned by Diamondback are exchangeable from time to</w:t>
      </w:r>
      <w:r>
        <w:rPr>
          <w:color w:val="000000"/>
          <w:highlight w:val="white"/>
        </w:rPr>
        <w:t xml:space="preserve"> </w:t>
      </w:r>
      <w:r>
        <w:rPr>
          <w:rFonts w:ascii="Times New Roman;sans-serif" w:hAnsi="Times New Roman;sans-serif"/>
          <w:b w:val="false"/>
          <w:color w:val="000000"/>
          <w:sz w:val="20"/>
          <w:highlight w:val="white"/>
        </w:rPr>
        <w:t>time for the Partnership’s common units (that is, one Operating Company unit and one Partnership Class B unit, together, will be exchangeable for one Partnership common unit).</w:t>
      </w:r>
    </w:p>
    <w:p>
      <w:pPr>
        <w:pStyle w:val="TextBody"/>
        <w:spacing w:before="0" w:after="0"/>
        <w:ind w:left="0" w:right="0" w:firstLine="72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Common Unit Repurchase Program</w:t>
      </w:r>
    </w:p>
    <w:p>
      <w:pPr>
        <w:pStyle w:val="TextBody"/>
        <w:spacing w:before="0" w:after="0"/>
        <w:ind w:left="0" w:right="0" w:firstLine="720"/>
        <w:jc w:val="both"/>
        <w:rPr/>
      </w:pPr>
      <w:r>
        <w:rPr/>
      </w:r>
    </w:p>
    <w:p>
      <w:pPr>
        <w:pStyle w:val="TextBody"/>
        <w:spacing w:lineRule="auto" w:line="268" w:before="0" w:after="0"/>
        <w:ind w:left="0" w:right="0" w:firstLine="720"/>
        <w:jc w:val="both"/>
        <w:rPr/>
      </w:pPr>
      <w:r>
        <w:rPr>
          <w:rFonts w:ascii="Times New Roman;sans-serif" w:hAnsi="Times New Roman;sans-serif"/>
          <w:b w:val="false"/>
          <w:color w:val="000000"/>
          <w:sz w:val="20"/>
          <w:highlight w:val="white"/>
        </w:rPr>
        <w:t xml:space="preserve">The board of directors of the Partnership’s General Partner has approved a common unit repurchase program to acquire up to </w:t>
      </w:r>
      <w:r>
        <w:rPr>
          <w:rFonts w:ascii="Times New Roman;sans-serif" w:hAnsi="Times New Roman;sans-serif"/>
          <w:b w:val="false"/>
          <w:color w:val="000000"/>
          <w:sz w:val="20"/>
        </w:rPr>
        <w:t>$750.0 million</w:t>
      </w:r>
      <w:r>
        <w:rPr>
          <w:color w:val="000000"/>
          <w:highlight w:val="white"/>
        </w:rPr>
        <w:t xml:space="preserve"> </w:t>
      </w:r>
      <w:r>
        <w:rPr>
          <w:rFonts w:ascii="Times New Roman;sans-serif" w:hAnsi="Times New Roman;sans-serif"/>
          <w:b w:val="false"/>
          <w:color w:val="000000"/>
          <w:sz w:val="20"/>
          <w:highlight w:val="white"/>
        </w:rPr>
        <w:t xml:space="preserve">of </w:t>
      </w:r>
      <w:r>
        <w:rPr>
          <w:rFonts w:ascii="Times New Roman;sans-serif" w:hAnsi="Times New Roman;sans-serif"/>
          <w:b w:val="false"/>
          <w:color w:val="000000"/>
          <w:sz w:val="20"/>
        </w:rPr>
        <w:t>the Partnership’s</w:t>
      </w:r>
      <w:r>
        <w:rPr>
          <w:color w:val="000000"/>
          <w:highlight w:val="white"/>
        </w:rPr>
        <w:t xml:space="preserve"> </w:t>
      </w:r>
      <w:r>
        <w:rPr>
          <w:rFonts w:ascii="Times New Roman;sans-serif" w:hAnsi="Times New Roman;sans-serif"/>
          <w:b w:val="false"/>
          <w:color w:val="000000"/>
          <w:sz w:val="20"/>
          <w:highlight w:val="white"/>
        </w:rPr>
        <w:t xml:space="preserve">outstanding common units, excluding excise tax, over an indefinite period of time. </w:t>
      </w:r>
      <w:r>
        <w:rPr>
          <w:rFonts w:ascii="Times New Roman;sans-serif" w:hAnsi="Times New Roman;sans-serif"/>
          <w:b w:val="false"/>
          <w:color w:val="000000"/>
          <w:sz w:val="20"/>
        </w:rPr>
        <w:t>The Partnership intends to purchase common units un</w:t>
      </w:r>
      <w:r>
        <w:rPr>
          <w:rFonts w:ascii="Times New Roman;sans-serif" w:hAnsi="Times New Roman;sans-serif"/>
          <w:b w:val="false"/>
          <w:color w:val="000000"/>
          <w:sz w:val="20"/>
          <w:highlight w:val="white"/>
        </w:rPr>
        <w:t>der the repurchase program opportunistically with funds from cash on hand, free cash flow from operatio</w:t>
      </w:r>
      <w:r>
        <w:rPr>
          <w:rFonts w:ascii="Times New Roman;sans-serif" w:hAnsi="Times New Roman;sans-serif"/>
          <w:b w:val="false"/>
          <w:color w:val="000000"/>
          <w:sz w:val="20"/>
        </w:rPr>
        <w:t>ns and potential l</w:t>
      </w:r>
      <w:r>
        <w:rPr>
          <w:rFonts w:ascii="Times New Roman;sans-serif" w:hAnsi="Times New Roman;sans-serif"/>
          <w:b w:val="false"/>
          <w:color w:val="000000"/>
          <w:sz w:val="20"/>
          <w:highlight w:val="white"/>
        </w:rPr>
        <w:t xml:space="preserve">iquidity events such as the sale of assets. This repurchase program may be suspended from time to time, modified, extended or discontinued by the board of directors of </w:t>
      </w:r>
      <w:r>
        <w:rPr>
          <w:rFonts w:ascii="Times New Roman;sans-serif" w:hAnsi="Times New Roman;sans-serif"/>
          <w:b w:val="false"/>
          <w:color w:val="000000"/>
          <w:sz w:val="20"/>
        </w:rPr>
        <w:t>the Partnership’s</w:t>
      </w:r>
      <w:r>
        <w:rPr>
          <w:color w:val="000000"/>
          <w:highlight w:val="white"/>
        </w:rPr>
        <w:t xml:space="preserve"> </w:t>
      </w:r>
      <w:r>
        <w:rPr>
          <w:rFonts w:ascii="Times New Roman;sans-serif" w:hAnsi="Times New Roman;sans-serif"/>
          <w:b w:val="false"/>
          <w:color w:val="000000"/>
          <w:sz w:val="20"/>
          <w:highlight w:val="white"/>
        </w:rPr>
        <w:t xml:space="preserve">General Partner </w:t>
      </w:r>
      <w:r>
        <w:rPr>
          <w:rFonts w:ascii="Times New Roman;sans-serif" w:hAnsi="Times New Roman;sans-serif"/>
          <w:b w:val="false"/>
          <w:color w:val="000000"/>
          <w:sz w:val="20"/>
        </w:rPr>
        <w:t>at any time. During the three months ended March 31, 2023 and 2022, the Partnership repurchased approximately $32.7 million, excluding excise tax, and $39.3 million of common units under the repurchase program, respectively. Repurchases for the three months ended March 31, 2022 include approximately $37.3 million for the repurchase of 1.5 million common units from a significant unitholder in a privately negotiated transaction in the first quarter of 2022. As of March 31, 2023, $496.7 million remains available under the repurchase program, excluding excise tax.</w:t>
      </w:r>
    </w:p>
    <w:p>
      <w:pPr>
        <w:pStyle w:val="TextBody"/>
        <w:spacing w:before="0" w:after="0"/>
        <w:ind w:left="0" w:right="0" w:firstLine="72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Cash Distributions on Common Units</w:t>
      </w:r>
    </w:p>
    <w:p>
      <w:pPr>
        <w:pStyle w:val="TextBody"/>
        <w:spacing w:before="0" w:after="0"/>
        <w:ind w:left="0" w:right="0" w:firstLine="720"/>
        <w:jc w:val="both"/>
        <w:rPr/>
      </w:pPr>
      <w:r>
        <w:rPr/>
      </w:r>
    </w:p>
    <w:p>
      <w:pPr>
        <w:pStyle w:val="TextBody"/>
        <w:spacing w:lineRule="auto" w:line="268" w:before="0" w:after="0"/>
        <w:ind w:left="0" w:right="0" w:firstLine="720"/>
        <w:jc w:val="both"/>
        <w:rPr/>
      </w:pPr>
      <w:r>
        <w:rPr>
          <w:rFonts w:ascii="Times New Roman;sans-serif" w:hAnsi="Times New Roman;sans-serif"/>
          <w:b w:val="false"/>
          <w:color w:val="000000"/>
          <w:sz w:val="20"/>
        </w:rPr>
        <w:t xml:space="preserve">Effective with the Partnership’s distribution payable for the third quarter of 2022, the board of directors of the General Partner approved a distribution policy consisting of a base and variable distribution, that takes into account capital returned to unitholders via our common unit repurchase program. For a detailed description of the Partnership’s and the Operating Company’s distribution policy, see </w:t>
      </w:r>
      <w:r>
        <w:fldChar w:fldCharType="begin"/>
      </w:r>
      <w:r>
        <w:rPr>
          <w:rStyle w:val="InternetLink"/>
        </w:rPr>
        <w:instrText> HYPERLINK "https://www.sec.gov/ix?doc=/Archives/edgar/data/1602065/000160206523000007/vnom-20221231.htm" \l "i014aed5382dd45488e402459c1f9d159_142"</w:instrText>
      </w:r>
      <w:r>
        <w:rPr>
          <w:rStyle w:val="InternetLink"/>
        </w:rPr>
        <w:fldChar w:fldCharType="separate"/>
      </w:r>
      <w:r>
        <w:rPr>
          <w:rStyle w:val="InternetLink"/>
        </w:rPr>
        <w:t>Note 7—Unitholders’ Equity and Distributions—Cash Distributions</w:t>
      </w:r>
      <w:r>
        <w:rPr>
          <w:rStyle w:val="InternetLink"/>
        </w:rPr>
        <w:fldChar w:fldCharType="end"/>
      </w:r>
      <w:r>
        <w:fldChar w:fldCharType="begin"/>
      </w:r>
      <w:r>
        <w:rPr>
          <w:rStyle w:val="InternetLink"/>
        </w:rPr>
        <w:instrText> HYPERLINK "https://www.sec.gov/ix?doc=/Archives/edgar/data/1602065/000160206523000007/vnom-20221231.htm" \l "i014aed5382dd45488e402459c1f9d159_142"</w:instrText>
      </w:r>
      <w:r>
        <w:rPr>
          <w:rStyle w:val="InternetLink"/>
        </w:rPr>
        <w:fldChar w:fldCharType="separate"/>
      </w:r>
      <w:r>
        <w:rPr>
          <w:rStyle w:val="InternetLink"/>
        </w:rPr>
        <w:t xml:space="preserve"> in the Partnership's Annual Report on Form 10-K</w:t>
      </w:r>
      <w:r>
        <w:rPr>
          <w:rStyle w:val="InternetLink"/>
        </w:rPr>
        <w:fldChar w:fldCharType="end"/>
      </w:r>
      <w:r>
        <w:rPr>
          <w:color w:val="000000"/>
        </w:rPr>
        <w:t xml:space="preserve"> </w:t>
      </w:r>
      <w:r>
        <w:rPr>
          <w:rFonts w:ascii="Times New Roman;sans-serif" w:hAnsi="Times New Roman;sans-serif"/>
          <w:b w:val="false"/>
          <w:color w:val="000000"/>
          <w:sz w:val="20"/>
        </w:rPr>
        <w:t>for the year ended December 31, 2022.</w:t>
      </w:r>
    </w:p>
    <w:p>
      <w:pPr>
        <w:pStyle w:val="TextBody"/>
        <w:spacing w:before="0" w:after="0"/>
        <w:ind w:left="0" w:right="0" w:firstLine="720"/>
        <w:jc w:val="both"/>
        <w:rPr/>
      </w:pPr>
      <w:r>
        <w:rPr/>
      </w:r>
    </w:p>
    <w:p>
      <w:pPr>
        <w:pStyle w:val="TextBody"/>
        <w:spacing w:lineRule="auto" w:line="276" w:before="0" w:after="0"/>
        <w:ind w:left="0" w:right="0" w:firstLine="72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 xml:space="preserve">The percentage of cash available for distribution pursuant to the distribution policy may change quarterly to enable the Operating Company to retain cash flow to help strengthen the Partnership’s balance sheet while also expanding the return of capital program through the Partnership’s common unit repurchase program. The Partnership is not required to pay distributions to its common unitholders on a quarterly or other basis. </w:t>
      </w:r>
    </w:p>
    <w:p>
      <w:pPr>
        <w:pStyle w:val="TextBody"/>
        <w:spacing w:before="0" w:after="0"/>
        <w:ind w:left="0" w:right="0" w:firstLine="720"/>
        <w:jc w:val="both"/>
        <w:rPr/>
      </w:pPr>
      <w:r>
        <w:rPr/>
      </w:r>
    </w:p>
    <w:p>
      <w:pPr>
        <w:pStyle w:val="HorizontalLine"/>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v:rect>
            </w:pict>
          </mc:Fallback>
        </mc:AlternateContent>
      </w:r>
    </w:p>
    <w:p>
      <w:pPr>
        <w:pStyle w:val="TextBody"/>
        <w:spacing w:lineRule="auto" w:line="288" w:before="0" w:after="0"/>
        <w:rPr/>
      </w:pPr>
      <w:hyperlink w:anchor="i8dd89f0c72444a288e2bb25168f12b04_7">
        <w:r>
          <w:rPr>
            <w:rStyle w:val="InternetLink"/>
            <w:rFonts w:ascii="Times New Roman;sans-serif" w:hAnsi="Times New Roman;sans-serif"/>
            <w:b w:val="false"/>
            <w:color w:val="0000FF"/>
            <w:sz w:val="16"/>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Viper Energy Partners LP</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Notes to Consolidated Financial Statements - (Continued)</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information regarding cash distributions approved by the board of directors of the General Partner for the periods presented (in thousands, except for per share amounts):</w:t>
      </w:r>
    </w:p>
    <w:tbl>
      <w:tblPr>
        <w:tblW w:w="10205" w:type="dxa"/>
        <w:jc w:val="left"/>
        <w:tblInd w:w="0" w:type="dxa"/>
        <w:tblCellMar>
          <w:top w:w="28" w:type="dxa"/>
          <w:left w:w="28" w:type="dxa"/>
          <w:bottom w:w="28" w:type="dxa"/>
          <w:right w:w="28" w:type="dxa"/>
        </w:tblCellMar>
      </w:tblPr>
      <w:tblGrid>
        <w:gridCol w:w="226"/>
        <w:gridCol w:w="198"/>
        <w:gridCol w:w="200"/>
        <w:gridCol w:w="109"/>
        <w:gridCol w:w="109"/>
        <w:gridCol w:w="109"/>
        <w:gridCol w:w="248"/>
        <w:gridCol w:w="604"/>
        <w:gridCol w:w="131"/>
        <w:gridCol w:w="109"/>
        <w:gridCol w:w="109"/>
        <w:gridCol w:w="109"/>
        <w:gridCol w:w="269"/>
        <w:gridCol w:w="921"/>
        <w:gridCol w:w="140"/>
        <w:gridCol w:w="109"/>
        <w:gridCol w:w="109"/>
        <w:gridCol w:w="109"/>
        <w:gridCol w:w="226"/>
        <w:gridCol w:w="549"/>
        <w:gridCol w:w="117"/>
        <w:gridCol w:w="109"/>
        <w:gridCol w:w="109"/>
        <w:gridCol w:w="109"/>
        <w:gridCol w:w="246"/>
        <w:gridCol w:w="843"/>
        <w:gridCol w:w="128"/>
        <w:gridCol w:w="109"/>
        <w:gridCol w:w="109"/>
        <w:gridCol w:w="109"/>
        <w:gridCol w:w="338"/>
        <w:gridCol w:w="338"/>
        <w:gridCol w:w="340"/>
        <w:gridCol w:w="109"/>
        <w:gridCol w:w="109"/>
        <w:gridCol w:w="109"/>
        <w:gridCol w:w="330"/>
        <w:gridCol w:w="330"/>
        <w:gridCol w:w="331"/>
        <w:gridCol w:w="109"/>
        <w:gridCol w:w="109"/>
        <w:gridCol w:w="109"/>
        <w:gridCol w:w="250"/>
        <w:gridCol w:w="250"/>
        <w:gridCol w:w="363"/>
      </w:tblGrid>
      <w:tr>
        <w:trPr/>
        <w:tc>
          <w:tcPr>
            <w:tcW w:w="226" w:type="dxa"/>
            <w:tcBorders/>
            <w:shd w:fill="auto" w:val="clear"/>
            <w:vAlign w:val="center"/>
          </w:tcPr>
          <w:p>
            <w:pPr>
              <w:pStyle w:val="TableContents"/>
              <w:spacing w:before="0" w:after="283"/>
              <w:rPr>
                <w:sz w:val="4"/>
                <w:szCs w:val="4"/>
              </w:rPr>
            </w:pPr>
            <w:r>
              <w:rPr>
                <w:sz w:val="4"/>
                <w:szCs w:val="4"/>
              </w:rPr>
            </w:r>
          </w:p>
        </w:tc>
        <w:tc>
          <w:tcPr>
            <w:tcW w:w="198"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8" w:type="dxa"/>
            <w:tcBorders/>
            <w:shd w:fill="auto" w:val="clear"/>
            <w:vAlign w:val="center"/>
          </w:tcPr>
          <w:p>
            <w:pPr>
              <w:pStyle w:val="TableContents"/>
              <w:spacing w:before="0" w:after="283"/>
              <w:rPr>
                <w:sz w:val="4"/>
                <w:szCs w:val="4"/>
              </w:rPr>
            </w:pPr>
            <w:r>
              <w:rPr>
                <w:sz w:val="4"/>
                <w:szCs w:val="4"/>
              </w:rPr>
            </w:r>
          </w:p>
        </w:tc>
        <w:tc>
          <w:tcPr>
            <w:tcW w:w="604"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9" w:type="dxa"/>
            <w:tcBorders/>
            <w:shd w:fill="auto" w:val="clear"/>
            <w:vAlign w:val="center"/>
          </w:tcPr>
          <w:p>
            <w:pPr>
              <w:pStyle w:val="TableContents"/>
              <w:spacing w:before="0" w:after="283"/>
              <w:rPr>
                <w:sz w:val="4"/>
                <w:szCs w:val="4"/>
              </w:rPr>
            </w:pPr>
            <w:r>
              <w:rPr>
                <w:sz w:val="4"/>
                <w:szCs w:val="4"/>
              </w:rPr>
            </w:r>
          </w:p>
        </w:tc>
        <w:tc>
          <w:tcPr>
            <w:tcW w:w="921"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549" w:type="dxa"/>
            <w:tcBorders/>
            <w:shd w:fill="auto" w:val="cle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6" w:type="dxa"/>
            <w:tcBorders/>
            <w:shd w:fill="auto" w:val="clear"/>
            <w:vAlign w:val="center"/>
          </w:tcPr>
          <w:p>
            <w:pPr>
              <w:pStyle w:val="TableContents"/>
              <w:spacing w:before="0" w:after="283"/>
              <w:rPr>
                <w:sz w:val="4"/>
                <w:szCs w:val="4"/>
              </w:rPr>
            </w:pPr>
            <w:r>
              <w:rPr>
                <w:sz w:val="4"/>
                <w:szCs w:val="4"/>
              </w:rPr>
            </w:r>
          </w:p>
        </w:tc>
        <w:tc>
          <w:tcPr>
            <w:tcW w:w="843"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38" w:type="dxa"/>
            <w:tcBorders/>
            <w:shd w:fill="auto" w:val="clear"/>
            <w:vAlign w:val="center"/>
          </w:tcPr>
          <w:p>
            <w:pPr>
              <w:pStyle w:val="TableContents"/>
              <w:spacing w:before="0" w:after="283"/>
              <w:rPr>
                <w:sz w:val="4"/>
                <w:szCs w:val="4"/>
              </w:rPr>
            </w:pPr>
            <w:r>
              <w:rPr>
                <w:sz w:val="4"/>
                <w:szCs w:val="4"/>
              </w:rPr>
            </w:r>
          </w:p>
        </w:tc>
        <w:tc>
          <w:tcPr>
            <w:tcW w:w="338" w:type="dxa"/>
            <w:tcBorders/>
            <w:shd w:fill="auto" w:val="clear"/>
            <w:vAlign w:val="center"/>
          </w:tcPr>
          <w:p>
            <w:pPr>
              <w:pStyle w:val="TableContents"/>
              <w:spacing w:before="0" w:after="283"/>
              <w:rPr>
                <w:sz w:val="4"/>
                <w:szCs w:val="4"/>
              </w:rPr>
            </w:pPr>
            <w:r>
              <w:rPr>
                <w:sz w:val="4"/>
                <w:szCs w:val="4"/>
              </w:rPr>
            </w:r>
          </w:p>
        </w:tc>
        <w:tc>
          <w:tcPr>
            <w:tcW w:w="34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30" w:type="dxa"/>
            <w:tcBorders/>
            <w:shd w:fill="auto" w:val="clear"/>
            <w:vAlign w:val="center"/>
          </w:tcPr>
          <w:p>
            <w:pPr>
              <w:pStyle w:val="TableContents"/>
              <w:spacing w:before="0" w:after="283"/>
              <w:rPr>
                <w:sz w:val="4"/>
                <w:szCs w:val="4"/>
              </w:rPr>
            </w:pPr>
            <w:r>
              <w:rPr>
                <w:sz w:val="4"/>
                <w:szCs w:val="4"/>
              </w:rPr>
            </w:r>
          </w:p>
        </w:tc>
        <w:tc>
          <w:tcPr>
            <w:tcW w:w="330" w:type="dxa"/>
            <w:tcBorders/>
            <w:shd w:fill="auto" w:val="clear"/>
            <w:vAlign w:val="center"/>
          </w:tcPr>
          <w:p>
            <w:pPr>
              <w:pStyle w:val="TableContents"/>
              <w:spacing w:before="0" w:after="283"/>
              <w:rPr>
                <w:sz w:val="4"/>
                <w:szCs w:val="4"/>
              </w:rPr>
            </w:pPr>
            <w:r>
              <w:rPr>
                <w:sz w:val="4"/>
                <w:szCs w:val="4"/>
              </w:rPr>
            </w:r>
          </w:p>
        </w:tc>
        <w:tc>
          <w:tcPr>
            <w:tcW w:w="3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0" w:type="dxa"/>
            <w:tcBorders/>
            <w:shd w:fill="auto" w:val="clear"/>
            <w:vAlign w:val="center"/>
          </w:tcPr>
          <w:p>
            <w:pPr>
              <w:pStyle w:val="TableContents"/>
              <w:spacing w:before="0" w:after="283"/>
              <w:rPr>
                <w:sz w:val="4"/>
                <w:szCs w:val="4"/>
              </w:rPr>
            </w:pPr>
            <w:r>
              <w:rPr>
                <w:sz w:val="4"/>
                <w:szCs w:val="4"/>
              </w:rPr>
            </w:r>
          </w:p>
        </w:tc>
        <w:tc>
          <w:tcPr>
            <w:tcW w:w="250" w:type="dxa"/>
            <w:tcBorders/>
            <w:shd w:fill="auto" w:val="clear"/>
            <w:vAlign w:val="center"/>
          </w:tcPr>
          <w:p>
            <w:pPr>
              <w:pStyle w:val="TableContents"/>
              <w:spacing w:before="0" w:after="283"/>
              <w:rPr>
                <w:sz w:val="4"/>
                <w:szCs w:val="4"/>
              </w:rPr>
            </w:pPr>
            <w:r>
              <w:rPr>
                <w:sz w:val="4"/>
                <w:szCs w:val="4"/>
              </w:rPr>
            </w:r>
          </w:p>
        </w:tc>
        <w:tc>
          <w:tcPr>
            <w:tcW w:w="363" w:type="dxa"/>
            <w:tcBorders/>
            <w:shd w:fill="auto" w:val="clear"/>
            <w:vAlign w:val="center"/>
          </w:tcPr>
          <w:p>
            <w:pPr>
              <w:pStyle w:val="TableContents"/>
              <w:spacing w:before="0" w:after="283"/>
              <w:rPr>
                <w:sz w:val="4"/>
                <w:szCs w:val="4"/>
              </w:rPr>
            </w:pPr>
            <w:r>
              <w:rPr>
                <w:sz w:val="4"/>
                <w:szCs w:val="4"/>
              </w:rPr>
            </w:r>
          </w:p>
        </w:tc>
      </w:tr>
      <w:tr>
        <w:trPr/>
        <w:tc>
          <w:tcPr>
            <w:tcW w:w="62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3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7" w:type="dxa"/>
            <w:gridSpan w:val="3"/>
            <w:tcBorders/>
            <w:shd w:fill="auto" w:val="clear"/>
            <w:vAlign w:val="center"/>
          </w:tcPr>
          <w:p>
            <w:pPr>
              <w:pStyle w:val="TableContents"/>
              <w:spacing w:before="0" w:after="283"/>
              <w:rPr>
                <w:sz w:val="4"/>
                <w:szCs w:val="4"/>
              </w:rPr>
            </w:pPr>
            <w:r>
              <w:rPr>
                <w:sz w:val="4"/>
                <w:szCs w:val="4"/>
              </w:rPr>
            </w:r>
          </w:p>
        </w:tc>
        <w:tc>
          <w:tcPr>
            <w:tcW w:w="3851" w:type="dxa"/>
            <w:gridSpan w:val="18"/>
            <w:tcBorders/>
            <w:shd w:fill="auto" w:val="clear"/>
          </w:tcPr>
          <w:p>
            <w:pPr>
              <w:pStyle w:val="TableContents"/>
              <w:spacing w:before="0" w:after="283"/>
              <w:rPr>
                <w:sz w:val="4"/>
                <w:szCs w:val="4"/>
              </w:rPr>
            </w:pPr>
            <w:r>
              <w:rPr>
                <w:sz w:val="4"/>
                <w:szCs w:val="4"/>
              </w:rPr>
            </w:r>
          </w:p>
        </w:tc>
      </w:tr>
      <w:tr>
        <w:trPr/>
        <w:tc>
          <w:tcPr>
            <w:tcW w:w="62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3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7" w:type="dxa"/>
            <w:gridSpan w:val="3"/>
            <w:tcBorders/>
            <w:shd w:fill="auto" w:val="clear"/>
            <w:vAlign w:val="center"/>
          </w:tcPr>
          <w:p>
            <w:pPr>
              <w:pStyle w:val="TableContents"/>
              <w:spacing w:before="0" w:after="283"/>
              <w:rPr>
                <w:sz w:val="4"/>
                <w:szCs w:val="4"/>
              </w:rPr>
            </w:pPr>
            <w:r>
              <w:rPr>
                <w:sz w:val="4"/>
                <w:szCs w:val="4"/>
              </w:rPr>
            </w:r>
          </w:p>
        </w:tc>
        <w:tc>
          <w:tcPr>
            <w:tcW w:w="3851" w:type="dxa"/>
            <w:gridSpan w:val="18"/>
            <w:tcBorders/>
            <w:shd w:fill="auto" w:val="clear"/>
          </w:tcPr>
          <w:p>
            <w:pPr>
              <w:pStyle w:val="TableContents"/>
              <w:spacing w:before="0" w:after="283"/>
              <w:rPr>
                <w:sz w:val="4"/>
                <w:szCs w:val="4"/>
              </w:rPr>
            </w:pPr>
            <w:r>
              <w:rPr>
                <w:sz w:val="4"/>
                <w:szCs w:val="4"/>
              </w:rPr>
            </w:r>
          </w:p>
        </w:tc>
      </w:tr>
      <w:tr>
        <w:trPr/>
        <w:tc>
          <w:tcPr>
            <w:tcW w:w="62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Period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 per Operating Company Unit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0"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Operating Company Distributions to Diamondback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 per Common Unit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7"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r>
              <w:rPr>
                <w:rFonts w:ascii="Times New Roman;sans-serif" w:hAnsi="Times New Roman;sans-serif"/>
                <w:b/>
                <w:color w:val="000000"/>
                <w:sz w:val="18"/>
              </w:rPr>
              <w:t>Distributions to Common Unitholders</w:t>
            </w:r>
            <w:r>
              <w:rPr>
                <w:rFonts w:ascii="Times New Roman;sans-serif" w:hAnsi="Times New Roman;sans-serif"/>
                <w:b/>
                <w:color w:val="000000"/>
                <w:sz w:val="11"/>
              </w:rPr>
              <w:t>(1)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Declaration Date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Unitholder Record Date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Payment Date</w:t>
            </w:r>
          </w:p>
        </w:tc>
      </w:tr>
      <w:tr>
        <w:trPr/>
        <w:tc>
          <w:tcPr>
            <w:tcW w:w="62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Q4 2022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0.54 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48,983 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0.49 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35,683 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February 15, 2023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March 3, 2023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3"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March 10, 2023</w:t>
            </w:r>
          </w:p>
        </w:tc>
      </w:tr>
      <w:tr>
        <w:trPr/>
        <w:tc>
          <w:tcPr>
            <w:tcW w:w="62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3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3" w:type="dxa"/>
            <w:gridSpan w:val="3"/>
            <w:tcBorders/>
            <w:shd w:fill="auto" w:val="clear"/>
            <w:vAlign w:val="center"/>
          </w:tcPr>
          <w:p>
            <w:pPr>
              <w:pStyle w:val="TableContents"/>
              <w:spacing w:before="0" w:after="283"/>
              <w:rPr>
                <w:sz w:val="4"/>
                <w:szCs w:val="4"/>
              </w:rPr>
            </w:pPr>
            <w:r>
              <w:rPr>
                <w:sz w:val="4"/>
                <w:szCs w:val="4"/>
              </w:rPr>
            </w:r>
          </w:p>
        </w:tc>
      </w:tr>
      <w:tr>
        <w:trPr/>
        <w:tc>
          <w:tcPr>
            <w:tcW w:w="62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3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3" w:type="dxa"/>
            <w:gridSpan w:val="3"/>
            <w:tcBorders/>
            <w:shd w:fill="auto" w:val="clear"/>
            <w:vAlign w:val="center"/>
          </w:tcPr>
          <w:p>
            <w:pPr>
              <w:pStyle w:val="TableContents"/>
              <w:spacing w:before="0" w:after="283"/>
              <w:rPr>
                <w:sz w:val="4"/>
                <w:szCs w:val="4"/>
              </w:rPr>
            </w:pPr>
            <w:r>
              <w:rPr>
                <w:sz w:val="4"/>
                <w:szCs w:val="4"/>
              </w:rPr>
            </w:r>
          </w:p>
        </w:tc>
      </w:tr>
      <w:tr>
        <w:trPr/>
        <w:tc>
          <w:tcPr>
            <w:tcW w:w="62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3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3" w:type="dxa"/>
            <w:gridSpan w:val="3"/>
            <w:tcBorders/>
            <w:shd w:fill="auto" w:val="clear"/>
            <w:vAlign w:val="center"/>
          </w:tcPr>
          <w:p>
            <w:pPr>
              <w:pStyle w:val="TableContents"/>
              <w:spacing w:before="0" w:after="283"/>
              <w:rPr>
                <w:sz w:val="4"/>
                <w:szCs w:val="4"/>
              </w:rPr>
            </w:pPr>
            <w:r>
              <w:rPr>
                <w:sz w:val="4"/>
                <w:szCs w:val="4"/>
              </w:rPr>
            </w:r>
          </w:p>
        </w:tc>
      </w:tr>
      <w:tr>
        <w:trPr/>
        <w:tc>
          <w:tcPr>
            <w:tcW w:w="62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3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3" w:type="dxa"/>
            <w:gridSpan w:val="3"/>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(1)Includes amounts paid to Diamondback for the 731,500 common units beneficially owned by Diamondback and distribution equivalent rights payments.</w:t>
      </w:r>
    </w:p>
    <w:p>
      <w:pPr>
        <w:pStyle w:val="TextBody"/>
        <w:spacing w:before="0" w:after="0"/>
        <w:ind w:left="0" w:right="0" w:firstLine="72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Cash distributions will be made to the common unitholders of record on the applicable record date, generally within 60 days after the end of each quarter.</w:t>
      </w:r>
    </w:p>
    <w:p>
      <w:pPr>
        <w:pStyle w:val="TextBody"/>
        <w:spacing w:before="0" w:after="0"/>
        <w:ind w:left="0" w:right="0" w:firstLine="720"/>
        <w:jc w:val="both"/>
        <w:rPr/>
      </w:pPr>
      <w:r>
        <w:rPr/>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Change in Ownership of Consolidated Subsidiaries</w:t>
      </w:r>
    </w:p>
    <w:p>
      <w:pPr>
        <w:pStyle w:val="TextBody"/>
        <w:spacing w:before="0" w:after="0"/>
        <w:ind w:left="0" w:right="0" w:firstLine="720"/>
        <w:jc w:val="both"/>
        <w:rPr/>
      </w:pPr>
      <w:r>
        <w:rPr/>
      </w:r>
    </w:p>
    <w:p>
      <w:pPr>
        <w:pStyle w:val="TextBody"/>
        <w:spacing w:lineRule="auto" w:line="288" w:before="0" w:after="0"/>
        <w:ind w:left="0" w:right="0" w:firstLine="720"/>
        <w:jc w:val="both"/>
        <w:rPr/>
      </w:pPr>
      <w:r>
        <w:rPr>
          <w:rFonts w:ascii="Times New Roman;sans-serif" w:hAnsi="Times New Roman;sans-serif"/>
          <w:b w:val="false"/>
          <w:color w:val="000000"/>
          <w:sz w:val="20"/>
          <w:highlight w:val="white"/>
        </w:rPr>
        <w:t>Non-controlling interest in the accompanying condensed consolidated financial statements represents Diamondback’s ownership in the net assets of the Operating Company. Diamondback’s relative ownership interest in the Operating Company can change due to the Partnership’s public offerings, issuance of units for acquisitions, issuance of unit-based compensation, repurchases of common units and distribution equivalent rights paid on the Partnership’s units. These changes in ownership percentage and the disproportionate allocation of net income (loss) to Diamondback discussed below</w:t>
      </w:r>
      <w:r>
        <w:rPr>
          <w:color w:val="000000"/>
        </w:rPr>
        <w:t xml:space="preserve"> </w:t>
      </w:r>
      <w:r>
        <w:rPr>
          <w:rFonts w:ascii="Times New Roman;sans-serif" w:hAnsi="Times New Roman;sans-serif"/>
          <w:b w:val="false"/>
          <w:color w:val="000000"/>
          <w:sz w:val="20"/>
          <w:highlight w:val="white"/>
        </w:rPr>
        <w:t>result in adjustments to non-controlling interest and common unitholder equity, tax effected, but do not impact earnings. The following table summarizes the changes in common unitholder equity due to changes in ownership interest during the period:</w:t>
      </w:r>
    </w:p>
    <w:p>
      <w:pPr>
        <w:pStyle w:val="TextBody"/>
        <w:spacing w:before="0" w:after="0"/>
        <w:ind w:left="0" w:right="0" w:firstLine="720"/>
        <w:jc w:val="both"/>
        <w:rPr/>
      </w:pPr>
      <w:r>
        <w:rPr/>
      </w:r>
    </w:p>
    <w:tbl>
      <w:tblPr>
        <w:tblW w:w="10205" w:type="dxa"/>
        <w:jc w:val="left"/>
        <w:tblInd w:w="0" w:type="dxa"/>
        <w:tblCellMar>
          <w:top w:w="28" w:type="dxa"/>
          <w:left w:w="28" w:type="dxa"/>
          <w:bottom w:w="28" w:type="dxa"/>
          <w:right w:w="28" w:type="dxa"/>
        </w:tblCellMar>
      </w:tblPr>
      <w:tblGrid>
        <w:gridCol w:w="2669"/>
        <w:gridCol w:w="2258"/>
        <w:gridCol w:w="2265"/>
        <w:gridCol w:w="221"/>
        <w:gridCol w:w="757"/>
        <w:gridCol w:w="114"/>
        <w:gridCol w:w="114"/>
        <w:gridCol w:w="114"/>
        <w:gridCol w:w="114"/>
        <w:gridCol w:w="221"/>
        <w:gridCol w:w="757"/>
        <w:gridCol w:w="114"/>
        <w:gridCol w:w="109"/>
        <w:gridCol w:w="109"/>
        <w:gridCol w:w="109"/>
        <w:gridCol w:w="160"/>
      </w:tblGrid>
      <w:tr>
        <w:trPr/>
        <w:tc>
          <w:tcPr>
            <w:tcW w:w="2669" w:type="dxa"/>
            <w:tcBorders/>
            <w:shd w:fill="auto" w:val="clear"/>
            <w:vAlign w:val="center"/>
          </w:tcPr>
          <w:p>
            <w:pPr>
              <w:pStyle w:val="TableContents"/>
              <w:spacing w:before="0" w:after="283"/>
              <w:rPr>
                <w:sz w:val="4"/>
                <w:szCs w:val="4"/>
              </w:rPr>
            </w:pPr>
            <w:r>
              <w:rPr>
                <w:sz w:val="4"/>
                <w:szCs w:val="4"/>
              </w:rPr>
            </w:r>
          </w:p>
        </w:tc>
        <w:tc>
          <w:tcPr>
            <w:tcW w:w="2258" w:type="dxa"/>
            <w:tcBorders/>
            <w:shd w:fill="auto" w:val="clear"/>
            <w:vAlign w:val="center"/>
          </w:tcPr>
          <w:p>
            <w:pPr>
              <w:pStyle w:val="TableContents"/>
              <w:spacing w:before="0" w:after="283"/>
              <w:rPr>
                <w:sz w:val="4"/>
                <w:szCs w:val="4"/>
              </w:rPr>
            </w:pPr>
            <w:r>
              <w:rPr>
                <w:sz w:val="4"/>
                <w:szCs w:val="4"/>
              </w:rPr>
            </w:r>
          </w:p>
        </w:tc>
        <w:tc>
          <w:tcPr>
            <w:tcW w:w="2265"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757"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757"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719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26" w:type="dxa"/>
            <w:gridSpan w:val="9"/>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9" w:type="dxa"/>
            <w:gridSpan w:val="2"/>
            <w:tcBorders/>
            <w:shd w:fill="auto" w:val="clear"/>
          </w:tcPr>
          <w:p>
            <w:pPr>
              <w:pStyle w:val="TableContents"/>
              <w:spacing w:before="0" w:after="283"/>
              <w:rPr>
                <w:sz w:val="4"/>
                <w:szCs w:val="4"/>
              </w:rPr>
            </w:pPr>
            <w:r>
              <w:rPr>
                <w:sz w:val="4"/>
                <w:szCs w:val="4"/>
              </w:rPr>
            </w:r>
          </w:p>
        </w:tc>
      </w:tr>
      <w:tr>
        <w:trPr/>
        <w:tc>
          <w:tcPr>
            <w:tcW w:w="719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2"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42"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92"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719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26"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thousands)</w:t>
            </w:r>
          </w:p>
        </w:tc>
        <w:tc>
          <w:tcPr>
            <w:tcW w:w="487" w:type="dxa"/>
            <w:gridSpan w:val="4"/>
            <w:tcBorders/>
            <w:shd w:fill="auto" w:val="clear"/>
          </w:tcPr>
          <w:p>
            <w:pPr>
              <w:pStyle w:val="TableContents"/>
              <w:spacing w:before="0" w:after="283"/>
              <w:rPr>
                <w:sz w:val="4"/>
                <w:szCs w:val="4"/>
              </w:rPr>
            </w:pPr>
            <w:r>
              <w:rPr>
                <w:sz w:val="4"/>
                <w:szCs w:val="4"/>
              </w:rPr>
            </w:r>
          </w:p>
        </w:tc>
      </w:tr>
      <w:tr>
        <w:trPr/>
        <w:tc>
          <w:tcPr>
            <w:tcW w:w="719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attributable to the Partnership</w:t>
            </w:r>
          </w:p>
        </w:tc>
        <w:tc>
          <w:tcPr>
            <w:tcW w:w="22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33,967 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16,605 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7192" w:type="dxa"/>
            <w:gridSpan w:val="3"/>
            <w:tcBorders/>
            <w:shd w:fill="auto" w:val="clear"/>
            <w:vAlign w:val="center"/>
          </w:tcPr>
          <w:p>
            <w:pPr>
              <w:pStyle w:val="TableContents"/>
              <w:spacing w:before="0" w:after="283"/>
              <w:rPr>
                <w:sz w:val="4"/>
                <w:szCs w:val="4"/>
              </w:rPr>
            </w:pPr>
            <w:r>
              <w:rPr>
                <w:sz w:val="4"/>
                <w:szCs w:val="4"/>
              </w:rPr>
            </w:r>
          </w:p>
        </w:tc>
        <w:tc>
          <w:tcPr>
            <w:tcW w:w="1092" w:type="dxa"/>
            <w:gridSpan w:val="3"/>
            <w:tcBorders/>
            <w:shd w:fill="auto" w:val="clear"/>
            <w:vAlign w:val="center"/>
          </w:tcPr>
          <w:p>
            <w:pPr>
              <w:pStyle w:val="TableContents"/>
              <w:spacing w:before="0" w:after="283"/>
              <w:rPr>
                <w:sz w:val="4"/>
                <w:szCs w:val="4"/>
              </w:rPr>
            </w:pPr>
            <w:r>
              <w:rPr>
                <w:sz w:val="4"/>
                <w:szCs w:val="4"/>
              </w:rPr>
            </w:r>
          </w:p>
        </w:tc>
        <w:tc>
          <w:tcPr>
            <w:tcW w:w="342" w:type="dxa"/>
            <w:gridSpan w:val="3"/>
            <w:tcBorders/>
            <w:shd w:fill="auto" w:val="clear"/>
            <w:vAlign w:val="center"/>
          </w:tcPr>
          <w:p>
            <w:pPr>
              <w:pStyle w:val="TableContents"/>
              <w:spacing w:before="0" w:after="283"/>
              <w:rPr>
                <w:sz w:val="4"/>
                <w:szCs w:val="4"/>
              </w:rPr>
            </w:pPr>
            <w:r>
              <w:rPr>
                <w:sz w:val="4"/>
                <w:szCs w:val="4"/>
              </w:rPr>
            </w:r>
          </w:p>
        </w:tc>
        <w:tc>
          <w:tcPr>
            <w:tcW w:w="1092"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719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Change in ownership of consolidated subsidiaries </w:t>
            </w:r>
          </w:p>
        </w:tc>
        <w:tc>
          <w:tcPr>
            <w:tcW w:w="97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11,449 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14,195 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7192" w:type="dxa"/>
            <w:gridSpan w:val="3"/>
            <w:tcBorders/>
            <w:shd w:fill="auto" w:val="clear"/>
            <w:vAlign w:val="center"/>
          </w:tcPr>
          <w:p>
            <w:pPr>
              <w:pStyle w:val="TableContents"/>
              <w:spacing w:before="0" w:after="283"/>
              <w:rPr>
                <w:sz w:val="4"/>
                <w:szCs w:val="4"/>
              </w:rPr>
            </w:pPr>
            <w:r>
              <w:rPr>
                <w:sz w:val="4"/>
                <w:szCs w:val="4"/>
              </w:rPr>
            </w:r>
          </w:p>
        </w:tc>
        <w:tc>
          <w:tcPr>
            <w:tcW w:w="1092" w:type="dxa"/>
            <w:gridSpan w:val="3"/>
            <w:tcBorders/>
            <w:shd w:fill="auto" w:val="clear"/>
            <w:vAlign w:val="center"/>
          </w:tcPr>
          <w:p>
            <w:pPr>
              <w:pStyle w:val="TableContents"/>
              <w:spacing w:before="0" w:after="283"/>
              <w:rPr>
                <w:sz w:val="4"/>
                <w:szCs w:val="4"/>
              </w:rPr>
            </w:pPr>
            <w:r>
              <w:rPr>
                <w:sz w:val="4"/>
                <w:szCs w:val="4"/>
              </w:rPr>
            </w:r>
          </w:p>
        </w:tc>
        <w:tc>
          <w:tcPr>
            <w:tcW w:w="342" w:type="dxa"/>
            <w:gridSpan w:val="3"/>
            <w:tcBorders/>
            <w:shd w:fill="auto" w:val="clear"/>
            <w:vAlign w:val="center"/>
          </w:tcPr>
          <w:p>
            <w:pPr>
              <w:pStyle w:val="TableContents"/>
              <w:spacing w:before="0" w:after="283"/>
              <w:rPr>
                <w:sz w:val="4"/>
                <w:szCs w:val="4"/>
              </w:rPr>
            </w:pPr>
            <w:r>
              <w:rPr>
                <w:sz w:val="4"/>
                <w:szCs w:val="4"/>
              </w:rPr>
            </w:r>
          </w:p>
        </w:tc>
        <w:tc>
          <w:tcPr>
            <w:tcW w:w="1092"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7192" w:type="dxa"/>
            <w:gridSpan w:val="3"/>
            <w:tcBorders/>
            <w:shd w:fill="auto" w:val="clear"/>
            <w:vAlign w:val="center"/>
          </w:tcPr>
          <w:p>
            <w:pPr>
              <w:pStyle w:val="TableContents"/>
              <w:spacing w:before="0" w:after="283"/>
              <w:rPr>
                <w:sz w:val="4"/>
                <w:szCs w:val="4"/>
              </w:rPr>
            </w:pPr>
            <w:r>
              <w:rPr>
                <w:sz w:val="4"/>
                <w:szCs w:val="4"/>
              </w:rPr>
            </w:r>
          </w:p>
        </w:tc>
        <w:tc>
          <w:tcPr>
            <w:tcW w:w="1092" w:type="dxa"/>
            <w:gridSpan w:val="3"/>
            <w:tcBorders/>
            <w:shd w:fill="auto" w:val="clear"/>
            <w:vAlign w:val="center"/>
          </w:tcPr>
          <w:p>
            <w:pPr>
              <w:pStyle w:val="TableContents"/>
              <w:spacing w:before="0" w:after="283"/>
              <w:rPr>
                <w:sz w:val="4"/>
                <w:szCs w:val="4"/>
              </w:rPr>
            </w:pPr>
            <w:r>
              <w:rPr>
                <w:sz w:val="4"/>
                <w:szCs w:val="4"/>
              </w:rPr>
            </w:r>
          </w:p>
        </w:tc>
        <w:tc>
          <w:tcPr>
            <w:tcW w:w="342" w:type="dxa"/>
            <w:gridSpan w:val="3"/>
            <w:tcBorders/>
            <w:shd w:fill="auto" w:val="clear"/>
            <w:vAlign w:val="center"/>
          </w:tcPr>
          <w:p>
            <w:pPr>
              <w:pStyle w:val="TableContents"/>
              <w:spacing w:before="0" w:after="283"/>
              <w:rPr>
                <w:sz w:val="4"/>
                <w:szCs w:val="4"/>
              </w:rPr>
            </w:pPr>
            <w:r>
              <w:rPr>
                <w:sz w:val="4"/>
                <w:szCs w:val="4"/>
              </w:rPr>
            </w:r>
          </w:p>
        </w:tc>
        <w:tc>
          <w:tcPr>
            <w:tcW w:w="1092"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7192" w:type="dxa"/>
            <w:gridSpan w:val="3"/>
            <w:tcBorders/>
            <w:shd w:fill="auto" w:val="clear"/>
            <w:vAlign w:val="center"/>
          </w:tcPr>
          <w:p>
            <w:pPr>
              <w:pStyle w:val="TableContents"/>
              <w:spacing w:before="0" w:after="283"/>
              <w:rPr>
                <w:sz w:val="4"/>
                <w:szCs w:val="4"/>
              </w:rPr>
            </w:pPr>
            <w:r>
              <w:rPr>
                <w:sz w:val="4"/>
                <w:szCs w:val="4"/>
              </w:rPr>
            </w:r>
          </w:p>
        </w:tc>
        <w:tc>
          <w:tcPr>
            <w:tcW w:w="1092" w:type="dxa"/>
            <w:gridSpan w:val="3"/>
            <w:tcBorders/>
            <w:shd w:fill="auto" w:val="clear"/>
            <w:vAlign w:val="center"/>
          </w:tcPr>
          <w:p>
            <w:pPr>
              <w:pStyle w:val="TableContents"/>
              <w:spacing w:before="0" w:after="283"/>
              <w:rPr>
                <w:sz w:val="4"/>
                <w:szCs w:val="4"/>
              </w:rPr>
            </w:pPr>
            <w:r>
              <w:rPr>
                <w:sz w:val="4"/>
                <w:szCs w:val="4"/>
              </w:rPr>
            </w:r>
          </w:p>
        </w:tc>
        <w:tc>
          <w:tcPr>
            <w:tcW w:w="342" w:type="dxa"/>
            <w:gridSpan w:val="3"/>
            <w:tcBorders/>
            <w:shd w:fill="auto" w:val="clear"/>
            <w:vAlign w:val="center"/>
          </w:tcPr>
          <w:p>
            <w:pPr>
              <w:pStyle w:val="TableContents"/>
              <w:spacing w:before="0" w:after="283"/>
              <w:rPr>
                <w:sz w:val="4"/>
                <w:szCs w:val="4"/>
              </w:rPr>
            </w:pPr>
            <w:r>
              <w:rPr>
                <w:sz w:val="4"/>
                <w:szCs w:val="4"/>
              </w:rPr>
            </w:r>
          </w:p>
        </w:tc>
        <w:tc>
          <w:tcPr>
            <w:tcW w:w="1092"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7192" w:type="dxa"/>
            <w:gridSpan w:val="3"/>
            <w:tcBorders/>
            <w:shd w:fill="auto" w:val="clear"/>
            <w:vAlign w:val="center"/>
          </w:tcPr>
          <w:p>
            <w:pPr>
              <w:pStyle w:val="TableContents"/>
              <w:spacing w:before="0" w:after="283"/>
              <w:rPr>
                <w:sz w:val="4"/>
                <w:szCs w:val="4"/>
              </w:rPr>
            </w:pPr>
            <w:r>
              <w:rPr>
                <w:sz w:val="4"/>
                <w:szCs w:val="4"/>
              </w:rPr>
            </w:r>
          </w:p>
        </w:tc>
        <w:tc>
          <w:tcPr>
            <w:tcW w:w="1092" w:type="dxa"/>
            <w:gridSpan w:val="3"/>
            <w:tcBorders/>
            <w:shd w:fill="auto" w:val="clear"/>
            <w:vAlign w:val="center"/>
          </w:tcPr>
          <w:p>
            <w:pPr>
              <w:pStyle w:val="TableContents"/>
              <w:spacing w:before="0" w:after="283"/>
              <w:rPr>
                <w:sz w:val="4"/>
                <w:szCs w:val="4"/>
              </w:rPr>
            </w:pPr>
            <w:r>
              <w:rPr>
                <w:sz w:val="4"/>
                <w:szCs w:val="4"/>
              </w:rPr>
            </w:r>
          </w:p>
        </w:tc>
        <w:tc>
          <w:tcPr>
            <w:tcW w:w="342" w:type="dxa"/>
            <w:gridSpan w:val="3"/>
            <w:tcBorders/>
            <w:shd w:fill="auto" w:val="clear"/>
            <w:vAlign w:val="center"/>
          </w:tcPr>
          <w:p>
            <w:pPr>
              <w:pStyle w:val="TableContents"/>
              <w:spacing w:before="0" w:after="283"/>
              <w:rPr>
                <w:sz w:val="4"/>
                <w:szCs w:val="4"/>
              </w:rPr>
            </w:pPr>
            <w:r>
              <w:rPr>
                <w:sz w:val="4"/>
                <w:szCs w:val="4"/>
              </w:rPr>
            </w:r>
          </w:p>
        </w:tc>
        <w:tc>
          <w:tcPr>
            <w:tcW w:w="1092"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719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from net income (loss) attributable to the Partnership's unitholders and transfers to non-controlling interest</w:t>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45,416 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30,800 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ind w:left="0" w:right="0" w:firstLine="72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8.    EARNINGS PER COMMON UNIT</w:t>
      </w:r>
    </w:p>
    <w:p>
      <w:pPr>
        <w:pStyle w:val="TextBody"/>
        <w:spacing w:before="0" w:after="0"/>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net income (loss) per common unit on the condensed consolidated statements of operations is based on the net income (loss) attributable to the Partnership’s common units for the three months ended March 31, 2023 and 2022. The Partnership’s net income (loss) is allocated wholly to the common units, as the General Partner does not have an economic interest.</w:t>
      </w:r>
    </w:p>
    <w:p>
      <w:pPr>
        <w:pStyle w:val="TextBody"/>
        <w:spacing w:before="0" w:after="0"/>
        <w:ind w:left="0" w:right="0" w:firstLine="72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Basic and diluted earnings per common unit is calculated using the two-class method. The two class method is an earnings allocation proportional to the respective ownership among holders of common units and participating securities. Basic net income (loss) per common unit is calculated by dividing net income (loss) by the weighted-average number of common units outstanding during the period. Diluted net income (loss) per common unit gives effect, when applicable, to unvested common units granted under the LTIP.</w:t>
      </w:r>
    </w:p>
    <w:p>
      <w:pPr>
        <w:pStyle w:val="TextBody"/>
        <w:spacing w:before="0" w:after="0"/>
        <w:ind w:left="0" w:right="0" w:firstLine="720"/>
        <w:jc w:val="both"/>
        <w:rPr/>
      </w:pPr>
      <w:r>
        <w:rPr/>
      </w:r>
    </w:p>
    <w:p>
      <w:pPr>
        <w:pStyle w:val="HorizontalLine"/>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v:rect>
            </w:pict>
          </mc:Fallback>
        </mc:AlternateContent>
      </w:r>
    </w:p>
    <w:p>
      <w:pPr>
        <w:pStyle w:val="TextBody"/>
        <w:spacing w:lineRule="auto" w:line="288" w:before="0" w:after="0"/>
        <w:rPr/>
      </w:pPr>
      <w:hyperlink w:anchor="i8dd89f0c72444a288e2bb25168f12b04_7">
        <w:r>
          <w:rPr>
            <w:rStyle w:val="InternetLink"/>
            <w:rFonts w:ascii="Times New Roman;sans-serif" w:hAnsi="Times New Roman;sans-serif"/>
            <w:b w:val="false"/>
            <w:color w:val="0000FF"/>
            <w:sz w:val="16"/>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Viper Energy Partners LP</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Notes to Consolidated Financial Statements - (Continued)</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 reconciliation of the components of basic and diluted earnings per common unit is presented in the table below:</w:t>
      </w:r>
    </w:p>
    <w:p>
      <w:pPr>
        <w:pStyle w:val="TextBody"/>
        <w:spacing w:before="0" w:after="0"/>
        <w:jc w:val="both"/>
        <w:rPr/>
      </w:pPr>
      <w:r>
        <w:rPr/>
      </w:r>
    </w:p>
    <w:tbl>
      <w:tblPr>
        <w:tblW w:w="10205" w:type="dxa"/>
        <w:jc w:val="left"/>
        <w:tblInd w:w="0" w:type="dxa"/>
        <w:tblCellMar>
          <w:top w:w="28" w:type="dxa"/>
          <w:left w:w="28" w:type="dxa"/>
          <w:bottom w:w="28" w:type="dxa"/>
          <w:right w:w="28" w:type="dxa"/>
        </w:tblCellMar>
      </w:tblPr>
      <w:tblGrid>
        <w:gridCol w:w="2383"/>
        <w:gridCol w:w="2073"/>
        <w:gridCol w:w="2091"/>
        <w:gridCol w:w="278"/>
        <w:gridCol w:w="952"/>
        <w:gridCol w:w="142"/>
        <w:gridCol w:w="142"/>
        <w:gridCol w:w="142"/>
        <w:gridCol w:w="142"/>
        <w:gridCol w:w="278"/>
        <w:gridCol w:w="952"/>
        <w:gridCol w:w="142"/>
        <w:gridCol w:w="109"/>
        <w:gridCol w:w="109"/>
        <w:gridCol w:w="109"/>
        <w:gridCol w:w="161"/>
      </w:tblGrid>
      <w:tr>
        <w:trPr/>
        <w:tc>
          <w:tcPr>
            <w:tcW w:w="2383" w:type="dxa"/>
            <w:tcBorders/>
            <w:shd w:fill="auto" w:val="clear"/>
            <w:vAlign w:val="center"/>
          </w:tcPr>
          <w:p>
            <w:pPr>
              <w:pStyle w:val="TableContents"/>
              <w:spacing w:before="0" w:after="283"/>
              <w:rPr>
                <w:sz w:val="4"/>
                <w:szCs w:val="4"/>
              </w:rPr>
            </w:pPr>
            <w:r>
              <w:rPr>
                <w:sz w:val="4"/>
                <w:szCs w:val="4"/>
              </w:rPr>
            </w:r>
          </w:p>
        </w:tc>
        <w:tc>
          <w:tcPr>
            <w:tcW w:w="2073" w:type="dxa"/>
            <w:tcBorders/>
            <w:shd w:fill="auto" w:val="clear"/>
            <w:vAlign w:val="center"/>
          </w:tcPr>
          <w:p>
            <w:pPr>
              <w:pStyle w:val="TableContents"/>
              <w:spacing w:before="0" w:after="283"/>
              <w:rPr>
                <w:sz w:val="4"/>
                <w:szCs w:val="4"/>
              </w:rPr>
            </w:pPr>
            <w:r>
              <w:rPr>
                <w:sz w:val="4"/>
                <w:szCs w:val="4"/>
              </w:rPr>
            </w:r>
          </w:p>
        </w:tc>
        <w:tc>
          <w:tcPr>
            <w:tcW w:w="2091" w:type="dxa"/>
            <w:tcBorders/>
            <w:shd w:fill="auto" w:val="clear"/>
            <w:vAlign w:val="center"/>
          </w:tcPr>
          <w:p>
            <w:pPr>
              <w:pStyle w:val="TableContents"/>
              <w:spacing w:before="0" w:after="283"/>
              <w:rPr>
                <w:sz w:val="4"/>
                <w:szCs w:val="4"/>
              </w:rPr>
            </w:pPr>
            <w:r>
              <w:rPr>
                <w:sz w:val="4"/>
                <w:szCs w:val="4"/>
              </w:rPr>
            </w:r>
          </w:p>
        </w:tc>
        <w:tc>
          <w:tcPr>
            <w:tcW w:w="278" w:type="dxa"/>
            <w:tcBorders/>
            <w:shd w:fill="auto" w:val="clear"/>
            <w:vAlign w:val="center"/>
          </w:tcPr>
          <w:p>
            <w:pPr>
              <w:pStyle w:val="TableContents"/>
              <w:spacing w:before="0" w:after="283"/>
              <w:rPr>
                <w:sz w:val="4"/>
                <w:szCs w:val="4"/>
              </w:rPr>
            </w:pPr>
            <w:r>
              <w:rPr>
                <w:sz w:val="4"/>
                <w:szCs w:val="4"/>
              </w:rPr>
            </w:r>
          </w:p>
        </w:tc>
        <w:tc>
          <w:tcPr>
            <w:tcW w:w="952" w:type="dxa"/>
            <w:tcBorders/>
            <w:shd w:fill="auto" w:val="clear"/>
            <w:vAlign w:val="center"/>
          </w:tcPr>
          <w:p>
            <w:pPr>
              <w:pStyle w:val="TableContents"/>
              <w:spacing w:before="0" w:after="283"/>
              <w:rPr>
                <w:sz w:val="4"/>
                <w:szCs w:val="4"/>
              </w:rPr>
            </w:pPr>
            <w:r>
              <w:rPr>
                <w:sz w:val="4"/>
                <w:szCs w:val="4"/>
              </w:rPr>
            </w:r>
          </w:p>
        </w:tc>
        <w:tc>
          <w:tcPr>
            <w:tcW w:w="142" w:type="dxa"/>
            <w:tcBorders/>
            <w:shd w:fill="auto" w:val="clear"/>
            <w:vAlign w:val="center"/>
          </w:tcPr>
          <w:p>
            <w:pPr>
              <w:pStyle w:val="TableContents"/>
              <w:spacing w:before="0" w:after="283"/>
              <w:rPr>
                <w:sz w:val="4"/>
                <w:szCs w:val="4"/>
              </w:rPr>
            </w:pPr>
            <w:r>
              <w:rPr>
                <w:sz w:val="4"/>
                <w:szCs w:val="4"/>
              </w:rPr>
            </w:r>
          </w:p>
        </w:tc>
        <w:tc>
          <w:tcPr>
            <w:tcW w:w="142" w:type="dxa"/>
            <w:tcBorders/>
            <w:shd w:fill="auto" w:val="clear"/>
            <w:vAlign w:val="center"/>
          </w:tcPr>
          <w:p>
            <w:pPr>
              <w:pStyle w:val="TableContents"/>
              <w:spacing w:before="0" w:after="283"/>
              <w:rPr>
                <w:sz w:val="4"/>
                <w:szCs w:val="4"/>
              </w:rPr>
            </w:pPr>
            <w:r>
              <w:rPr>
                <w:sz w:val="4"/>
                <w:szCs w:val="4"/>
              </w:rPr>
            </w:r>
          </w:p>
        </w:tc>
        <w:tc>
          <w:tcPr>
            <w:tcW w:w="142" w:type="dxa"/>
            <w:tcBorders/>
            <w:shd w:fill="auto" w:val="clear"/>
            <w:vAlign w:val="center"/>
          </w:tcPr>
          <w:p>
            <w:pPr>
              <w:pStyle w:val="TableContents"/>
              <w:spacing w:before="0" w:after="283"/>
              <w:rPr>
                <w:sz w:val="4"/>
                <w:szCs w:val="4"/>
              </w:rPr>
            </w:pPr>
            <w:r>
              <w:rPr>
                <w:sz w:val="4"/>
                <w:szCs w:val="4"/>
              </w:rPr>
            </w:r>
          </w:p>
        </w:tc>
        <w:tc>
          <w:tcPr>
            <w:tcW w:w="142" w:type="dxa"/>
            <w:tcBorders/>
            <w:shd w:fill="auto" w:val="clear"/>
            <w:vAlign w:val="center"/>
          </w:tcPr>
          <w:p>
            <w:pPr>
              <w:pStyle w:val="TableContents"/>
              <w:spacing w:before="0" w:after="283"/>
              <w:rPr>
                <w:sz w:val="4"/>
                <w:szCs w:val="4"/>
              </w:rPr>
            </w:pPr>
            <w:r>
              <w:rPr>
                <w:sz w:val="4"/>
                <w:szCs w:val="4"/>
              </w:rPr>
            </w:r>
          </w:p>
        </w:tc>
        <w:tc>
          <w:tcPr>
            <w:tcW w:w="278" w:type="dxa"/>
            <w:tcBorders/>
            <w:shd w:fill="auto" w:val="clear"/>
            <w:vAlign w:val="center"/>
          </w:tcPr>
          <w:p>
            <w:pPr>
              <w:pStyle w:val="TableContents"/>
              <w:spacing w:before="0" w:after="283"/>
              <w:rPr>
                <w:sz w:val="4"/>
                <w:szCs w:val="4"/>
              </w:rPr>
            </w:pPr>
            <w:r>
              <w:rPr>
                <w:sz w:val="4"/>
                <w:szCs w:val="4"/>
              </w:rPr>
            </w:r>
          </w:p>
        </w:tc>
        <w:tc>
          <w:tcPr>
            <w:tcW w:w="952" w:type="dxa"/>
            <w:tcBorders/>
            <w:shd w:fill="auto" w:val="clear"/>
            <w:vAlign w:val="center"/>
          </w:tcPr>
          <w:p>
            <w:pPr>
              <w:pStyle w:val="TableContents"/>
              <w:spacing w:before="0" w:after="283"/>
              <w:rPr>
                <w:sz w:val="4"/>
                <w:szCs w:val="4"/>
              </w:rPr>
            </w:pPr>
            <w:r>
              <w:rPr>
                <w:sz w:val="4"/>
                <w:szCs w:val="4"/>
              </w:rPr>
            </w:r>
          </w:p>
        </w:tc>
        <w:tc>
          <w:tcPr>
            <w:tcW w:w="14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654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70"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0" w:type="dxa"/>
            <w:gridSpan w:val="2"/>
            <w:tcBorders/>
            <w:shd w:fill="auto" w:val="clear"/>
          </w:tcPr>
          <w:p>
            <w:pPr>
              <w:pStyle w:val="TableContents"/>
              <w:spacing w:before="0" w:after="283"/>
              <w:rPr>
                <w:sz w:val="4"/>
                <w:szCs w:val="4"/>
              </w:rPr>
            </w:pPr>
            <w:r>
              <w:rPr>
                <w:sz w:val="4"/>
                <w:szCs w:val="4"/>
              </w:rPr>
            </w:r>
          </w:p>
        </w:tc>
      </w:tr>
      <w:tr>
        <w:trPr/>
        <w:tc>
          <w:tcPr>
            <w:tcW w:w="654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42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72"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654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70"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thousands, except per unit amounts)</w:t>
            </w:r>
          </w:p>
        </w:tc>
        <w:tc>
          <w:tcPr>
            <w:tcW w:w="488" w:type="dxa"/>
            <w:gridSpan w:val="4"/>
            <w:tcBorders/>
            <w:shd w:fill="auto" w:val="clear"/>
          </w:tcPr>
          <w:p>
            <w:pPr>
              <w:pStyle w:val="TableContents"/>
              <w:spacing w:before="0" w:after="283"/>
              <w:rPr>
                <w:sz w:val="4"/>
                <w:szCs w:val="4"/>
              </w:rPr>
            </w:pPr>
            <w:r>
              <w:rPr>
                <w:sz w:val="4"/>
                <w:szCs w:val="4"/>
              </w:rPr>
            </w:r>
          </w:p>
        </w:tc>
      </w:tr>
      <w:tr>
        <w:trPr/>
        <w:tc>
          <w:tcPr>
            <w:tcW w:w="654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attributable to the period</w:t>
            </w:r>
          </w:p>
        </w:tc>
        <w:tc>
          <w:tcPr>
            <w:tcW w:w="278"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33,967 </w:t>
            </w:r>
          </w:p>
        </w:tc>
        <w:tc>
          <w:tcPr>
            <w:tcW w:w="14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8"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16,605 </w:t>
            </w:r>
          </w:p>
        </w:tc>
        <w:tc>
          <w:tcPr>
            <w:tcW w:w="14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6547"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Less: distributed and undistributed earnings allocated to participating securities</w:t>
            </w:r>
            <w:r>
              <w:rPr>
                <w:rFonts w:ascii="Times New Roman;sans-serif" w:hAnsi="Times New Roman;sans-serif"/>
                <w:b w:val="false"/>
                <w:color w:val="000000"/>
                <w:sz w:val="13"/>
              </w:rPr>
              <w:t>(1)</w:t>
            </w:r>
          </w:p>
        </w:tc>
        <w:tc>
          <w:tcPr>
            <w:tcW w:w="123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72 </w:t>
            </w:r>
          </w:p>
        </w:tc>
        <w:tc>
          <w:tcPr>
            <w:tcW w:w="14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64 </w:t>
            </w:r>
          </w:p>
        </w:tc>
        <w:tc>
          <w:tcPr>
            <w:tcW w:w="14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654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attributable to common unitholders</w:t>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33,895 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16,541 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654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common units outstanding:</w:t>
            </w:r>
          </w:p>
        </w:tc>
        <w:tc>
          <w:tcPr>
            <w:tcW w:w="1372"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2"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654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weighted average common units outstanding</w:t>
            </w:r>
          </w:p>
        </w:tc>
        <w:tc>
          <w:tcPr>
            <w:tcW w:w="123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72,732 </w:t>
            </w:r>
          </w:p>
        </w:tc>
        <w:tc>
          <w:tcPr>
            <w:tcW w:w="14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77,106 </w:t>
            </w:r>
          </w:p>
        </w:tc>
        <w:tc>
          <w:tcPr>
            <w:tcW w:w="14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654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dilutive securities:</w:t>
            </w:r>
          </w:p>
        </w:tc>
        <w:tc>
          <w:tcPr>
            <w:tcW w:w="1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6547"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Potential common units issuable</w:t>
            </w:r>
            <w:r>
              <w:rPr>
                <w:rFonts w:ascii="Times New Roman;sans-serif" w:hAnsi="Times New Roman;sans-serif"/>
                <w:b w:val="false"/>
                <w:color w:val="000000"/>
                <w:sz w:val="13"/>
              </w:rPr>
              <w:t>(2)</w:t>
            </w:r>
          </w:p>
        </w:tc>
        <w:tc>
          <w:tcPr>
            <w:tcW w:w="123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83 </w:t>
            </w:r>
          </w:p>
        </w:tc>
        <w:tc>
          <w:tcPr>
            <w:tcW w:w="14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108 </w:t>
            </w:r>
          </w:p>
        </w:tc>
        <w:tc>
          <w:tcPr>
            <w:tcW w:w="14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654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 weighted average common units outstanding</w:t>
            </w:r>
          </w:p>
        </w:tc>
        <w:tc>
          <w:tcPr>
            <w:tcW w:w="123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72,815 </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77,214 </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654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per common unit, basic</w:t>
            </w:r>
          </w:p>
        </w:tc>
        <w:tc>
          <w:tcPr>
            <w:tcW w:w="278"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2"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0.47 </w:t>
            </w:r>
          </w:p>
        </w:tc>
        <w:tc>
          <w:tcPr>
            <w:tcW w:w="142"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8"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2"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0.22 </w:t>
            </w:r>
          </w:p>
        </w:tc>
        <w:tc>
          <w:tcPr>
            <w:tcW w:w="142"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654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per common unit, diluted</w:t>
            </w:r>
          </w:p>
        </w:tc>
        <w:tc>
          <w:tcPr>
            <w:tcW w:w="278"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0.47 </w:t>
            </w:r>
          </w:p>
        </w:tc>
        <w:tc>
          <w:tcPr>
            <w:tcW w:w="14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8"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0.22 </w:t>
            </w:r>
          </w:p>
        </w:tc>
        <w:tc>
          <w:tcPr>
            <w:tcW w:w="14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(1)    Unvested restricted stock units that contain non-forfeitable distribution equivalent rights granted are considered participating securities and therefore are included in the earnings per share calculation pursuant to the two-class method. </w:t>
      </w:r>
    </w:p>
    <w:p>
      <w:pPr>
        <w:pStyle w:val="TextBody"/>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    For the three months ended March 31, 2023 and 2022, there were no potential common units excluded from the computation of diluted earnings per common unit because their inclusion would have been anti-dilutive.</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9.    INCOME TAXES</w:t>
      </w:r>
    </w:p>
    <w:p>
      <w:pPr>
        <w:pStyle w:val="TextBody"/>
        <w:spacing w:before="0" w:after="0"/>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the Partnership’s provision for (benefit from) income taxes and the effective income tax rate for the dates indicated:</w:t>
      </w:r>
    </w:p>
    <w:p>
      <w:pPr>
        <w:pStyle w:val="TextBody"/>
        <w:spacing w:before="0" w:after="0"/>
        <w:jc w:val="both"/>
        <w:rPr/>
      </w:pPr>
      <w:r>
        <w:rPr/>
      </w:r>
    </w:p>
    <w:tbl>
      <w:tblPr>
        <w:tblW w:w="6641" w:type="dxa"/>
        <w:jc w:val="left"/>
        <w:tblInd w:w="0" w:type="dxa"/>
        <w:tblCellMar>
          <w:top w:w="28" w:type="dxa"/>
          <w:left w:w="28" w:type="dxa"/>
          <w:bottom w:w="28" w:type="dxa"/>
          <w:right w:w="28" w:type="dxa"/>
        </w:tblCellMar>
      </w:tblPr>
      <w:tblGrid>
        <w:gridCol w:w="1243"/>
        <w:gridCol w:w="1094"/>
        <w:gridCol w:w="1098"/>
        <w:gridCol w:w="227"/>
        <w:gridCol w:w="667"/>
        <w:gridCol w:w="293"/>
        <w:gridCol w:w="117"/>
        <w:gridCol w:w="117"/>
        <w:gridCol w:w="117"/>
        <w:gridCol w:w="227"/>
        <w:gridCol w:w="667"/>
        <w:gridCol w:w="293"/>
        <w:gridCol w:w="109"/>
        <w:gridCol w:w="109"/>
        <w:gridCol w:w="109"/>
        <w:gridCol w:w="154"/>
      </w:tblGrid>
      <w:tr>
        <w:trPr/>
        <w:tc>
          <w:tcPr>
            <w:tcW w:w="1243" w:type="dxa"/>
            <w:tcBorders/>
            <w:shd w:fill="auto" w:val="clear"/>
            <w:vAlign w:val="center"/>
          </w:tcPr>
          <w:p>
            <w:pPr>
              <w:pStyle w:val="TableContents"/>
              <w:spacing w:before="0" w:after="283"/>
              <w:rPr>
                <w:sz w:val="4"/>
                <w:szCs w:val="4"/>
              </w:rPr>
            </w:pPr>
            <w:r>
              <w:rPr>
                <w:sz w:val="4"/>
                <w:szCs w:val="4"/>
              </w:rPr>
            </w:r>
          </w:p>
        </w:tc>
        <w:tc>
          <w:tcPr>
            <w:tcW w:w="1094" w:type="dxa"/>
            <w:tcBorders/>
            <w:shd w:fill="auto" w:val="clear"/>
            <w:vAlign w:val="center"/>
          </w:tcPr>
          <w:p>
            <w:pPr>
              <w:pStyle w:val="TableContents"/>
              <w:spacing w:before="0" w:after="283"/>
              <w:rPr>
                <w:sz w:val="4"/>
                <w:szCs w:val="4"/>
              </w:rPr>
            </w:pPr>
            <w:r>
              <w:rPr>
                <w:sz w:val="4"/>
                <w:szCs w:val="4"/>
              </w:rPr>
            </w:r>
          </w:p>
        </w:tc>
        <w:tc>
          <w:tcPr>
            <w:tcW w:w="1098"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sz w:val="4"/>
                <w:szCs w:val="4"/>
              </w:rPr>
            </w:pPr>
            <w:r>
              <w:rPr>
                <w:sz w:val="4"/>
                <w:szCs w:val="4"/>
              </w:rPr>
            </w:r>
          </w:p>
        </w:tc>
        <w:tc>
          <w:tcPr>
            <w:tcW w:w="667" w:type="dxa"/>
            <w:tcBorders/>
            <w:shd w:fill="auto" w:val="clear"/>
            <w:vAlign w:val="center"/>
          </w:tcPr>
          <w:p>
            <w:pPr>
              <w:pStyle w:val="TableContents"/>
              <w:spacing w:before="0" w:after="283"/>
              <w:rPr>
                <w:sz w:val="4"/>
                <w:szCs w:val="4"/>
              </w:rPr>
            </w:pPr>
            <w:r>
              <w:rPr>
                <w:sz w:val="4"/>
                <w:szCs w:val="4"/>
              </w:rPr>
            </w:r>
          </w:p>
        </w:tc>
        <w:tc>
          <w:tcPr>
            <w:tcW w:w="293" w:type="dxa"/>
            <w:tcBorders/>
            <w:shd w:fill="auto" w:val="cle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sz w:val="4"/>
                <w:szCs w:val="4"/>
              </w:rPr>
            </w:pPr>
            <w:r>
              <w:rPr>
                <w:sz w:val="4"/>
                <w:szCs w:val="4"/>
              </w:rPr>
            </w:r>
          </w:p>
        </w:tc>
        <w:tc>
          <w:tcPr>
            <w:tcW w:w="667" w:type="dxa"/>
            <w:tcBorders/>
            <w:shd w:fill="auto" w:val="clear"/>
            <w:vAlign w:val="center"/>
          </w:tcPr>
          <w:p>
            <w:pPr>
              <w:pStyle w:val="TableContents"/>
              <w:spacing w:before="0" w:after="283"/>
              <w:rPr>
                <w:sz w:val="4"/>
                <w:szCs w:val="4"/>
              </w:rPr>
            </w:pPr>
            <w:r>
              <w:rPr>
                <w:sz w:val="4"/>
                <w:szCs w:val="4"/>
              </w:rPr>
            </w:r>
          </w:p>
        </w:tc>
        <w:tc>
          <w:tcPr>
            <w:tcW w:w="29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25"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34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5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25"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thousands, except for tax rate)</w:t>
            </w:r>
          </w:p>
        </w:tc>
        <w:tc>
          <w:tcPr>
            <w:tcW w:w="481" w:type="dxa"/>
            <w:gridSpan w:val="4"/>
            <w:tcBorders/>
            <w:shd w:fill="auto" w:val="clear"/>
          </w:tcPr>
          <w:p>
            <w:pPr>
              <w:pStyle w:val="TableContents"/>
              <w:spacing w:before="0" w:after="283"/>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(benefit from) income taxes</w:t>
            </w:r>
          </w:p>
        </w:tc>
        <w:tc>
          <w:tcPr>
            <w:tcW w:w="22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9,406 </w:t>
            </w:r>
          </w:p>
        </w:tc>
        <w:tc>
          <w:tcPr>
            <w:tcW w:w="29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2,630 </w:t>
            </w:r>
          </w:p>
        </w:tc>
        <w:tc>
          <w:tcPr>
            <w:tcW w:w="29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Effective tax rate</w:t>
            </w:r>
          </w:p>
        </w:tc>
        <w:tc>
          <w:tcPr>
            <w:tcW w:w="89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9.6 </w:t>
            </w:r>
          </w:p>
        </w:tc>
        <w:tc>
          <w:tcPr>
            <w:tcW w:w="29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29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TextBody"/>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Partnership’s effective income tax rate for the three months ended March 31, 2023 differed from the amount computed by applying the United States federal statutory tax rate to pre-tax income for the period primarily due to net income attributable to the non-controlling interest. The Partnership’s effective income tax rate for the three months ended March 31, 2022 differed from the amount computed by applying the United States federal statutory tax rate to pre-tax income for the period primarily due to net income attributable to the non-controlling interest and the impact of maintaining a valuation allowance on the Partnership’s deferred tax assets. </w:t>
      </w:r>
    </w:p>
    <w:p>
      <w:pPr>
        <w:pStyle w:val="TextBody"/>
        <w:spacing w:before="0" w:after="0"/>
        <w:ind w:left="0" w:right="0" w:firstLine="720"/>
        <w:jc w:val="both"/>
        <w:rPr/>
      </w:pPr>
      <w:r>
        <w:rPr/>
      </w:r>
    </w:p>
    <w:p>
      <w:pPr>
        <w:pStyle w:val="TextBody"/>
        <w:spacing w:lineRule="auto" w:line="27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March 31, 2023, the Partnership maintained a partial valuation allowance against its deferred tax assets considered not more likely than not to be realized, based on its assessment of all available evidence, both positive and negative, as required by applicable accounting standards. </w:t>
      </w:r>
    </w:p>
    <w:p>
      <w:pPr>
        <w:pStyle w:val="TextBody"/>
        <w:spacing w:before="0" w:after="0"/>
        <w:ind w:left="0" w:right="0" w:firstLine="720"/>
        <w:jc w:val="both"/>
        <w:rPr/>
      </w:pPr>
      <w:r>
        <w:rPr/>
      </w:r>
    </w:p>
    <w:p>
      <w:pPr>
        <w:pStyle w:val="TextBody"/>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2022, the Partnership had a full valuation allowance against its deferred tax assets, based on its assessment of all available evidence, both positive and negative, supporting realizability of the Partnership’s deferred tax assets.</w:t>
      </w:r>
    </w:p>
    <w:p>
      <w:pPr>
        <w:pStyle w:val="TextBody"/>
        <w:spacing w:before="0" w:after="0"/>
        <w:ind w:left="0" w:right="0" w:firstLine="720"/>
        <w:jc w:val="both"/>
        <w:rPr/>
      </w:pPr>
      <w:r>
        <w:rPr/>
      </w:r>
    </w:p>
    <w:p>
      <w:pPr>
        <w:pStyle w:val="TextBody"/>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Inflation Reduction Act of 2022 (“IRA”) was enacted on August 16, 2022, which imposes an excise tax of 1% on the fair market value of certain public company stock/unit repurchases for tax years beginning after December 31, 2022, and included several other provisions applicable to U.S. income taxes for corporations. The Partnership’s excise tax during the three months ended March 31, 2023 was immaterial and is recognized as part of the cost basis of the units repurchased. </w:t>
      </w:r>
    </w:p>
    <w:p>
      <w:pPr>
        <w:pStyle w:val="TextBody"/>
        <w:spacing w:before="0" w:after="0"/>
        <w:ind w:left="0" w:right="0" w:firstLine="72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v:rect>
            </w:pict>
          </mc:Fallback>
        </mc:AlternateContent>
      </w:r>
    </w:p>
    <w:p>
      <w:pPr>
        <w:pStyle w:val="TextBody"/>
        <w:spacing w:lineRule="auto" w:line="288" w:before="0" w:after="0"/>
        <w:rPr/>
      </w:pPr>
      <w:hyperlink w:anchor="i8dd89f0c72444a288e2bb25168f12b04_7">
        <w:r>
          <w:rPr>
            <w:rStyle w:val="InternetLink"/>
            <w:rFonts w:ascii="Times New Roman;sans-serif" w:hAnsi="Times New Roman;sans-serif"/>
            <w:b w:val="false"/>
            <w:color w:val="0000FF"/>
            <w:sz w:val="16"/>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Viper Energy Partners LP</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Notes to Consolidated Financial Statements - (Continued)</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10.    DERIVATIVES</w:t>
      </w:r>
    </w:p>
    <w:p>
      <w:pPr>
        <w:pStyle w:val="TextBody"/>
        <w:spacing w:before="0" w:after="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All derivative financial instruments are recorded at fair value. The Partnership has not designated its derivative instruments as hedges for accounting purposes and, as a result, marks its derivative instruments to fair value and recognizes the cash and non-cash changes in fair value in the condensed consolidated statements of operations under the caption “Gain (loss) on derivative instruments, net.”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Commodity Contracts</w:t>
      </w:r>
    </w:p>
    <w:p>
      <w:pPr>
        <w:pStyle w:val="TextBody"/>
        <w:spacing w:before="0" w:after="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Partnership historically has used fixed price swap contracts, fixed price basis swap contracts and costless collars with corresponding put and call options to reduce price volatility associated with certain of its royalty income. At March 31, 2023, the Partnership has put options and fixed price basis swaps outstanding.</w:t>
      </w:r>
    </w:p>
    <w:p>
      <w:pPr>
        <w:pStyle w:val="TextBody"/>
        <w:spacing w:before="0" w:after="0"/>
        <w:ind w:left="0" w:right="0" w:firstLine="72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Partnership’s derivative contracts are based upon reported settlement prices on commodity exchanges, with put contracts for oil based on New York Mercantile Exchange West Texas Intermediate pricing (“Cushing WTI”) and fixed price basis swaps for oil based on the spread between the Cushing WTI crude oil price and the Midland WTI crude oil price. The Partnership’s fixed price basis swaps for natural gas are for the spread between the Waha Hub natural gas price and the New York Mercantile Exchange Henry Hub natural gas price. The weighted average differential represents the amount of reduction to the Cushing WTI oil price and the Waha Hub natural gas price for the notional volumes covered by the basis swap contracts.</w:t>
      </w:r>
    </w:p>
    <w:p>
      <w:pPr>
        <w:pStyle w:val="TextBody"/>
        <w:spacing w:before="0" w:after="0"/>
        <w:ind w:left="0" w:right="0" w:firstLine="720"/>
        <w:jc w:val="both"/>
        <w:rPr/>
      </w:pPr>
      <w:r>
        <w:rPr/>
      </w:r>
    </w:p>
    <w:p>
      <w:pPr>
        <w:pStyle w:val="TextBody"/>
        <w:spacing w:lineRule="auto" w:line="27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By using derivative instruments to economically hedge exposure to changes in commodity prices, the Partnership exposes itself to credit risk and market risk. Credit risk is the failure of the counterparty to perform under the terms of the derivative contract. When the fair value of a derivative contract is positive, the counterparty owes the Partnership, which creates credit risk. The Partnership’s counterparties are all participants in the amended and restated credit agreement, which is secured by substantially all of the assets of the Operating Company; therefore, the Partnership is not required to post any collateral. The Partnership’s counterparties have been determined to have an acceptable credit risk; therefore, the Partnership does not require collateral from its counterparties. </w:t>
      </w:r>
    </w:p>
    <w:p>
      <w:pPr>
        <w:pStyle w:val="TextBody"/>
        <w:spacing w:before="0" w:after="0"/>
        <w:ind w:left="0" w:right="0" w:firstLine="72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2023, the Partnership had the following outstanding derivative contracts. When aggregating multiple contracts, the weighted average contract price is disclosed.</w:t>
      </w:r>
    </w:p>
    <w:p>
      <w:pPr>
        <w:pStyle w:val="TextBody"/>
        <w:spacing w:before="0" w:after="0"/>
        <w:ind w:left="0" w:right="0" w:firstLine="720"/>
        <w:jc w:val="both"/>
        <w:rPr/>
      </w:pPr>
      <w:r>
        <w:rPr/>
      </w:r>
    </w:p>
    <w:tbl>
      <w:tblPr>
        <w:tblW w:w="10205" w:type="dxa"/>
        <w:jc w:val="left"/>
        <w:tblInd w:w="0" w:type="dxa"/>
        <w:tblCellMar>
          <w:top w:w="28" w:type="dxa"/>
          <w:left w:w="28" w:type="dxa"/>
          <w:bottom w:w="28" w:type="dxa"/>
          <w:right w:w="28" w:type="dxa"/>
        </w:tblCellMar>
      </w:tblPr>
      <w:tblGrid>
        <w:gridCol w:w="424"/>
        <w:gridCol w:w="373"/>
        <w:gridCol w:w="375"/>
        <w:gridCol w:w="364"/>
        <w:gridCol w:w="364"/>
        <w:gridCol w:w="365"/>
        <w:gridCol w:w="354"/>
        <w:gridCol w:w="354"/>
        <w:gridCol w:w="355"/>
        <w:gridCol w:w="404"/>
        <w:gridCol w:w="301"/>
        <w:gridCol w:w="302"/>
        <w:gridCol w:w="406"/>
        <w:gridCol w:w="397"/>
        <w:gridCol w:w="403"/>
        <w:gridCol w:w="529"/>
        <w:gridCol w:w="529"/>
        <w:gridCol w:w="536"/>
        <w:gridCol w:w="109"/>
        <w:gridCol w:w="109"/>
        <w:gridCol w:w="109"/>
        <w:gridCol w:w="109"/>
        <w:gridCol w:w="109"/>
        <w:gridCol w:w="109"/>
        <w:gridCol w:w="109"/>
        <w:gridCol w:w="309"/>
        <w:gridCol w:w="249"/>
        <w:gridCol w:w="250"/>
        <w:gridCol w:w="109"/>
        <w:gridCol w:w="109"/>
        <w:gridCol w:w="109"/>
        <w:gridCol w:w="339"/>
        <w:gridCol w:w="339"/>
        <w:gridCol w:w="494"/>
      </w:tblGrid>
      <w:tr>
        <w:trPr/>
        <w:tc>
          <w:tcPr>
            <w:tcW w:w="424" w:type="dxa"/>
            <w:tcBorders/>
            <w:shd w:fill="auto" w:val="clear"/>
            <w:vAlign w:val="center"/>
          </w:tcPr>
          <w:p>
            <w:pPr>
              <w:pStyle w:val="TableContents"/>
              <w:spacing w:before="0" w:after="283"/>
              <w:rPr>
                <w:sz w:val="4"/>
                <w:szCs w:val="4"/>
              </w:rPr>
            </w:pPr>
            <w:r>
              <w:rPr>
                <w:sz w:val="4"/>
                <w:szCs w:val="4"/>
              </w:rPr>
            </w:r>
          </w:p>
        </w:tc>
        <w:tc>
          <w:tcPr>
            <w:tcW w:w="373" w:type="dxa"/>
            <w:tcBorders/>
            <w:shd w:fill="auto" w:val="clear"/>
            <w:vAlign w:val="center"/>
          </w:tcPr>
          <w:p>
            <w:pPr>
              <w:pStyle w:val="TableContents"/>
              <w:spacing w:before="0" w:after="283"/>
              <w:rPr>
                <w:sz w:val="4"/>
                <w:szCs w:val="4"/>
              </w:rPr>
            </w:pPr>
            <w:r>
              <w:rPr>
                <w:sz w:val="4"/>
                <w:szCs w:val="4"/>
              </w:rPr>
            </w:r>
          </w:p>
        </w:tc>
        <w:tc>
          <w:tcPr>
            <w:tcW w:w="375" w:type="dxa"/>
            <w:tcBorders/>
            <w:shd w:fill="auto" w:val="clear"/>
            <w:vAlign w:val="center"/>
          </w:tcPr>
          <w:p>
            <w:pPr>
              <w:pStyle w:val="TableContents"/>
              <w:spacing w:before="0" w:after="283"/>
              <w:rPr>
                <w:sz w:val="4"/>
                <w:szCs w:val="4"/>
              </w:rPr>
            </w:pPr>
            <w:r>
              <w:rPr>
                <w:sz w:val="4"/>
                <w:szCs w:val="4"/>
              </w:rPr>
            </w:r>
          </w:p>
        </w:tc>
        <w:tc>
          <w:tcPr>
            <w:tcW w:w="364" w:type="dxa"/>
            <w:tcBorders/>
            <w:shd w:fill="auto" w:val="clear"/>
            <w:vAlign w:val="center"/>
          </w:tcPr>
          <w:p>
            <w:pPr>
              <w:pStyle w:val="TableContents"/>
              <w:spacing w:before="0" w:after="283"/>
              <w:rPr>
                <w:sz w:val="4"/>
                <w:szCs w:val="4"/>
              </w:rPr>
            </w:pPr>
            <w:r>
              <w:rPr>
                <w:sz w:val="4"/>
                <w:szCs w:val="4"/>
              </w:rPr>
            </w:r>
          </w:p>
        </w:tc>
        <w:tc>
          <w:tcPr>
            <w:tcW w:w="364" w:type="dxa"/>
            <w:tcBorders/>
            <w:shd w:fill="auto" w:val="clear"/>
            <w:vAlign w:val="center"/>
          </w:tcPr>
          <w:p>
            <w:pPr>
              <w:pStyle w:val="TableContents"/>
              <w:spacing w:before="0" w:after="283"/>
              <w:rPr>
                <w:sz w:val="4"/>
                <w:szCs w:val="4"/>
              </w:rPr>
            </w:pPr>
            <w:r>
              <w:rPr>
                <w:sz w:val="4"/>
                <w:szCs w:val="4"/>
              </w:rPr>
            </w:r>
          </w:p>
        </w:tc>
        <w:tc>
          <w:tcPr>
            <w:tcW w:w="365" w:type="dxa"/>
            <w:tcBorders/>
            <w:shd w:fill="auto" w:val="clear"/>
            <w:vAlign w:val="center"/>
          </w:tcPr>
          <w:p>
            <w:pPr>
              <w:pStyle w:val="TableContents"/>
              <w:spacing w:before="0" w:after="283"/>
              <w:rPr>
                <w:sz w:val="4"/>
                <w:szCs w:val="4"/>
              </w:rPr>
            </w:pPr>
            <w:r>
              <w:rPr>
                <w:sz w:val="4"/>
                <w:szCs w:val="4"/>
              </w:rPr>
            </w:r>
          </w:p>
        </w:tc>
        <w:tc>
          <w:tcPr>
            <w:tcW w:w="354" w:type="dxa"/>
            <w:tcBorders/>
            <w:shd w:fill="auto" w:val="clear"/>
            <w:vAlign w:val="center"/>
          </w:tcPr>
          <w:p>
            <w:pPr>
              <w:pStyle w:val="TableContents"/>
              <w:spacing w:before="0" w:after="283"/>
              <w:rPr>
                <w:sz w:val="4"/>
                <w:szCs w:val="4"/>
              </w:rPr>
            </w:pPr>
            <w:r>
              <w:rPr>
                <w:sz w:val="4"/>
                <w:szCs w:val="4"/>
              </w:rPr>
            </w:r>
          </w:p>
        </w:tc>
        <w:tc>
          <w:tcPr>
            <w:tcW w:w="354" w:type="dxa"/>
            <w:tcBorders/>
            <w:shd w:fill="auto" w:val="clear"/>
            <w:vAlign w:val="center"/>
          </w:tcPr>
          <w:p>
            <w:pPr>
              <w:pStyle w:val="TableContents"/>
              <w:spacing w:before="0" w:after="283"/>
              <w:rPr>
                <w:sz w:val="4"/>
                <w:szCs w:val="4"/>
              </w:rPr>
            </w:pPr>
            <w:r>
              <w:rPr>
                <w:sz w:val="4"/>
                <w:szCs w:val="4"/>
              </w:rPr>
            </w:r>
          </w:p>
        </w:tc>
        <w:tc>
          <w:tcPr>
            <w:tcW w:w="355" w:type="dxa"/>
            <w:tcBorders/>
            <w:shd w:fill="auto" w:val="clear"/>
            <w:vAlign w:val="center"/>
          </w:tcPr>
          <w:p>
            <w:pPr>
              <w:pStyle w:val="TableContents"/>
              <w:spacing w:before="0" w:after="283"/>
              <w:rPr>
                <w:sz w:val="4"/>
                <w:szCs w:val="4"/>
              </w:rPr>
            </w:pPr>
            <w:r>
              <w:rPr>
                <w:sz w:val="4"/>
                <w:szCs w:val="4"/>
              </w:rPr>
            </w:r>
          </w:p>
        </w:tc>
        <w:tc>
          <w:tcPr>
            <w:tcW w:w="404" w:type="dxa"/>
            <w:tcBorders/>
            <w:shd w:fill="auto" w:val="clear"/>
            <w:vAlign w:val="center"/>
          </w:tcPr>
          <w:p>
            <w:pPr>
              <w:pStyle w:val="TableContents"/>
              <w:spacing w:before="0" w:after="283"/>
              <w:rPr>
                <w:sz w:val="4"/>
                <w:szCs w:val="4"/>
              </w:rPr>
            </w:pPr>
            <w:r>
              <w:rPr>
                <w:sz w:val="4"/>
                <w:szCs w:val="4"/>
              </w:rPr>
            </w:r>
          </w:p>
        </w:tc>
        <w:tc>
          <w:tcPr>
            <w:tcW w:w="301" w:type="dxa"/>
            <w:tcBorders/>
            <w:shd w:fill="auto" w:val="clear"/>
            <w:vAlign w:val="center"/>
          </w:tcPr>
          <w:p>
            <w:pPr>
              <w:pStyle w:val="TableContents"/>
              <w:spacing w:before="0" w:after="283"/>
              <w:rPr>
                <w:sz w:val="4"/>
                <w:szCs w:val="4"/>
              </w:rPr>
            </w:pPr>
            <w:r>
              <w:rPr>
                <w:sz w:val="4"/>
                <w:szCs w:val="4"/>
              </w:rPr>
            </w:r>
          </w:p>
        </w:tc>
        <w:tc>
          <w:tcPr>
            <w:tcW w:w="302"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397" w:type="dxa"/>
            <w:tcBorders/>
            <w:shd w:fill="auto" w:val="clear"/>
            <w:vAlign w:val="center"/>
          </w:tcPr>
          <w:p>
            <w:pPr>
              <w:pStyle w:val="TableContents"/>
              <w:spacing w:before="0" w:after="283"/>
              <w:rPr>
                <w:sz w:val="4"/>
                <w:szCs w:val="4"/>
              </w:rPr>
            </w:pPr>
            <w:r>
              <w:rPr>
                <w:sz w:val="4"/>
                <w:szCs w:val="4"/>
              </w:rPr>
            </w:r>
          </w:p>
        </w:tc>
        <w:tc>
          <w:tcPr>
            <w:tcW w:w="403" w:type="dxa"/>
            <w:tcBorders/>
            <w:shd w:fill="auto" w:val="clear"/>
            <w:vAlign w:val="center"/>
          </w:tcPr>
          <w:p>
            <w:pPr>
              <w:pStyle w:val="TableContents"/>
              <w:spacing w:before="0" w:after="283"/>
              <w:rPr>
                <w:sz w:val="4"/>
                <w:szCs w:val="4"/>
              </w:rPr>
            </w:pPr>
            <w:r>
              <w:rPr>
                <w:sz w:val="4"/>
                <w:szCs w:val="4"/>
              </w:rPr>
            </w:r>
          </w:p>
        </w:tc>
        <w:tc>
          <w:tcPr>
            <w:tcW w:w="529" w:type="dxa"/>
            <w:tcBorders/>
            <w:shd w:fill="auto" w:val="clear"/>
            <w:vAlign w:val="center"/>
          </w:tcPr>
          <w:p>
            <w:pPr>
              <w:pStyle w:val="TableContents"/>
              <w:spacing w:before="0" w:after="283"/>
              <w:rPr>
                <w:sz w:val="4"/>
                <w:szCs w:val="4"/>
              </w:rPr>
            </w:pPr>
            <w:r>
              <w:rPr>
                <w:sz w:val="4"/>
                <w:szCs w:val="4"/>
              </w:rPr>
            </w:r>
          </w:p>
        </w:tc>
        <w:tc>
          <w:tcPr>
            <w:tcW w:w="529" w:type="dxa"/>
            <w:tcBorders/>
            <w:shd w:fill="auto" w:val="clear"/>
            <w:vAlign w:val="center"/>
          </w:tcPr>
          <w:p>
            <w:pPr>
              <w:pStyle w:val="TableContents"/>
              <w:spacing w:before="0" w:after="283"/>
              <w:rPr>
                <w:sz w:val="4"/>
                <w:szCs w:val="4"/>
              </w:rPr>
            </w:pPr>
            <w:r>
              <w:rPr>
                <w:sz w:val="4"/>
                <w:szCs w:val="4"/>
              </w:rPr>
            </w:r>
          </w:p>
        </w:tc>
        <w:tc>
          <w:tcPr>
            <w:tcW w:w="5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9" w:type="dxa"/>
            <w:tcBorders/>
            <w:shd w:fill="auto" w:val="clear"/>
            <w:vAlign w:val="center"/>
          </w:tcPr>
          <w:p>
            <w:pPr>
              <w:pStyle w:val="TableContents"/>
              <w:spacing w:before="0" w:after="283"/>
              <w:rPr>
                <w:sz w:val="4"/>
                <w:szCs w:val="4"/>
              </w:rPr>
            </w:pPr>
            <w:r>
              <w:rPr>
                <w:sz w:val="4"/>
                <w:szCs w:val="4"/>
              </w:rPr>
            </w:r>
          </w:p>
        </w:tc>
        <w:tc>
          <w:tcPr>
            <w:tcW w:w="249" w:type="dxa"/>
            <w:tcBorders/>
            <w:shd w:fill="auto" w:val="clear"/>
            <w:vAlign w:val="center"/>
          </w:tcPr>
          <w:p>
            <w:pPr>
              <w:pStyle w:val="TableContents"/>
              <w:spacing w:before="0" w:after="283"/>
              <w:rPr>
                <w:sz w:val="4"/>
                <w:szCs w:val="4"/>
              </w:rPr>
            </w:pPr>
            <w:r>
              <w:rPr>
                <w:sz w:val="4"/>
                <w:szCs w:val="4"/>
              </w:rPr>
            </w:r>
          </w:p>
        </w:tc>
        <w:tc>
          <w:tcPr>
            <w:tcW w:w="25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39" w:type="dxa"/>
            <w:tcBorders/>
            <w:shd w:fill="auto" w:val="clear"/>
            <w:vAlign w:val="center"/>
          </w:tcPr>
          <w:p>
            <w:pPr>
              <w:pStyle w:val="TableContents"/>
              <w:spacing w:before="0" w:after="283"/>
              <w:rPr>
                <w:sz w:val="4"/>
                <w:szCs w:val="4"/>
              </w:rPr>
            </w:pPr>
            <w:r>
              <w:rPr>
                <w:sz w:val="4"/>
                <w:szCs w:val="4"/>
              </w:rPr>
            </w:r>
          </w:p>
        </w:tc>
        <w:tc>
          <w:tcPr>
            <w:tcW w:w="339" w:type="dxa"/>
            <w:tcBorders/>
            <w:shd w:fill="auto" w:val="clear"/>
            <w:vAlign w:val="center"/>
          </w:tcPr>
          <w:p>
            <w:pPr>
              <w:pStyle w:val="TableContents"/>
              <w:spacing w:before="0" w:after="283"/>
              <w:rPr>
                <w:sz w:val="4"/>
                <w:szCs w:val="4"/>
              </w:rPr>
            </w:pPr>
            <w:r>
              <w:rPr>
                <w:sz w:val="4"/>
                <w:szCs w:val="4"/>
              </w:rPr>
            </w:r>
          </w:p>
        </w:tc>
        <w:tc>
          <w:tcPr>
            <w:tcW w:w="494" w:type="dxa"/>
            <w:tcBorders/>
            <w:shd w:fill="auto" w:val="clear"/>
            <w:vAlign w:val="center"/>
          </w:tcPr>
          <w:p>
            <w:pPr>
              <w:pStyle w:val="TableContents"/>
              <w:spacing w:before="0" w:after="283"/>
              <w:rPr>
                <w:sz w:val="4"/>
                <w:szCs w:val="4"/>
              </w:rPr>
            </w:pPr>
            <w:r>
              <w:rPr>
                <w:sz w:val="4"/>
                <w:szCs w:val="4"/>
              </w:rPr>
            </w:r>
          </w:p>
        </w:tc>
      </w:tr>
      <w:tr>
        <w:trPr/>
        <w:tc>
          <w:tcPr>
            <w:tcW w:w="11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9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Swaps</w:t>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44" w:type="dxa"/>
            <w:gridSpan w:val="7"/>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Puts</w:t>
            </w:r>
          </w:p>
        </w:tc>
        <w:tc>
          <w:tcPr>
            <w:tcW w:w="1172" w:type="dxa"/>
            <w:gridSpan w:val="3"/>
            <w:tcBorders/>
            <w:shd w:fill="auto" w:val="clear"/>
          </w:tcPr>
          <w:p>
            <w:pPr>
              <w:pStyle w:val="TableContents"/>
              <w:spacing w:before="0" w:after="283"/>
              <w:rPr>
                <w:sz w:val="4"/>
                <w:szCs w:val="4"/>
              </w:rPr>
            </w:pPr>
            <w:r>
              <w:rPr>
                <w:sz w:val="4"/>
                <w:szCs w:val="4"/>
              </w:rPr>
            </w:r>
          </w:p>
        </w:tc>
      </w:tr>
      <w:tr>
        <w:trPr/>
        <w:tc>
          <w:tcPr>
            <w:tcW w:w="117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Settlement Month</w:t>
            </w:r>
          </w:p>
        </w:tc>
        <w:tc>
          <w:tcPr>
            <w:tcW w:w="109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Settlement Year</w:t>
            </w:r>
          </w:p>
        </w:tc>
        <w:tc>
          <w:tcPr>
            <w:tcW w:w="106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Type of Contract</w:t>
            </w:r>
          </w:p>
        </w:tc>
        <w:tc>
          <w:tcPr>
            <w:tcW w:w="100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Bbls/Mcf Per Day</w:t>
            </w:r>
          </w:p>
        </w:tc>
        <w:tc>
          <w:tcPr>
            <w:tcW w:w="120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Index</w:t>
            </w:r>
          </w:p>
        </w:tc>
        <w:tc>
          <w:tcPr>
            <w:tcW w:w="159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Weighted Average Differential</w:t>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0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Strike Price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7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Deferred Premium</w:t>
            </w:r>
          </w:p>
        </w:tc>
      </w:tr>
      <w:tr>
        <w:trPr/>
        <w:tc>
          <w:tcPr>
            <w:tcW w:w="117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OIL</w:t>
            </w:r>
          </w:p>
        </w:tc>
        <w:tc>
          <w:tcPr>
            <w:tcW w:w="109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6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0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59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0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172"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Apr. - Jun.</w:t>
            </w:r>
          </w:p>
        </w:tc>
        <w:tc>
          <w:tcPr>
            <w:tcW w:w="1093"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1063"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Puts</w:t>
            </w:r>
          </w:p>
        </w:tc>
        <w:tc>
          <w:tcPr>
            <w:tcW w:w="1007"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12,000</w:t>
            </w:r>
          </w:p>
        </w:tc>
        <w:tc>
          <w:tcPr>
            <w:tcW w:w="120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WTI Cushing</w:t>
            </w:r>
          </w:p>
        </w:tc>
        <w:tc>
          <w:tcPr>
            <w:tcW w:w="159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08"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$55.00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2"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$1.82</w:t>
            </w:r>
          </w:p>
        </w:tc>
      </w:tr>
      <w:tr>
        <w:trPr/>
        <w:tc>
          <w:tcPr>
            <w:tcW w:w="1172"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Jul. - Sep.</w:t>
            </w:r>
          </w:p>
        </w:tc>
        <w:tc>
          <w:tcPr>
            <w:tcW w:w="1093"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1063"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Puts</w:t>
            </w:r>
          </w:p>
        </w:tc>
        <w:tc>
          <w:tcPr>
            <w:tcW w:w="1007"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12,000</w:t>
            </w:r>
          </w:p>
        </w:tc>
        <w:tc>
          <w:tcPr>
            <w:tcW w:w="120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WTI Cushing</w:t>
            </w:r>
          </w:p>
        </w:tc>
        <w:tc>
          <w:tcPr>
            <w:tcW w:w="1594"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08"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$55.00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2"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$1.80</w:t>
            </w:r>
          </w:p>
        </w:tc>
      </w:tr>
      <w:tr>
        <w:trPr/>
        <w:tc>
          <w:tcPr>
            <w:tcW w:w="1172"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Oct. - Dec.</w:t>
            </w:r>
          </w:p>
        </w:tc>
        <w:tc>
          <w:tcPr>
            <w:tcW w:w="1093"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1063"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Puts</w:t>
            </w:r>
          </w:p>
        </w:tc>
        <w:tc>
          <w:tcPr>
            <w:tcW w:w="1007"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4,000</w:t>
            </w:r>
          </w:p>
        </w:tc>
        <w:tc>
          <w:tcPr>
            <w:tcW w:w="120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WTI Cushing</w:t>
            </w:r>
          </w:p>
        </w:tc>
        <w:tc>
          <w:tcPr>
            <w:tcW w:w="159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08"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$55.00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2"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$1.86</w:t>
            </w:r>
          </w:p>
        </w:tc>
      </w:tr>
      <w:tr>
        <w:trPr/>
        <w:tc>
          <w:tcPr>
            <w:tcW w:w="1172"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Apr. - Dec.</w:t>
            </w:r>
          </w:p>
        </w:tc>
        <w:tc>
          <w:tcPr>
            <w:tcW w:w="1093"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1063"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Basis Swaps</w:t>
            </w:r>
          </w:p>
        </w:tc>
        <w:tc>
          <w:tcPr>
            <w:tcW w:w="1007"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4,000</w:t>
            </w:r>
          </w:p>
        </w:tc>
        <w:tc>
          <w:tcPr>
            <w:tcW w:w="120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Argus WTI Midland</w:t>
            </w:r>
          </w:p>
        </w:tc>
        <w:tc>
          <w:tcPr>
            <w:tcW w:w="1594"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$1.05</w:t>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08"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2"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265" w:type="dxa"/>
            <w:gridSpan w:val="6"/>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NATURAL GAS</w:t>
            </w:r>
          </w:p>
        </w:tc>
        <w:tc>
          <w:tcPr>
            <w:tcW w:w="10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9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0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2"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Apr. - Dec.</w:t>
            </w:r>
          </w:p>
        </w:tc>
        <w:tc>
          <w:tcPr>
            <w:tcW w:w="1093"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1063"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Basis Swaps</w:t>
            </w:r>
          </w:p>
        </w:tc>
        <w:tc>
          <w:tcPr>
            <w:tcW w:w="1007"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30,000</w:t>
            </w:r>
          </w:p>
        </w:tc>
        <w:tc>
          <w:tcPr>
            <w:tcW w:w="120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Waha Hub</w:t>
            </w:r>
          </w:p>
        </w:tc>
        <w:tc>
          <w:tcPr>
            <w:tcW w:w="1594"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$(1.33)</w:t>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08"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2"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172"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Jan. - Dec.</w:t>
            </w:r>
          </w:p>
        </w:tc>
        <w:tc>
          <w:tcPr>
            <w:tcW w:w="1093"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1063"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Basis Swaps</w:t>
            </w:r>
          </w:p>
        </w:tc>
        <w:tc>
          <w:tcPr>
            <w:tcW w:w="1007"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30,000</w:t>
            </w:r>
          </w:p>
        </w:tc>
        <w:tc>
          <w:tcPr>
            <w:tcW w:w="120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Waha Hub</w:t>
            </w:r>
          </w:p>
        </w:tc>
        <w:tc>
          <w:tcPr>
            <w:tcW w:w="159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$(1.20)</w:t>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08"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2"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Balance Sheet Offsetting of Derivative Assets and Liabilities</w:t>
      </w:r>
    </w:p>
    <w:p>
      <w:pPr>
        <w:pStyle w:val="TextBody"/>
        <w:spacing w:before="0" w:after="0"/>
        <w:jc w:val="both"/>
        <w:rPr/>
      </w:pPr>
      <w:r>
        <w:rPr/>
      </w:r>
    </w:p>
    <w:p>
      <w:pPr>
        <w:pStyle w:val="TextBody"/>
        <w:spacing w:lineRule="auto" w:line="288" w:before="0" w:after="0"/>
        <w:ind w:left="0" w:right="0" w:firstLine="720"/>
        <w:jc w:val="both"/>
        <w:rPr/>
      </w:pPr>
      <w:r>
        <w:rPr>
          <w:rFonts w:ascii="Times New Roman;sans-serif" w:hAnsi="Times New Roman;sans-serif"/>
          <w:b w:val="false"/>
          <w:color w:val="000000"/>
          <w:sz w:val="20"/>
        </w:rPr>
        <w:t>The fair value of derivative instruments is generally determined using established index prices and other sources which are based upon, among other things, futures prices and time to maturity. These fair values are recorded by netting asset and liability positions, including any deferred premiums, that are with the same counterparty and are subject to contractual terms which provide for net settlement. See Note 11—</w:t>
      </w:r>
      <w:hyperlink w:anchor="i8dd89f0c72444a288e2bb25168f12b04_70">
        <w:r>
          <w:rPr>
            <w:rStyle w:val="InternetLink"/>
            <w:rFonts w:ascii="Times New Roman;sans-serif" w:hAnsi="Times New Roman;sans-serif"/>
            <w:b w:val="false"/>
            <w:color w:val="0000FF"/>
            <w:sz w:val="20"/>
            <w:u w:val="single"/>
          </w:rPr>
          <w:t>Fair Value Measurements</w:t>
        </w:r>
      </w:hyperlink>
      <w:r>
        <w:rPr>
          <w:color w:val="000000"/>
        </w:rPr>
        <w:t xml:space="preserve"> </w:t>
      </w:r>
      <w:r>
        <w:rPr>
          <w:rFonts w:ascii="Times New Roman;sans-serif" w:hAnsi="Times New Roman;sans-serif"/>
          <w:b w:val="false"/>
          <w:color w:val="000000"/>
          <w:sz w:val="20"/>
        </w:rPr>
        <w:t>for further details.</w:t>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v:rect>
            </w:pict>
          </mc:Fallback>
        </mc:AlternateContent>
      </w:r>
    </w:p>
    <w:p>
      <w:pPr>
        <w:pStyle w:val="TextBody"/>
        <w:spacing w:lineRule="auto" w:line="288" w:before="0" w:after="0"/>
        <w:rPr/>
      </w:pPr>
      <w:hyperlink w:anchor="i8dd89f0c72444a288e2bb25168f12b04_7">
        <w:r>
          <w:rPr>
            <w:rStyle w:val="InternetLink"/>
            <w:rFonts w:ascii="Times New Roman;sans-serif" w:hAnsi="Times New Roman;sans-serif"/>
            <w:b w:val="false"/>
            <w:color w:val="0000FF"/>
            <w:sz w:val="16"/>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Viper Energy Partners LP</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Notes to Consolidated Financial Statements - (Continued)</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Gains and Losses on Derivative Instruments</w:t>
      </w:r>
    </w:p>
    <w:p>
      <w:pPr>
        <w:pStyle w:val="TextBody"/>
        <w:spacing w:before="0" w:after="0"/>
        <w:ind w:left="0" w:right="0" w:firstLine="72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summarizes the gains and losses on derivative instruments included in the condensed consolidated statements of operations and the net cash receipts (payments) on derivatives for the periods presented: </w:t>
      </w:r>
    </w:p>
    <w:p>
      <w:pPr>
        <w:pStyle w:val="TextBody"/>
        <w:spacing w:before="0" w:after="0"/>
        <w:ind w:left="0" w:right="0" w:firstLine="720"/>
        <w:jc w:val="both"/>
        <w:rPr/>
      </w:pPr>
      <w:r>
        <w:rPr/>
      </w:r>
    </w:p>
    <w:tbl>
      <w:tblPr>
        <w:tblW w:w="6849" w:type="dxa"/>
        <w:jc w:val="left"/>
        <w:tblInd w:w="0" w:type="dxa"/>
        <w:tblCellMar>
          <w:top w:w="28" w:type="dxa"/>
          <w:left w:w="28" w:type="dxa"/>
          <w:bottom w:w="28" w:type="dxa"/>
          <w:right w:w="28" w:type="dxa"/>
        </w:tblCellMar>
      </w:tblPr>
      <w:tblGrid>
        <w:gridCol w:w="1374"/>
        <w:gridCol w:w="1207"/>
        <w:gridCol w:w="1214"/>
        <w:gridCol w:w="212"/>
        <w:gridCol w:w="802"/>
        <w:gridCol w:w="109"/>
        <w:gridCol w:w="109"/>
        <w:gridCol w:w="109"/>
        <w:gridCol w:w="109"/>
        <w:gridCol w:w="212"/>
        <w:gridCol w:w="802"/>
        <w:gridCol w:w="109"/>
        <w:gridCol w:w="109"/>
        <w:gridCol w:w="109"/>
        <w:gridCol w:w="109"/>
        <w:gridCol w:w="154"/>
      </w:tblGrid>
      <w:tr>
        <w:trPr/>
        <w:tc>
          <w:tcPr>
            <w:tcW w:w="1374" w:type="dxa"/>
            <w:tcBorders/>
            <w:shd w:fill="auto" w:val="clear"/>
            <w:vAlign w:val="center"/>
          </w:tcPr>
          <w:p>
            <w:pPr>
              <w:pStyle w:val="TableContents"/>
              <w:spacing w:before="0" w:after="283"/>
              <w:rPr>
                <w:sz w:val="4"/>
                <w:szCs w:val="4"/>
              </w:rPr>
            </w:pPr>
            <w:r>
              <w:rPr>
                <w:sz w:val="4"/>
                <w:szCs w:val="4"/>
              </w:rPr>
            </w:r>
          </w:p>
        </w:tc>
        <w:tc>
          <w:tcPr>
            <w:tcW w:w="1207" w:type="dxa"/>
            <w:tcBorders/>
            <w:shd w:fill="auto" w:val="clear"/>
            <w:vAlign w:val="center"/>
          </w:tcPr>
          <w:p>
            <w:pPr>
              <w:pStyle w:val="TableContents"/>
              <w:spacing w:before="0" w:after="283"/>
              <w:rPr>
                <w:sz w:val="4"/>
                <w:szCs w:val="4"/>
              </w:rPr>
            </w:pPr>
            <w:r>
              <w:rPr>
                <w:sz w:val="4"/>
                <w:szCs w:val="4"/>
              </w:rPr>
            </w:r>
          </w:p>
        </w:tc>
        <w:tc>
          <w:tcPr>
            <w:tcW w:w="1214" w:type="dxa"/>
            <w:tcBorders/>
            <w:shd w:fill="auto" w:val="clear"/>
            <w:vAlign w:val="center"/>
          </w:tcPr>
          <w:p>
            <w:pPr>
              <w:pStyle w:val="TableContents"/>
              <w:spacing w:before="0" w:after="283"/>
              <w:rPr>
                <w:sz w:val="4"/>
                <w:szCs w:val="4"/>
              </w:rPr>
            </w:pPr>
            <w:r>
              <w:rPr>
                <w:sz w:val="4"/>
                <w:szCs w:val="4"/>
              </w:rPr>
            </w:r>
          </w:p>
        </w:tc>
        <w:tc>
          <w:tcPr>
            <w:tcW w:w="212" w:type="dxa"/>
            <w:tcBorders/>
            <w:shd w:fill="auto" w:val="clear"/>
            <w:vAlign w:val="center"/>
          </w:tcPr>
          <w:p>
            <w:pPr>
              <w:pStyle w:val="TableContents"/>
              <w:spacing w:before="0" w:after="283"/>
              <w:rPr>
                <w:sz w:val="4"/>
                <w:szCs w:val="4"/>
              </w:rPr>
            </w:pPr>
            <w:r>
              <w:rPr>
                <w:sz w:val="4"/>
                <w:szCs w:val="4"/>
              </w:rPr>
            </w:r>
          </w:p>
        </w:tc>
        <w:tc>
          <w:tcPr>
            <w:tcW w:w="80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2" w:type="dxa"/>
            <w:tcBorders/>
            <w:shd w:fill="auto" w:val="clear"/>
            <w:vAlign w:val="center"/>
          </w:tcPr>
          <w:p>
            <w:pPr>
              <w:pStyle w:val="TableContents"/>
              <w:spacing w:before="0" w:after="283"/>
              <w:rPr>
                <w:sz w:val="4"/>
                <w:szCs w:val="4"/>
              </w:rPr>
            </w:pPr>
            <w:r>
              <w:rPr>
                <w:sz w:val="4"/>
                <w:szCs w:val="4"/>
              </w:rPr>
            </w:r>
          </w:p>
        </w:tc>
        <w:tc>
          <w:tcPr>
            <w:tcW w:w="80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7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73"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37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23"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7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73"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thousands)</w:t>
            </w:r>
          </w:p>
        </w:tc>
        <w:tc>
          <w:tcPr>
            <w:tcW w:w="481" w:type="dxa"/>
            <w:gridSpan w:val="4"/>
            <w:tcBorders/>
            <w:shd w:fill="auto" w:val="clear"/>
          </w:tcPr>
          <w:p>
            <w:pPr>
              <w:pStyle w:val="TableContents"/>
              <w:spacing w:before="0" w:after="283"/>
              <w:rPr>
                <w:sz w:val="4"/>
                <w:szCs w:val="4"/>
              </w:rPr>
            </w:pPr>
            <w:r>
              <w:rPr>
                <w:sz w:val="4"/>
                <w:szCs w:val="4"/>
              </w:rPr>
            </w:r>
          </w:p>
        </w:tc>
      </w:tr>
      <w:tr>
        <w:trPr/>
        <w:tc>
          <w:tcPr>
            <w:tcW w:w="37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(loss) on derivative instruments</w:t>
            </w:r>
          </w:p>
        </w:tc>
        <w:tc>
          <w:tcPr>
            <w:tcW w:w="21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(15,103)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(18,359)</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79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Net cash receipts (payments) on derivatives</w:t>
            </w:r>
            <w:r>
              <w:rPr>
                <w:rFonts w:ascii="Times New Roman;sans-serif" w:hAnsi="Times New Roman;sans-serif"/>
                <w:b w:val="false"/>
                <w:color w:val="000000"/>
                <w:sz w:val="13"/>
              </w:rPr>
              <w:t>(1)</w:t>
            </w:r>
          </w:p>
        </w:tc>
        <w:tc>
          <w:tcPr>
            <w:tcW w:w="21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(10,264)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795" w:type="dxa"/>
            <w:gridSpan w:val="3"/>
            <w:tcBorders/>
            <w:shd w:fill="auto" w:val="clear"/>
            <w:vAlign w:val="center"/>
          </w:tcPr>
          <w:p>
            <w:pPr>
              <w:pStyle w:val="TableContents"/>
              <w:spacing w:before="0" w:after="283"/>
              <w:rPr>
                <w:sz w:val="4"/>
                <w:szCs w:val="4"/>
              </w:rPr>
            </w:pPr>
            <w:r>
              <w:rPr>
                <w:sz w:val="4"/>
                <w:szCs w:val="4"/>
              </w:rPr>
            </w:r>
          </w:p>
        </w:tc>
        <w:tc>
          <w:tcPr>
            <w:tcW w:w="112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23"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795" w:type="dxa"/>
            <w:gridSpan w:val="3"/>
            <w:tcBorders/>
            <w:shd w:fill="auto" w:val="clear"/>
            <w:vAlign w:val="center"/>
          </w:tcPr>
          <w:p>
            <w:pPr>
              <w:pStyle w:val="TableContents"/>
              <w:spacing w:before="0" w:after="283"/>
              <w:rPr>
                <w:sz w:val="4"/>
                <w:szCs w:val="4"/>
              </w:rPr>
            </w:pPr>
            <w:r>
              <w:rPr>
                <w:sz w:val="4"/>
                <w:szCs w:val="4"/>
              </w:rPr>
            </w:r>
          </w:p>
        </w:tc>
        <w:tc>
          <w:tcPr>
            <w:tcW w:w="112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23"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(1)The three months ended March 31, 2022 includes cash paid on commodity contracts terminated prior to their contractual maturity of $4.2 million. </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11.    FAIR VALUE MEASUREMENTS</w:t>
      </w:r>
    </w:p>
    <w:p>
      <w:pPr>
        <w:pStyle w:val="TextBody"/>
        <w:spacing w:before="0" w:after="0"/>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Assets and Liabilities Measured at Fair Value on a Recurring Basis</w:t>
      </w:r>
    </w:p>
    <w:p>
      <w:pPr>
        <w:pStyle w:val="TextBody"/>
        <w:spacing w:before="0" w:after="0"/>
        <w:jc w:val="both"/>
        <w:rPr/>
      </w:pPr>
      <w:r>
        <w:rPr/>
      </w:r>
    </w:p>
    <w:p>
      <w:pPr>
        <w:pStyle w:val="TextBody"/>
        <w:spacing w:lineRule="auto" w:line="288" w:before="0" w:after="0"/>
        <w:ind w:left="0" w:right="0" w:firstLine="720"/>
        <w:jc w:val="both"/>
        <w:rPr/>
      </w:pPr>
      <w:r>
        <w:rPr>
          <w:rFonts w:ascii="Times New Roman;sans-serif" w:hAnsi="Times New Roman;sans-serif"/>
          <w:b w:val="false"/>
          <w:color w:val="000000"/>
          <w:sz w:val="20"/>
        </w:rPr>
        <w:t xml:space="preserve">As discussed in </w:t>
      </w:r>
      <w:hyperlink r:id="rId3">
        <w:r>
          <w:rPr>
            <w:rStyle w:val="InternetLink"/>
            <w:rFonts w:ascii="Times New Roman;sans-serif" w:hAnsi="Times New Roman;sans-serif"/>
            <w:b w:val="false"/>
            <w:color w:val="0000FF"/>
            <w:sz w:val="20"/>
            <w:u w:val="single"/>
          </w:rPr>
          <w:t xml:space="preserve">Note 11—Fair Value Measurements in the Partnership's Annual Report on Form 10-K </w:t>
        </w:r>
      </w:hyperlink>
      <w:r>
        <w:rPr>
          <w:rFonts w:ascii="Times New Roman;sans-serif" w:hAnsi="Times New Roman;sans-serif"/>
          <w:b w:val="false"/>
          <w:color w:val="000000"/>
          <w:sz w:val="20"/>
        </w:rPr>
        <w:t>for the year ended December 31, 2022, certain assets and liabilities are reported at fair value on a recurring basis on the Partnership’s condensed consolidated balance sheets, including the Partnership’s derivative instruments. The fair values of the Partnership’s derivative contracts are measured internally using established commodity futures price strips for the underlying commodity provided by a reputable third party, the contracted notional volumes, and time to maturity. These valuations are Level 2 in</w:t>
      </w:r>
      <w:r>
        <w:rPr>
          <w:rFonts w:ascii="Times New Roman;sans-serif" w:hAnsi="Times New Roman;sans-serif"/>
          <w:b w:val="false"/>
          <w:color w:val="000000"/>
          <w:sz w:val="20"/>
          <w:highlight w:val="white"/>
        </w:rPr>
        <w:t xml:space="preserve">puts in the fair value hierarchy. </w:t>
      </w:r>
      <w:r>
        <w:rPr>
          <w:rFonts w:ascii="Times New Roman;sans-serif" w:hAnsi="Times New Roman;sans-serif"/>
          <w:b w:val="false"/>
          <w:color w:val="000000"/>
          <w:sz w:val="20"/>
        </w:rPr>
        <w:t>The net amounts are classified as current or noncurrent based on their anticipated settlement dates.</w:t>
      </w:r>
    </w:p>
    <w:p>
      <w:pPr>
        <w:pStyle w:val="TextBody"/>
        <w:spacing w:before="0" w:after="0"/>
        <w:ind w:left="0" w:right="0" w:firstLine="720"/>
        <w:jc w:val="both"/>
        <w:rPr/>
      </w:pPr>
      <w:r>
        <w:rPr/>
      </w:r>
    </w:p>
    <w:p>
      <w:pPr>
        <w:pStyle w:val="HorizontalLine"/>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v:rect>
            </w:pict>
          </mc:Fallback>
        </mc:AlternateContent>
      </w:r>
    </w:p>
    <w:p>
      <w:pPr>
        <w:pStyle w:val="TextBody"/>
        <w:spacing w:lineRule="auto" w:line="288" w:before="0" w:after="0"/>
        <w:rPr/>
      </w:pPr>
      <w:hyperlink w:anchor="i8dd89f0c72444a288e2bb25168f12b04_7">
        <w:r>
          <w:rPr>
            <w:rStyle w:val="InternetLink"/>
            <w:rFonts w:ascii="Times New Roman;sans-serif" w:hAnsi="Times New Roman;sans-serif"/>
            <w:b w:val="false"/>
            <w:color w:val="0000FF"/>
            <w:sz w:val="16"/>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Viper Energy Partners LP</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Notes to Consolidated Financial Statements - (Continued)</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spacing w:lineRule="auto" w:line="288" w:before="0" w:after="0"/>
        <w:ind w:left="0" w:right="0" w:firstLine="720"/>
        <w:jc w:val="both"/>
        <w:rPr/>
      </w:pPr>
      <w:r>
        <w:rPr>
          <w:rFonts w:ascii="Times New Roman;sans-serif" w:hAnsi="Times New Roman;sans-serif"/>
          <w:b w:val="false"/>
          <w:color w:val="000000"/>
          <w:sz w:val="20"/>
          <w:highlight w:val="white"/>
        </w:rPr>
        <w:t xml:space="preserve">The following table provides (i) fair value measurement information for financial assets and liabilities measured at fair value on a recurring basis, (ii) </w:t>
      </w:r>
      <w:r>
        <w:rPr>
          <w:rFonts w:ascii="Times New Roman;sans-serif" w:hAnsi="Times New Roman;sans-serif"/>
          <w:b w:val="false"/>
          <w:color w:val="000000"/>
          <w:sz w:val="20"/>
        </w:rPr>
        <w:t xml:space="preserve">the gross amounts of recognized derivative assets and liabilities, (iii) the amounts offset under master netting arrangements with counterparties and (iv) the resulting net amounts presented in the Partnership’s condensed consolidated balance sheets </w:t>
      </w:r>
      <w:r>
        <w:rPr>
          <w:rFonts w:ascii="Times New Roman;sans-serif" w:hAnsi="Times New Roman;sans-serif"/>
          <w:b w:val="false"/>
          <w:color w:val="000000"/>
          <w:sz w:val="20"/>
          <w:highlight w:val="white"/>
        </w:rPr>
        <w:t xml:space="preserve">as of March 31, 2023 and December 31, 2022: </w:t>
      </w:r>
    </w:p>
    <w:p>
      <w:pPr>
        <w:pStyle w:val="TextBody"/>
        <w:spacing w:before="0" w:after="0"/>
        <w:ind w:left="0" w:right="0" w:firstLine="720"/>
        <w:jc w:val="both"/>
        <w:rPr/>
      </w:pPr>
      <w:r>
        <w:rPr/>
      </w:r>
    </w:p>
    <w:tbl>
      <w:tblPr>
        <w:tblW w:w="10205" w:type="dxa"/>
        <w:jc w:val="left"/>
        <w:tblInd w:w="0" w:type="dxa"/>
        <w:tblCellMar>
          <w:top w:w="28" w:type="dxa"/>
          <w:left w:w="28" w:type="dxa"/>
          <w:bottom w:w="28" w:type="dxa"/>
          <w:right w:w="28" w:type="dxa"/>
        </w:tblCellMar>
      </w:tblPr>
      <w:tblGrid>
        <w:gridCol w:w="590"/>
        <w:gridCol w:w="510"/>
        <w:gridCol w:w="521"/>
        <w:gridCol w:w="211"/>
        <w:gridCol w:w="406"/>
        <w:gridCol w:w="109"/>
        <w:gridCol w:w="211"/>
        <w:gridCol w:w="616"/>
        <w:gridCol w:w="109"/>
        <w:gridCol w:w="211"/>
        <w:gridCol w:w="406"/>
        <w:gridCol w:w="109"/>
        <w:gridCol w:w="336"/>
        <w:gridCol w:w="983"/>
        <w:gridCol w:w="173"/>
        <w:gridCol w:w="478"/>
        <w:gridCol w:w="1545"/>
        <w:gridCol w:w="247"/>
        <w:gridCol w:w="522"/>
        <w:gridCol w:w="1525"/>
        <w:gridCol w:w="387"/>
      </w:tblGrid>
      <w:tr>
        <w:trPr/>
        <w:tc>
          <w:tcPr>
            <w:tcW w:w="590" w:type="dxa"/>
            <w:tcBorders/>
            <w:shd w:fill="auto" w:val="clear"/>
            <w:vAlign w:val="center"/>
          </w:tcPr>
          <w:p>
            <w:pPr>
              <w:pStyle w:val="TableContents"/>
              <w:spacing w:before="0" w:after="283"/>
              <w:rPr>
                <w:sz w:val="4"/>
                <w:szCs w:val="4"/>
              </w:rPr>
            </w:pPr>
            <w:r>
              <w:rPr>
                <w:sz w:val="4"/>
                <w:szCs w:val="4"/>
              </w:rPr>
            </w:r>
          </w:p>
        </w:tc>
        <w:tc>
          <w:tcPr>
            <w:tcW w:w="510" w:type="dxa"/>
            <w:tcBorders/>
            <w:shd w:fill="auto" w:val="clear"/>
            <w:vAlign w:val="center"/>
          </w:tcPr>
          <w:p>
            <w:pPr>
              <w:pStyle w:val="TableContents"/>
              <w:spacing w:before="0" w:after="283"/>
              <w:rPr>
                <w:sz w:val="4"/>
                <w:szCs w:val="4"/>
              </w:rPr>
            </w:pPr>
            <w:r>
              <w:rPr>
                <w:sz w:val="4"/>
                <w:szCs w:val="4"/>
              </w:rPr>
            </w:r>
          </w:p>
        </w:tc>
        <w:tc>
          <w:tcPr>
            <w:tcW w:w="52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36" w:type="dxa"/>
            <w:tcBorders/>
            <w:shd w:fill="auto" w:val="clear"/>
            <w:vAlign w:val="center"/>
          </w:tcPr>
          <w:p>
            <w:pPr>
              <w:pStyle w:val="TableContents"/>
              <w:spacing w:before="0" w:after="283"/>
              <w:rPr>
                <w:sz w:val="4"/>
                <w:szCs w:val="4"/>
              </w:rPr>
            </w:pPr>
            <w:r>
              <w:rPr>
                <w:sz w:val="4"/>
                <w:szCs w:val="4"/>
              </w:rPr>
            </w:r>
          </w:p>
        </w:tc>
        <w:tc>
          <w:tcPr>
            <w:tcW w:w="983"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c>
          <w:tcPr>
            <w:tcW w:w="478" w:type="dxa"/>
            <w:tcBorders/>
            <w:shd w:fill="auto" w:val="clear"/>
            <w:vAlign w:val="center"/>
          </w:tcPr>
          <w:p>
            <w:pPr>
              <w:pStyle w:val="TableContents"/>
              <w:spacing w:before="0" w:after="283"/>
              <w:rPr>
                <w:sz w:val="4"/>
                <w:szCs w:val="4"/>
              </w:rPr>
            </w:pPr>
            <w:r>
              <w:rPr>
                <w:sz w:val="4"/>
                <w:szCs w:val="4"/>
              </w:rPr>
            </w:r>
          </w:p>
        </w:tc>
        <w:tc>
          <w:tcPr>
            <w:tcW w:w="1545" w:type="dxa"/>
            <w:tcBorders/>
            <w:shd w:fill="auto" w:val="clear"/>
            <w:vAlign w:val="center"/>
          </w:tcPr>
          <w:p>
            <w:pPr>
              <w:pStyle w:val="TableContents"/>
              <w:spacing w:before="0" w:after="283"/>
              <w:rPr>
                <w:sz w:val="4"/>
                <w:szCs w:val="4"/>
              </w:rPr>
            </w:pPr>
            <w:r>
              <w:rPr>
                <w:sz w:val="4"/>
                <w:szCs w:val="4"/>
              </w:rPr>
            </w:r>
          </w:p>
        </w:tc>
        <w:tc>
          <w:tcPr>
            <w:tcW w:w="247" w:type="dxa"/>
            <w:tcBorders/>
            <w:shd w:fill="auto" w:val="clear"/>
            <w:vAlign w:val="center"/>
          </w:tcPr>
          <w:p>
            <w:pPr>
              <w:pStyle w:val="TableContents"/>
              <w:spacing w:before="0" w:after="283"/>
              <w:rPr>
                <w:sz w:val="4"/>
                <w:szCs w:val="4"/>
              </w:rPr>
            </w:pPr>
            <w:r>
              <w:rPr>
                <w:sz w:val="4"/>
                <w:szCs w:val="4"/>
              </w:rPr>
            </w:r>
          </w:p>
        </w:tc>
        <w:tc>
          <w:tcPr>
            <w:tcW w:w="522" w:type="dxa"/>
            <w:tcBorders/>
            <w:shd w:fill="auto" w:val="clear"/>
            <w:vAlign w:val="center"/>
          </w:tcPr>
          <w:p>
            <w:pPr>
              <w:pStyle w:val="TableContents"/>
              <w:spacing w:before="0" w:after="283"/>
              <w:rPr>
                <w:sz w:val="4"/>
                <w:szCs w:val="4"/>
              </w:rPr>
            </w:pPr>
            <w:r>
              <w:rPr>
                <w:sz w:val="4"/>
                <w:szCs w:val="4"/>
              </w:rPr>
            </w:r>
          </w:p>
        </w:tc>
        <w:tc>
          <w:tcPr>
            <w:tcW w:w="1525" w:type="dxa"/>
            <w:tcBorders/>
            <w:shd w:fill="auto" w:val="clear"/>
            <w:vAlign w:val="center"/>
          </w:tcPr>
          <w:p>
            <w:pPr>
              <w:pStyle w:val="TableContents"/>
              <w:spacing w:before="0" w:after="283"/>
              <w:rPr>
                <w:sz w:val="4"/>
                <w:szCs w:val="4"/>
              </w:rPr>
            </w:pPr>
            <w:r>
              <w:rPr>
                <w:sz w:val="4"/>
                <w:szCs w:val="4"/>
              </w:rPr>
            </w:r>
          </w:p>
        </w:tc>
        <w:tc>
          <w:tcPr>
            <w:tcW w:w="387" w:type="dxa"/>
            <w:tcBorders/>
            <w:shd w:fill="auto" w:val="clear"/>
            <w:vAlign w:val="center"/>
          </w:tcPr>
          <w:p>
            <w:pPr>
              <w:pStyle w:val="TableContents"/>
              <w:spacing w:before="0" w:after="283"/>
              <w:rPr>
                <w:sz w:val="4"/>
                <w:szCs w:val="4"/>
              </w:rPr>
            </w:pPr>
            <w:r>
              <w:rPr>
                <w:sz w:val="4"/>
                <w:szCs w:val="4"/>
              </w:rPr>
            </w:r>
          </w:p>
        </w:tc>
      </w:tr>
      <w:tr>
        <w:trPr/>
        <w:tc>
          <w:tcPr>
            <w:tcW w:w="162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84" w:type="dxa"/>
            <w:gridSpan w:val="18"/>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 of March 31, 2023</w:t>
            </w:r>
          </w:p>
        </w:tc>
      </w:tr>
      <w:tr>
        <w:trPr/>
        <w:tc>
          <w:tcPr>
            <w:tcW w:w="162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Level 1</w:t>
            </w:r>
          </w:p>
        </w:tc>
        <w:tc>
          <w:tcPr>
            <w:tcW w:w="93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Level 2</w:t>
            </w:r>
          </w:p>
        </w:tc>
        <w:tc>
          <w:tcPr>
            <w:tcW w:w="72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Level 3</w:t>
            </w:r>
          </w:p>
        </w:tc>
        <w:tc>
          <w:tcPr>
            <w:tcW w:w="1492"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 Gross Fair Value</w:t>
            </w:r>
          </w:p>
        </w:tc>
        <w:tc>
          <w:tcPr>
            <w:tcW w:w="2270"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Gross Amounts Offset in Balance Sheet</w:t>
            </w:r>
          </w:p>
        </w:tc>
        <w:tc>
          <w:tcPr>
            <w:tcW w:w="2434"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Net Fair Value Presented in Balance Sheet</w:t>
            </w:r>
          </w:p>
        </w:tc>
      </w:tr>
      <w:tr>
        <w:trPr/>
        <w:tc>
          <w:tcPr>
            <w:tcW w:w="162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84" w:type="dxa"/>
            <w:gridSpan w:val="18"/>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thousands)</w:t>
            </w:r>
          </w:p>
        </w:tc>
      </w:tr>
      <w:tr>
        <w:trPr/>
        <w:tc>
          <w:tcPr>
            <w:tcW w:w="162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7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7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3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2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w:t>
            </w:r>
          </w:p>
        </w:tc>
        <w:tc>
          <w:tcPr>
            <w:tcW w:w="7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7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3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2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 instruments</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5,072 </w:t>
            </w:r>
          </w:p>
        </w:tc>
        <w:tc>
          <w:tcPr>
            <w:tcW w:w="17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8"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4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(3,715)</w:t>
            </w:r>
          </w:p>
        </w:tc>
        <w:tc>
          <w:tcPr>
            <w:tcW w:w="24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2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1,357 </w:t>
            </w:r>
          </w:p>
        </w:tc>
        <w:tc>
          <w:tcPr>
            <w:tcW w:w="38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21"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1492" w:type="dxa"/>
            <w:gridSpan w:val="3"/>
            <w:tcBorders/>
            <w:shd w:fill="auto" w:val="clear"/>
            <w:vAlign w:val="center"/>
          </w:tcPr>
          <w:p>
            <w:pPr>
              <w:pStyle w:val="TableContents"/>
              <w:spacing w:before="0" w:after="283"/>
              <w:rPr>
                <w:sz w:val="4"/>
                <w:szCs w:val="4"/>
              </w:rPr>
            </w:pPr>
            <w:r>
              <w:rPr>
                <w:sz w:val="4"/>
                <w:szCs w:val="4"/>
              </w:rPr>
            </w:r>
          </w:p>
        </w:tc>
        <w:tc>
          <w:tcPr>
            <w:tcW w:w="2270" w:type="dxa"/>
            <w:gridSpan w:val="3"/>
            <w:tcBorders/>
            <w:shd w:fill="auto" w:val="clear"/>
            <w:vAlign w:val="center"/>
          </w:tcPr>
          <w:p>
            <w:pPr>
              <w:pStyle w:val="TableContents"/>
              <w:spacing w:before="0" w:after="283"/>
              <w:rPr>
                <w:sz w:val="4"/>
                <w:szCs w:val="4"/>
              </w:rPr>
            </w:pPr>
            <w:r>
              <w:rPr>
                <w:sz w:val="4"/>
                <w:szCs w:val="4"/>
              </w:rPr>
            </w:r>
          </w:p>
        </w:tc>
        <w:tc>
          <w:tcPr>
            <w:tcW w:w="2434" w:type="dxa"/>
            <w:gridSpan w:val="3"/>
            <w:tcBorders/>
            <w:shd w:fill="auto" w:val="clear"/>
            <w:vAlign w:val="center"/>
          </w:tcPr>
          <w:p>
            <w:pPr>
              <w:pStyle w:val="TableContents"/>
              <w:spacing w:before="0" w:after="283"/>
              <w:rPr>
                <w:sz w:val="4"/>
                <w:szCs w:val="4"/>
              </w:rPr>
            </w:pPr>
            <w:r>
              <w:rPr>
                <w:sz w:val="4"/>
                <w:szCs w:val="4"/>
              </w:rPr>
            </w:r>
          </w:p>
        </w:tc>
      </w:tr>
      <w:tr>
        <w:trPr/>
        <w:tc>
          <w:tcPr>
            <w:tcW w:w="1621"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1492" w:type="dxa"/>
            <w:gridSpan w:val="3"/>
            <w:tcBorders/>
            <w:shd w:fill="auto" w:val="clear"/>
            <w:vAlign w:val="center"/>
          </w:tcPr>
          <w:p>
            <w:pPr>
              <w:pStyle w:val="TableContents"/>
              <w:spacing w:before="0" w:after="283"/>
              <w:rPr>
                <w:sz w:val="4"/>
                <w:szCs w:val="4"/>
              </w:rPr>
            </w:pPr>
            <w:r>
              <w:rPr>
                <w:sz w:val="4"/>
                <w:szCs w:val="4"/>
              </w:rPr>
            </w:r>
          </w:p>
        </w:tc>
        <w:tc>
          <w:tcPr>
            <w:tcW w:w="2270" w:type="dxa"/>
            <w:gridSpan w:val="3"/>
            <w:tcBorders/>
            <w:shd w:fill="auto" w:val="clear"/>
            <w:vAlign w:val="center"/>
          </w:tcPr>
          <w:p>
            <w:pPr>
              <w:pStyle w:val="TableContents"/>
              <w:spacing w:before="0" w:after="283"/>
              <w:rPr>
                <w:sz w:val="4"/>
                <w:szCs w:val="4"/>
              </w:rPr>
            </w:pPr>
            <w:r>
              <w:rPr>
                <w:sz w:val="4"/>
                <w:szCs w:val="4"/>
              </w:rPr>
            </w:r>
          </w:p>
        </w:tc>
        <w:tc>
          <w:tcPr>
            <w:tcW w:w="2434" w:type="dxa"/>
            <w:gridSpan w:val="3"/>
            <w:tcBorders/>
            <w:shd w:fill="auto" w:val="clear"/>
            <w:vAlign w:val="center"/>
          </w:tcPr>
          <w:p>
            <w:pPr>
              <w:pStyle w:val="TableContents"/>
              <w:spacing w:before="0" w:after="283"/>
              <w:rPr>
                <w:sz w:val="4"/>
                <w:szCs w:val="4"/>
              </w:rPr>
            </w:pPr>
            <w:r>
              <w:rPr>
                <w:sz w:val="4"/>
                <w:szCs w:val="4"/>
              </w:rPr>
            </w:r>
          </w:p>
        </w:tc>
      </w:tr>
      <w:tr>
        <w:trPr/>
        <w:tc>
          <w:tcPr>
            <w:tcW w:w="1621"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1492" w:type="dxa"/>
            <w:gridSpan w:val="3"/>
            <w:tcBorders/>
            <w:shd w:fill="auto" w:val="clear"/>
            <w:vAlign w:val="center"/>
          </w:tcPr>
          <w:p>
            <w:pPr>
              <w:pStyle w:val="TableContents"/>
              <w:spacing w:before="0" w:after="283"/>
              <w:rPr>
                <w:sz w:val="4"/>
                <w:szCs w:val="4"/>
              </w:rPr>
            </w:pPr>
            <w:r>
              <w:rPr>
                <w:sz w:val="4"/>
                <w:szCs w:val="4"/>
              </w:rPr>
            </w:r>
          </w:p>
        </w:tc>
        <w:tc>
          <w:tcPr>
            <w:tcW w:w="2270" w:type="dxa"/>
            <w:gridSpan w:val="3"/>
            <w:tcBorders/>
            <w:shd w:fill="auto" w:val="clear"/>
            <w:vAlign w:val="center"/>
          </w:tcPr>
          <w:p>
            <w:pPr>
              <w:pStyle w:val="TableContents"/>
              <w:spacing w:before="0" w:after="283"/>
              <w:rPr>
                <w:sz w:val="4"/>
                <w:szCs w:val="4"/>
              </w:rPr>
            </w:pPr>
            <w:r>
              <w:rPr>
                <w:sz w:val="4"/>
                <w:szCs w:val="4"/>
              </w:rPr>
            </w:r>
          </w:p>
        </w:tc>
        <w:tc>
          <w:tcPr>
            <w:tcW w:w="2434" w:type="dxa"/>
            <w:gridSpan w:val="3"/>
            <w:tcBorders/>
            <w:shd w:fill="auto" w:val="clear"/>
            <w:vAlign w:val="center"/>
          </w:tcPr>
          <w:p>
            <w:pPr>
              <w:pStyle w:val="TableContents"/>
              <w:spacing w:before="0" w:after="283"/>
              <w:rPr>
                <w:sz w:val="4"/>
                <w:szCs w:val="4"/>
              </w:rPr>
            </w:pPr>
            <w:r>
              <w:rPr>
                <w:sz w:val="4"/>
                <w:szCs w:val="4"/>
              </w:rPr>
            </w:r>
          </w:p>
        </w:tc>
      </w:tr>
      <w:tr>
        <w:trPr/>
        <w:tc>
          <w:tcPr>
            <w:tcW w:w="162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w:t>
            </w:r>
          </w:p>
        </w:tc>
        <w:tc>
          <w:tcPr>
            <w:tcW w:w="7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7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3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2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w:t>
            </w:r>
          </w:p>
        </w:tc>
        <w:tc>
          <w:tcPr>
            <w:tcW w:w="7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7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3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2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 instruments</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5,814 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5,814 </w:t>
            </w:r>
          </w:p>
        </w:tc>
        <w:tc>
          <w:tcPr>
            <w:tcW w:w="17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8"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4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(3,715)</w:t>
            </w:r>
          </w:p>
        </w:tc>
        <w:tc>
          <w:tcPr>
            <w:tcW w:w="24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2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2,099 </w:t>
            </w:r>
          </w:p>
        </w:tc>
        <w:tc>
          <w:tcPr>
            <w:tcW w:w="38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2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Non-current:</w:t>
            </w:r>
          </w:p>
        </w:tc>
        <w:tc>
          <w:tcPr>
            <w:tcW w:w="7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7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3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2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 instruments</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2,383 </w:t>
            </w:r>
          </w:p>
        </w:tc>
        <w:tc>
          <w:tcPr>
            <w:tcW w:w="17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8"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45"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2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2,383 </w:t>
            </w:r>
          </w:p>
        </w:tc>
        <w:tc>
          <w:tcPr>
            <w:tcW w:w="38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ind w:left="0" w:right="0" w:firstLine="720"/>
        <w:jc w:val="both"/>
        <w:rPr/>
      </w:pPr>
      <w:r>
        <w:rPr/>
      </w:r>
    </w:p>
    <w:tbl>
      <w:tblPr>
        <w:tblW w:w="10205" w:type="dxa"/>
        <w:jc w:val="left"/>
        <w:tblInd w:w="0" w:type="dxa"/>
        <w:tblCellMar>
          <w:top w:w="28" w:type="dxa"/>
          <w:left w:w="28" w:type="dxa"/>
          <w:bottom w:w="28" w:type="dxa"/>
          <w:right w:w="28" w:type="dxa"/>
        </w:tblCellMar>
      </w:tblPr>
      <w:tblGrid>
        <w:gridCol w:w="583"/>
        <w:gridCol w:w="503"/>
        <w:gridCol w:w="514"/>
        <w:gridCol w:w="211"/>
        <w:gridCol w:w="406"/>
        <w:gridCol w:w="109"/>
        <w:gridCol w:w="211"/>
        <w:gridCol w:w="721"/>
        <w:gridCol w:w="109"/>
        <w:gridCol w:w="211"/>
        <w:gridCol w:w="406"/>
        <w:gridCol w:w="109"/>
        <w:gridCol w:w="307"/>
        <w:gridCol w:w="1050"/>
        <w:gridCol w:w="158"/>
        <w:gridCol w:w="468"/>
        <w:gridCol w:w="1510"/>
        <w:gridCol w:w="242"/>
        <w:gridCol w:w="510"/>
        <w:gridCol w:w="1490"/>
        <w:gridCol w:w="377"/>
      </w:tblGrid>
      <w:tr>
        <w:trPr/>
        <w:tc>
          <w:tcPr>
            <w:tcW w:w="583" w:type="dxa"/>
            <w:tcBorders/>
            <w:shd w:fill="auto" w:val="clear"/>
            <w:vAlign w:val="center"/>
          </w:tcPr>
          <w:p>
            <w:pPr>
              <w:pStyle w:val="TableContents"/>
              <w:spacing w:before="0" w:after="283"/>
              <w:rPr>
                <w:sz w:val="4"/>
                <w:szCs w:val="4"/>
              </w:rPr>
            </w:pPr>
            <w:r>
              <w:rPr>
                <w:sz w:val="4"/>
                <w:szCs w:val="4"/>
              </w:rPr>
            </w:r>
          </w:p>
        </w:tc>
        <w:tc>
          <w:tcPr>
            <w:tcW w:w="503" w:type="dxa"/>
            <w:tcBorders/>
            <w:shd w:fill="auto" w:val="clear"/>
            <w:vAlign w:val="center"/>
          </w:tcPr>
          <w:p>
            <w:pPr>
              <w:pStyle w:val="TableContents"/>
              <w:spacing w:before="0" w:after="283"/>
              <w:rPr>
                <w:sz w:val="4"/>
                <w:szCs w:val="4"/>
              </w:rPr>
            </w:pPr>
            <w:r>
              <w:rPr>
                <w:sz w:val="4"/>
                <w:szCs w:val="4"/>
              </w:rPr>
            </w:r>
          </w:p>
        </w:tc>
        <w:tc>
          <w:tcPr>
            <w:tcW w:w="514"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7" w:type="dxa"/>
            <w:tcBorders/>
            <w:shd w:fill="auto" w:val="clear"/>
            <w:vAlign w:val="center"/>
          </w:tcPr>
          <w:p>
            <w:pPr>
              <w:pStyle w:val="TableContents"/>
              <w:spacing w:before="0" w:after="283"/>
              <w:rPr>
                <w:sz w:val="4"/>
                <w:szCs w:val="4"/>
              </w:rPr>
            </w:pPr>
            <w:r>
              <w:rPr>
                <w:sz w:val="4"/>
                <w:szCs w:val="4"/>
              </w:rPr>
            </w:r>
          </w:p>
        </w:tc>
        <w:tc>
          <w:tcPr>
            <w:tcW w:w="1050"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468" w:type="dxa"/>
            <w:tcBorders/>
            <w:shd w:fill="auto" w:val="clear"/>
            <w:vAlign w:val="center"/>
          </w:tcPr>
          <w:p>
            <w:pPr>
              <w:pStyle w:val="TableContents"/>
              <w:spacing w:before="0" w:after="283"/>
              <w:rPr>
                <w:sz w:val="4"/>
                <w:szCs w:val="4"/>
              </w:rPr>
            </w:pPr>
            <w:r>
              <w:rPr>
                <w:sz w:val="4"/>
                <w:szCs w:val="4"/>
              </w:rPr>
            </w:r>
          </w:p>
        </w:tc>
        <w:tc>
          <w:tcPr>
            <w:tcW w:w="1510" w:type="dxa"/>
            <w:tcBorders/>
            <w:shd w:fill="auto" w:val="clear"/>
            <w:vAlign w:val="center"/>
          </w:tcPr>
          <w:p>
            <w:pPr>
              <w:pStyle w:val="TableContents"/>
              <w:spacing w:before="0" w:after="283"/>
              <w:rPr>
                <w:sz w:val="4"/>
                <w:szCs w:val="4"/>
              </w:rPr>
            </w:pPr>
            <w:r>
              <w:rPr>
                <w:sz w:val="4"/>
                <w:szCs w:val="4"/>
              </w:rPr>
            </w:r>
          </w:p>
        </w:tc>
        <w:tc>
          <w:tcPr>
            <w:tcW w:w="242" w:type="dxa"/>
            <w:tcBorders/>
            <w:shd w:fill="auto" w:val="clear"/>
            <w:vAlign w:val="center"/>
          </w:tcPr>
          <w:p>
            <w:pPr>
              <w:pStyle w:val="TableContents"/>
              <w:spacing w:before="0" w:after="283"/>
              <w:rPr>
                <w:sz w:val="4"/>
                <w:szCs w:val="4"/>
              </w:rPr>
            </w:pPr>
            <w:r>
              <w:rPr>
                <w:sz w:val="4"/>
                <w:szCs w:val="4"/>
              </w:rPr>
            </w:r>
          </w:p>
        </w:tc>
        <w:tc>
          <w:tcPr>
            <w:tcW w:w="510" w:type="dxa"/>
            <w:tcBorders/>
            <w:shd w:fill="auto" w:val="clear"/>
            <w:vAlign w:val="center"/>
          </w:tcPr>
          <w:p>
            <w:pPr>
              <w:pStyle w:val="TableContents"/>
              <w:spacing w:before="0" w:after="283"/>
              <w:rPr>
                <w:sz w:val="4"/>
                <w:szCs w:val="4"/>
              </w:rPr>
            </w:pPr>
            <w:r>
              <w:rPr>
                <w:sz w:val="4"/>
                <w:szCs w:val="4"/>
              </w:rPr>
            </w:r>
          </w:p>
        </w:tc>
        <w:tc>
          <w:tcPr>
            <w:tcW w:w="1490" w:type="dxa"/>
            <w:tcBorders/>
            <w:shd w:fill="auto" w:val="clear"/>
            <w:vAlign w:val="center"/>
          </w:tcPr>
          <w:p>
            <w:pPr>
              <w:pStyle w:val="TableContents"/>
              <w:spacing w:before="0" w:after="283"/>
              <w:rPr>
                <w:sz w:val="4"/>
                <w:szCs w:val="4"/>
              </w:rPr>
            </w:pPr>
            <w:r>
              <w:rPr>
                <w:sz w:val="4"/>
                <w:szCs w:val="4"/>
              </w:rPr>
            </w:r>
          </w:p>
        </w:tc>
        <w:tc>
          <w:tcPr>
            <w:tcW w:w="377" w:type="dxa"/>
            <w:tcBorders/>
            <w:shd w:fill="auto" w:val="clear"/>
            <w:vAlign w:val="center"/>
          </w:tcPr>
          <w:p>
            <w:pPr>
              <w:pStyle w:val="TableContents"/>
              <w:spacing w:before="0" w:after="283"/>
              <w:rPr>
                <w:sz w:val="4"/>
                <w:szCs w:val="4"/>
              </w:rPr>
            </w:pPr>
            <w:r>
              <w:rPr>
                <w:sz w:val="4"/>
                <w:szCs w:val="4"/>
              </w:rPr>
            </w:r>
          </w:p>
        </w:tc>
      </w:tr>
      <w:tr>
        <w:trPr/>
        <w:tc>
          <w:tcPr>
            <w:tcW w:w="16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05" w:type="dxa"/>
            <w:gridSpan w:val="18"/>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 of December 31, 2022</w:t>
            </w:r>
          </w:p>
        </w:tc>
      </w:tr>
      <w:tr>
        <w:trPr/>
        <w:tc>
          <w:tcPr>
            <w:tcW w:w="16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Level 1</w:t>
            </w:r>
          </w:p>
        </w:tc>
        <w:tc>
          <w:tcPr>
            <w:tcW w:w="104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Level 2</w:t>
            </w:r>
          </w:p>
        </w:tc>
        <w:tc>
          <w:tcPr>
            <w:tcW w:w="72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Level 3</w:t>
            </w:r>
          </w:p>
        </w:tc>
        <w:tc>
          <w:tcPr>
            <w:tcW w:w="1515"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 Gross Fair Value</w:t>
            </w:r>
          </w:p>
        </w:tc>
        <w:tc>
          <w:tcPr>
            <w:tcW w:w="2220"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Gross Amounts Offset in Balance Sheet</w:t>
            </w:r>
          </w:p>
        </w:tc>
        <w:tc>
          <w:tcPr>
            <w:tcW w:w="2377"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Net Fair Value Presented in Balance Sheet</w:t>
            </w:r>
          </w:p>
        </w:tc>
      </w:tr>
      <w:tr>
        <w:trPr/>
        <w:tc>
          <w:tcPr>
            <w:tcW w:w="16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05" w:type="dxa"/>
            <w:gridSpan w:val="18"/>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thousands)</w:t>
            </w:r>
          </w:p>
        </w:tc>
      </w:tr>
      <w:tr>
        <w:trPr/>
        <w:tc>
          <w:tcPr>
            <w:tcW w:w="16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7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2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7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w:t>
            </w:r>
          </w:p>
        </w:tc>
        <w:tc>
          <w:tcPr>
            <w:tcW w:w="7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2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7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 instruments</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13,296 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13,296 </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8"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1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(3,968)</w:t>
            </w:r>
          </w:p>
        </w:tc>
        <w:tc>
          <w:tcPr>
            <w:tcW w:w="24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9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9,328 </w:t>
            </w:r>
          </w:p>
        </w:tc>
        <w:tc>
          <w:tcPr>
            <w:tcW w:w="37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Non-current:</w:t>
            </w:r>
          </w:p>
        </w:tc>
        <w:tc>
          <w:tcPr>
            <w:tcW w:w="7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2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7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00"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1515" w:type="dxa"/>
            <w:gridSpan w:val="3"/>
            <w:tcBorders/>
            <w:shd w:fill="auto" w:val="clear"/>
            <w:vAlign w:val="center"/>
          </w:tcPr>
          <w:p>
            <w:pPr>
              <w:pStyle w:val="TableContents"/>
              <w:spacing w:before="0" w:after="283"/>
              <w:rPr>
                <w:sz w:val="4"/>
                <w:szCs w:val="4"/>
              </w:rPr>
            </w:pPr>
            <w:r>
              <w:rPr>
                <w:sz w:val="4"/>
                <w:szCs w:val="4"/>
              </w:rPr>
            </w:r>
          </w:p>
        </w:tc>
        <w:tc>
          <w:tcPr>
            <w:tcW w:w="2220" w:type="dxa"/>
            <w:gridSpan w:val="3"/>
            <w:tcBorders/>
            <w:shd w:fill="auto" w:val="clear"/>
            <w:vAlign w:val="center"/>
          </w:tcPr>
          <w:p>
            <w:pPr>
              <w:pStyle w:val="TableContents"/>
              <w:spacing w:before="0" w:after="283"/>
              <w:rPr>
                <w:sz w:val="4"/>
                <w:szCs w:val="4"/>
              </w:rPr>
            </w:pPr>
            <w:r>
              <w:rPr>
                <w:sz w:val="4"/>
                <w:szCs w:val="4"/>
              </w:rPr>
            </w:r>
          </w:p>
        </w:tc>
        <w:tc>
          <w:tcPr>
            <w:tcW w:w="2377" w:type="dxa"/>
            <w:gridSpan w:val="3"/>
            <w:tcBorders/>
            <w:shd w:fill="auto" w:val="clear"/>
            <w:vAlign w:val="center"/>
          </w:tcPr>
          <w:p>
            <w:pPr>
              <w:pStyle w:val="TableContents"/>
              <w:spacing w:before="0" w:after="283"/>
              <w:rPr>
                <w:sz w:val="4"/>
                <w:szCs w:val="4"/>
              </w:rPr>
            </w:pPr>
            <w:r>
              <w:rPr>
                <w:sz w:val="4"/>
                <w:szCs w:val="4"/>
              </w:rPr>
            </w:r>
          </w:p>
        </w:tc>
      </w:tr>
      <w:tr>
        <w:trPr/>
        <w:tc>
          <w:tcPr>
            <w:tcW w:w="16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 instruments</w:t>
            </w:r>
          </w:p>
        </w:tc>
        <w:tc>
          <w:tcPr>
            <w:tcW w:w="6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1,911 </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7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(1,469)</w:t>
            </w:r>
          </w:p>
        </w:tc>
        <w:tc>
          <w:tcPr>
            <w:tcW w:w="24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0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442 </w:t>
            </w:r>
          </w:p>
        </w:tc>
        <w:tc>
          <w:tcPr>
            <w:tcW w:w="37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w:t>
            </w:r>
          </w:p>
        </w:tc>
        <w:tc>
          <w:tcPr>
            <w:tcW w:w="7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2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7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w:t>
            </w:r>
          </w:p>
        </w:tc>
        <w:tc>
          <w:tcPr>
            <w:tcW w:w="7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2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7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 instruments</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3,968 </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8"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1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(3,968)</w:t>
            </w:r>
          </w:p>
        </w:tc>
        <w:tc>
          <w:tcPr>
            <w:tcW w:w="24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90"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7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Non-current:</w:t>
            </w:r>
          </w:p>
        </w:tc>
        <w:tc>
          <w:tcPr>
            <w:tcW w:w="7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2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7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 instruments</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1,476 </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8"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1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(1,469)</w:t>
            </w:r>
          </w:p>
        </w:tc>
        <w:tc>
          <w:tcPr>
            <w:tcW w:w="24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9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37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 xml:space="preserve">Assets and Liabilities Not Recorded at Fair Value </w:t>
      </w:r>
    </w:p>
    <w:p>
      <w:pPr>
        <w:pStyle w:val="TextBody"/>
        <w:spacing w:before="0" w:after="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the fair value of financial instruments that are not recorded at fair value in the condensed consolidated balance sheets:</w:t>
      </w:r>
    </w:p>
    <w:p>
      <w:pPr>
        <w:pStyle w:val="TextBody"/>
        <w:spacing w:before="0" w:after="0"/>
        <w:ind w:left="0" w:right="0" w:firstLine="720"/>
        <w:jc w:val="both"/>
        <w:rPr/>
      </w:pPr>
      <w:r>
        <w:rPr/>
      </w:r>
    </w:p>
    <w:tbl>
      <w:tblPr>
        <w:tblW w:w="8672" w:type="dxa"/>
        <w:jc w:val="center"/>
        <w:tblInd w:w="0" w:type="dxa"/>
        <w:tblCellMar>
          <w:top w:w="28" w:type="dxa"/>
          <w:left w:w="28" w:type="dxa"/>
          <w:bottom w:w="28" w:type="dxa"/>
          <w:right w:w="28" w:type="dxa"/>
        </w:tblCellMar>
      </w:tblPr>
      <w:tblGrid>
        <w:gridCol w:w="992"/>
        <w:gridCol w:w="869"/>
        <w:gridCol w:w="883"/>
        <w:gridCol w:w="240"/>
        <w:gridCol w:w="941"/>
        <w:gridCol w:w="124"/>
        <w:gridCol w:w="109"/>
        <w:gridCol w:w="109"/>
        <w:gridCol w:w="109"/>
        <w:gridCol w:w="211"/>
        <w:gridCol w:w="826"/>
        <w:gridCol w:w="109"/>
        <w:gridCol w:w="109"/>
        <w:gridCol w:w="109"/>
        <w:gridCol w:w="109"/>
        <w:gridCol w:w="240"/>
        <w:gridCol w:w="941"/>
        <w:gridCol w:w="124"/>
        <w:gridCol w:w="109"/>
        <w:gridCol w:w="109"/>
        <w:gridCol w:w="109"/>
        <w:gridCol w:w="211"/>
        <w:gridCol w:w="826"/>
        <w:gridCol w:w="154"/>
      </w:tblGrid>
      <w:tr>
        <w:trPr/>
        <w:tc>
          <w:tcPr>
            <w:tcW w:w="992" w:type="dxa"/>
            <w:tcBorders/>
            <w:shd w:fill="auto" w:val="clear"/>
            <w:vAlign w:val="center"/>
          </w:tcPr>
          <w:p>
            <w:pPr>
              <w:pStyle w:val="TableContents"/>
              <w:spacing w:before="0" w:after="283"/>
              <w:rPr>
                <w:sz w:val="4"/>
                <w:szCs w:val="4"/>
              </w:rPr>
            </w:pPr>
            <w:r>
              <w:rPr>
                <w:sz w:val="4"/>
                <w:szCs w:val="4"/>
              </w:rPr>
            </w:r>
          </w:p>
        </w:tc>
        <w:tc>
          <w:tcPr>
            <w:tcW w:w="869" w:type="dxa"/>
            <w:tcBorders/>
            <w:shd w:fill="auto" w:val="clear"/>
            <w:vAlign w:val="center"/>
          </w:tcPr>
          <w:p>
            <w:pPr>
              <w:pStyle w:val="TableContents"/>
              <w:spacing w:before="0" w:after="283"/>
              <w:rPr>
                <w:sz w:val="4"/>
                <w:szCs w:val="4"/>
              </w:rPr>
            </w:pPr>
            <w:r>
              <w:rPr>
                <w:sz w:val="4"/>
                <w:szCs w:val="4"/>
              </w:rPr>
            </w:r>
          </w:p>
        </w:tc>
        <w:tc>
          <w:tcPr>
            <w:tcW w:w="883"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941"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941"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7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78"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23"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2022</w:t>
            </w:r>
          </w:p>
        </w:tc>
      </w:tr>
      <w:tr>
        <w:trPr/>
        <w:tc>
          <w:tcPr>
            <w:tcW w:w="27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Carrying Value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Fair Value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5"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Carrying Value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Fair Value</w:t>
            </w:r>
          </w:p>
        </w:tc>
      </w:tr>
      <w:tr>
        <w:trPr/>
        <w:tc>
          <w:tcPr>
            <w:tcW w:w="27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28" w:type="dxa"/>
            <w:gridSpan w:val="21"/>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thousands)</w:t>
            </w:r>
          </w:p>
        </w:tc>
      </w:tr>
      <w:tr>
        <w:trPr/>
        <w:tc>
          <w:tcPr>
            <w:tcW w:w="27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Debt:</w:t>
            </w:r>
          </w:p>
        </w:tc>
        <w:tc>
          <w:tcPr>
            <w:tcW w:w="130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Revolving credit facility </w:t>
            </w:r>
          </w:p>
        </w:tc>
        <w:tc>
          <w:tcPr>
            <w:tcW w:w="24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270,000 </w:t>
            </w:r>
          </w:p>
        </w:tc>
        <w:tc>
          <w:tcPr>
            <w:tcW w:w="1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270,000 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152,000 </w:t>
            </w:r>
          </w:p>
        </w:tc>
        <w:tc>
          <w:tcPr>
            <w:tcW w:w="1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152,000 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44"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5.375% senior notes due 2027</w:t>
            </w:r>
            <w:r>
              <w:rPr>
                <w:rFonts w:ascii="Times New Roman;sans-serif" w:hAnsi="Times New Roman;sans-serif"/>
                <w:b w:val="false"/>
                <w:color w:val="000000"/>
                <w:sz w:val="13"/>
              </w:rPr>
              <w:t>(1)</w:t>
            </w:r>
          </w:p>
        </w:tc>
        <w:tc>
          <w:tcPr>
            <w:tcW w:w="24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425,154 </w:t>
            </w:r>
          </w:p>
        </w:tc>
        <w:tc>
          <w:tcPr>
            <w:tcW w:w="1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416,041 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424,895 </w:t>
            </w:r>
          </w:p>
        </w:tc>
        <w:tc>
          <w:tcPr>
            <w:tcW w:w="1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411,634 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(1) The carrying value includes associated deferred loan costs and any discount.</w:t>
      </w:r>
    </w:p>
    <w:p>
      <w:pPr>
        <w:pStyle w:val="TextBody"/>
        <w:spacing w:before="0" w:after="0"/>
        <w:ind w:left="0" w:right="0" w:firstLine="720"/>
        <w:jc w:val="both"/>
        <w:rPr/>
      </w:pPr>
      <w:r>
        <w:rPr/>
      </w:r>
    </w:p>
    <w:p>
      <w:pPr>
        <w:pStyle w:val="HorizontalLine"/>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v:rect>
            </w:pict>
          </mc:Fallback>
        </mc:AlternateContent>
      </w:r>
    </w:p>
    <w:p>
      <w:pPr>
        <w:pStyle w:val="TextBody"/>
        <w:spacing w:lineRule="auto" w:line="288" w:before="0" w:after="0"/>
        <w:rPr/>
      </w:pPr>
      <w:hyperlink w:anchor="i8dd89f0c72444a288e2bb25168f12b04_7">
        <w:r>
          <w:rPr>
            <w:rStyle w:val="InternetLink"/>
            <w:rFonts w:ascii="Times New Roman;sans-serif" w:hAnsi="Times New Roman;sans-serif"/>
            <w:b w:val="false"/>
            <w:color w:val="0000FF"/>
            <w:sz w:val="16"/>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Viper Energy Partners LP</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Notes to Consolidated Financial Statements - (Continued)</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fair value of the Operating Company’s revolving credit facility approximates the carrying value based on borrowing rates available to the Partnership for bank loans with similar terms and maturities and is classified as Level 2 in the fair value hierarchy. The fair value of the Notes was determined using the March 31, 2023 quoted market price, a Level 1 classification in the fair value hierarchy.</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i/>
          <w:color w:val="000000"/>
          <w:sz w:val="20"/>
        </w:rPr>
        <w:t>Assets and Liabilities Measured at Fair Value on a Nonrecurring Basis</w:t>
      </w:r>
      <w:r>
        <w:rPr>
          <w:color w:val="000000"/>
        </w:rPr>
        <w:t xml:space="preserve"> </w:t>
      </w:r>
    </w:p>
    <w:p>
      <w:pPr>
        <w:pStyle w:val="TextBody"/>
        <w:spacing w:before="0" w:after="0"/>
        <w:ind w:left="0" w:right="0" w:firstLine="72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Certain assets and liabilities are measured at fair value on a nonrecurring basis in certain circumstances. These assets and liabilities can include mineral and royalty interests acquired in asset acquisitions and subsequent write-downs of our proved oil and natural gas interests to fair value when they are impaired or held for sale.</w:t>
      </w:r>
    </w:p>
    <w:p>
      <w:pPr>
        <w:pStyle w:val="TextBody"/>
        <w:spacing w:before="0" w:after="0"/>
        <w:ind w:left="0" w:right="0" w:firstLine="720"/>
        <w:jc w:val="both"/>
        <w:rPr/>
      </w:pPr>
      <w:r>
        <w:rPr/>
      </w:r>
    </w:p>
    <w:p>
      <w:pPr>
        <w:pStyle w:val="TextBody"/>
        <w:spacing w:lineRule="auto" w:line="288" w:before="0" w:after="0"/>
        <w:jc w:val="both"/>
        <w:rPr>
          <w:rFonts w:ascii="Times New Roman;sans-serif" w:hAnsi="Times New Roman;sans-serif"/>
          <w:b/>
          <w:i/>
          <w:color w:val="000000"/>
          <w:sz w:val="20"/>
          <w:highlight w:val="white"/>
        </w:rPr>
      </w:pPr>
      <w:r>
        <w:rPr>
          <w:rFonts w:ascii="Times New Roman;sans-serif" w:hAnsi="Times New Roman;sans-serif"/>
          <w:b/>
          <w:i/>
          <w:color w:val="000000"/>
          <w:sz w:val="20"/>
          <w:highlight w:val="white"/>
        </w:rPr>
        <w:t>Fair Value of Financial Assets</w:t>
      </w:r>
    </w:p>
    <w:p>
      <w:pPr>
        <w:pStyle w:val="TextBody"/>
        <w:spacing w:before="0" w:after="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Partnership has other financial instruments consisting of cash and cash equivalents, royalty income receivable, other current assets, accounts payable, accrued liabilities and income taxes payable. The carrying value of these instruments approximate their fair value because of the short-term nature of the instruments.</w:t>
      </w:r>
    </w:p>
    <w:p>
      <w:pPr>
        <w:pStyle w:val="TextBody"/>
        <w:spacing w:before="0" w:after="0"/>
        <w:ind w:left="0" w:right="0" w:firstLine="72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12.    COMMITMENTS AND CONTINGENCIES</w:t>
      </w:r>
    </w:p>
    <w:p>
      <w:pPr>
        <w:pStyle w:val="TextBody"/>
        <w:spacing w:before="0" w:after="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Partnership is a party to various routine legal proceedings, disputes and claims from time to time arising in the ordinary course of its business. While the ultimate outcome of the pending proceedings, disputes or claims, and any resulting impact on the Partnership, cannot be predicted with certainty, the Partnership’s management believes that none of these matters, if ultimately decided adversely, will have a material adverse effect on the Partnership’s financial condition, results of operations or cash flows. The Partnership’s assessment is based on information known about the pending matters and its experience in contesting, litigating and settling similar matters. Actual outcomes could differ materially from the Partnership’s assessment. The Partnership records reserves for contingencies related to outstanding legal proceedings, disputes or claims when information available indicates that a loss is probable and the amount of the loss can be reasonably estimated.</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13.    SUBSEQUENT EVENTS</w:t>
      </w:r>
    </w:p>
    <w:p>
      <w:pPr>
        <w:pStyle w:val="TextBody"/>
        <w:spacing w:before="0" w:after="0"/>
        <w:ind w:left="0" w:right="0" w:firstLine="72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Cash Distribution</w:t>
      </w:r>
    </w:p>
    <w:p>
      <w:pPr>
        <w:pStyle w:val="TextBody"/>
        <w:spacing w:before="0" w:after="0"/>
        <w:ind w:left="0" w:right="0" w:firstLine="720"/>
        <w:jc w:val="both"/>
        <w:rPr/>
      </w:pPr>
      <w:r>
        <w:rPr/>
      </w:r>
    </w:p>
    <w:p>
      <w:pPr>
        <w:pStyle w:val="TextBody"/>
        <w:spacing w:lineRule="auto" w:line="288" w:before="0" w:after="0"/>
        <w:ind w:left="0" w:right="0" w:firstLine="720"/>
        <w:jc w:val="both"/>
        <w:rPr/>
      </w:pPr>
      <w:r>
        <w:rPr>
          <w:rFonts w:ascii="Times New Roman;sans-serif" w:hAnsi="Times New Roman;sans-serif"/>
          <w:b w:val="false"/>
          <w:color w:val="000000"/>
          <w:sz w:val="20"/>
          <w:highlight w:val="white"/>
        </w:rPr>
        <w:t>On</w:t>
      </w:r>
      <w:r>
        <w:rPr>
          <w:color w:val="000000"/>
        </w:rPr>
        <w:t xml:space="preserve"> </w:t>
      </w:r>
      <w:r>
        <w:rPr>
          <w:rFonts w:ascii="Times New Roman;sans-serif" w:hAnsi="Times New Roman;sans-serif"/>
          <w:b w:val="false"/>
          <w:color w:val="000000"/>
          <w:sz w:val="20"/>
        </w:rPr>
        <w:t>April 26, 2023,</w:t>
      </w:r>
      <w:r>
        <w:rPr>
          <w:color w:val="000000"/>
          <w:highlight w:val="white"/>
        </w:rPr>
        <w:t xml:space="preserve"> </w:t>
      </w:r>
      <w:r>
        <w:rPr>
          <w:rFonts w:ascii="Times New Roman;sans-serif" w:hAnsi="Times New Roman;sans-serif"/>
          <w:b w:val="false"/>
          <w:color w:val="000000"/>
          <w:sz w:val="20"/>
          <w:highlight w:val="white"/>
        </w:rPr>
        <w:t xml:space="preserve">the board of directors of the General Partner approved a cash distribution for the first quarter </w:t>
      </w:r>
      <w:r>
        <w:rPr>
          <w:rFonts w:ascii="Times New Roman;sans-serif" w:hAnsi="Times New Roman;sans-serif"/>
          <w:b w:val="false"/>
          <w:color w:val="000000"/>
          <w:sz w:val="20"/>
        </w:rPr>
        <w:t>of 2023 of $0.33 per common unit, payable on May 18, 2023, to eligible unitholders of record at the close of business on May 11, 2023. The distribution consists of a base quarterly distribution of $0.25 per common unit and a variable quarterly distribution of $0.08 per common unit.</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v:rect>
            </w:pict>
          </mc:Fallback>
        </mc:AlternateContent>
      </w:r>
    </w:p>
    <w:p>
      <w:pPr>
        <w:pStyle w:val="TextBody"/>
        <w:spacing w:lineRule="auto" w:line="288" w:before="0" w:after="0"/>
        <w:rPr/>
      </w:pPr>
      <w:hyperlink w:anchor="i8dd89f0c72444a288e2bb25168f12b04_7">
        <w:r>
          <w:rPr>
            <w:rStyle w:val="InternetLink"/>
            <w:rFonts w:ascii="Times New Roman;sans-serif" w:hAnsi="Times New Roman;sans-serif"/>
            <w:b w:val="false"/>
            <w:color w:val="0000FF"/>
            <w:sz w:val="16"/>
            <w:u w:val="single"/>
          </w:rPr>
          <w:t>Table of Contents</w:t>
        </w:r>
      </w:hyperlink>
    </w:p>
    <w:p>
      <w:pPr>
        <w:pStyle w:val="TextBody"/>
        <w:spacing w:before="0" w:after="0"/>
        <w:rPr/>
      </w:pPr>
      <w:r>
        <w:rPr/>
      </w:r>
    </w:p>
    <w:p>
      <w:pPr>
        <w:pStyle w:val="TextBody"/>
        <w:spacing w:lineRule="auto" w:line="288" w:before="0" w:after="0"/>
        <w:rPr/>
      </w:pPr>
      <w:r>
        <w:rPr>
          <w:rFonts w:ascii="Times New Roman;sans-serif" w:hAnsi="Times New Roman;sans-serif"/>
          <w:b/>
          <w:color w:val="000000"/>
          <w:sz w:val="20"/>
        </w:rPr>
        <w:t>ITEM 2.</w:t>
      </w:r>
      <w:r>
        <w:rPr>
          <w:color w:val="000000"/>
        </w:rPr>
        <w:t xml:space="preserve"> </w:t>
      </w:r>
      <w:r>
        <w:rPr>
          <w:rFonts w:ascii="Times New Roman;sans-serif" w:hAnsi="Times New Roman;sans-serif"/>
          <w:b/>
          <w:color w:val="000000"/>
          <w:sz w:val="20"/>
        </w:rPr>
        <w:t>MANAGEMENT’S DISCUSSION AND ANALYSIS OF FINANCIAL CONDITION AND RESULTS OF OPERATIONS</w:t>
      </w:r>
    </w:p>
    <w:p>
      <w:pPr>
        <w:pStyle w:val="TextBody"/>
        <w:spacing w:before="0" w:after="0"/>
        <w:jc w:val="center"/>
        <w:rPr/>
      </w:pPr>
      <w:r>
        <w:rPr/>
      </w:r>
    </w:p>
    <w:p>
      <w:pPr>
        <w:pStyle w:val="TextBody"/>
        <w:spacing w:lineRule="auto" w:line="288" w:before="0" w:after="0"/>
        <w:jc w:val="both"/>
        <w:rPr/>
      </w:pPr>
      <w:r>
        <w:rPr>
          <w:rFonts w:ascii="Times New Roman;sans-serif" w:hAnsi="Times New Roman;sans-serif"/>
          <w:b w:val="false"/>
          <w:i/>
          <w:color w:val="000000"/>
          <w:sz w:val="20"/>
        </w:rPr>
        <w:t xml:space="preserve">The following discussion and analysis should be read in conjunction with our unaudited condensed consolidated financial statements and notes thereto presented in this report as well as our audited financial statements and notes thereto included in our </w:t>
      </w:r>
      <w:hyperlink r:id="rId4">
        <w:r>
          <w:rPr>
            <w:rStyle w:val="InternetLink"/>
            <w:rFonts w:ascii="Times New Roman;sans-serif" w:hAnsi="Times New Roman;sans-serif"/>
            <w:b w:val="false"/>
            <w:i/>
            <w:color w:val="0000FF"/>
            <w:sz w:val="20"/>
            <w:u w:val="single"/>
          </w:rPr>
          <w:t>Annual Report on Form 10-K</w:t>
        </w:r>
      </w:hyperlink>
      <w:r>
        <w:rPr>
          <w:color w:val="000000"/>
        </w:rPr>
        <w:t xml:space="preserve"> </w:t>
      </w:r>
      <w:r>
        <w:rPr>
          <w:rFonts w:ascii="Times New Roman;sans-serif" w:hAnsi="Times New Roman;sans-serif"/>
          <w:b w:val="false"/>
          <w:i/>
          <w:color w:val="000000"/>
          <w:sz w:val="20"/>
        </w:rPr>
        <w:t>for the year ended December 31, 2022. The following discussion contains “forward-looking statements” that reflect our future plans, estimates, beliefs, and expected performance. Actual results and the timing of events may differ materially from those contained in these forward-looking statements due to a number of factors. See “</w:t>
      </w:r>
      <w:hyperlink w:anchor="i8dd89f0c72444a288e2bb25168f12b04_124">
        <w:r>
          <w:rPr>
            <w:rStyle w:val="InternetLink"/>
            <w:rFonts w:ascii="Times New Roman;sans-serif" w:hAnsi="Times New Roman;sans-serif"/>
            <w:b w:val="false"/>
            <w:i/>
            <w:color w:val="0000FF"/>
            <w:sz w:val="20"/>
            <w:u w:val="single"/>
          </w:rPr>
          <w:t>Part II. Item 1A. Risk Factors</w:t>
        </w:r>
      </w:hyperlink>
      <w:r>
        <w:rPr>
          <w:color w:val="000000"/>
        </w:rPr>
        <w:t xml:space="preserve">” </w:t>
      </w:r>
      <w:r>
        <w:rPr>
          <w:rFonts w:ascii="Times New Roman;sans-serif" w:hAnsi="Times New Roman;sans-serif"/>
          <w:b w:val="false"/>
          <w:i/>
          <w:color w:val="000000"/>
          <w:sz w:val="20"/>
        </w:rPr>
        <w:t>and “</w:t>
      </w:r>
      <w:hyperlink w:anchor="i8dd89f0c72444a288e2bb25168f12b04_16">
        <w:r>
          <w:rPr>
            <w:rStyle w:val="InternetLink"/>
            <w:rFonts w:ascii="Times New Roman;sans-serif" w:hAnsi="Times New Roman;sans-serif"/>
            <w:b w:val="false"/>
            <w:i/>
            <w:color w:val="0000FF"/>
            <w:sz w:val="20"/>
            <w:u w:val="single"/>
          </w:rPr>
          <w:t>Cautionary Statement Regarding Forward-Looking Statements</w:t>
        </w:r>
      </w:hyperlink>
      <w:r>
        <w:rPr>
          <w:rFonts w:ascii="Times New Roman;sans-serif" w:hAnsi="Times New Roman;sans-serif"/>
          <w:b w:val="false"/>
          <w:i/>
          <w:color w:val="000000"/>
          <w:sz w:val="20"/>
        </w:rPr>
        <w:t xml:space="preserve">.”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spacing w:before="0" w:after="0"/>
        <w:ind w:left="0" w:right="0" w:firstLine="720"/>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are a publicly traded Delaware limited partnership formed by Diamondback to own and acquire mineral and royalty interests in oil and natural gas properties primarily in the Permian Basin. We operate in one reportable segment. Since May 10, 2018, we have been treated as a corporation for U.S. federal income tax purposes.</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Recent Developments</w:t>
      </w:r>
    </w:p>
    <w:p>
      <w:pPr>
        <w:pStyle w:val="TextBody"/>
        <w:spacing w:before="0" w:after="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Commodity Prices</w:t>
      </w:r>
    </w:p>
    <w:p>
      <w:pPr>
        <w:pStyle w:val="TextBody"/>
        <w:spacing w:before="0" w:after="0"/>
        <w:ind w:left="0" w:right="0" w:firstLine="720"/>
        <w:jc w:val="both"/>
        <w:rPr/>
      </w:pPr>
      <w:r>
        <w:rPr/>
      </w:r>
    </w:p>
    <w:p>
      <w:pPr>
        <w:pStyle w:val="TextBody"/>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Prices for oil, natural gas and natural gas liquids are determined primarily by prevailing market conditions. Regional and worldwide economic activity, including any economic downturn or recession that has occurred or may occur in the future, extreme weather conditions and other substantially variable factors influence market conditions for these products. These factors are beyond our control and are difficult to predict. During 2022 and the first quarter of 2023, NYMEX WTI, has ranged from $66.74 to $123.70 per Bbl, and the NYMEX Henry Hub price of natural gas has ranged from $1.99 to $9.68 per MMBtu, with seven-year highs reached in 2022. The war in Ukraine, the COVID-19 pandemic, rising interest rates, global supply chain disruptions, concerns about a potential economic downturn or recession, measures to combat persistent inflation and instability in the financial sector have contributed to recent economic and pricing volatility and may continue to impact pricing throughout 2023. Additionally, OPEC and its non-OPEC allies, known collectively as OPEC+, continues to meet regularly to evaluate the state of global oil supply, demand and inventory levels.</w:t>
      </w:r>
    </w:p>
    <w:p>
      <w:pPr>
        <w:pStyle w:val="TextBody"/>
        <w:spacing w:before="0" w:after="0"/>
        <w:ind w:left="0" w:right="0" w:firstLine="72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Acquisitions Update</w:t>
      </w:r>
    </w:p>
    <w:p>
      <w:pPr>
        <w:pStyle w:val="TextBody"/>
        <w:spacing w:before="0" w:after="0"/>
        <w:ind w:left="0" w:right="0" w:firstLine="720"/>
        <w:jc w:val="both"/>
        <w:rPr/>
      </w:pPr>
      <w:r>
        <w:rPr/>
      </w:r>
    </w:p>
    <w:p>
      <w:pPr>
        <w:pStyle w:val="TextBody"/>
        <w:spacing w:lineRule="auto" w:line="268" w:before="0" w:after="0"/>
        <w:ind w:left="0" w:right="0" w:firstLine="720"/>
        <w:jc w:val="both"/>
        <w:rPr>
          <w:rFonts w:ascii="Times New Roman;sans-serif" w:hAnsi="Times New Roman;sans-serif"/>
          <w:b w:val="false"/>
          <w:i/>
          <w:color w:val="000000"/>
          <w:sz w:val="20"/>
        </w:rPr>
      </w:pPr>
      <w:r>
        <w:rPr>
          <w:rFonts w:ascii="Times New Roman;sans-serif" w:hAnsi="Times New Roman;sans-serif"/>
          <w:b w:val="false"/>
          <w:i/>
          <w:color w:val="000000"/>
          <w:sz w:val="20"/>
        </w:rPr>
        <w:t>Drop Down Transaction</w:t>
      </w:r>
    </w:p>
    <w:p>
      <w:pPr>
        <w:pStyle w:val="TextBody"/>
        <w:spacing w:before="0" w:after="0"/>
        <w:ind w:left="0" w:right="0" w:firstLine="72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March 8, 2023, we acquired certain mineral and royalty interests from subsidiaries of Diamondback for approximately $75.1 million in cash, subject to customary post-closing adjustments. We funded the Drop Down through a combination of cash on hand and borrowings under the Operating Company’s revolving credit facility. The Drop Down was accounted for as a transaction between entities under common control.</w:t>
      </w:r>
    </w:p>
    <w:p>
      <w:pPr>
        <w:pStyle w:val="TextBody"/>
        <w:spacing w:before="0" w:after="0"/>
        <w:ind w:left="0" w:right="0" w:firstLine="720"/>
        <w:jc w:val="both"/>
        <w:rPr/>
      </w:pPr>
      <w:r>
        <w:rPr/>
      </w:r>
    </w:p>
    <w:p>
      <w:pPr>
        <w:pStyle w:val="TextBody"/>
        <w:spacing w:lineRule="auto" w:line="268" w:before="0" w:after="0"/>
        <w:ind w:left="0" w:right="0" w:firstLine="720"/>
        <w:jc w:val="both"/>
        <w:rPr>
          <w:rFonts w:ascii="Times New Roman;sans-serif" w:hAnsi="Times New Roman;sans-serif"/>
          <w:b w:val="false"/>
          <w:i/>
          <w:color w:val="000000"/>
          <w:sz w:val="20"/>
        </w:rPr>
      </w:pPr>
      <w:r>
        <w:rPr>
          <w:rFonts w:ascii="Times New Roman;sans-serif" w:hAnsi="Times New Roman;sans-serif"/>
          <w:b w:val="false"/>
          <w:i/>
          <w:color w:val="000000"/>
          <w:sz w:val="20"/>
        </w:rPr>
        <w:t>Other Acquisitions</w:t>
      </w:r>
    </w:p>
    <w:p>
      <w:pPr>
        <w:pStyle w:val="TextBody"/>
        <w:spacing w:before="0" w:after="0"/>
        <w:ind w:left="0" w:right="0" w:firstLine="72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Additionally in the first quarter of 2023, in individually insignificant transactions, we acquired from unrelated third-party sellers, mineral and royalty interests representing 159 net royalty acres in the Permian Basin for an aggregate purchase price of approximately $40.7 million, subject to customary post-closing adjustments. We funded these acquisitions through a combination of cash on hand and borrowings under the Operating Company’s revolving credit facility.</w:t>
      </w:r>
    </w:p>
    <w:p>
      <w:pPr>
        <w:pStyle w:val="TextBody"/>
        <w:spacing w:before="0" w:after="0"/>
        <w:ind w:left="0" w:right="0" w:firstLine="720"/>
        <w:jc w:val="both"/>
        <w:rPr/>
      </w:pPr>
      <w:r>
        <w:rPr/>
      </w:r>
    </w:p>
    <w:p>
      <w:pPr>
        <w:pStyle w:val="TextBody"/>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a result of these 2023 acquisitions, our footprint of mineral and royalty interests totaled 27,134 net royalty acres, approximately 57% of which are operated by Diamondback, as of March 31, 2023. </w:t>
      </w:r>
    </w:p>
    <w:p>
      <w:pPr>
        <w:pStyle w:val="TextBody"/>
        <w:spacing w:before="0" w:after="0"/>
        <w:jc w:val="both"/>
        <w:rPr/>
      </w:pPr>
      <w:r>
        <w:rPr/>
      </w:r>
    </w:p>
    <w:p>
      <w:pPr>
        <w:pStyle w:val="TextBody"/>
        <w:spacing w:lineRule="auto" w:line="268" w:before="0" w:after="0"/>
        <w:ind w:left="0" w:right="0" w:firstLine="720"/>
        <w:jc w:val="both"/>
        <w:rPr/>
      </w:pPr>
      <w:r>
        <w:rPr>
          <w:rFonts w:ascii="Times New Roman;sans-serif" w:hAnsi="Times New Roman;sans-serif"/>
          <w:b w:val="false"/>
          <w:color w:val="000000"/>
          <w:sz w:val="20"/>
        </w:rPr>
        <w:t>See Note 4—</w:t>
      </w:r>
      <w:hyperlink w:anchor="i8dd89f0c72444a288e2bb25168f12b04_49">
        <w:r>
          <w:rPr>
            <w:rStyle w:val="InternetLink"/>
            <w:rFonts w:ascii="Times New Roman;sans-serif" w:hAnsi="Times New Roman;sans-serif"/>
            <w:b w:val="false"/>
            <w:color w:val="0000FF"/>
            <w:sz w:val="20"/>
            <w:u w:val="single"/>
          </w:rPr>
          <w:t>Acquisitions and Divestitures</w:t>
        </w:r>
      </w:hyperlink>
      <w:r>
        <w:rPr>
          <w:color w:val="000000"/>
        </w:rPr>
        <w:t xml:space="preserve"> </w:t>
      </w:r>
      <w:r>
        <w:rPr>
          <w:rFonts w:ascii="Times New Roman;sans-serif" w:hAnsi="Times New Roman;sans-serif"/>
          <w:b w:val="false"/>
          <w:color w:val="000000"/>
          <w:sz w:val="20"/>
        </w:rPr>
        <w:t>of the notes to the condensed consolidated financial statements included elsewhere in this report for further details.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v:rect>
            </w:pict>
          </mc:Fallback>
        </mc:AlternateContent>
      </w:r>
    </w:p>
    <w:p>
      <w:pPr>
        <w:pStyle w:val="TextBody"/>
        <w:spacing w:lineRule="auto" w:line="288" w:before="0" w:after="0"/>
        <w:rPr/>
      </w:pPr>
      <w:hyperlink w:anchor="i8dd89f0c72444a288e2bb25168f12b04_7">
        <w:r>
          <w:rPr>
            <w:rStyle w:val="InternetLink"/>
            <w:rFonts w:ascii="Times New Roman;sans-serif" w:hAnsi="Times New Roman;sans-serif"/>
            <w:b w:val="false"/>
            <w:color w:val="0000FF"/>
            <w:sz w:val="16"/>
            <w:u w:val="single"/>
          </w:rPr>
          <w:t>Table of Contents</w:t>
        </w:r>
      </w:hyperlink>
    </w:p>
    <w:p>
      <w:pPr>
        <w:pStyle w:val="TextBody"/>
        <w:spacing w:before="0" w:after="0"/>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Production and Operational Update</w:t>
      </w:r>
    </w:p>
    <w:p>
      <w:pPr>
        <w:pStyle w:val="TextBody"/>
        <w:spacing w:before="0" w:after="0"/>
        <w:jc w:val="both"/>
        <w:rPr/>
      </w:pPr>
      <w:r>
        <w:rPr/>
      </w:r>
    </w:p>
    <w:p>
      <w:pPr>
        <w:pStyle w:val="TextBody"/>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Average oil production per day during the first quarter of 2023 was the highest in the Partnership’s history. There are currently 38 rigs operating on our mineral and royalty acreage, nine of which are operated by Diamondback. The Drop Down provides a high NRI exposure to Diamondback’s expected development plan in the Southern Delaware Basin over the next several years and is expected to enhance our growth profile as well. As a result of the Drop Down and continued outperformance of our production goals, we have increased our full year 2023 production guidance by approximately 12% compared to 2022, which is a two percent increase at the midpoint from our guidance published in February 2023. </w:t>
      </w:r>
    </w:p>
    <w:p>
      <w:pPr>
        <w:pStyle w:val="TextBody"/>
        <w:spacing w:before="0" w:after="0"/>
        <w:ind w:left="0" w:right="0" w:firstLine="72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gross well information as of the dates indicated:</w:t>
      </w:r>
    </w:p>
    <w:p>
      <w:pPr>
        <w:pStyle w:val="TextBody"/>
        <w:spacing w:before="0" w:after="0"/>
        <w:ind w:left="0" w:right="0" w:firstLine="720"/>
        <w:jc w:val="both"/>
        <w:rPr/>
      </w:pPr>
      <w:r>
        <w:rPr/>
      </w:r>
    </w:p>
    <w:tbl>
      <w:tblPr>
        <w:tblW w:w="10205" w:type="dxa"/>
        <w:jc w:val="left"/>
        <w:tblInd w:w="0" w:type="dxa"/>
        <w:tblCellMar>
          <w:top w:w="28" w:type="dxa"/>
          <w:left w:w="28" w:type="dxa"/>
          <w:bottom w:w="28" w:type="dxa"/>
          <w:right w:w="28" w:type="dxa"/>
        </w:tblCellMar>
      </w:tblPr>
      <w:tblGrid>
        <w:gridCol w:w="1838"/>
        <w:gridCol w:w="1618"/>
        <w:gridCol w:w="1623"/>
        <w:gridCol w:w="435"/>
        <w:gridCol w:w="435"/>
        <w:gridCol w:w="1087"/>
        <w:gridCol w:w="109"/>
        <w:gridCol w:w="109"/>
        <w:gridCol w:w="109"/>
        <w:gridCol w:w="395"/>
        <w:gridCol w:w="395"/>
        <w:gridCol w:w="985"/>
        <w:gridCol w:w="109"/>
        <w:gridCol w:w="109"/>
        <w:gridCol w:w="109"/>
        <w:gridCol w:w="203"/>
        <w:gridCol w:w="203"/>
        <w:gridCol w:w="334"/>
      </w:tblGrid>
      <w:tr>
        <w:trPr/>
        <w:tc>
          <w:tcPr>
            <w:tcW w:w="1838" w:type="dxa"/>
            <w:tcBorders/>
            <w:shd w:fill="auto" w:val="clear"/>
            <w:vAlign w:val="center"/>
          </w:tcPr>
          <w:p>
            <w:pPr>
              <w:pStyle w:val="TableContents"/>
              <w:spacing w:before="0" w:after="283"/>
              <w:rPr>
                <w:sz w:val="4"/>
                <w:szCs w:val="4"/>
              </w:rPr>
            </w:pPr>
            <w:r>
              <w:rPr>
                <w:sz w:val="4"/>
                <w:szCs w:val="4"/>
              </w:rPr>
            </w:r>
          </w:p>
        </w:tc>
        <w:tc>
          <w:tcPr>
            <w:tcW w:w="1618" w:type="dxa"/>
            <w:tcBorders/>
            <w:shd w:fill="auto" w:val="clear"/>
            <w:vAlign w:val="center"/>
          </w:tcPr>
          <w:p>
            <w:pPr>
              <w:pStyle w:val="TableContents"/>
              <w:spacing w:before="0" w:after="283"/>
              <w:rPr>
                <w:sz w:val="4"/>
                <w:szCs w:val="4"/>
              </w:rPr>
            </w:pPr>
            <w:r>
              <w:rPr>
                <w:sz w:val="4"/>
                <w:szCs w:val="4"/>
              </w:rPr>
            </w:r>
          </w:p>
        </w:tc>
        <w:tc>
          <w:tcPr>
            <w:tcW w:w="1623" w:type="dxa"/>
            <w:tcBorders/>
            <w:shd w:fill="auto" w:val="clear"/>
            <w:vAlign w:val="center"/>
          </w:tcPr>
          <w:p>
            <w:pPr>
              <w:pStyle w:val="TableContents"/>
              <w:spacing w:before="0" w:after="283"/>
              <w:rPr>
                <w:sz w:val="4"/>
                <w:szCs w:val="4"/>
              </w:rPr>
            </w:pPr>
            <w:r>
              <w:rPr>
                <w:sz w:val="4"/>
                <w:szCs w:val="4"/>
              </w:rPr>
            </w:r>
          </w:p>
        </w:tc>
        <w:tc>
          <w:tcPr>
            <w:tcW w:w="435" w:type="dxa"/>
            <w:tcBorders/>
            <w:shd w:fill="auto" w:val="clear"/>
            <w:vAlign w:val="center"/>
          </w:tcPr>
          <w:p>
            <w:pPr>
              <w:pStyle w:val="TableContents"/>
              <w:spacing w:before="0" w:after="283"/>
              <w:rPr>
                <w:sz w:val="4"/>
                <w:szCs w:val="4"/>
              </w:rPr>
            </w:pPr>
            <w:r>
              <w:rPr>
                <w:sz w:val="4"/>
                <w:szCs w:val="4"/>
              </w:rPr>
            </w:r>
          </w:p>
        </w:tc>
        <w:tc>
          <w:tcPr>
            <w:tcW w:w="435" w:type="dxa"/>
            <w:tcBorders/>
            <w:shd w:fill="auto" w:val="clear"/>
            <w:vAlign w:val="center"/>
          </w:tcPr>
          <w:p>
            <w:pPr>
              <w:pStyle w:val="TableContents"/>
              <w:spacing w:before="0" w:after="283"/>
              <w:rPr>
                <w:sz w:val="4"/>
                <w:szCs w:val="4"/>
              </w:rPr>
            </w:pPr>
            <w:r>
              <w:rPr>
                <w:sz w:val="4"/>
                <w:szCs w:val="4"/>
              </w:rPr>
            </w:r>
          </w:p>
        </w:tc>
        <w:tc>
          <w:tcPr>
            <w:tcW w:w="108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95" w:type="dxa"/>
            <w:tcBorders/>
            <w:shd w:fill="auto" w:val="clear"/>
            <w:vAlign w:val="center"/>
          </w:tcPr>
          <w:p>
            <w:pPr>
              <w:pStyle w:val="TableContents"/>
              <w:spacing w:before="0" w:after="283"/>
              <w:rPr>
                <w:sz w:val="4"/>
                <w:szCs w:val="4"/>
              </w:rPr>
            </w:pPr>
            <w:r>
              <w:rPr>
                <w:sz w:val="4"/>
                <w:szCs w:val="4"/>
              </w:rPr>
            </w:r>
          </w:p>
        </w:tc>
        <w:tc>
          <w:tcPr>
            <w:tcW w:w="395" w:type="dxa"/>
            <w:tcBorders/>
            <w:shd w:fill="auto" w:val="clear"/>
            <w:vAlign w:val="center"/>
          </w:tcPr>
          <w:p>
            <w:pPr>
              <w:pStyle w:val="TableContents"/>
              <w:spacing w:before="0" w:after="283"/>
              <w:rPr>
                <w:sz w:val="4"/>
                <w:szCs w:val="4"/>
              </w:rPr>
            </w:pPr>
            <w:r>
              <w:rPr>
                <w:sz w:val="4"/>
                <w:szCs w:val="4"/>
              </w:rPr>
            </w:r>
          </w:p>
        </w:tc>
        <w:tc>
          <w:tcPr>
            <w:tcW w:w="98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334" w:type="dxa"/>
            <w:tcBorders/>
            <w:shd w:fill="auto" w:val="clear"/>
            <w:vAlign w:val="center"/>
          </w:tcPr>
          <w:p>
            <w:pPr>
              <w:pStyle w:val="TableContents"/>
              <w:spacing w:before="0" w:after="283"/>
              <w:rPr>
                <w:sz w:val="4"/>
                <w:szCs w:val="4"/>
              </w:rPr>
            </w:pPr>
            <w:r>
              <w:rPr>
                <w:sz w:val="4"/>
                <w:szCs w:val="4"/>
              </w:rPr>
            </w:r>
          </w:p>
        </w:tc>
      </w:tr>
      <w:tr>
        <w:trPr/>
        <w:tc>
          <w:tcPr>
            <w:tcW w:w="50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5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Diamondback Operated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7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Third Party Operated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507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color w:val="000000"/>
                <w:sz w:val="18"/>
              </w:rPr>
              <w:t>Horizontal wells turned to production (first quarter 2023)</w:t>
            </w:r>
            <w:r>
              <w:rPr>
                <w:rFonts w:ascii="Times New Roman;sans-serif" w:hAnsi="Times New Roman;sans-serif"/>
                <w:b/>
                <w:color w:val="000000"/>
                <w:sz w:val="12"/>
              </w:rPr>
              <w:t>(1)</w:t>
            </w:r>
            <w:r>
              <w:rPr>
                <w:rFonts w:ascii="Times New Roman;sans-serif" w:hAnsi="Times New Roman;sans-serif"/>
                <w:b/>
                <w:color w:val="000000"/>
                <w:sz w:val="18"/>
              </w:rPr>
              <w:t>:</w:t>
            </w:r>
          </w:p>
        </w:tc>
        <w:tc>
          <w:tcPr>
            <w:tcW w:w="195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7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0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wells</w:t>
            </w:r>
          </w:p>
        </w:tc>
        <w:tc>
          <w:tcPr>
            <w:tcW w:w="1957"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75"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0"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w:t>
            </w:r>
          </w:p>
        </w:tc>
      </w:tr>
      <w:tr>
        <w:trPr/>
        <w:tc>
          <w:tcPr>
            <w:tcW w:w="50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100% royalty interest wells</w:t>
            </w:r>
          </w:p>
        </w:tc>
        <w:tc>
          <w:tcPr>
            <w:tcW w:w="1957"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75"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0"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w:t>
            </w:r>
          </w:p>
        </w:tc>
      </w:tr>
      <w:tr>
        <w:trPr/>
        <w:tc>
          <w:tcPr>
            <w:tcW w:w="50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Average percent net royalty interest</w:t>
            </w:r>
          </w:p>
        </w:tc>
        <w:tc>
          <w:tcPr>
            <w:tcW w:w="87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6.4 </w:t>
            </w:r>
          </w:p>
        </w:tc>
        <w:tc>
          <w:tcPr>
            <w:tcW w:w="108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98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33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07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5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Horizontal producing well count (as of April 13, 2023):</w:t>
            </w:r>
          </w:p>
        </w:tc>
        <w:tc>
          <w:tcPr>
            <w:tcW w:w="195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wells</w:t>
            </w:r>
          </w:p>
        </w:tc>
        <w:tc>
          <w:tcPr>
            <w:tcW w:w="1957"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75"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3,929</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0"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5,562</w:t>
            </w:r>
          </w:p>
        </w:tc>
      </w:tr>
      <w:tr>
        <w:trPr/>
        <w:tc>
          <w:tcPr>
            <w:tcW w:w="50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100% royalty interest wells</w:t>
            </w:r>
          </w:p>
        </w:tc>
        <w:tc>
          <w:tcPr>
            <w:tcW w:w="1957"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119.4</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75"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0"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182.5</w:t>
            </w:r>
          </w:p>
        </w:tc>
      </w:tr>
      <w:tr>
        <w:trPr/>
        <w:tc>
          <w:tcPr>
            <w:tcW w:w="50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Average percent net royalty interest</w:t>
            </w:r>
          </w:p>
        </w:tc>
        <w:tc>
          <w:tcPr>
            <w:tcW w:w="87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7.3 </w:t>
            </w:r>
          </w:p>
        </w:tc>
        <w:tc>
          <w:tcPr>
            <w:tcW w:w="108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98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33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07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5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7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color w:val="000000"/>
                <w:sz w:val="18"/>
              </w:rPr>
              <w:t>Horizontal active development well count (as of April 13, 2023)</w:t>
            </w:r>
            <w:r>
              <w:rPr>
                <w:rFonts w:ascii="Times New Roman;sans-serif" w:hAnsi="Times New Roman;sans-serif"/>
                <w:b/>
                <w:color w:val="000000"/>
                <w:sz w:val="12"/>
              </w:rPr>
              <w:t>(2)</w:t>
            </w:r>
            <w:r>
              <w:rPr>
                <w:rFonts w:ascii="Times New Roman;sans-serif" w:hAnsi="Times New Roman;sans-serif"/>
                <w:b/>
                <w:color w:val="000000"/>
                <w:sz w:val="18"/>
              </w:rPr>
              <w:t>:</w:t>
            </w:r>
          </w:p>
        </w:tc>
        <w:tc>
          <w:tcPr>
            <w:tcW w:w="195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wells</w:t>
            </w:r>
          </w:p>
        </w:tc>
        <w:tc>
          <w:tcPr>
            <w:tcW w:w="1957"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75"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0"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488</w:t>
            </w:r>
          </w:p>
        </w:tc>
      </w:tr>
      <w:tr>
        <w:trPr/>
        <w:tc>
          <w:tcPr>
            <w:tcW w:w="50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100% royalty interest wells</w:t>
            </w:r>
          </w:p>
        </w:tc>
        <w:tc>
          <w:tcPr>
            <w:tcW w:w="1957"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75"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0"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w:t>
            </w:r>
          </w:p>
        </w:tc>
      </w:tr>
      <w:tr>
        <w:trPr/>
        <w:tc>
          <w:tcPr>
            <w:tcW w:w="50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Average percent net royalty interest</w:t>
            </w:r>
          </w:p>
        </w:tc>
        <w:tc>
          <w:tcPr>
            <w:tcW w:w="87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6.4 </w:t>
            </w:r>
          </w:p>
        </w:tc>
        <w:tc>
          <w:tcPr>
            <w:tcW w:w="108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0.9 </w:t>
            </w:r>
          </w:p>
        </w:tc>
        <w:tc>
          <w:tcPr>
            <w:tcW w:w="98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33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07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5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7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color w:val="000000"/>
                <w:sz w:val="18"/>
              </w:rPr>
              <w:t>Line of sight wells (as of April 13, 2023)</w:t>
            </w:r>
            <w:r>
              <w:rPr>
                <w:rFonts w:ascii="Times New Roman;sans-serif" w:hAnsi="Times New Roman;sans-serif"/>
                <w:b/>
                <w:color w:val="000000"/>
                <w:sz w:val="12"/>
              </w:rPr>
              <w:t>(3)</w:t>
            </w:r>
            <w:r>
              <w:rPr>
                <w:rFonts w:ascii="Times New Roman;sans-serif" w:hAnsi="Times New Roman;sans-serif"/>
                <w:b/>
                <w:color w:val="000000"/>
                <w:sz w:val="18"/>
              </w:rPr>
              <w:t>:</w:t>
            </w:r>
          </w:p>
        </w:tc>
        <w:tc>
          <w:tcPr>
            <w:tcW w:w="195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wells</w:t>
            </w:r>
          </w:p>
        </w:tc>
        <w:tc>
          <w:tcPr>
            <w:tcW w:w="1957"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75"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0"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453</w:t>
            </w:r>
          </w:p>
        </w:tc>
      </w:tr>
      <w:tr>
        <w:trPr/>
        <w:tc>
          <w:tcPr>
            <w:tcW w:w="50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100% royalty interest wells</w:t>
            </w:r>
          </w:p>
        </w:tc>
        <w:tc>
          <w:tcPr>
            <w:tcW w:w="1957"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75"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0"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w:t>
            </w:r>
          </w:p>
        </w:tc>
      </w:tr>
      <w:tr>
        <w:trPr/>
        <w:tc>
          <w:tcPr>
            <w:tcW w:w="50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Average percent net royalty interest</w:t>
            </w:r>
          </w:p>
        </w:tc>
        <w:tc>
          <w:tcPr>
            <w:tcW w:w="87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4.7 </w:t>
            </w:r>
          </w:p>
        </w:tc>
        <w:tc>
          <w:tcPr>
            <w:tcW w:w="108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98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33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lineRule="auto" w:line="276" w:before="0" w:after="0"/>
        <w:ind w:left="0" w:right="0" w:hanging="270"/>
        <w:jc w:val="both"/>
        <w:rPr>
          <w:rFonts w:ascii="Times New Roman;sans-serif" w:hAnsi="Times New Roman;sans-serif"/>
          <w:b w:val="false"/>
          <w:color w:val="000000"/>
          <w:sz w:val="20"/>
        </w:rPr>
      </w:pPr>
      <w:r>
        <w:rPr>
          <w:rFonts w:ascii="Times New Roman;sans-serif" w:hAnsi="Times New Roman;sans-serif"/>
          <w:b w:val="false"/>
          <w:color w:val="000000"/>
          <w:sz w:val="20"/>
        </w:rPr>
        <w:t>(1) Average lateral length of 10,384.</w:t>
      </w:r>
    </w:p>
    <w:p>
      <w:pPr>
        <w:pStyle w:val="TextBody"/>
        <w:spacing w:lineRule="auto" w:line="276" w:before="0" w:after="0"/>
        <w:ind w:left="0" w:right="0" w:hanging="27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(2) The total 488 gross wells currently in the process of active development are those wells that have been spud and are expected to be turned to production within approximately the next six to eight months. </w:t>
      </w:r>
    </w:p>
    <w:p>
      <w:pPr>
        <w:pStyle w:val="TextBody"/>
        <w:spacing w:lineRule="auto" w:line="276" w:before="0" w:after="0"/>
        <w:ind w:left="0" w:right="0" w:hanging="270"/>
        <w:jc w:val="both"/>
        <w:rPr/>
      </w:pPr>
      <w:r>
        <w:rPr>
          <w:rFonts w:ascii="Times New Roman;sans-serif" w:hAnsi="Times New Roman;sans-serif"/>
          <w:b w:val="false"/>
          <w:color w:val="000000"/>
          <w:sz w:val="20"/>
        </w:rPr>
        <w:t>(3) The total 453 gross line-of-sight wells are those that are not currently in the process of active development, but for which we have reason to believe that the</w:t>
      </w:r>
      <w:r>
        <w:rPr>
          <w:rFonts w:ascii="Times New Roman;sans-serif" w:hAnsi="Times New Roman;sans-serif"/>
          <w:b w:val="false"/>
          <w:color w:val="000000"/>
          <w:sz w:val="20"/>
          <w:highlight w:val="white"/>
        </w:rPr>
        <w:t>y will be turned to production within approximately the next 15 to 18 months. The expected timing of these line-of-sight wells is based primarily on permitting by third party operators or Diamondback’s current expected completion schedule. Existing permits or active development of our royalty acreage does not ensure that those wells will be turned to production given th</w:t>
      </w:r>
      <w:r>
        <w:rPr>
          <w:rFonts w:ascii="Times New Roman;sans-serif" w:hAnsi="Times New Roman;sans-serif"/>
          <w:b w:val="false"/>
          <w:color w:val="000000"/>
          <w:sz w:val="20"/>
        </w:rPr>
        <w:t>e volatility in oil prices.</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v:rect>
            </w:pict>
          </mc:Fallback>
        </mc:AlternateContent>
      </w:r>
    </w:p>
    <w:p>
      <w:pPr>
        <w:pStyle w:val="TextBody"/>
        <w:spacing w:lineRule="auto" w:line="288" w:before="0" w:after="0"/>
        <w:rPr/>
      </w:pPr>
      <w:hyperlink w:anchor="i8dd89f0c72444a288e2bb25168f12b04_7">
        <w:r>
          <w:rPr>
            <w:rStyle w:val="InternetLink"/>
            <w:rFonts w:ascii="Times New Roman;sans-serif" w:hAnsi="Times New Roman;sans-serif"/>
            <w:b w:val="false"/>
            <w:color w:val="0000FF"/>
            <w:sz w:val="16"/>
            <w:u w:val="single"/>
          </w:rPr>
          <w:t>Table of Contents</w:t>
        </w:r>
      </w:hyperlink>
    </w:p>
    <w:p>
      <w:pPr>
        <w:pStyle w:val="TextBody"/>
        <w:spacing w:before="0" w:after="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Comparison of the Three Months Ended March 31, 2023 and December 31, 2022</w: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Results of Operations</w:t>
      </w:r>
    </w:p>
    <w:p>
      <w:pPr>
        <w:pStyle w:val="TextBody"/>
        <w:spacing w:before="0" w:after="0"/>
        <w:ind w:left="0" w:right="0" w:firstLine="72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income and expenses for the periods indicated:</w:t>
      </w:r>
    </w:p>
    <w:p>
      <w:pPr>
        <w:pStyle w:val="TextBody"/>
        <w:spacing w:before="0" w:after="0"/>
        <w:ind w:left="0" w:right="0" w:firstLine="720"/>
        <w:jc w:val="both"/>
        <w:rPr/>
      </w:pPr>
      <w:r>
        <w:rPr/>
      </w:r>
    </w:p>
    <w:tbl>
      <w:tblPr>
        <w:tblW w:w="8351" w:type="dxa"/>
        <w:jc w:val="left"/>
        <w:tblInd w:w="0" w:type="dxa"/>
        <w:tblCellMar>
          <w:top w:w="28" w:type="dxa"/>
          <w:left w:w="28" w:type="dxa"/>
          <w:bottom w:w="28" w:type="dxa"/>
          <w:right w:w="28" w:type="dxa"/>
        </w:tblCellMar>
      </w:tblPr>
      <w:tblGrid>
        <w:gridCol w:w="1705"/>
        <w:gridCol w:w="1500"/>
        <w:gridCol w:w="1504"/>
        <w:gridCol w:w="237"/>
        <w:gridCol w:w="930"/>
        <w:gridCol w:w="122"/>
        <w:gridCol w:w="109"/>
        <w:gridCol w:w="109"/>
        <w:gridCol w:w="109"/>
        <w:gridCol w:w="284"/>
        <w:gridCol w:w="1114"/>
        <w:gridCol w:w="147"/>
        <w:gridCol w:w="109"/>
        <w:gridCol w:w="109"/>
        <w:gridCol w:w="109"/>
        <w:gridCol w:w="154"/>
      </w:tblGrid>
      <w:tr>
        <w:trPr/>
        <w:tc>
          <w:tcPr>
            <w:tcW w:w="1705" w:type="dxa"/>
            <w:tcBorders/>
            <w:shd w:fill="auto" w:val="clear"/>
            <w:vAlign w:val="center"/>
          </w:tcPr>
          <w:p>
            <w:pPr>
              <w:pStyle w:val="TableContents"/>
              <w:spacing w:before="0" w:after="283"/>
              <w:rPr>
                <w:sz w:val="4"/>
                <w:szCs w:val="4"/>
              </w:rPr>
            </w:pPr>
            <w:r>
              <w:rPr>
                <w:sz w:val="4"/>
                <w:szCs w:val="4"/>
              </w:rPr>
            </w:r>
          </w:p>
        </w:tc>
        <w:tc>
          <w:tcPr>
            <w:tcW w:w="1500" w:type="dxa"/>
            <w:tcBorders/>
            <w:shd w:fill="auto" w:val="clear"/>
            <w:vAlign w:val="center"/>
          </w:tcPr>
          <w:p>
            <w:pPr>
              <w:pStyle w:val="TableContents"/>
              <w:spacing w:before="0" w:after="283"/>
              <w:rPr>
                <w:sz w:val="4"/>
                <w:szCs w:val="4"/>
              </w:rPr>
            </w:pPr>
            <w:r>
              <w:rPr>
                <w:sz w:val="4"/>
                <w:szCs w:val="4"/>
              </w:rPr>
            </w:r>
          </w:p>
        </w:tc>
        <w:tc>
          <w:tcPr>
            <w:tcW w:w="1504" w:type="dxa"/>
            <w:tcBorders/>
            <w:shd w:fill="auto" w:val="clear"/>
            <w:vAlign w:val="center"/>
          </w:tcPr>
          <w:p>
            <w:pPr>
              <w:pStyle w:val="TableContents"/>
              <w:spacing w:before="0" w:after="283"/>
              <w:rPr>
                <w:sz w:val="4"/>
                <w:szCs w:val="4"/>
              </w:rPr>
            </w:pPr>
            <w:r>
              <w:rPr>
                <w:sz w:val="4"/>
                <w:szCs w:val="4"/>
              </w:rPr>
            </w:r>
          </w:p>
        </w:tc>
        <w:tc>
          <w:tcPr>
            <w:tcW w:w="237" w:type="dxa"/>
            <w:tcBorders/>
            <w:shd w:fill="auto" w:val="clear"/>
            <w:vAlign w:val="center"/>
          </w:tcPr>
          <w:p>
            <w:pPr>
              <w:pStyle w:val="TableContents"/>
              <w:spacing w:before="0" w:after="283"/>
              <w:rPr>
                <w:sz w:val="4"/>
                <w:szCs w:val="4"/>
              </w:rPr>
            </w:pPr>
            <w:r>
              <w:rPr>
                <w:sz w:val="4"/>
                <w:szCs w:val="4"/>
              </w:rPr>
            </w:r>
          </w:p>
        </w:tc>
        <w:tc>
          <w:tcPr>
            <w:tcW w:w="930"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4" w:type="dxa"/>
            <w:tcBorders/>
            <w:shd w:fill="auto" w:val="clear"/>
            <w:vAlign w:val="center"/>
          </w:tcPr>
          <w:p>
            <w:pPr>
              <w:pStyle w:val="TableContents"/>
              <w:spacing w:before="0" w:after="283"/>
              <w:rPr>
                <w:sz w:val="4"/>
                <w:szCs w:val="4"/>
              </w:rPr>
            </w:pPr>
            <w:r>
              <w:rPr>
                <w:sz w:val="4"/>
                <w:szCs w:val="4"/>
              </w:rPr>
            </w:r>
          </w:p>
        </w:tc>
        <w:tc>
          <w:tcPr>
            <w:tcW w:w="1114" w:type="dxa"/>
            <w:tcBorders/>
            <w:shd w:fill="auto" w:val="clear"/>
            <w:vAlign w:val="center"/>
          </w:tcPr>
          <w:p>
            <w:pPr>
              <w:pStyle w:val="TableContents"/>
              <w:spacing w:before="0" w:after="283"/>
              <w:rPr>
                <w:sz w:val="4"/>
                <w:szCs w:val="4"/>
              </w:rPr>
            </w:pPr>
            <w:r>
              <w:rPr>
                <w:sz w:val="4"/>
                <w:szCs w:val="4"/>
              </w:rPr>
            </w:r>
          </w:p>
        </w:tc>
        <w:tc>
          <w:tcPr>
            <w:tcW w:w="14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7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61"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Three Months Ended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47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545"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70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161"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thousands)</w:t>
            </w:r>
          </w:p>
        </w:tc>
        <w:tc>
          <w:tcPr>
            <w:tcW w:w="481" w:type="dxa"/>
            <w:gridSpan w:val="4"/>
            <w:tcBorders/>
            <w:shd w:fill="auto" w:val="clear"/>
          </w:tcPr>
          <w:p>
            <w:pPr>
              <w:pStyle w:val="TableContents"/>
              <w:spacing w:before="0" w:after="283"/>
              <w:rPr>
                <w:sz w:val="4"/>
                <w:szCs w:val="4"/>
              </w:rPr>
            </w:pPr>
            <w:r>
              <w:rPr>
                <w:sz w:val="4"/>
                <w:szCs w:val="4"/>
              </w:rPr>
            </w:r>
          </w:p>
        </w:tc>
      </w:tr>
      <w:tr>
        <w:trPr/>
        <w:tc>
          <w:tcPr>
            <w:tcW w:w="4709" w:type="dxa"/>
            <w:gridSpan w:val="3"/>
            <w:tcBorders/>
            <w:shd w:fill="auto" w:val="clear"/>
            <w:vAlign w:val="center"/>
          </w:tcPr>
          <w:p>
            <w:pPr>
              <w:pStyle w:val="TableContents"/>
              <w:spacing w:before="0" w:after="283"/>
              <w:rPr>
                <w:sz w:val="4"/>
                <w:szCs w:val="4"/>
              </w:rPr>
            </w:pPr>
            <w:r>
              <w:rPr>
                <w:sz w:val="4"/>
                <w:szCs w:val="4"/>
              </w:rPr>
            </w:r>
          </w:p>
        </w:tc>
        <w:tc>
          <w:tcPr>
            <w:tcW w:w="128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4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7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Operating income:</w:t>
            </w:r>
          </w:p>
        </w:tc>
        <w:tc>
          <w:tcPr>
            <w:tcW w:w="128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7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Oil income</w:t>
            </w:r>
          </w:p>
        </w:tc>
        <w:tc>
          <w:tcPr>
            <w:tcW w:w="23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136,619 </w:t>
            </w:r>
          </w:p>
        </w:tc>
        <w:tc>
          <w:tcPr>
            <w:tcW w:w="1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153,101 </w:t>
            </w:r>
          </w:p>
        </w:tc>
        <w:tc>
          <w:tcPr>
            <w:tcW w:w="14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7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Natural gas income</w:t>
            </w:r>
          </w:p>
        </w:tc>
        <w:tc>
          <w:tcPr>
            <w:tcW w:w="11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8,991 </w:t>
            </w:r>
          </w:p>
        </w:tc>
        <w:tc>
          <w:tcPr>
            <w:tcW w:w="1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15,528 </w:t>
            </w:r>
          </w:p>
        </w:tc>
        <w:tc>
          <w:tcPr>
            <w:tcW w:w="14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7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Natural gas liquids income</w:t>
            </w:r>
          </w:p>
        </w:tc>
        <w:tc>
          <w:tcPr>
            <w:tcW w:w="11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15,475 </w:t>
            </w:r>
          </w:p>
        </w:tc>
        <w:tc>
          <w:tcPr>
            <w:tcW w:w="1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17,519 </w:t>
            </w:r>
          </w:p>
        </w:tc>
        <w:tc>
          <w:tcPr>
            <w:tcW w:w="14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7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Royalty income</w:t>
            </w:r>
          </w:p>
        </w:tc>
        <w:tc>
          <w:tcPr>
            <w:tcW w:w="116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161,085 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186,148 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7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bonus income—related party</w:t>
            </w:r>
          </w:p>
        </w:tc>
        <w:tc>
          <w:tcPr>
            <w:tcW w:w="11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7,071 </w:t>
            </w:r>
          </w:p>
        </w:tc>
        <w:tc>
          <w:tcPr>
            <w:tcW w:w="1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16,716 </w:t>
            </w:r>
          </w:p>
        </w:tc>
        <w:tc>
          <w:tcPr>
            <w:tcW w:w="14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7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bonus income—third party</w:t>
            </w:r>
          </w:p>
        </w:tc>
        <w:tc>
          <w:tcPr>
            <w:tcW w:w="11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400 </w:t>
            </w:r>
          </w:p>
        </w:tc>
        <w:tc>
          <w:tcPr>
            <w:tcW w:w="1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567 </w:t>
            </w:r>
          </w:p>
        </w:tc>
        <w:tc>
          <w:tcPr>
            <w:tcW w:w="14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709" w:type="dxa"/>
            <w:gridSpan w:val="3"/>
            <w:tcBorders/>
            <w:shd w:fill="auto" w:val="clear"/>
            <w:vAlign w:val="center"/>
          </w:tcPr>
          <w:p>
            <w:pPr>
              <w:pStyle w:val="TableContents"/>
              <w:spacing w:before="0" w:after="283"/>
              <w:rPr>
                <w:sz w:val="4"/>
                <w:szCs w:val="4"/>
              </w:rPr>
            </w:pPr>
            <w:r>
              <w:rPr>
                <w:sz w:val="4"/>
                <w:szCs w:val="4"/>
              </w:rPr>
            </w:r>
          </w:p>
        </w:tc>
        <w:tc>
          <w:tcPr>
            <w:tcW w:w="128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4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7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operating income</w:t>
            </w:r>
          </w:p>
        </w:tc>
        <w:tc>
          <w:tcPr>
            <w:tcW w:w="11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402 </w:t>
            </w:r>
          </w:p>
        </w:tc>
        <w:tc>
          <w:tcPr>
            <w:tcW w:w="1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194 </w:t>
            </w:r>
          </w:p>
        </w:tc>
        <w:tc>
          <w:tcPr>
            <w:tcW w:w="14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7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income</w:t>
            </w:r>
          </w:p>
        </w:tc>
        <w:tc>
          <w:tcPr>
            <w:tcW w:w="116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168,958 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203,625 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7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Costs and expenses:</w:t>
            </w:r>
          </w:p>
        </w:tc>
        <w:tc>
          <w:tcPr>
            <w:tcW w:w="1289"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5"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7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Production and ad valorem taxes</w:t>
            </w:r>
          </w:p>
        </w:tc>
        <w:tc>
          <w:tcPr>
            <w:tcW w:w="11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12,887 </w:t>
            </w:r>
          </w:p>
        </w:tc>
        <w:tc>
          <w:tcPr>
            <w:tcW w:w="1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10,825 </w:t>
            </w:r>
          </w:p>
        </w:tc>
        <w:tc>
          <w:tcPr>
            <w:tcW w:w="14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709" w:type="dxa"/>
            <w:gridSpan w:val="3"/>
            <w:tcBorders/>
            <w:shd w:fill="auto" w:val="clear"/>
            <w:vAlign w:val="center"/>
          </w:tcPr>
          <w:p>
            <w:pPr>
              <w:pStyle w:val="TableContents"/>
              <w:spacing w:before="0" w:after="283"/>
              <w:rPr>
                <w:sz w:val="4"/>
                <w:szCs w:val="4"/>
              </w:rPr>
            </w:pPr>
            <w:r>
              <w:rPr>
                <w:sz w:val="4"/>
                <w:szCs w:val="4"/>
              </w:rPr>
            </w:r>
          </w:p>
        </w:tc>
        <w:tc>
          <w:tcPr>
            <w:tcW w:w="128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4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7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Depletion</w:t>
            </w:r>
          </w:p>
        </w:tc>
        <w:tc>
          <w:tcPr>
            <w:tcW w:w="11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30,987 </w:t>
            </w:r>
          </w:p>
        </w:tc>
        <w:tc>
          <w:tcPr>
            <w:tcW w:w="1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31,238 </w:t>
            </w:r>
          </w:p>
        </w:tc>
        <w:tc>
          <w:tcPr>
            <w:tcW w:w="14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709" w:type="dxa"/>
            <w:gridSpan w:val="3"/>
            <w:tcBorders/>
            <w:shd w:fill="auto" w:val="clear"/>
            <w:vAlign w:val="center"/>
          </w:tcPr>
          <w:p>
            <w:pPr>
              <w:pStyle w:val="TableContents"/>
              <w:spacing w:before="0" w:after="283"/>
              <w:rPr>
                <w:sz w:val="4"/>
                <w:szCs w:val="4"/>
              </w:rPr>
            </w:pPr>
            <w:r>
              <w:rPr>
                <w:sz w:val="4"/>
                <w:szCs w:val="4"/>
              </w:rPr>
            </w:r>
          </w:p>
        </w:tc>
        <w:tc>
          <w:tcPr>
            <w:tcW w:w="128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4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709" w:type="dxa"/>
            <w:gridSpan w:val="3"/>
            <w:tcBorders/>
            <w:shd w:fill="auto" w:val="clear"/>
            <w:vAlign w:val="center"/>
          </w:tcPr>
          <w:p>
            <w:pPr>
              <w:pStyle w:val="TableContents"/>
              <w:spacing w:before="0" w:after="283"/>
              <w:rPr>
                <w:sz w:val="4"/>
                <w:szCs w:val="4"/>
              </w:rPr>
            </w:pPr>
            <w:r>
              <w:rPr>
                <w:sz w:val="4"/>
                <w:szCs w:val="4"/>
              </w:rPr>
            </w:r>
          </w:p>
        </w:tc>
        <w:tc>
          <w:tcPr>
            <w:tcW w:w="128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4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7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expenses</w:t>
            </w:r>
          </w:p>
        </w:tc>
        <w:tc>
          <w:tcPr>
            <w:tcW w:w="11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2,764 </w:t>
            </w:r>
          </w:p>
        </w:tc>
        <w:tc>
          <w:tcPr>
            <w:tcW w:w="1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2,570 </w:t>
            </w:r>
          </w:p>
        </w:tc>
        <w:tc>
          <w:tcPr>
            <w:tcW w:w="14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709" w:type="dxa"/>
            <w:gridSpan w:val="3"/>
            <w:tcBorders/>
            <w:shd w:fill="auto" w:val="clear"/>
            <w:vAlign w:val="center"/>
          </w:tcPr>
          <w:p>
            <w:pPr>
              <w:pStyle w:val="TableContents"/>
              <w:spacing w:before="0" w:after="283"/>
              <w:rPr>
                <w:sz w:val="4"/>
                <w:szCs w:val="4"/>
              </w:rPr>
            </w:pPr>
            <w:r>
              <w:rPr>
                <w:sz w:val="4"/>
                <w:szCs w:val="4"/>
              </w:rPr>
            </w:r>
          </w:p>
        </w:tc>
        <w:tc>
          <w:tcPr>
            <w:tcW w:w="128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4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7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costs and expenses</w:t>
            </w:r>
          </w:p>
        </w:tc>
        <w:tc>
          <w:tcPr>
            <w:tcW w:w="116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46,638 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8"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44,633 </w:t>
            </w:r>
          </w:p>
        </w:tc>
        <w:tc>
          <w:tcPr>
            <w:tcW w:w="14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7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Income (loss) from operations</w:t>
            </w:r>
          </w:p>
        </w:tc>
        <w:tc>
          <w:tcPr>
            <w:tcW w:w="116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122,320 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158,992 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7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Other income (expense):</w:t>
            </w:r>
          </w:p>
        </w:tc>
        <w:tc>
          <w:tcPr>
            <w:tcW w:w="128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7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11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(9,686)</w:t>
            </w:r>
          </w:p>
        </w:tc>
        <w:tc>
          <w:tcPr>
            <w:tcW w:w="1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(10,251)</w:t>
            </w:r>
          </w:p>
        </w:tc>
        <w:tc>
          <w:tcPr>
            <w:tcW w:w="14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709" w:type="dxa"/>
            <w:gridSpan w:val="3"/>
            <w:tcBorders/>
            <w:shd w:fill="auto" w:val="clear"/>
            <w:vAlign w:val="center"/>
          </w:tcPr>
          <w:p>
            <w:pPr>
              <w:pStyle w:val="TableContents"/>
              <w:spacing w:before="0" w:after="283"/>
              <w:rPr>
                <w:sz w:val="4"/>
                <w:szCs w:val="4"/>
              </w:rPr>
            </w:pPr>
            <w:r>
              <w:rPr>
                <w:sz w:val="4"/>
                <w:szCs w:val="4"/>
              </w:rPr>
            </w:r>
          </w:p>
        </w:tc>
        <w:tc>
          <w:tcPr>
            <w:tcW w:w="128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4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709" w:type="dxa"/>
            <w:gridSpan w:val="3"/>
            <w:tcBorders/>
            <w:shd w:fill="auto" w:val="clear"/>
            <w:vAlign w:val="center"/>
          </w:tcPr>
          <w:p>
            <w:pPr>
              <w:pStyle w:val="TableContents"/>
              <w:spacing w:before="0" w:after="283"/>
              <w:rPr>
                <w:sz w:val="4"/>
                <w:szCs w:val="4"/>
              </w:rPr>
            </w:pPr>
            <w:r>
              <w:rPr>
                <w:sz w:val="4"/>
                <w:szCs w:val="4"/>
              </w:rPr>
            </w:r>
          </w:p>
        </w:tc>
        <w:tc>
          <w:tcPr>
            <w:tcW w:w="128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4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7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(loss) on derivative instruments, net</w:t>
            </w:r>
          </w:p>
        </w:tc>
        <w:tc>
          <w:tcPr>
            <w:tcW w:w="11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(15,103)</w:t>
            </w:r>
          </w:p>
        </w:tc>
        <w:tc>
          <w:tcPr>
            <w:tcW w:w="1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1,228 </w:t>
            </w:r>
          </w:p>
        </w:tc>
        <w:tc>
          <w:tcPr>
            <w:tcW w:w="14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709" w:type="dxa"/>
            <w:gridSpan w:val="3"/>
            <w:tcBorders/>
            <w:shd w:fill="auto" w:val="clear"/>
            <w:vAlign w:val="center"/>
          </w:tcPr>
          <w:p>
            <w:pPr>
              <w:pStyle w:val="TableContents"/>
              <w:spacing w:before="0" w:after="283"/>
              <w:rPr>
                <w:sz w:val="4"/>
                <w:szCs w:val="4"/>
              </w:rPr>
            </w:pPr>
            <w:r>
              <w:rPr>
                <w:sz w:val="4"/>
                <w:szCs w:val="4"/>
              </w:rPr>
            </w:r>
          </w:p>
        </w:tc>
        <w:tc>
          <w:tcPr>
            <w:tcW w:w="128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4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7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net</w:t>
            </w:r>
          </w:p>
        </w:tc>
        <w:tc>
          <w:tcPr>
            <w:tcW w:w="11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141 </w:t>
            </w:r>
          </w:p>
        </w:tc>
        <w:tc>
          <w:tcPr>
            <w:tcW w:w="1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216 </w:t>
            </w:r>
          </w:p>
        </w:tc>
        <w:tc>
          <w:tcPr>
            <w:tcW w:w="14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7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expense, net</w:t>
            </w:r>
          </w:p>
        </w:tc>
        <w:tc>
          <w:tcPr>
            <w:tcW w:w="116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(24,648)</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8"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(8,807)</w:t>
            </w:r>
          </w:p>
        </w:tc>
        <w:tc>
          <w:tcPr>
            <w:tcW w:w="14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7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Income (loss) before income taxes</w:t>
            </w:r>
          </w:p>
        </w:tc>
        <w:tc>
          <w:tcPr>
            <w:tcW w:w="116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97,672 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150,185 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7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(benefit from) income taxes</w:t>
            </w:r>
          </w:p>
        </w:tc>
        <w:tc>
          <w:tcPr>
            <w:tcW w:w="11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9,406 </w:t>
            </w:r>
          </w:p>
        </w:tc>
        <w:tc>
          <w:tcPr>
            <w:tcW w:w="1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4,944 </w:t>
            </w:r>
          </w:p>
        </w:tc>
        <w:tc>
          <w:tcPr>
            <w:tcW w:w="14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7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Net income (loss)</w:t>
            </w:r>
          </w:p>
        </w:tc>
        <w:tc>
          <w:tcPr>
            <w:tcW w:w="116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88,266 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145,241 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7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attributable to non-controlling interest</w:t>
            </w:r>
          </w:p>
        </w:tc>
        <w:tc>
          <w:tcPr>
            <w:tcW w:w="11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54,299 </w:t>
            </w:r>
          </w:p>
        </w:tc>
        <w:tc>
          <w:tcPr>
            <w:tcW w:w="1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123,535 </w:t>
            </w:r>
          </w:p>
        </w:tc>
        <w:tc>
          <w:tcPr>
            <w:tcW w:w="14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7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Net income (loss) attributable to Viper Energy Partners LP</w:t>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33,967 </w:t>
            </w:r>
          </w:p>
        </w:tc>
        <w:tc>
          <w:tcPr>
            <w:tcW w:w="1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21,706 </w:t>
            </w:r>
          </w:p>
        </w:tc>
        <w:tc>
          <w:tcPr>
            <w:tcW w:w="1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ind w:left="0" w:right="0" w:firstLine="720"/>
        <w:jc w:val="both"/>
        <w:rPr/>
      </w:pPr>
      <w:r>
        <w:rPr/>
      </w:r>
    </w:p>
    <w:p>
      <w:pPr>
        <w:pStyle w:val="HorizontalLine"/>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v:rect>
            </w:pict>
          </mc:Fallback>
        </mc:AlternateContent>
      </w:r>
    </w:p>
    <w:p>
      <w:pPr>
        <w:pStyle w:val="TextBody"/>
        <w:spacing w:lineRule="auto" w:line="288" w:before="0" w:after="0"/>
        <w:rPr/>
      </w:pPr>
      <w:hyperlink w:anchor="i8dd89f0c72444a288e2bb25168f12b04_7">
        <w:r>
          <w:rPr>
            <w:rStyle w:val="InternetLink"/>
            <w:rFonts w:ascii="Times New Roman;sans-serif" w:hAnsi="Times New Roman;sans-serif"/>
            <w:b w:val="false"/>
            <w:color w:val="0000FF"/>
            <w:sz w:val="16"/>
            <w:u w:val="single"/>
          </w:rPr>
          <w:t>Table of Contents</w:t>
        </w:r>
      </w:hyperlink>
    </w:p>
    <w:p>
      <w:pPr>
        <w:pStyle w:val="TextBody"/>
        <w:spacing w:before="0" w:after="0"/>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production data, average sales prices and average costs for the periods indicated:</w:t>
      </w:r>
    </w:p>
    <w:p>
      <w:pPr>
        <w:pStyle w:val="TextBody"/>
        <w:spacing w:before="0" w:after="0"/>
        <w:ind w:left="0" w:right="0" w:firstLine="720"/>
        <w:jc w:val="both"/>
        <w:rPr/>
      </w:pPr>
      <w:r>
        <w:rPr/>
      </w:r>
    </w:p>
    <w:tbl>
      <w:tblPr>
        <w:tblW w:w="9103" w:type="dxa"/>
        <w:jc w:val="center"/>
        <w:tblInd w:w="0" w:type="dxa"/>
        <w:tblCellMar>
          <w:top w:w="28" w:type="dxa"/>
          <w:left w:w="28" w:type="dxa"/>
          <w:bottom w:w="28" w:type="dxa"/>
          <w:right w:w="28" w:type="dxa"/>
        </w:tblCellMar>
      </w:tblPr>
      <w:tblGrid>
        <w:gridCol w:w="1975"/>
        <w:gridCol w:w="1741"/>
        <w:gridCol w:w="1744"/>
        <w:gridCol w:w="291"/>
        <w:gridCol w:w="849"/>
        <w:gridCol w:w="150"/>
        <w:gridCol w:w="109"/>
        <w:gridCol w:w="109"/>
        <w:gridCol w:w="109"/>
        <w:gridCol w:w="348"/>
        <w:gridCol w:w="1017"/>
        <w:gridCol w:w="180"/>
        <w:gridCol w:w="109"/>
        <w:gridCol w:w="109"/>
        <w:gridCol w:w="109"/>
        <w:gridCol w:w="154"/>
      </w:tblGrid>
      <w:tr>
        <w:trPr/>
        <w:tc>
          <w:tcPr>
            <w:tcW w:w="1975" w:type="dxa"/>
            <w:tcBorders/>
            <w:shd w:fill="auto" w:val="clear"/>
            <w:vAlign w:val="center"/>
          </w:tcPr>
          <w:p>
            <w:pPr>
              <w:pStyle w:val="TableContents"/>
              <w:spacing w:before="0" w:after="283"/>
              <w:rPr>
                <w:sz w:val="4"/>
                <w:szCs w:val="4"/>
              </w:rPr>
            </w:pPr>
            <w:r>
              <w:rPr>
                <w:sz w:val="4"/>
                <w:szCs w:val="4"/>
              </w:rPr>
            </w:r>
          </w:p>
        </w:tc>
        <w:tc>
          <w:tcPr>
            <w:tcW w:w="1741" w:type="dxa"/>
            <w:tcBorders/>
            <w:shd w:fill="auto" w:val="clear"/>
            <w:vAlign w:val="center"/>
          </w:tcPr>
          <w:p>
            <w:pPr>
              <w:pStyle w:val="TableContents"/>
              <w:spacing w:before="0" w:after="283"/>
              <w:rPr>
                <w:sz w:val="4"/>
                <w:szCs w:val="4"/>
              </w:rPr>
            </w:pPr>
            <w:r>
              <w:rPr>
                <w:sz w:val="4"/>
                <w:szCs w:val="4"/>
              </w:rPr>
            </w:r>
          </w:p>
        </w:tc>
        <w:tc>
          <w:tcPr>
            <w:tcW w:w="1744" w:type="dxa"/>
            <w:tcBorders/>
            <w:shd w:fill="auto" w:val="clear"/>
            <w:vAlign w:val="center"/>
          </w:tcPr>
          <w:p>
            <w:pPr>
              <w:pStyle w:val="TableContents"/>
              <w:spacing w:before="0" w:after="283"/>
              <w:rPr>
                <w:sz w:val="4"/>
                <w:szCs w:val="4"/>
              </w:rPr>
            </w:pPr>
            <w:r>
              <w:rPr>
                <w:sz w:val="4"/>
                <w:szCs w:val="4"/>
              </w:rPr>
            </w:r>
          </w:p>
        </w:tc>
        <w:tc>
          <w:tcPr>
            <w:tcW w:w="291" w:type="dxa"/>
            <w:tcBorders/>
            <w:shd w:fill="auto" w:val="clear"/>
            <w:vAlign w:val="center"/>
          </w:tcPr>
          <w:p>
            <w:pPr>
              <w:pStyle w:val="TableContents"/>
              <w:spacing w:before="0" w:after="283"/>
              <w:rPr>
                <w:sz w:val="4"/>
                <w:szCs w:val="4"/>
              </w:rPr>
            </w:pPr>
            <w:r>
              <w:rPr>
                <w:sz w:val="4"/>
                <w:szCs w:val="4"/>
              </w:rPr>
            </w:r>
          </w:p>
        </w:tc>
        <w:tc>
          <w:tcPr>
            <w:tcW w:w="849"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48" w:type="dxa"/>
            <w:tcBorders/>
            <w:shd w:fill="auto" w:val="clear"/>
            <w:vAlign w:val="center"/>
          </w:tcPr>
          <w:p>
            <w:pPr>
              <w:pStyle w:val="TableContents"/>
              <w:spacing w:before="0" w:after="283"/>
              <w:rPr>
                <w:sz w:val="4"/>
                <w:szCs w:val="4"/>
              </w:rPr>
            </w:pPr>
            <w:r>
              <w:rPr>
                <w:sz w:val="4"/>
                <w:szCs w:val="4"/>
              </w:rPr>
            </w:r>
          </w:p>
        </w:tc>
        <w:tc>
          <w:tcPr>
            <w:tcW w:w="1017"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4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62"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Three Months Ended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54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54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4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Production data:</w:t>
            </w:r>
          </w:p>
        </w:tc>
        <w:tc>
          <w:tcPr>
            <w:tcW w:w="129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4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Oil (MBbls)</w:t>
            </w:r>
          </w:p>
        </w:tc>
        <w:tc>
          <w:tcPr>
            <w:tcW w:w="11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1,810 </w:t>
            </w:r>
          </w:p>
        </w:tc>
        <w:tc>
          <w:tcPr>
            <w:tcW w:w="15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1,838 </w:t>
            </w:r>
          </w:p>
        </w:tc>
        <w:tc>
          <w:tcPr>
            <w:tcW w:w="18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4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Natural gas (MMcf)</w:t>
            </w:r>
          </w:p>
        </w:tc>
        <w:tc>
          <w:tcPr>
            <w:tcW w:w="11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4,224 </w:t>
            </w:r>
          </w:p>
        </w:tc>
        <w:tc>
          <w:tcPr>
            <w:tcW w:w="15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4,155 </w:t>
            </w:r>
          </w:p>
        </w:tc>
        <w:tc>
          <w:tcPr>
            <w:tcW w:w="18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4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Natural gas liquids (MBbls)</w:t>
            </w:r>
          </w:p>
        </w:tc>
        <w:tc>
          <w:tcPr>
            <w:tcW w:w="11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633 </w:t>
            </w:r>
          </w:p>
        </w:tc>
        <w:tc>
          <w:tcPr>
            <w:tcW w:w="15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683 </w:t>
            </w:r>
          </w:p>
        </w:tc>
        <w:tc>
          <w:tcPr>
            <w:tcW w:w="18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46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Combined volumes (MBOE)</w:t>
            </w:r>
            <w:r>
              <w:rPr>
                <w:rFonts w:ascii="Times New Roman;sans-serif" w:hAnsi="Times New Roman;sans-serif"/>
                <w:b w:val="false"/>
                <w:color w:val="000000"/>
                <w:sz w:val="13"/>
              </w:rPr>
              <w:t>(1)</w:t>
            </w:r>
          </w:p>
        </w:tc>
        <w:tc>
          <w:tcPr>
            <w:tcW w:w="11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3,147 </w:t>
            </w:r>
          </w:p>
        </w:tc>
        <w:tc>
          <w:tcPr>
            <w:tcW w:w="15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3,214 </w:t>
            </w:r>
          </w:p>
        </w:tc>
        <w:tc>
          <w:tcPr>
            <w:tcW w:w="18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46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4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Average daily oil volumes (BO/d)</w:t>
            </w:r>
          </w:p>
        </w:tc>
        <w:tc>
          <w:tcPr>
            <w:tcW w:w="11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20,111 </w:t>
            </w:r>
          </w:p>
        </w:tc>
        <w:tc>
          <w:tcPr>
            <w:tcW w:w="15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19,978 </w:t>
            </w:r>
          </w:p>
        </w:tc>
        <w:tc>
          <w:tcPr>
            <w:tcW w:w="18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4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Average daily combined volumes (BOE/d)</w:t>
            </w:r>
          </w:p>
        </w:tc>
        <w:tc>
          <w:tcPr>
            <w:tcW w:w="11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34,967 </w:t>
            </w:r>
          </w:p>
        </w:tc>
        <w:tc>
          <w:tcPr>
            <w:tcW w:w="15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34,935 </w:t>
            </w:r>
          </w:p>
        </w:tc>
        <w:tc>
          <w:tcPr>
            <w:tcW w:w="18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460" w:type="dxa"/>
            <w:gridSpan w:val="3"/>
            <w:tcBorders/>
            <w:shd w:fill="auto" w:val="clear"/>
            <w:vAlign w:val="center"/>
          </w:tcPr>
          <w:p>
            <w:pPr>
              <w:pStyle w:val="TableContents"/>
              <w:spacing w:before="0" w:after="283"/>
              <w:rPr>
                <w:sz w:val="4"/>
                <w:szCs w:val="4"/>
              </w:rPr>
            </w:pPr>
            <w:r>
              <w:rPr>
                <w:sz w:val="4"/>
                <w:szCs w:val="4"/>
              </w:rPr>
            </w:r>
          </w:p>
        </w:tc>
        <w:tc>
          <w:tcPr>
            <w:tcW w:w="129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4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46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4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Average sales prices:</w:t>
            </w:r>
          </w:p>
        </w:tc>
        <w:tc>
          <w:tcPr>
            <w:tcW w:w="129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4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Oil ($/Bbl)</w:t>
            </w:r>
          </w:p>
        </w:tc>
        <w:tc>
          <w:tcPr>
            <w:tcW w:w="29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75.48 </w:t>
            </w:r>
          </w:p>
        </w:tc>
        <w:tc>
          <w:tcPr>
            <w:tcW w:w="15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83.30 </w:t>
            </w:r>
          </w:p>
        </w:tc>
        <w:tc>
          <w:tcPr>
            <w:tcW w:w="18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4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Natural gas ($/Mcf)</w:t>
            </w:r>
          </w:p>
        </w:tc>
        <w:tc>
          <w:tcPr>
            <w:tcW w:w="29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2.13 </w:t>
            </w:r>
          </w:p>
        </w:tc>
        <w:tc>
          <w:tcPr>
            <w:tcW w:w="15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3.74 </w:t>
            </w:r>
          </w:p>
        </w:tc>
        <w:tc>
          <w:tcPr>
            <w:tcW w:w="18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4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Natural gas liquids ($/Bbl)</w:t>
            </w:r>
          </w:p>
        </w:tc>
        <w:tc>
          <w:tcPr>
            <w:tcW w:w="29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24.45 </w:t>
            </w:r>
          </w:p>
        </w:tc>
        <w:tc>
          <w:tcPr>
            <w:tcW w:w="15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25.65 </w:t>
            </w:r>
          </w:p>
        </w:tc>
        <w:tc>
          <w:tcPr>
            <w:tcW w:w="18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46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Combined ($/BOE)</w:t>
            </w:r>
            <w:r>
              <w:rPr>
                <w:rFonts w:ascii="Times New Roman;sans-serif" w:hAnsi="Times New Roman;sans-serif"/>
                <w:b w:val="false"/>
                <w:color w:val="000000"/>
                <w:sz w:val="13"/>
              </w:rPr>
              <w:t>(2)</w:t>
            </w:r>
          </w:p>
        </w:tc>
        <w:tc>
          <w:tcPr>
            <w:tcW w:w="29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51.19 </w:t>
            </w:r>
          </w:p>
        </w:tc>
        <w:tc>
          <w:tcPr>
            <w:tcW w:w="15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57.92 </w:t>
            </w:r>
          </w:p>
        </w:tc>
        <w:tc>
          <w:tcPr>
            <w:tcW w:w="18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46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46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Oil, hedged ($/Bbl)</w:t>
            </w:r>
            <w:r>
              <w:rPr>
                <w:rFonts w:ascii="Times New Roman;sans-serif" w:hAnsi="Times New Roman;sans-serif"/>
                <w:b w:val="false"/>
                <w:color w:val="000000"/>
                <w:sz w:val="13"/>
              </w:rPr>
              <w:t>(3)</w:t>
            </w:r>
          </w:p>
        </w:tc>
        <w:tc>
          <w:tcPr>
            <w:tcW w:w="29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74.30 </w:t>
            </w:r>
          </w:p>
        </w:tc>
        <w:tc>
          <w:tcPr>
            <w:tcW w:w="15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82.71 </w:t>
            </w:r>
          </w:p>
        </w:tc>
        <w:tc>
          <w:tcPr>
            <w:tcW w:w="18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46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Natural gas, hedged ($/Mcf)</w:t>
            </w:r>
            <w:r>
              <w:rPr>
                <w:rFonts w:ascii="Times New Roman;sans-serif" w:hAnsi="Times New Roman;sans-serif"/>
                <w:b w:val="false"/>
                <w:color w:val="000000"/>
                <w:sz w:val="13"/>
              </w:rPr>
              <w:t>(3)</w:t>
            </w:r>
          </w:p>
        </w:tc>
        <w:tc>
          <w:tcPr>
            <w:tcW w:w="29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2.11 </w:t>
            </w:r>
          </w:p>
        </w:tc>
        <w:tc>
          <w:tcPr>
            <w:tcW w:w="15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3.03 </w:t>
            </w:r>
          </w:p>
        </w:tc>
        <w:tc>
          <w:tcPr>
            <w:tcW w:w="18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46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Natural gas liquids ($/Bbl)</w:t>
            </w:r>
            <w:r>
              <w:rPr>
                <w:rFonts w:ascii="Times New Roman;sans-serif" w:hAnsi="Times New Roman;sans-serif"/>
                <w:b w:val="false"/>
                <w:color w:val="000000"/>
                <w:sz w:val="13"/>
              </w:rPr>
              <w:t>(3)</w:t>
            </w:r>
          </w:p>
        </w:tc>
        <w:tc>
          <w:tcPr>
            <w:tcW w:w="29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24.45 </w:t>
            </w:r>
          </w:p>
        </w:tc>
        <w:tc>
          <w:tcPr>
            <w:tcW w:w="15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25.65 </w:t>
            </w:r>
          </w:p>
        </w:tc>
        <w:tc>
          <w:tcPr>
            <w:tcW w:w="18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46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Combined price, hedged ($/BOE)</w:t>
            </w:r>
            <w:r>
              <w:rPr>
                <w:rFonts w:ascii="Times New Roman;sans-serif" w:hAnsi="Times New Roman;sans-serif"/>
                <w:b w:val="false"/>
                <w:color w:val="000000"/>
                <w:sz w:val="13"/>
              </w:rPr>
              <w:t>(3)</w:t>
            </w:r>
          </w:p>
        </w:tc>
        <w:tc>
          <w:tcPr>
            <w:tcW w:w="29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50.48 </w:t>
            </w:r>
          </w:p>
        </w:tc>
        <w:tc>
          <w:tcPr>
            <w:tcW w:w="15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56.66 </w:t>
            </w:r>
          </w:p>
        </w:tc>
        <w:tc>
          <w:tcPr>
            <w:tcW w:w="18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46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4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Average costs ($/BOE):</w:t>
            </w:r>
          </w:p>
        </w:tc>
        <w:tc>
          <w:tcPr>
            <w:tcW w:w="129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4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Production and ad valorem taxes</w:t>
            </w:r>
          </w:p>
        </w:tc>
        <w:tc>
          <w:tcPr>
            <w:tcW w:w="29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4.10 </w:t>
            </w:r>
          </w:p>
        </w:tc>
        <w:tc>
          <w:tcPr>
            <w:tcW w:w="15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3.37 </w:t>
            </w:r>
          </w:p>
        </w:tc>
        <w:tc>
          <w:tcPr>
            <w:tcW w:w="18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46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General and administrative - cash component</w:t>
            </w:r>
            <w:r>
              <w:rPr>
                <w:rFonts w:ascii="Times New Roman;sans-serif" w:hAnsi="Times New Roman;sans-serif"/>
                <w:b w:val="false"/>
                <w:color w:val="000000"/>
                <w:sz w:val="13"/>
              </w:rPr>
              <w:t>(4)</w:t>
            </w:r>
          </w:p>
        </w:tc>
        <w:tc>
          <w:tcPr>
            <w:tcW w:w="11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0.76 </w:t>
            </w:r>
          </w:p>
        </w:tc>
        <w:tc>
          <w:tcPr>
            <w:tcW w:w="15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0.70 </w:t>
            </w:r>
          </w:p>
        </w:tc>
        <w:tc>
          <w:tcPr>
            <w:tcW w:w="18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4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 - cash</w:t>
            </w:r>
          </w:p>
        </w:tc>
        <w:tc>
          <w:tcPr>
            <w:tcW w:w="29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9"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4.86 </w:t>
            </w:r>
          </w:p>
        </w:tc>
        <w:tc>
          <w:tcPr>
            <w:tcW w:w="15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7"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4.07 </w:t>
            </w:r>
          </w:p>
        </w:tc>
        <w:tc>
          <w:tcPr>
            <w:tcW w:w="18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46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0"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5"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4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 non-cash unit compensation expense</w:t>
            </w:r>
          </w:p>
        </w:tc>
        <w:tc>
          <w:tcPr>
            <w:tcW w:w="29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0.12 </w:t>
            </w:r>
          </w:p>
        </w:tc>
        <w:tc>
          <w:tcPr>
            <w:tcW w:w="15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0.10 </w:t>
            </w:r>
          </w:p>
        </w:tc>
        <w:tc>
          <w:tcPr>
            <w:tcW w:w="18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4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29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3.08 </w:t>
            </w:r>
          </w:p>
        </w:tc>
        <w:tc>
          <w:tcPr>
            <w:tcW w:w="15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3.19 </w:t>
            </w:r>
          </w:p>
        </w:tc>
        <w:tc>
          <w:tcPr>
            <w:tcW w:w="18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4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Depletion</w:t>
            </w:r>
          </w:p>
        </w:tc>
        <w:tc>
          <w:tcPr>
            <w:tcW w:w="29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9.85 </w:t>
            </w:r>
          </w:p>
        </w:tc>
        <w:tc>
          <w:tcPr>
            <w:tcW w:w="15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9.72 </w:t>
            </w:r>
          </w:p>
        </w:tc>
        <w:tc>
          <w:tcPr>
            <w:tcW w:w="18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0" w:after="0"/>
        <w:ind w:left="0" w:right="0" w:hanging="360"/>
        <w:jc w:val="both"/>
        <w:rPr/>
      </w:pPr>
      <w:r>
        <w:rPr>
          <w:rFonts w:ascii="Times New Roman;sans-serif" w:hAnsi="Times New Roman;sans-serif"/>
          <w:b w:val="false"/>
          <w:color w:val="000000"/>
          <w:sz w:val="20"/>
          <w:highlight w:val="white"/>
        </w:rPr>
        <w:t>(1)</w:t>
      </w:r>
      <w:r>
        <w:rPr>
          <w:rFonts w:ascii="Times New Roman;sans-serif" w:hAnsi="Times New Roman;sans-serif"/>
          <w:b w:val="false"/>
          <w:color w:val="000000"/>
          <w:sz w:val="20"/>
        </w:rPr>
        <w:t>Bbl equivalents are calculated using a conversion rate of six Mcf per one Bbl.</w:t>
      </w:r>
    </w:p>
    <w:p>
      <w:pPr>
        <w:pStyle w:val="TextBody"/>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(2)Realized price net of all deducts for gathering, transportation and processing.</w:t>
      </w:r>
    </w:p>
    <w:p>
      <w:pPr>
        <w:pStyle w:val="TextBody"/>
        <w:spacing w:lineRule="auto" w:line="288" w:before="0" w:after="0"/>
        <w:ind w:left="0" w:right="0" w:hanging="360"/>
        <w:jc w:val="both"/>
        <w:rPr/>
      </w:pPr>
      <w:r>
        <w:rPr>
          <w:rFonts w:ascii="Times New Roman;sans-serif" w:hAnsi="Times New Roman;sans-serif"/>
          <w:b w:val="false"/>
          <w:color w:val="000000"/>
          <w:sz w:val="20"/>
          <w:highlight w:val="white"/>
        </w:rPr>
        <w:t>(3)</w:t>
      </w:r>
      <w:r>
        <w:rPr>
          <w:rFonts w:ascii="Times New Roman;sans-serif" w:hAnsi="Times New Roman;sans-serif"/>
          <w:b w:val="false"/>
          <w:color w:val="000000"/>
          <w:sz w:val="20"/>
        </w:rPr>
        <w:t xml:space="preserve">Hedged prices reflect the impact of cash settlements of our matured commodity derivative transactions on our average sales prices. </w:t>
      </w:r>
    </w:p>
    <w:p>
      <w:pPr>
        <w:pStyle w:val="TextBody"/>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(4)Excludes non-cash unit-based compensation expense for the respective periods presented.</w:t>
      </w:r>
    </w:p>
    <w:p>
      <w:pPr>
        <w:pStyle w:val="TextBody"/>
        <w:spacing w:before="0" w:after="0"/>
        <w:jc w:val="both"/>
        <w:rPr/>
      </w:pPr>
      <w:r>
        <w:rPr/>
      </w:r>
    </w:p>
    <w:p>
      <w:pPr>
        <w:pStyle w:val="TextBody"/>
        <w:spacing w:lineRule="auto" w:line="288" w:before="0" w:after="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Royalty Income</w:t>
      </w:r>
    </w:p>
    <w:p>
      <w:pPr>
        <w:pStyle w:val="TextBody"/>
        <w:spacing w:before="0" w:after="0"/>
        <w:ind w:left="0" w:right="0" w:firstLine="72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royalty income is a function of oil, natural gas, and natural gas liquids production volumes sold and average prices received for those volumes. </w:t>
      </w:r>
    </w:p>
    <w:p>
      <w:pPr>
        <w:pStyle w:val="TextBody"/>
        <w:spacing w:before="0" w:after="0"/>
        <w:ind w:left="0" w:right="0" w:firstLine="72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Royalty income decreased $25.1 million during the first quarter of 2023 compared to the fourth quarter of 2022. Changes in average pricing contributed approximately $21.7 million of the total decrease due primarily to lower average oil prices, natural gas prices and to a lesser extent, natural gas liquids prices received for our production in the first quarter of 2023. The remaining decrease of $3.4 million in royalty income is due to a 2% decline in production in the first quarter of 2023 compared to the fourth quarter of 2022. This production decline resulted from divesting our entire position in Eagle Ford Shale in late fourth quarter of 2022 and having two fewer days of production in the first quarter of 2023 compared to the fourth quarter of 2022.</w:t>
      </w:r>
    </w:p>
    <w:p>
      <w:pPr>
        <w:pStyle w:val="TextBody"/>
        <w:spacing w:before="0" w:after="0"/>
        <w:ind w:left="0" w:right="0" w:firstLine="720"/>
        <w:jc w:val="both"/>
        <w:rPr/>
      </w:pPr>
      <w:r>
        <w:rPr/>
      </w:r>
    </w:p>
    <w:p>
      <w:pPr>
        <w:pStyle w:val="HorizontalLine"/>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v:rect>
            </w:pict>
          </mc:Fallback>
        </mc:AlternateContent>
      </w:r>
    </w:p>
    <w:p>
      <w:pPr>
        <w:pStyle w:val="TextBody"/>
        <w:spacing w:lineRule="auto" w:line="288" w:before="0" w:after="0"/>
        <w:rPr/>
      </w:pPr>
      <w:hyperlink w:anchor="i8dd89f0c72444a288e2bb25168f12b04_7">
        <w:r>
          <w:rPr>
            <w:rStyle w:val="InternetLink"/>
            <w:rFonts w:ascii="Times New Roman;sans-serif" w:hAnsi="Times New Roman;sans-serif"/>
            <w:b w:val="false"/>
            <w:color w:val="0000FF"/>
            <w:sz w:val="16"/>
            <w:u w:val="single"/>
          </w:rPr>
          <w:t>Table of Contents</w:t>
        </w:r>
      </w:hyperlink>
    </w:p>
    <w:p>
      <w:pPr>
        <w:pStyle w:val="TextBody"/>
        <w:spacing w:before="0" w:after="0"/>
        <w:rPr/>
      </w:pPr>
      <w:r>
        <w:rPr/>
      </w:r>
    </w:p>
    <w:p>
      <w:pPr>
        <w:pStyle w:val="TextBody"/>
        <w:spacing w:lineRule="auto" w:line="288" w:before="0" w:after="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Lease Bonus Income-Related Party</w:t>
      </w:r>
    </w:p>
    <w:p>
      <w:pPr>
        <w:pStyle w:val="TextBody"/>
        <w:spacing w:before="0" w:after="0"/>
        <w:ind w:left="0" w:right="0" w:firstLine="720"/>
        <w:jc w:val="both"/>
        <w:rPr/>
      </w:pPr>
      <w:r>
        <w:rPr/>
      </w:r>
    </w:p>
    <w:p>
      <w:pPr>
        <w:pStyle w:val="TextBody"/>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Lease bonus income from Diamondback decreased $9.6 million due primarily to receiving payment for one lease in the first quarter of 2023 compared to receiving an additional one-time lease ratification payment of $16.4 million from Diamondback during the fourth quarter of 2022.</w:t>
      </w:r>
    </w:p>
    <w:p>
      <w:pPr>
        <w:pStyle w:val="TextBody"/>
        <w:spacing w:before="0" w:after="0"/>
        <w:ind w:left="0" w:right="0" w:firstLine="720"/>
        <w:jc w:val="both"/>
        <w:rPr/>
      </w:pPr>
      <w:r>
        <w:rPr/>
      </w:r>
    </w:p>
    <w:p>
      <w:pPr>
        <w:pStyle w:val="TextBody"/>
        <w:spacing w:lineRule="auto" w:line="288" w:before="0" w:after="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Production and Ad Valorem Taxes</w:t>
      </w:r>
    </w:p>
    <w:p>
      <w:pPr>
        <w:pStyle w:val="TextBody"/>
        <w:spacing w:before="0" w:after="0"/>
        <w:ind w:left="0" w:right="0" w:firstLine="720"/>
        <w:jc w:val="both"/>
        <w:rPr/>
      </w:pPr>
      <w:r>
        <w:rPr/>
      </w:r>
    </w:p>
    <w:p>
      <w:pPr>
        <w:pStyle w:val="TextBody"/>
        <w:spacing w:lineRule="auto" w:line="288" w:before="0" w:after="0"/>
        <w:ind w:left="0" w:right="0" w:firstLine="720"/>
        <w:jc w:val="both"/>
        <w:rPr/>
      </w:pPr>
      <w:r>
        <w:rPr>
          <w:rFonts w:ascii="Times New Roman;sans-serif" w:hAnsi="Times New Roman;sans-serif"/>
          <w:b w:val="false"/>
          <w:color w:val="000000"/>
          <w:sz w:val="20"/>
        </w:rPr>
        <w:t>The following table presents production and ad valorem taxes</w:t>
      </w:r>
      <w:r>
        <w:rPr>
          <w:color w:val="000000"/>
          <w:highlight w:val="white"/>
        </w:rPr>
        <w:t xml:space="preserve"> </w:t>
      </w:r>
      <w:r>
        <w:rPr>
          <w:rFonts w:ascii="Times New Roman;sans-serif" w:hAnsi="Times New Roman;sans-serif"/>
          <w:b w:val="false"/>
          <w:color w:val="000000"/>
          <w:sz w:val="20"/>
          <w:highlight w:val="white"/>
        </w:rPr>
        <w:t>for the</w:t>
      </w:r>
      <w:r>
        <w:rPr>
          <w:color w:val="000000"/>
        </w:rPr>
        <w:t xml:space="preserve"> </w:t>
      </w:r>
      <w:r>
        <w:rPr>
          <w:rFonts w:ascii="Times New Roman;sans-serif" w:hAnsi="Times New Roman;sans-serif"/>
          <w:b w:val="false"/>
          <w:color w:val="000000"/>
          <w:sz w:val="20"/>
        </w:rPr>
        <w:t>three months ended March 31, 2023 and December 31, 2022</w:t>
      </w:r>
      <w:r>
        <w:rPr>
          <w:rFonts w:ascii="Times New Roman;sans-serif" w:hAnsi="Times New Roman;sans-serif"/>
          <w:b w:val="false"/>
          <w:color w:val="000000"/>
          <w:sz w:val="20"/>
          <w:highlight w:val="white"/>
        </w:rPr>
        <w:t>:</w:t>
      </w:r>
    </w:p>
    <w:p>
      <w:pPr>
        <w:pStyle w:val="TextBody"/>
        <w:spacing w:before="0" w:after="0"/>
        <w:ind w:left="0" w:right="0" w:firstLine="720"/>
        <w:jc w:val="both"/>
        <w:rPr/>
      </w:pPr>
      <w:r>
        <w:rPr/>
      </w:r>
    </w:p>
    <w:tbl>
      <w:tblPr>
        <w:tblW w:w="10205" w:type="dxa"/>
        <w:jc w:val="left"/>
        <w:tblInd w:w="0" w:type="dxa"/>
        <w:tblCellMar>
          <w:top w:w="28" w:type="dxa"/>
          <w:left w:w="28" w:type="dxa"/>
          <w:bottom w:w="28" w:type="dxa"/>
          <w:right w:w="28" w:type="dxa"/>
        </w:tblCellMar>
      </w:tblPr>
      <w:tblGrid>
        <w:gridCol w:w="644"/>
        <w:gridCol w:w="566"/>
        <w:gridCol w:w="567"/>
        <w:gridCol w:w="225"/>
        <w:gridCol w:w="772"/>
        <w:gridCol w:w="116"/>
        <w:gridCol w:w="109"/>
        <w:gridCol w:w="109"/>
        <w:gridCol w:w="109"/>
        <w:gridCol w:w="211"/>
        <w:gridCol w:w="511"/>
        <w:gridCol w:w="109"/>
        <w:gridCol w:w="109"/>
        <w:gridCol w:w="109"/>
        <w:gridCol w:w="109"/>
        <w:gridCol w:w="316"/>
        <w:gridCol w:w="316"/>
        <w:gridCol w:w="790"/>
        <w:gridCol w:w="109"/>
        <w:gridCol w:w="109"/>
        <w:gridCol w:w="109"/>
        <w:gridCol w:w="225"/>
        <w:gridCol w:w="772"/>
        <w:gridCol w:w="116"/>
        <w:gridCol w:w="109"/>
        <w:gridCol w:w="109"/>
        <w:gridCol w:w="109"/>
        <w:gridCol w:w="211"/>
        <w:gridCol w:w="511"/>
        <w:gridCol w:w="109"/>
        <w:gridCol w:w="109"/>
        <w:gridCol w:w="109"/>
        <w:gridCol w:w="109"/>
        <w:gridCol w:w="304"/>
        <w:gridCol w:w="299"/>
        <w:gridCol w:w="880"/>
      </w:tblGrid>
      <w:tr>
        <w:trPr/>
        <w:tc>
          <w:tcPr>
            <w:tcW w:w="644" w:type="dxa"/>
            <w:tcBorders/>
            <w:shd w:fill="auto" w:val="clear"/>
            <w:vAlign w:val="center"/>
          </w:tcPr>
          <w:p>
            <w:pPr>
              <w:pStyle w:val="TableContents"/>
              <w:spacing w:before="0" w:after="283"/>
              <w:rPr>
                <w:sz w:val="4"/>
                <w:szCs w:val="4"/>
              </w:rPr>
            </w:pPr>
            <w:r>
              <w:rPr>
                <w:sz w:val="4"/>
                <w:szCs w:val="4"/>
              </w:rPr>
            </w:r>
          </w:p>
        </w:tc>
        <w:tc>
          <w:tcPr>
            <w:tcW w:w="566" w:type="dxa"/>
            <w:tcBorders/>
            <w:shd w:fill="auto" w:val="clear"/>
            <w:vAlign w:val="center"/>
          </w:tcPr>
          <w:p>
            <w:pPr>
              <w:pStyle w:val="TableContents"/>
              <w:spacing w:before="0" w:after="283"/>
              <w:rPr>
                <w:sz w:val="4"/>
                <w:szCs w:val="4"/>
              </w:rPr>
            </w:pPr>
            <w:r>
              <w:rPr>
                <w:sz w:val="4"/>
                <w:szCs w:val="4"/>
              </w:rPr>
            </w:r>
          </w:p>
        </w:tc>
        <w:tc>
          <w:tcPr>
            <w:tcW w:w="567"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772"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c>
          <w:tcPr>
            <w:tcW w:w="79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772"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4" w:type="dxa"/>
            <w:tcBorders/>
            <w:shd w:fill="auto" w:val="clear"/>
            <w:vAlign w:val="center"/>
          </w:tcPr>
          <w:p>
            <w:pPr>
              <w:pStyle w:val="TableContents"/>
              <w:spacing w:before="0" w:after="283"/>
              <w:rPr>
                <w:sz w:val="4"/>
                <w:szCs w:val="4"/>
              </w:rPr>
            </w:pPr>
            <w:r>
              <w:rPr>
                <w:sz w:val="4"/>
                <w:szCs w:val="4"/>
              </w:rPr>
            </w:r>
          </w:p>
        </w:tc>
        <w:tc>
          <w:tcPr>
            <w:tcW w:w="299" w:type="dxa"/>
            <w:tcBorders/>
            <w:shd w:fill="auto" w:val="clear"/>
            <w:vAlign w:val="center"/>
          </w:tcPr>
          <w:p>
            <w:pPr>
              <w:pStyle w:val="TableContents"/>
              <w:spacing w:before="0" w:after="283"/>
              <w:rPr>
                <w:sz w:val="4"/>
                <w:szCs w:val="4"/>
              </w:rPr>
            </w:pPr>
            <w:r>
              <w:rPr>
                <w:sz w:val="4"/>
                <w:szCs w:val="4"/>
              </w:rPr>
            </w:r>
          </w:p>
        </w:tc>
        <w:tc>
          <w:tcPr>
            <w:tcW w:w="880" w:type="dxa"/>
            <w:tcBorders/>
            <w:shd w:fill="auto" w:val="clear"/>
            <w:vAlign w:val="center"/>
          </w:tcPr>
          <w:p>
            <w:pPr>
              <w:pStyle w:val="TableContents"/>
              <w:spacing w:before="0" w:after="283"/>
              <w:rPr>
                <w:sz w:val="4"/>
                <w:szCs w:val="4"/>
              </w:rPr>
            </w:pPr>
            <w:r>
              <w:rPr>
                <w:sz w:val="4"/>
                <w:szCs w:val="4"/>
              </w:rPr>
            </w:r>
          </w:p>
        </w:tc>
      </w:tr>
      <w:tr>
        <w:trPr/>
        <w:tc>
          <w:tcPr>
            <w:tcW w:w="177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8" w:type="dxa"/>
            <w:gridSpan w:val="3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Three Months Ended </w:t>
            </w:r>
          </w:p>
        </w:tc>
      </w:tr>
      <w:tr>
        <w:trPr/>
        <w:tc>
          <w:tcPr>
            <w:tcW w:w="177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20" w:type="dxa"/>
            <w:gridSpan w:val="15"/>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4081" w:type="dxa"/>
            <w:gridSpan w:val="15"/>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2022</w:t>
            </w:r>
          </w:p>
        </w:tc>
      </w:tr>
      <w:tr>
        <w:trPr/>
        <w:tc>
          <w:tcPr>
            <w:tcW w:w="177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Amount </w:t>
              <w:br/>
              <w:t>(In thousands)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Per BOE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2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Percentage of Royalty Income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Amount </w:t>
              <w:br/>
              <w:t>(In thousands)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Per BOE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8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Percentage of Royalty Income</w:t>
            </w:r>
          </w:p>
        </w:tc>
      </w:tr>
      <w:tr>
        <w:trPr/>
        <w:tc>
          <w:tcPr>
            <w:tcW w:w="177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Production taxes</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8,177 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5.1 </w:t>
            </w:r>
          </w:p>
        </w:tc>
        <w:tc>
          <w:tcPr>
            <w:tcW w:w="79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9,373 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3"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88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77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 valorem taxes</w:t>
            </w:r>
          </w:p>
        </w:tc>
        <w:tc>
          <w:tcPr>
            <w:tcW w:w="9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4,710 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79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1,452 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0.45 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3"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0.8 </w:t>
            </w:r>
          </w:p>
        </w:tc>
        <w:tc>
          <w:tcPr>
            <w:tcW w:w="88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7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production and ad valorem taxes</w:t>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12,887 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8.0 </w:t>
            </w:r>
          </w:p>
        </w:tc>
        <w:tc>
          <w:tcPr>
            <w:tcW w:w="7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10,825 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3"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5.8 </w:t>
            </w:r>
          </w:p>
        </w:tc>
        <w:tc>
          <w:tcPr>
            <w:tcW w:w="8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before="0" w:after="0"/>
        <w:ind w:left="0" w:right="0" w:firstLine="720"/>
        <w:jc w:val="both"/>
        <w:rPr/>
      </w:pPr>
      <w:r>
        <w:rPr/>
      </w:r>
    </w:p>
    <w:p>
      <w:pPr>
        <w:pStyle w:val="TextBody"/>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general, production taxes are directly related to production revenues and are based upon current year commodity prices. Production taxes as a percentage of royalty income for the first quarter of 2023 were consistent with the fourth quarter of 2022. Ad valorem taxes are based, among other factors, on property values driven by prior year commodity prices. The increase in the first quarter of 2023 compared to the fourth quarter of 2022 was primarily due to the fourth quarter of 2022 including $2.9 million in reductions to the full year 2022 accrual for ad valorem taxes to reflect actual tax assessments received. The remaining increase in ad valorem taxes is primarily due to higher valuations assigned to our oil and natural gas interests period over period driven by higher average commodity prices and royalty income in 2022.</w:t>
      </w:r>
    </w:p>
    <w:p>
      <w:pPr>
        <w:pStyle w:val="TextBody"/>
        <w:spacing w:before="0" w:after="0"/>
        <w:ind w:left="0" w:right="0" w:firstLine="720"/>
        <w:jc w:val="both"/>
        <w:rPr/>
      </w:pPr>
      <w:r>
        <w:rPr/>
      </w:r>
    </w:p>
    <w:p>
      <w:pPr>
        <w:pStyle w:val="TextBody"/>
        <w:spacing w:lineRule="auto" w:line="288" w:before="0" w:after="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Derivative Instruments</w:t>
      </w:r>
    </w:p>
    <w:p>
      <w:pPr>
        <w:pStyle w:val="TextBody"/>
        <w:spacing w:before="0" w:after="0"/>
        <w:ind w:left="0" w:right="0" w:firstLine="72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shows the net gain (loss) on derivative instruments and the net cash receipts (payments) on derivatives for the periods presented: </w:t>
      </w:r>
    </w:p>
    <w:tbl>
      <w:tblPr>
        <w:tblW w:w="7271" w:type="dxa"/>
        <w:jc w:val="left"/>
        <w:tblInd w:w="0" w:type="dxa"/>
        <w:tblCellMar>
          <w:top w:w="28" w:type="dxa"/>
          <w:left w:w="28" w:type="dxa"/>
          <w:bottom w:w="28" w:type="dxa"/>
          <w:right w:w="28" w:type="dxa"/>
        </w:tblCellMar>
      </w:tblPr>
      <w:tblGrid>
        <w:gridCol w:w="1314"/>
        <w:gridCol w:w="1154"/>
        <w:gridCol w:w="1161"/>
        <w:gridCol w:w="244"/>
        <w:gridCol w:w="920"/>
        <w:gridCol w:w="126"/>
        <w:gridCol w:w="109"/>
        <w:gridCol w:w="109"/>
        <w:gridCol w:w="109"/>
        <w:gridCol w:w="322"/>
        <w:gridCol w:w="1056"/>
        <w:gridCol w:w="166"/>
        <w:gridCol w:w="109"/>
        <w:gridCol w:w="109"/>
        <w:gridCol w:w="109"/>
        <w:gridCol w:w="154"/>
      </w:tblGrid>
      <w:tr>
        <w:trPr/>
        <w:tc>
          <w:tcPr>
            <w:tcW w:w="1314" w:type="dxa"/>
            <w:tcBorders/>
            <w:shd w:fill="auto" w:val="clear"/>
            <w:vAlign w:val="center"/>
          </w:tcPr>
          <w:p>
            <w:pPr>
              <w:pStyle w:val="TableContents"/>
              <w:spacing w:before="0" w:after="283"/>
              <w:rPr>
                <w:sz w:val="4"/>
                <w:szCs w:val="4"/>
              </w:rPr>
            </w:pPr>
            <w:r>
              <w:rPr>
                <w:sz w:val="4"/>
                <w:szCs w:val="4"/>
              </w:rPr>
            </w:r>
          </w:p>
        </w:tc>
        <w:tc>
          <w:tcPr>
            <w:tcW w:w="1154" w:type="dxa"/>
            <w:tcBorders/>
            <w:shd w:fill="auto" w:val="clear"/>
            <w:vAlign w:val="center"/>
          </w:tcPr>
          <w:p>
            <w:pPr>
              <w:pStyle w:val="TableContents"/>
              <w:spacing w:before="0" w:after="283"/>
              <w:rPr>
                <w:sz w:val="4"/>
                <w:szCs w:val="4"/>
              </w:rPr>
            </w:pPr>
            <w:r>
              <w:rPr>
                <w:sz w:val="4"/>
                <w:szCs w:val="4"/>
              </w:rPr>
            </w:r>
          </w:p>
        </w:tc>
        <w:tc>
          <w:tcPr>
            <w:tcW w:w="1161" w:type="dxa"/>
            <w:tcBorders/>
            <w:shd w:fill="auto" w:val="clear"/>
            <w:vAlign w:val="center"/>
          </w:tcPr>
          <w:p>
            <w:pPr>
              <w:pStyle w:val="TableContents"/>
              <w:spacing w:before="0" w:after="283"/>
              <w:rPr>
                <w:sz w:val="4"/>
                <w:szCs w:val="4"/>
              </w:rPr>
            </w:pPr>
            <w:r>
              <w:rPr>
                <w:sz w:val="4"/>
                <w:szCs w:val="4"/>
              </w:rPr>
            </w:r>
          </w:p>
        </w:tc>
        <w:tc>
          <w:tcPr>
            <w:tcW w:w="244" w:type="dxa"/>
            <w:tcBorders/>
            <w:shd w:fill="auto" w:val="clear"/>
            <w:vAlign w:val="center"/>
          </w:tcPr>
          <w:p>
            <w:pPr>
              <w:pStyle w:val="TableContents"/>
              <w:spacing w:before="0" w:after="283"/>
              <w:rPr>
                <w:sz w:val="4"/>
                <w:szCs w:val="4"/>
              </w:rPr>
            </w:pPr>
            <w:r>
              <w:rPr>
                <w:sz w:val="4"/>
                <w:szCs w:val="4"/>
              </w:rPr>
            </w:r>
          </w:p>
        </w:tc>
        <w:tc>
          <w:tcPr>
            <w:tcW w:w="920"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2" w:type="dxa"/>
            <w:tcBorders/>
            <w:shd w:fill="auto" w:val="clear"/>
            <w:vAlign w:val="center"/>
          </w:tcPr>
          <w:p>
            <w:pPr>
              <w:pStyle w:val="TableContents"/>
              <w:spacing w:before="0" w:after="283"/>
              <w:rPr>
                <w:sz w:val="4"/>
                <w:szCs w:val="4"/>
              </w:rPr>
            </w:pPr>
            <w:r>
              <w:rPr>
                <w:sz w:val="4"/>
                <w:szCs w:val="4"/>
              </w:rPr>
            </w:r>
          </w:p>
        </w:tc>
        <w:tc>
          <w:tcPr>
            <w:tcW w:w="105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6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61"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Three Months Ended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36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544"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6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61"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thousands)</w:t>
            </w:r>
          </w:p>
        </w:tc>
        <w:tc>
          <w:tcPr>
            <w:tcW w:w="481" w:type="dxa"/>
            <w:gridSpan w:val="4"/>
            <w:tcBorders/>
            <w:shd w:fill="auto" w:val="clear"/>
          </w:tcPr>
          <w:p>
            <w:pPr>
              <w:pStyle w:val="TableContents"/>
              <w:spacing w:before="0" w:after="283"/>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(loss) on derivative instruments</w:t>
            </w:r>
          </w:p>
        </w:tc>
        <w:tc>
          <w:tcPr>
            <w:tcW w:w="24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(15,103)</w:t>
            </w:r>
          </w:p>
        </w:tc>
        <w:tc>
          <w:tcPr>
            <w:tcW w:w="1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1,228 </w:t>
            </w:r>
          </w:p>
        </w:tc>
        <w:tc>
          <w:tcPr>
            <w:tcW w:w="1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receipts (payments) on derivatives</w:t>
            </w:r>
          </w:p>
        </w:tc>
        <w:tc>
          <w:tcPr>
            <w:tcW w:w="24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(2,215)</w:t>
            </w:r>
          </w:p>
        </w:tc>
        <w:tc>
          <w:tcPr>
            <w:tcW w:w="1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(4,027)</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629" w:type="dxa"/>
            <w:gridSpan w:val="3"/>
            <w:tcBorders/>
            <w:shd w:fill="auto" w:val="clear"/>
            <w:vAlign w:val="center"/>
          </w:tcPr>
          <w:p>
            <w:pPr>
              <w:pStyle w:val="TableContents"/>
              <w:spacing w:before="0" w:after="283"/>
              <w:rPr>
                <w:sz w:val="4"/>
                <w:szCs w:val="4"/>
              </w:rPr>
            </w:pPr>
            <w:r>
              <w:rPr>
                <w:sz w:val="4"/>
                <w:szCs w:val="4"/>
              </w:rPr>
            </w:r>
          </w:p>
        </w:tc>
        <w:tc>
          <w:tcPr>
            <w:tcW w:w="129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4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629" w:type="dxa"/>
            <w:gridSpan w:val="3"/>
            <w:tcBorders/>
            <w:shd w:fill="auto" w:val="clear"/>
            <w:vAlign w:val="center"/>
          </w:tcPr>
          <w:p>
            <w:pPr>
              <w:pStyle w:val="TableContents"/>
              <w:spacing w:before="0" w:after="283"/>
              <w:rPr>
                <w:sz w:val="4"/>
                <w:szCs w:val="4"/>
              </w:rPr>
            </w:pPr>
            <w:r>
              <w:rPr>
                <w:sz w:val="4"/>
                <w:szCs w:val="4"/>
              </w:rPr>
            </w:r>
          </w:p>
        </w:tc>
        <w:tc>
          <w:tcPr>
            <w:tcW w:w="129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4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ind w:left="0" w:right="0" w:firstLine="720"/>
        <w:jc w:val="both"/>
        <w:rPr/>
      </w:pPr>
      <w:r>
        <w:rPr>
          <w:rFonts w:ascii="Times New Roman;sans-serif" w:hAnsi="Times New Roman;sans-serif"/>
          <w:b w:val="false"/>
          <w:color w:val="000000"/>
          <w:sz w:val="20"/>
        </w:rPr>
        <w:t>We recorded a loss on our derivative instruments for the first quarter of 2023, compared to a gain for the fourth quarter of 2022. This change is primarily due to a decrease in the basis spread on our outstanding natural gas basis swaps at March 31, 2023 compared to December 31, 2022. We are required to recognize all derivative instruments on our balance sheet as either assets or liabilities measured at fair value. See Note 10—</w:t>
      </w:r>
      <w:hyperlink w:anchor="i8dd89f0c72444a288e2bb25168f12b04_67">
        <w:r>
          <w:rPr>
            <w:rStyle w:val="InternetLink"/>
            <w:rFonts w:ascii="Times New Roman;sans-serif" w:hAnsi="Times New Roman;sans-serif"/>
            <w:b w:val="false"/>
            <w:color w:val="0000FF"/>
            <w:sz w:val="20"/>
            <w:u w:val="single"/>
          </w:rPr>
          <w:t>Derivatives</w:t>
        </w:r>
      </w:hyperlink>
      <w:r>
        <w:rPr>
          <w:color w:val="000000"/>
        </w:rPr>
        <w:t xml:space="preserve"> </w:t>
      </w:r>
      <w:r>
        <w:rPr>
          <w:rFonts w:ascii="Times New Roman;sans-serif" w:hAnsi="Times New Roman;sans-serif"/>
          <w:b w:val="false"/>
          <w:color w:val="000000"/>
          <w:sz w:val="20"/>
        </w:rPr>
        <w:t>of the notes to the condensed consolidated financial statements included elsewhere in this report for additional discussion of our open contracts at March 31, 2023.</w:t>
      </w:r>
    </w:p>
    <w:p>
      <w:pPr>
        <w:pStyle w:val="TextBody"/>
        <w:spacing w:before="0" w:after="0"/>
        <w:ind w:left="0" w:right="0" w:firstLine="720"/>
        <w:jc w:val="both"/>
        <w:rPr/>
      </w:pPr>
      <w:r>
        <w:rPr/>
      </w:r>
    </w:p>
    <w:p>
      <w:pPr>
        <w:pStyle w:val="TextBody"/>
        <w:spacing w:lineRule="auto" w:line="288" w:before="0" w:after="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Provision for (Benefit from) Income Taxes</w:t>
      </w:r>
    </w:p>
    <w:p>
      <w:pPr>
        <w:pStyle w:val="TextBody"/>
        <w:spacing w:before="0" w:after="0"/>
        <w:ind w:left="0" w:right="0" w:firstLine="720"/>
        <w:jc w:val="both"/>
        <w:rPr/>
      </w:pPr>
      <w:r>
        <w:rPr/>
      </w:r>
    </w:p>
    <w:p>
      <w:pPr>
        <w:pStyle w:val="TextBody"/>
        <w:spacing w:lineRule="auto" w:line="268" w:before="0" w:after="0"/>
        <w:ind w:left="0" w:right="0" w:firstLine="720"/>
        <w:jc w:val="both"/>
        <w:rPr/>
      </w:pPr>
      <w:r>
        <w:rPr>
          <w:rFonts w:ascii="Times New Roman;sans-serif" w:hAnsi="Times New Roman;sans-serif"/>
          <w:b w:val="false"/>
          <w:color w:val="000000"/>
          <w:sz w:val="20"/>
        </w:rPr>
        <w:t>The $4.5 million increase in income tax expense for the first quarter of 2023 compared to the fourth quarter of 2022 is primarily due to the increase in pre-tax income attributable to the Partnership as a result of the expiration of the special income allocation at December 31, 2022. See Note 9—</w:t>
      </w:r>
      <w:hyperlink w:anchor="i8dd89f0c72444a288e2bb25168f12b04_64">
        <w:r>
          <w:rPr>
            <w:rStyle w:val="InternetLink"/>
            <w:rFonts w:ascii="Times New Roman;sans-serif" w:hAnsi="Times New Roman;sans-serif"/>
            <w:b w:val="false"/>
            <w:color w:val="0000FF"/>
            <w:sz w:val="20"/>
            <w:u w:val="single"/>
          </w:rPr>
          <w:t>Income Taxes</w:t>
        </w:r>
      </w:hyperlink>
      <w:r>
        <w:rPr>
          <w:color w:val="000000"/>
        </w:rPr>
        <w:t xml:space="preserve"> </w:t>
      </w:r>
      <w:r>
        <w:rPr>
          <w:rFonts w:ascii="Times New Roman;sans-serif" w:hAnsi="Times New Roman;sans-serif"/>
          <w:b w:val="false"/>
          <w:color w:val="000000"/>
          <w:sz w:val="20"/>
        </w:rPr>
        <w:t>of the notes to the condensed consolidated financial statements included elsewhere in this report for further details.</w:t>
      </w:r>
    </w:p>
    <w:p>
      <w:pPr>
        <w:pStyle w:val="TextBody"/>
        <w:spacing w:before="0" w:after="0"/>
        <w:jc w:val="both"/>
        <w:rPr/>
      </w:pPr>
      <w:r>
        <w:rPr/>
      </w:r>
    </w:p>
    <w:p>
      <w:pPr>
        <w:pStyle w:val="TextBody"/>
        <w:spacing w:lineRule="auto" w:line="288" w:before="0" w:after="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Net Income (Loss) Attributable to Non-controlling Interest</w:t>
      </w:r>
    </w:p>
    <w:p>
      <w:pPr>
        <w:pStyle w:val="TextBody"/>
        <w:spacing w:before="0" w:after="0"/>
        <w:ind w:left="0" w:right="0" w:firstLine="720"/>
        <w:jc w:val="both"/>
        <w:rPr/>
      </w:pPr>
      <w:r>
        <w:rPr/>
      </w:r>
    </w:p>
    <w:p>
      <w:pPr>
        <w:pStyle w:val="TextBody"/>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$69.2 million decrease in net income attributable to non-controlling interest for the first quarter of 2023 compared to the fourth quarter of 2022 is primarily due to the expiration of the special income allocation whereby special allocations of the Operating Company’s income and gains over losses and deductions (but before depletion) were made to Diamondback through December 31, 2022. </w:t>
      </w:r>
    </w:p>
    <w:p>
      <w:pPr>
        <w:pStyle w:val="TextBody"/>
        <w:spacing w:before="0" w:after="0"/>
        <w:ind w:left="0" w:right="0" w:firstLine="72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v:rect>
            </w:pict>
          </mc:Fallback>
        </mc:AlternateContent>
      </w:r>
    </w:p>
    <w:p>
      <w:pPr>
        <w:pStyle w:val="TextBody"/>
        <w:spacing w:lineRule="auto" w:line="288" w:before="0" w:after="0"/>
        <w:rPr/>
      </w:pPr>
      <w:hyperlink w:anchor="i8dd89f0c72444a288e2bb25168f12b04_7">
        <w:r>
          <w:rPr>
            <w:rStyle w:val="InternetLink"/>
            <w:rFonts w:ascii="Times New Roman;sans-serif" w:hAnsi="Times New Roman;sans-serif"/>
            <w:b w:val="false"/>
            <w:color w:val="0000FF"/>
            <w:sz w:val="16"/>
            <w:u w:val="single"/>
          </w:rPr>
          <w:t>Table of Contents</w:t>
        </w:r>
      </w:hyperlink>
    </w:p>
    <w:p>
      <w:pPr>
        <w:pStyle w:val="TextBody"/>
        <w:spacing w:before="0" w:after="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 xml:space="preserve">Comparison of the Three Months Ended March 31, 2023 and 2022 </w: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 xml:space="preserve">Results of Operations </w:t>
      </w:r>
    </w:p>
    <w:p>
      <w:pPr>
        <w:pStyle w:val="TextBody"/>
        <w:spacing w:before="0" w:after="0"/>
        <w:ind w:left="0" w:right="0" w:firstLine="72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income and expenses for the periods indicated:</w:t>
      </w:r>
    </w:p>
    <w:p>
      <w:pPr>
        <w:pStyle w:val="TextBody"/>
        <w:spacing w:before="0" w:after="0"/>
        <w:ind w:left="0" w:right="0" w:firstLine="720"/>
        <w:jc w:val="both"/>
        <w:rPr/>
      </w:pPr>
      <w:r>
        <w:rPr/>
      </w:r>
    </w:p>
    <w:tbl>
      <w:tblPr>
        <w:tblW w:w="7373" w:type="dxa"/>
        <w:jc w:val="left"/>
        <w:tblInd w:w="0" w:type="dxa"/>
        <w:tblCellMar>
          <w:top w:w="28" w:type="dxa"/>
          <w:left w:w="28" w:type="dxa"/>
          <w:bottom w:w="28" w:type="dxa"/>
          <w:right w:w="28" w:type="dxa"/>
        </w:tblCellMar>
      </w:tblPr>
      <w:tblGrid>
        <w:gridCol w:w="1705"/>
        <w:gridCol w:w="1500"/>
        <w:gridCol w:w="1504"/>
        <w:gridCol w:w="211"/>
        <w:gridCol w:w="826"/>
        <w:gridCol w:w="109"/>
        <w:gridCol w:w="109"/>
        <w:gridCol w:w="109"/>
        <w:gridCol w:w="109"/>
        <w:gridCol w:w="211"/>
        <w:gridCol w:w="826"/>
        <w:gridCol w:w="154"/>
      </w:tblGrid>
      <w:tr>
        <w:trPr/>
        <w:tc>
          <w:tcPr>
            <w:tcW w:w="1705" w:type="dxa"/>
            <w:tcBorders/>
            <w:shd w:fill="auto" w:val="clear"/>
            <w:vAlign w:val="center"/>
          </w:tcPr>
          <w:p>
            <w:pPr>
              <w:pStyle w:val="TableContents"/>
              <w:spacing w:before="0" w:after="283"/>
              <w:rPr>
                <w:sz w:val="4"/>
                <w:szCs w:val="4"/>
              </w:rPr>
            </w:pPr>
            <w:r>
              <w:rPr>
                <w:sz w:val="4"/>
                <w:szCs w:val="4"/>
              </w:rPr>
            </w:r>
          </w:p>
        </w:tc>
        <w:tc>
          <w:tcPr>
            <w:tcW w:w="1500" w:type="dxa"/>
            <w:tcBorders/>
            <w:shd w:fill="auto" w:val="clear"/>
            <w:vAlign w:val="center"/>
          </w:tcPr>
          <w:p>
            <w:pPr>
              <w:pStyle w:val="TableContents"/>
              <w:spacing w:before="0" w:after="283"/>
              <w:rPr>
                <w:sz w:val="4"/>
                <w:szCs w:val="4"/>
              </w:rPr>
            </w:pPr>
            <w:r>
              <w:rPr>
                <w:sz w:val="4"/>
                <w:szCs w:val="4"/>
              </w:rPr>
            </w:r>
          </w:p>
        </w:tc>
        <w:tc>
          <w:tcPr>
            <w:tcW w:w="1504"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7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6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r>
      <w:tr>
        <w:trPr/>
        <w:tc>
          <w:tcPr>
            <w:tcW w:w="47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470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664" w:type="dxa"/>
            <w:gridSpan w:val="9"/>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709"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r>
      <w:tr>
        <w:trPr/>
        <w:tc>
          <w:tcPr>
            <w:tcW w:w="47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Operating income:</w:t>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Oil income</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136,619 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155,051 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Natural gas income</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8,991 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15,190 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Natural gas liquids income</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15,475 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22,848 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Royalty income</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161,085 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193,089 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bonus income—related party</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7,071 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6,280 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bonus income—third party</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09"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r>
      <w:tr>
        <w:trPr/>
        <w:tc>
          <w:tcPr>
            <w:tcW w:w="47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operating income</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income</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168,958 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201,903 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Costs and expenses:</w:t>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7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Production and ad valorem taxes</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12,887 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13,870 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09"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r>
      <w:tr>
        <w:trPr/>
        <w:tc>
          <w:tcPr>
            <w:tcW w:w="47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Depletion</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30,987 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27,411 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09"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r>
      <w:tr>
        <w:trPr/>
        <w:tc>
          <w:tcPr>
            <w:tcW w:w="4709"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r>
      <w:tr>
        <w:trPr/>
        <w:tc>
          <w:tcPr>
            <w:tcW w:w="47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expenses</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09"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r>
      <w:tr>
        <w:trPr/>
        <w:tc>
          <w:tcPr>
            <w:tcW w:w="47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costs and expenses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46,638 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43,234 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Income (loss) from operations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122,320 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158,669 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Other income (expense):</w:t>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(9,686)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(9,645)</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09"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r>
      <w:tr>
        <w:trPr/>
        <w:tc>
          <w:tcPr>
            <w:tcW w:w="4709"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r>
      <w:tr>
        <w:trPr/>
        <w:tc>
          <w:tcPr>
            <w:tcW w:w="47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(loss) on derivative instruments, net</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(15,103)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(18,359)</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09"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r>
      <w:tr>
        <w:trPr/>
        <w:tc>
          <w:tcPr>
            <w:tcW w:w="47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net</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expense, net</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(24,648)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(27,998)</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Income (loss) before income taxes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97,672 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130,671 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(benefit from) income taxes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9,406 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Net income (loss)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88,266 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128,041 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attributable to non-controlling interest</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54,299 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111,436 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Net income (loss) attributable to Viper Energy Partners LP</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33,967 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16,605 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ind w:left="0" w:right="0" w:firstLine="720"/>
        <w:jc w:val="both"/>
        <w:rPr/>
      </w:pPr>
      <w:r>
        <w:rPr/>
      </w:r>
    </w:p>
    <w:p>
      <w:pPr>
        <w:pStyle w:val="HorizontalLine"/>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v:rect>
            </w:pict>
          </mc:Fallback>
        </mc:AlternateContent>
      </w:r>
    </w:p>
    <w:p>
      <w:pPr>
        <w:pStyle w:val="TextBody"/>
        <w:spacing w:lineRule="auto" w:line="288" w:before="0" w:after="0"/>
        <w:rPr/>
      </w:pPr>
      <w:hyperlink w:anchor="i8dd89f0c72444a288e2bb25168f12b04_7">
        <w:r>
          <w:rPr>
            <w:rStyle w:val="InternetLink"/>
            <w:rFonts w:ascii="Times New Roman;sans-serif" w:hAnsi="Times New Roman;sans-serif"/>
            <w:b w:val="false"/>
            <w:color w:val="0000FF"/>
            <w:sz w:val="16"/>
            <w:u w:val="single"/>
          </w:rPr>
          <w:t>Table of Contents</w:t>
        </w:r>
      </w:hyperlink>
    </w:p>
    <w:p>
      <w:pPr>
        <w:pStyle w:val="TextBody"/>
        <w:spacing w:before="0" w:after="0"/>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production data, average sales prices and average costs for the periods indicated:</w:t>
      </w:r>
    </w:p>
    <w:p>
      <w:pPr>
        <w:pStyle w:val="TextBody"/>
        <w:spacing w:before="0" w:after="0"/>
        <w:ind w:left="0" w:right="0" w:firstLine="720"/>
        <w:jc w:val="both"/>
        <w:rPr/>
      </w:pPr>
      <w:r>
        <w:rPr/>
      </w:r>
    </w:p>
    <w:tbl>
      <w:tblPr>
        <w:tblW w:w="8080" w:type="dxa"/>
        <w:jc w:val="center"/>
        <w:tblInd w:w="0" w:type="dxa"/>
        <w:tblCellMar>
          <w:top w:w="28" w:type="dxa"/>
          <w:left w:w="28" w:type="dxa"/>
          <w:bottom w:w="28" w:type="dxa"/>
          <w:right w:w="28" w:type="dxa"/>
        </w:tblCellMar>
      </w:tblPr>
      <w:tblGrid>
        <w:gridCol w:w="1975"/>
        <w:gridCol w:w="1741"/>
        <w:gridCol w:w="1744"/>
        <w:gridCol w:w="246"/>
        <w:gridCol w:w="720"/>
        <w:gridCol w:w="127"/>
        <w:gridCol w:w="127"/>
        <w:gridCol w:w="127"/>
        <w:gridCol w:w="127"/>
        <w:gridCol w:w="246"/>
        <w:gridCol w:w="720"/>
        <w:gridCol w:w="180"/>
      </w:tblGrid>
      <w:tr>
        <w:trPr/>
        <w:tc>
          <w:tcPr>
            <w:tcW w:w="1975" w:type="dxa"/>
            <w:tcBorders/>
            <w:shd w:fill="auto" w:val="clear"/>
            <w:vAlign w:val="center"/>
          </w:tcPr>
          <w:p>
            <w:pPr>
              <w:pStyle w:val="TableContents"/>
              <w:spacing w:before="0" w:after="283"/>
              <w:rPr>
                <w:sz w:val="4"/>
                <w:szCs w:val="4"/>
              </w:rPr>
            </w:pPr>
            <w:r>
              <w:rPr>
                <w:sz w:val="4"/>
                <w:szCs w:val="4"/>
              </w:rPr>
            </w:r>
          </w:p>
        </w:tc>
        <w:tc>
          <w:tcPr>
            <w:tcW w:w="1741" w:type="dxa"/>
            <w:tcBorders/>
            <w:shd w:fill="auto" w:val="clear"/>
            <w:vAlign w:val="center"/>
          </w:tcPr>
          <w:p>
            <w:pPr>
              <w:pStyle w:val="TableContents"/>
              <w:spacing w:before="0" w:after="283"/>
              <w:rPr>
                <w:sz w:val="4"/>
                <w:szCs w:val="4"/>
              </w:rPr>
            </w:pPr>
            <w:r>
              <w:rPr>
                <w:sz w:val="4"/>
                <w:szCs w:val="4"/>
              </w:rPr>
            </w:r>
          </w:p>
        </w:tc>
        <w:tc>
          <w:tcPr>
            <w:tcW w:w="1744" w:type="dxa"/>
            <w:tcBorders/>
            <w:shd w:fill="auto" w:val="clear"/>
            <w:vAlign w:val="center"/>
          </w:tcPr>
          <w:p>
            <w:pPr>
              <w:pStyle w:val="TableContents"/>
              <w:spacing w:before="0" w:after="283"/>
              <w:rPr>
                <w:sz w:val="4"/>
                <w:szCs w:val="4"/>
              </w:rPr>
            </w:pPr>
            <w:r>
              <w:rPr>
                <w:sz w:val="4"/>
                <w:szCs w:val="4"/>
              </w:rPr>
            </w:r>
          </w:p>
        </w:tc>
        <w:tc>
          <w:tcPr>
            <w:tcW w:w="246" w:type="dxa"/>
            <w:tcBorders/>
            <w:shd w:fill="auto" w:val="clear"/>
            <w:vAlign w:val="center"/>
          </w:tcPr>
          <w:p>
            <w:pPr>
              <w:pStyle w:val="TableContents"/>
              <w:spacing w:before="0" w:after="283"/>
              <w:rPr>
                <w:sz w:val="4"/>
                <w:szCs w:val="4"/>
              </w:rPr>
            </w:pPr>
            <w:r>
              <w:rPr>
                <w:sz w:val="4"/>
                <w:szCs w:val="4"/>
              </w:rPr>
            </w:r>
          </w:p>
        </w:tc>
        <w:tc>
          <w:tcPr>
            <w:tcW w:w="720"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246" w:type="dxa"/>
            <w:tcBorders/>
            <w:shd w:fill="auto" w:val="clear"/>
            <w:vAlign w:val="center"/>
          </w:tcPr>
          <w:p>
            <w:pPr>
              <w:pStyle w:val="TableContents"/>
              <w:spacing w:before="0" w:after="283"/>
              <w:rPr>
                <w:sz w:val="4"/>
                <w:szCs w:val="4"/>
              </w:rPr>
            </w:pPr>
            <w:r>
              <w:rPr>
                <w:sz w:val="4"/>
                <w:szCs w:val="4"/>
              </w:rPr>
            </w:r>
          </w:p>
        </w:tc>
        <w:tc>
          <w:tcPr>
            <w:tcW w:w="720"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r>
      <w:tr>
        <w:trPr/>
        <w:tc>
          <w:tcPr>
            <w:tcW w:w="54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20"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r>
      <w:tr>
        <w:trPr/>
        <w:tc>
          <w:tcPr>
            <w:tcW w:w="54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8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54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Production data:</w:t>
            </w:r>
          </w:p>
        </w:tc>
        <w:tc>
          <w:tcPr>
            <w:tcW w:w="1093"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4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Oil (MBbls)</w:t>
            </w:r>
          </w:p>
        </w:tc>
        <w:tc>
          <w:tcPr>
            <w:tcW w:w="9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1,810 </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1,633 </w:t>
            </w:r>
          </w:p>
        </w:tc>
        <w:tc>
          <w:tcPr>
            <w:tcW w:w="18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Natural gas (MMcf)</w:t>
            </w:r>
          </w:p>
        </w:tc>
        <w:tc>
          <w:tcPr>
            <w:tcW w:w="9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4,224 </w:t>
            </w:r>
          </w:p>
        </w:tc>
        <w:tc>
          <w:tcPr>
            <w:tcW w:w="1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3,729 </w:t>
            </w:r>
          </w:p>
        </w:tc>
        <w:tc>
          <w:tcPr>
            <w:tcW w:w="18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Natural gas liquids (MBbls)</w:t>
            </w:r>
          </w:p>
        </w:tc>
        <w:tc>
          <w:tcPr>
            <w:tcW w:w="9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633 </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586 </w:t>
            </w:r>
          </w:p>
        </w:tc>
        <w:tc>
          <w:tcPr>
            <w:tcW w:w="18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6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Combined volumes (MBOE)</w:t>
            </w:r>
            <w:r>
              <w:rPr>
                <w:rFonts w:ascii="Times New Roman;sans-serif" w:hAnsi="Times New Roman;sans-serif"/>
                <w:b w:val="false"/>
                <w:color w:val="000000"/>
                <w:sz w:val="13"/>
              </w:rPr>
              <w:t>(1)</w:t>
            </w:r>
          </w:p>
        </w:tc>
        <w:tc>
          <w:tcPr>
            <w:tcW w:w="9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3,147 </w:t>
            </w:r>
          </w:p>
        </w:tc>
        <w:tc>
          <w:tcPr>
            <w:tcW w:w="1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2,841 </w:t>
            </w:r>
          </w:p>
        </w:tc>
        <w:tc>
          <w:tcPr>
            <w:tcW w:w="18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6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Average daily oil volumes (BO/d)</w:t>
            </w:r>
          </w:p>
        </w:tc>
        <w:tc>
          <w:tcPr>
            <w:tcW w:w="9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20,111 </w:t>
            </w:r>
          </w:p>
        </w:tc>
        <w:tc>
          <w:tcPr>
            <w:tcW w:w="1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18,144 </w:t>
            </w:r>
          </w:p>
        </w:tc>
        <w:tc>
          <w:tcPr>
            <w:tcW w:w="18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Average daily combined volumes (BOE/d)</w:t>
            </w:r>
          </w:p>
        </w:tc>
        <w:tc>
          <w:tcPr>
            <w:tcW w:w="9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34,967 </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31,567 </w:t>
            </w:r>
          </w:p>
        </w:tc>
        <w:tc>
          <w:tcPr>
            <w:tcW w:w="18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60" w:type="dxa"/>
            <w:gridSpan w:val="3"/>
            <w:tcBorders/>
            <w:shd w:fill="auto" w:val="clear"/>
            <w:vAlign w:val="center"/>
          </w:tcPr>
          <w:p>
            <w:pPr>
              <w:pStyle w:val="TableContents"/>
              <w:spacing w:before="0" w:after="283"/>
              <w:rPr>
                <w:sz w:val="4"/>
                <w:szCs w:val="4"/>
              </w:rPr>
            </w:pPr>
            <w:r>
              <w:rPr>
                <w:sz w:val="4"/>
                <w:szCs w:val="4"/>
              </w:rPr>
            </w:r>
          </w:p>
        </w:tc>
        <w:tc>
          <w:tcPr>
            <w:tcW w:w="1093" w:type="dxa"/>
            <w:gridSpan w:val="3"/>
            <w:tcBorders/>
            <w:shd w:fill="auto" w:val="clear"/>
            <w:vAlign w:val="center"/>
          </w:tcPr>
          <w:p>
            <w:pPr>
              <w:pStyle w:val="TableContents"/>
              <w:spacing w:before="0" w:after="283"/>
              <w:rPr>
                <w:sz w:val="4"/>
                <w:szCs w:val="4"/>
              </w:rPr>
            </w:pPr>
            <w:r>
              <w:rPr>
                <w:sz w:val="4"/>
                <w:szCs w:val="4"/>
              </w:rPr>
            </w:r>
          </w:p>
        </w:tc>
        <w:tc>
          <w:tcPr>
            <w:tcW w:w="381"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r>
      <w:tr>
        <w:trPr/>
        <w:tc>
          <w:tcPr>
            <w:tcW w:w="546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Average sales prices:</w:t>
            </w:r>
          </w:p>
        </w:tc>
        <w:tc>
          <w:tcPr>
            <w:tcW w:w="109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Oil ($/Bbl)</w:t>
            </w:r>
          </w:p>
        </w:tc>
        <w:tc>
          <w:tcPr>
            <w:tcW w:w="24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75.48 </w:t>
            </w:r>
          </w:p>
        </w:tc>
        <w:tc>
          <w:tcPr>
            <w:tcW w:w="1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94.95 </w:t>
            </w:r>
          </w:p>
        </w:tc>
        <w:tc>
          <w:tcPr>
            <w:tcW w:w="18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Natural gas ($/Mcf)</w:t>
            </w:r>
          </w:p>
        </w:tc>
        <w:tc>
          <w:tcPr>
            <w:tcW w:w="24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2.13 </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4.07 </w:t>
            </w:r>
          </w:p>
        </w:tc>
        <w:tc>
          <w:tcPr>
            <w:tcW w:w="18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Natural gas liquids ($/Bbl)</w:t>
            </w:r>
          </w:p>
        </w:tc>
        <w:tc>
          <w:tcPr>
            <w:tcW w:w="24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24.45 </w:t>
            </w:r>
          </w:p>
        </w:tc>
        <w:tc>
          <w:tcPr>
            <w:tcW w:w="1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38.99 </w:t>
            </w:r>
          </w:p>
        </w:tc>
        <w:tc>
          <w:tcPr>
            <w:tcW w:w="18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6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Combined ($/BOE)</w:t>
            </w:r>
            <w:r>
              <w:rPr>
                <w:rFonts w:ascii="Times New Roman;sans-serif" w:hAnsi="Times New Roman;sans-serif"/>
                <w:b w:val="false"/>
                <w:color w:val="000000"/>
                <w:sz w:val="13"/>
              </w:rPr>
              <w:t>(2)</w:t>
            </w:r>
          </w:p>
        </w:tc>
        <w:tc>
          <w:tcPr>
            <w:tcW w:w="24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51.19 </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67.97 </w:t>
            </w:r>
          </w:p>
        </w:tc>
        <w:tc>
          <w:tcPr>
            <w:tcW w:w="18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6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6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Oil, hedged ($/Bbl)</w:t>
            </w:r>
            <w:r>
              <w:rPr>
                <w:rFonts w:ascii="Times New Roman;sans-serif" w:hAnsi="Times New Roman;sans-serif"/>
                <w:b w:val="false"/>
                <w:color w:val="000000"/>
                <w:sz w:val="13"/>
              </w:rPr>
              <w:t>(3)</w:t>
            </w:r>
          </w:p>
        </w:tc>
        <w:tc>
          <w:tcPr>
            <w:tcW w:w="24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74.30 </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92.05 </w:t>
            </w:r>
          </w:p>
        </w:tc>
        <w:tc>
          <w:tcPr>
            <w:tcW w:w="18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6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Natural gas, hedged ($/Mcf)</w:t>
            </w:r>
            <w:r>
              <w:rPr>
                <w:rFonts w:ascii="Times New Roman;sans-serif" w:hAnsi="Times New Roman;sans-serif"/>
                <w:b w:val="false"/>
                <w:color w:val="000000"/>
                <w:sz w:val="13"/>
              </w:rPr>
              <w:t>(3)</w:t>
            </w:r>
          </w:p>
        </w:tc>
        <w:tc>
          <w:tcPr>
            <w:tcW w:w="24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2.11 </w:t>
            </w:r>
          </w:p>
        </w:tc>
        <w:tc>
          <w:tcPr>
            <w:tcW w:w="1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3.71 </w:t>
            </w:r>
          </w:p>
        </w:tc>
        <w:tc>
          <w:tcPr>
            <w:tcW w:w="18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6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Natural gas liquids ($/Bbl)</w:t>
            </w:r>
            <w:r>
              <w:rPr>
                <w:rFonts w:ascii="Times New Roman;sans-serif" w:hAnsi="Times New Roman;sans-serif"/>
                <w:b w:val="false"/>
                <w:color w:val="000000"/>
                <w:sz w:val="13"/>
              </w:rPr>
              <w:t>(3)</w:t>
            </w:r>
          </w:p>
        </w:tc>
        <w:tc>
          <w:tcPr>
            <w:tcW w:w="24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24.45 </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38.99 </w:t>
            </w:r>
          </w:p>
        </w:tc>
        <w:tc>
          <w:tcPr>
            <w:tcW w:w="18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6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Combined price, hedged ($/BOE)</w:t>
            </w:r>
            <w:r>
              <w:rPr>
                <w:rFonts w:ascii="Times New Roman;sans-serif" w:hAnsi="Times New Roman;sans-serif"/>
                <w:b w:val="false"/>
                <w:color w:val="000000"/>
                <w:sz w:val="13"/>
              </w:rPr>
              <w:t>(3)</w:t>
            </w:r>
          </w:p>
        </w:tc>
        <w:tc>
          <w:tcPr>
            <w:tcW w:w="24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50.48 </w:t>
            </w:r>
          </w:p>
        </w:tc>
        <w:tc>
          <w:tcPr>
            <w:tcW w:w="1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65.82 </w:t>
            </w:r>
          </w:p>
        </w:tc>
        <w:tc>
          <w:tcPr>
            <w:tcW w:w="18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6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Average costs ($/BOE):</w:t>
            </w:r>
          </w:p>
        </w:tc>
        <w:tc>
          <w:tcPr>
            <w:tcW w:w="109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Production and ad valorem taxes</w:t>
            </w:r>
          </w:p>
        </w:tc>
        <w:tc>
          <w:tcPr>
            <w:tcW w:w="24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4.10 </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4.88 </w:t>
            </w:r>
          </w:p>
        </w:tc>
        <w:tc>
          <w:tcPr>
            <w:tcW w:w="18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6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General and administrative - cash component</w:t>
            </w:r>
            <w:r>
              <w:rPr>
                <w:rFonts w:ascii="Times New Roman;sans-serif" w:hAnsi="Times New Roman;sans-serif"/>
                <w:b w:val="false"/>
                <w:color w:val="000000"/>
                <w:sz w:val="13"/>
              </w:rPr>
              <w:t>(4)</w:t>
            </w:r>
          </w:p>
        </w:tc>
        <w:tc>
          <w:tcPr>
            <w:tcW w:w="9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0.76 </w:t>
            </w:r>
          </w:p>
        </w:tc>
        <w:tc>
          <w:tcPr>
            <w:tcW w:w="1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0.59 </w:t>
            </w:r>
          </w:p>
        </w:tc>
        <w:tc>
          <w:tcPr>
            <w:tcW w:w="18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 - cash</w:t>
            </w:r>
          </w:p>
        </w:tc>
        <w:tc>
          <w:tcPr>
            <w:tcW w:w="24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0"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4.86 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0"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5.47 </w:t>
            </w:r>
          </w:p>
        </w:tc>
        <w:tc>
          <w:tcPr>
            <w:tcW w:w="18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6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3"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4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 non-cash unit compensation expense</w:t>
            </w:r>
          </w:p>
        </w:tc>
        <w:tc>
          <w:tcPr>
            <w:tcW w:w="24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0.12 </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0.10 </w:t>
            </w:r>
          </w:p>
        </w:tc>
        <w:tc>
          <w:tcPr>
            <w:tcW w:w="18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24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3.08 </w:t>
            </w:r>
          </w:p>
        </w:tc>
        <w:tc>
          <w:tcPr>
            <w:tcW w:w="1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3.39 </w:t>
            </w:r>
          </w:p>
        </w:tc>
        <w:tc>
          <w:tcPr>
            <w:tcW w:w="18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Depletion</w:t>
            </w:r>
          </w:p>
        </w:tc>
        <w:tc>
          <w:tcPr>
            <w:tcW w:w="24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9.85 </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9.65 </w:t>
            </w:r>
          </w:p>
        </w:tc>
        <w:tc>
          <w:tcPr>
            <w:tcW w:w="18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ind w:left="0" w:right="0" w:hanging="360"/>
        <w:jc w:val="both"/>
        <w:rPr/>
      </w:pPr>
      <w:r>
        <w:rPr>
          <w:rFonts w:ascii="Times New Roman;sans-serif" w:hAnsi="Times New Roman;sans-serif"/>
          <w:b w:val="false"/>
          <w:color w:val="000000"/>
          <w:sz w:val="20"/>
          <w:highlight w:val="white"/>
        </w:rPr>
        <w:t>(1)</w:t>
      </w:r>
      <w:r>
        <w:rPr>
          <w:rFonts w:ascii="Times New Roman;sans-serif" w:hAnsi="Times New Roman;sans-serif"/>
          <w:b w:val="false"/>
          <w:color w:val="000000"/>
          <w:sz w:val="20"/>
        </w:rPr>
        <w:t>Bbl equivalents are calculated using a conversion rate of six Mcf per one Bbl.</w:t>
      </w:r>
    </w:p>
    <w:p>
      <w:pPr>
        <w:pStyle w:val="TextBody"/>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(2)Realized price net of all deducts for gathering, transportation and processing.</w:t>
      </w:r>
    </w:p>
    <w:p>
      <w:pPr>
        <w:pStyle w:val="TextBody"/>
        <w:spacing w:lineRule="auto" w:line="288" w:before="0" w:after="0"/>
        <w:ind w:left="0" w:right="0" w:hanging="360"/>
        <w:jc w:val="both"/>
        <w:rPr/>
      </w:pPr>
      <w:r>
        <w:rPr>
          <w:rFonts w:ascii="Times New Roman;sans-serif" w:hAnsi="Times New Roman;sans-serif"/>
          <w:b w:val="false"/>
          <w:color w:val="000000"/>
          <w:sz w:val="20"/>
          <w:highlight w:val="white"/>
        </w:rPr>
        <w:t>(3)</w:t>
      </w:r>
      <w:r>
        <w:rPr>
          <w:rFonts w:ascii="Times New Roman;sans-serif" w:hAnsi="Times New Roman;sans-serif"/>
          <w:b w:val="false"/>
          <w:color w:val="000000"/>
          <w:sz w:val="20"/>
        </w:rPr>
        <w:t xml:space="preserve">Hedged prices reflect the impact of cash settlements of our matured commodity derivative transactions on our average sales prices. </w:t>
      </w:r>
    </w:p>
    <w:p>
      <w:pPr>
        <w:pStyle w:val="TextBody"/>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(4)Excludes non-cash unit-based compensation expense for the respective periods presented. </w:t>
      </w:r>
    </w:p>
    <w:p>
      <w:pPr>
        <w:pStyle w:val="TextBody"/>
        <w:spacing w:before="0" w:after="0"/>
        <w:jc w:val="both"/>
        <w:rPr/>
      </w:pPr>
      <w:r>
        <w:rPr/>
      </w:r>
    </w:p>
    <w:p>
      <w:pPr>
        <w:pStyle w:val="TextBody"/>
        <w:spacing w:lineRule="auto" w:line="288" w:before="0" w:after="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Royalty Income</w:t>
      </w:r>
    </w:p>
    <w:p>
      <w:pPr>
        <w:pStyle w:val="TextBody"/>
        <w:spacing w:before="0" w:after="0"/>
        <w:ind w:left="0" w:right="0" w:firstLine="72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royalty income is a function of oil, natural gas, and natural gas liquids production volumes sold and average prices received for those volumes. </w:t>
      </w:r>
    </w:p>
    <w:p>
      <w:pPr>
        <w:pStyle w:val="TextBody"/>
        <w:spacing w:before="0" w:after="0"/>
        <w:ind w:left="0" w:right="0" w:firstLine="72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Royalty income decreased $32.0 million during the three months ended March 31, 2023 compared to the same period in 2022. Changes in average pricing during 2023 contributed to approximately $52.7 million of the total decrease due primarily to lower average oil prices, and to a lesser extent, natural gas and natural gas liquids prices received for our production in 2023. The decrease due to lower pricing was partially offset by $20.7 million in additional royalty income due to an 11% increase in production volumes during the three months ended March 31, 2023 compared to the same period in 2022. This production growth stems from new well additions between periods due to several acquisitions. </w:t>
      </w:r>
    </w:p>
    <w:p>
      <w:pPr>
        <w:pStyle w:val="TextBody"/>
        <w:spacing w:before="0" w:after="0"/>
        <w:ind w:left="0" w:right="0" w:firstLine="720"/>
        <w:jc w:val="both"/>
        <w:rPr/>
      </w:pPr>
      <w:r>
        <w:rPr/>
      </w:r>
    </w:p>
    <w:p>
      <w:pPr>
        <w:pStyle w:val="HorizontalLine"/>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v:rect>
            </w:pict>
          </mc:Fallback>
        </mc:AlternateContent>
      </w:r>
    </w:p>
    <w:p>
      <w:pPr>
        <w:pStyle w:val="TextBody"/>
        <w:spacing w:lineRule="auto" w:line="288" w:before="0" w:after="0"/>
        <w:rPr/>
      </w:pPr>
      <w:hyperlink w:anchor="i8dd89f0c72444a288e2bb25168f12b04_7">
        <w:r>
          <w:rPr>
            <w:rStyle w:val="InternetLink"/>
            <w:rFonts w:ascii="Times New Roman;sans-serif" w:hAnsi="Times New Roman;sans-serif"/>
            <w:b w:val="false"/>
            <w:color w:val="0000FF"/>
            <w:sz w:val="16"/>
            <w:u w:val="single"/>
          </w:rPr>
          <w:t>Table of Contents</w:t>
        </w:r>
      </w:hyperlink>
    </w:p>
    <w:p>
      <w:pPr>
        <w:pStyle w:val="TextBody"/>
        <w:spacing w:before="0" w:after="0"/>
        <w:rPr/>
      </w:pPr>
      <w:r>
        <w:rPr/>
      </w:r>
    </w:p>
    <w:p>
      <w:pPr>
        <w:pStyle w:val="TextBody"/>
        <w:spacing w:lineRule="auto" w:line="288" w:before="0" w:after="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Production and Ad Valorem Taxes</w:t>
      </w:r>
    </w:p>
    <w:p>
      <w:pPr>
        <w:pStyle w:val="TextBody"/>
        <w:spacing w:before="0" w:after="0"/>
        <w:ind w:left="0" w:right="0" w:firstLine="720"/>
        <w:jc w:val="both"/>
        <w:rPr/>
      </w:pPr>
      <w:r>
        <w:rPr/>
      </w:r>
    </w:p>
    <w:p>
      <w:pPr>
        <w:pStyle w:val="TextBody"/>
        <w:spacing w:lineRule="auto" w:line="288" w:before="0" w:after="0"/>
        <w:ind w:left="0" w:right="0" w:firstLine="720"/>
        <w:jc w:val="both"/>
        <w:rPr/>
      </w:pPr>
      <w:r>
        <w:rPr>
          <w:rFonts w:ascii="Times New Roman;sans-serif" w:hAnsi="Times New Roman;sans-serif"/>
          <w:b w:val="false"/>
          <w:color w:val="000000"/>
          <w:sz w:val="20"/>
        </w:rPr>
        <w:t>The following table presents production and ad valorem taxes</w:t>
      </w:r>
      <w:r>
        <w:rPr>
          <w:color w:val="000000"/>
          <w:highlight w:val="white"/>
        </w:rPr>
        <w:t xml:space="preserve"> </w:t>
      </w:r>
      <w:r>
        <w:rPr>
          <w:rFonts w:ascii="Times New Roman;sans-serif" w:hAnsi="Times New Roman;sans-serif"/>
          <w:b w:val="false"/>
          <w:color w:val="000000"/>
          <w:sz w:val="20"/>
          <w:highlight w:val="white"/>
        </w:rPr>
        <w:t>for the</w:t>
      </w:r>
      <w:r>
        <w:rPr>
          <w:color w:val="000000"/>
        </w:rPr>
        <w:t xml:space="preserve"> </w:t>
      </w:r>
      <w:r>
        <w:rPr>
          <w:rFonts w:ascii="Times New Roman;sans-serif" w:hAnsi="Times New Roman;sans-serif"/>
          <w:b w:val="false"/>
          <w:color w:val="000000"/>
          <w:sz w:val="20"/>
        </w:rPr>
        <w:t>three months ended March 31, 2023 and 2022</w:t>
      </w:r>
      <w:r>
        <w:rPr>
          <w:rFonts w:ascii="Times New Roman;sans-serif" w:hAnsi="Times New Roman;sans-serif"/>
          <w:b w:val="false"/>
          <w:color w:val="000000"/>
          <w:sz w:val="20"/>
          <w:highlight w:val="white"/>
        </w:rPr>
        <w:t>:</w:t>
      </w:r>
    </w:p>
    <w:p>
      <w:pPr>
        <w:pStyle w:val="TextBody"/>
        <w:spacing w:before="0" w:after="0"/>
        <w:ind w:left="0" w:right="0" w:firstLine="720"/>
        <w:jc w:val="both"/>
        <w:rPr/>
      </w:pPr>
      <w:r>
        <w:rPr/>
      </w:r>
    </w:p>
    <w:tbl>
      <w:tblPr>
        <w:tblW w:w="10205" w:type="dxa"/>
        <w:jc w:val="left"/>
        <w:tblInd w:w="0" w:type="dxa"/>
        <w:tblCellMar>
          <w:top w:w="28" w:type="dxa"/>
          <w:left w:w="28" w:type="dxa"/>
          <w:bottom w:w="28" w:type="dxa"/>
          <w:right w:w="28" w:type="dxa"/>
        </w:tblCellMar>
      </w:tblPr>
      <w:tblGrid>
        <w:gridCol w:w="644"/>
        <w:gridCol w:w="566"/>
        <w:gridCol w:w="567"/>
        <w:gridCol w:w="225"/>
        <w:gridCol w:w="772"/>
        <w:gridCol w:w="116"/>
        <w:gridCol w:w="109"/>
        <w:gridCol w:w="109"/>
        <w:gridCol w:w="109"/>
        <w:gridCol w:w="211"/>
        <w:gridCol w:w="511"/>
        <w:gridCol w:w="109"/>
        <w:gridCol w:w="109"/>
        <w:gridCol w:w="109"/>
        <w:gridCol w:w="109"/>
        <w:gridCol w:w="316"/>
        <w:gridCol w:w="316"/>
        <w:gridCol w:w="790"/>
        <w:gridCol w:w="109"/>
        <w:gridCol w:w="109"/>
        <w:gridCol w:w="109"/>
        <w:gridCol w:w="225"/>
        <w:gridCol w:w="772"/>
        <w:gridCol w:w="116"/>
        <w:gridCol w:w="109"/>
        <w:gridCol w:w="109"/>
        <w:gridCol w:w="109"/>
        <w:gridCol w:w="211"/>
        <w:gridCol w:w="511"/>
        <w:gridCol w:w="109"/>
        <w:gridCol w:w="109"/>
        <w:gridCol w:w="109"/>
        <w:gridCol w:w="109"/>
        <w:gridCol w:w="304"/>
        <w:gridCol w:w="299"/>
        <w:gridCol w:w="880"/>
      </w:tblGrid>
      <w:tr>
        <w:trPr/>
        <w:tc>
          <w:tcPr>
            <w:tcW w:w="644" w:type="dxa"/>
            <w:tcBorders/>
            <w:shd w:fill="auto" w:val="clear"/>
            <w:vAlign w:val="center"/>
          </w:tcPr>
          <w:p>
            <w:pPr>
              <w:pStyle w:val="TableContents"/>
              <w:spacing w:before="0" w:after="283"/>
              <w:rPr>
                <w:sz w:val="4"/>
                <w:szCs w:val="4"/>
              </w:rPr>
            </w:pPr>
            <w:r>
              <w:rPr>
                <w:sz w:val="4"/>
                <w:szCs w:val="4"/>
              </w:rPr>
            </w:r>
          </w:p>
        </w:tc>
        <w:tc>
          <w:tcPr>
            <w:tcW w:w="566" w:type="dxa"/>
            <w:tcBorders/>
            <w:shd w:fill="auto" w:val="clear"/>
            <w:vAlign w:val="center"/>
          </w:tcPr>
          <w:p>
            <w:pPr>
              <w:pStyle w:val="TableContents"/>
              <w:spacing w:before="0" w:after="283"/>
              <w:rPr>
                <w:sz w:val="4"/>
                <w:szCs w:val="4"/>
              </w:rPr>
            </w:pPr>
            <w:r>
              <w:rPr>
                <w:sz w:val="4"/>
                <w:szCs w:val="4"/>
              </w:rPr>
            </w:r>
          </w:p>
        </w:tc>
        <w:tc>
          <w:tcPr>
            <w:tcW w:w="567"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772"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c>
          <w:tcPr>
            <w:tcW w:w="79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772"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4" w:type="dxa"/>
            <w:tcBorders/>
            <w:shd w:fill="auto" w:val="clear"/>
            <w:vAlign w:val="center"/>
          </w:tcPr>
          <w:p>
            <w:pPr>
              <w:pStyle w:val="TableContents"/>
              <w:spacing w:before="0" w:after="283"/>
              <w:rPr>
                <w:sz w:val="4"/>
                <w:szCs w:val="4"/>
              </w:rPr>
            </w:pPr>
            <w:r>
              <w:rPr>
                <w:sz w:val="4"/>
                <w:szCs w:val="4"/>
              </w:rPr>
            </w:r>
          </w:p>
        </w:tc>
        <w:tc>
          <w:tcPr>
            <w:tcW w:w="299" w:type="dxa"/>
            <w:tcBorders/>
            <w:shd w:fill="auto" w:val="clear"/>
            <w:vAlign w:val="center"/>
          </w:tcPr>
          <w:p>
            <w:pPr>
              <w:pStyle w:val="TableContents"/>
              <w:spacing w:before="0" w:after="283"/>
              <w:rPr>
                <w:sz w:val="4"/>
                <w:szCs w:val="4"/>
              </w:rPr>
            </w:pPr>
            <w:r>
              <w:rPr>
                <w:sz w:val="4"/>
                <w:szCs w:val="4"/>
              </w:rPr>
            </w:r>
          </w:p>
        </w:tc>
        <w:tc>
          <w:tcPr>
            <w:tcW w:w="880" w:type="dxa"/>
            <w:tcBorders/>
            <w:shd w:fill="auto" w:val="clear"/>
            <w:vAlign w:val="center"/>
          </w:tcPr>
          <w:p>
            <w:pPr>
              <w:pStyle w:val="TableContents"/>
              <w:spacing w:before="0" w:after="283"/>
              <w:rPr>
                <w:sz w:val="4"/>
                <w:szCs w:val="4"/>
              </w:rPr>
            </w:pPr>
            <w:r>
              <w:rPr>
                <w:sz w:val="4"/>
                <w:szCs w:val="4"/>
              </w:rPr>
            </w:r>
          </w:p>
        </w:tc>
      </w:tr>
      <w:tr>
        <w:trPr/>
        <w:tc>
          <w:tcPr>
            <w:tcW w:w="177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8" w:type="dxa"/>
            <w:gridSpan w:val="3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r>
      <w:tr>
        <w:trPr/>
        <w:tc>
          <w:tcPr>
            <w:tcW w:w="177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20" w:type="dxa"/>
            <w:gridSpan w:val="15"/>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4081" w:type="dxa"/>
            <w:gridSpan w:val="15"/>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177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Amount </w:t>
              <w:br/>
              <w:t>(In thousands)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Per BOE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2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Percentage of Royalty Income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Amount </w:t>
              <w:br/>
              <w:t>(In thousands)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Per BOE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8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Percentage of Royalty Income</w:t>
            </w:r>
          </w:p>
        </w:tc>
      </w:tr>
      <w:tr>
        <w:trPr/>
        <w:tc>
          <w:tcPr>
            <w:tcW w:w="177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Production taxes</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8,177 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5.1 </w:t>
            </w:r>
          </w:p>
        </w:tc>
        <w:tc>
          <w:tcPr>
            <w:tcW w:w="79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9,870 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3"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5.1 </w:t>
            </w:r>
          </w:p>
        </w:tc>
        <w:tc>
          <w:tcPr>
            <w:tcW w:w="88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77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 valorem taxes</w:t>
            </w:r>
          </w:p>
        </w:tc>
        <w:tc>
          <w:tcPr>
            <w:tcW w:w="9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4,710 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79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4,000 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3"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88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7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production and ad valorem taxes</w:t>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12,887 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8.0 </w:t>
            </w:r>
          </w:p>
        </w:tc>
        <w:tc>
          <w:tcPr>
            <w:tcW w:w="7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13,870 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3"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7.2 </w:t>
            </w:r>
          </w:p>
        </w:tc>
        <w:tc>
          <w:tcPr>
            <w:tcW w:w="8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before="0" w:after="0"/>
        <w:jc w:val="both"/>
        <w:rPr/>
      </w:pPr>
      <w:r>
        <w:rPr/>
      </w:r>
    </w:p>
    <w:p>
      <w:pPr>
        <w:pStyle w:val="TextBody"/>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general, production taxes are directly related to production revenues and are based upon current year commodity prices. Production taxes as a percentage of royalty income for the three months ended March 31, 2023 remained consistent with the same period in 2022. Ad valorem taxes are based, among other factors, on property values driven by prior year commodity prices. The increase in ad valorem taxes is primarily due to higher valuations assigned to our oil and natural gas interests period over period driven by higher average commodity prices in 2022. </w:t>
      </w:r>
    </w:p>
    <w:p>
      <w:pPr>
        <w:pStyle w:val="TextBody"/>
        <w:spacing w:before="0" w:after="0"/>
        <w:ind w:left="0" w:right="0" w:firstLine="720"/>
        <w:jc w:val="both"/>
        <w:rPr/>
      </w:pPr>
      <w:r>
        <w:rPr/>
      </w:r>
    </w:p>
    <w:p>
      <w:pPr>
        <w:pStyle w:val="TextBody"/>
        <w:spacing w:lineRule="auto" w:line="288" w:before="0" w:after="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Depletion</w:t>
      </w:r>
    </w:p>
    <w:p>
      <w:pPr>
        <w:pStyle w:val="TextBody"/>
        <w:spacing w:before="0" w:after="0"/>
        <w:ind w:left="0" w:right="0" w:firstLine="720"/>
        <w:jc w:val="both"/>
        <w:rPr/>
      </w:pPr>
      <w:r>
        <w:rPr/>
      </w:r>
    </w:p>
    <w:p>
      <w:pPr>
        <w:pStyle w:val="TextBody"/>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$3.6 million increase in depletion expense for the three months ended March 31, 2023 compared to the same period in 2022 was due primarily to production growth between the periods. The average depletion rate also increased slightly to $9.85 for the three months ended March 31, 2023 compared to the rate of $9.65 for the same period in 2022 due primarily to higher value leasehold being transferred into the amortization base in the 2023 period.</w:t>
      </w:r>
    </w:p>
    <w:p>
      <w:pPr>
        <w:pStyle w:val="TextBody"/>
        <w:spacing w:before="0" w:after="0"/>
        <w:ind w:left="0" w:right="0" w:firstLine="720"/>
        <w:jc w:val="both"/>
        <w:rPr/>
      </w:pPr>
      <w:r>
        <w:rPr/>
      </w:r>
    </w:p>
    <w:p>
      <w:pPr>
        <w:pStyle w:val="TextBody"/>
        <w:spacing w:lineRule="auto" w:line="288" w:before="0" w:after="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Derivative Instruments</w:t>
      </w:r>
    </w:p>
    <w:p>
      <w:pPr>
        <w:pStyle w:val="TextBody"/>
        <w:spacing w:before="0" w:after="0"/>
        <w:ind w:left="0" w:right="0" w:firstLine="72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shows the net gain (loss) on derivative instruments and the net cash receipts (payments) on derivatives for the periods presented: </w:t>
      </w:r>
    </w:p>
    <w:p>
      <w:pPr>
        <w:pStyle w:val="TextBody"/>
        <w:spacing w:before="0" w:after="0"/>
        <w:ind w:left="0" w:right="0" w:firstLine="720"/>
        <w:jc w:val="both"/>
        <w:rPr/>
      </w:pPr>
      <w:r>
        <w:rPr/>
      </w:r>
    </w:p>
    <w:tbl>
      <w:tblPr>
        <w:tblW w:w="6414" w:type="dxa"/>
        <w:jc w:val="left"/>
        <w:tblInd w:w="0" w:type="dxa"/>
        <w:tblCellMar>
          <w:top w:w="28" w:type="dxa"/>
          <w:left w:w="28" w:type="dxa"/>
          <w:bottom w:w="28" w:type="dxa"/>
          <w:right w:w="28" w:type="dxa"/>
        </w:tblCellMar>
      </w:tblPr>
      <w:tblGrid>
        <w:gridCol w:w="1374"/>
        <w:gridCol w:w="1207"/>
        <w:gridCol w:w="1214"/>
        <w:gridCol w:w="212"/>
        <w:gridCol w:w="802"/>
        <w:gridCol w:w="109"/>
        <w:gridCol w:w="109"/>
        <w:gridCol w:w="109"/>
        <w:gridCol w:w="109"/>
        <w:gridCol w:w="212"/>
        <w:gridCol w:w="802"/>
        <w:gridCol w:w="155"/>
      </w:tblGrid>
      <w:tr>
        <w:trPr/>
        <w:tc>
          <w:tcPr>
            <w:tcW w:w="1374" w:type="dxa"/>
            <w:tcBorders/>
            <w:shd w:fill="auto" w:val="clear"/>
            <w:vAlign w:val="center"/>
          </w:tcPr>
          <w:p>
            <w:pPr>
              <w:pStyle w:val="TableContents"/>
              <w:spacing w:before="0" w:after="283"/>
              <w:rPr>
                <w:sz w:val="4"/>
                <w:szCs w:val="4"/>
              </w:rPr>
            </w:pPr>
            <w:r>
              <w:rPr>
                <w:sz w:val="4"/>
                <w:szCs w:val="4"/>
              </w:rPr>
            </w:r>
          </w:p>
        </w:tc>
        <w:tc>
          <w:tcPr>
            <w:tcW w:w="1207" w:type="dxa"/>
            <w:tcBorders/>
            <w:shd w:fill="auto" w:val="clear"/>
            <w:vAlign w:val="center"/>
          </w:tcPr>
          <w:p>
            <w:pPr>
              <w:pStyle w:val="TableContents"/>
              <w:spacing w:before="0" w:after="283"/>
              <w:rPr>
                <w:sz w:val="4"/>
                <w:szCs w:val="4"/>
              </w:rPr>
            </w:pPr>
            <w:r>
              <w:rPr>
                <w:sz w:val="4"/>
                <w:szCs w:val="4"/>
              </w:rPr>
            </w:r>
          </w:p>
        </w:tc>
        <w:tc>
          <w:tcPr>
            <w:tcW w:w="1214" w:type="dxa"/>
            <w:tcBorders/>
            <w:shd w:fill="auto" w:val="clear"/>
            <w:vAlign w:val="center"/>
          </w:tcPr>
          <w:p>
            <w:pPr>
              <w:pStyle w:val="TableContents"/>
              <w:spacing w:before="0" w:after="283"/>
              <w:rPr>
                <w:sz w:val="4"/>
                <w:szCs w:val="4"/>
              </w:rPr>
            </w:pPr>
            <w:r>
              <w:rPr>
                <w:sz w:val="4"/>
                <w:szCs w:val="4"/>
              </w:rPr>
            </w:r>
          </w:p>
        </w:tc>
        <w:tc>
          <w:tcPr>
            <w:tcW w:w="212" w:type="dxa"/>
            <w:tcBorders/>
            <w:shd w:fill="auto" w:val="clear"/>
            <w:vAlign w:val="center"/>
          </w:tcPr>
          <w:p>
            <w:pPr>
              <w:pStyle w:val="TableContents"/>
              <w:spacing w:before="0" w:after="283"/>
              <w:rPr>
                <w:sz w:val="4"/>
                <w:szCs w:val="4"/>
              </w:rPr>
            </w:pPr>
            <w:r>
              <w:rPr>
                <w:sz w:val="4"/>
                <w:szCs w:val="4"/>
              </w:rPr>
            </w:r>
          </w:p>
        </w:tc>
        <w:tc>
          <w:tcPr>
            <w:tcW w:w="80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2" w:type="dxa"/>
            <w:tcBorders/>
            <w:shd w:fill="auto" w:val="clear"/>
            <w:vAlign w:val="center"/>
          </w:tcPr>
          <w:p>
            <w:pPr>
              <w:pStyle w:val="TableContents"/>
              <w:spacing w:before="0" w:after="283"/>
              <w:rPr>
                <w:sz w:val="4"/>
                <w:szCs w:val="4"/>
              </w:rPr>
            </w:pPr>
            <w:r>
              <w:rPr>
                <w:sz w:val="4"/>
                <w:szCs w:val="4"/>
              </w:rPr>
            </w:r>
          </w:p>
        </w:tc>
        <w:tc>
          <w:tcPr>
            <w:tcW w:w="802"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37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1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r>
      <w:tr>
        <w:trPr/>
        <w:tc>
          <w:tcPr>
            <w:tcW w:w="37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69"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37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19"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thousands)</w:t>
            </w:r>
          </w:p>
        </w:tc>
      </w:tr>
      <w:tr>
        <w:trPr/>
        <w:tc>
          <w:tcPr>
            <w:tcW w:w="37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(loss) on derivative instruments</w:t>
            </w:r>
          </w:p>
        </w:tc>
        <w:tc>
          <w:tcPr>
            <w:tcW w:w="21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(15,103)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(18,359)</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9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Net cash receipts (payments) on derivatives</w:t>
            </w:r>
            <w:r>
              <w:rPr>
                <w:rFonts w:ascii="Times New Roman;sans-serif" w:hAnsi="Times New Roman;sans-serif"/>
                <w:b w:val="false"/>
                <w:color w:val="000000"/>
                <w:sz w:val="13"/>
              </w:rPr>
              <w:t>(1)</w:t>
            </w:r>
          </w:p>
        </w:tc>
        <w:tc>
          <w:tcPr>
            <w:tcW w:w="21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(10,264)</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95" w:type="dxa"/>
            <w:gridSpan w:val="3"/>
            <w:tcBorders/>
            <w:shd w:fill="auto" w:val="clear"/>
            <w:vAlign w:val="center"/>
          </w:tcPr>
          <w:p>
            <w:pPr>
              <w:pStyle w:val="TableContents"/>
              <w:spacing w:before="0" w:after="283"/>
              <w:rPr>
                <w:sz w:val="4"/>
                <w:szCs w:val="4"/>
              </w:rPr>
            </w:pPr>
            <w:r>
              <w:rPr>
                <w:sz w:val="4"/>
                <w:szCs w:val="4"/>
              </w:rPr>
            </w:r>
          </w:p>
        </w:tc>
        <w:tc>
          <w:tcPr>
            <w:tcW w:w="112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69" w:type="dxa"/>
            <w:gridSpan w:val="3"/>
            <w:tcBorders/>
            <w:shd w:fill="auto" w:val="clear"/>
            <w:vAlign w:val="center"/>
          </w:tcPr>
          <w:p>
            <w:pPr>
              <w:pStyle w:val="TableContents"/>
              <w:spacing w:before="0" w:after="283"/>
              <w:rPr>
                <w:sz w:val="4"/>
                <w:szCs w:val="4"/>
              </w:rPr>
            </w:pPr>
            <w:r>
              <w:rPr>
                <w:sz w:val="4"/>
                <w:szCs w:val="4"/>
              </w:rPr>
            </w:r>
          </w:p>
        </w:tc>
      </w:tr>
      <w:tr>
        <w:trPr/>
        <w:tc>
          <w:tcPr>
            <w:tcW w:w="3795" w:type="dxa"/>
            <w:gridSpan w:val="3"/>
            <w:tcBorders/>
            <w:shd w:fill="auto" w:val="clear"/>
            <w:vAlign w:val="center"/>
          </w:tcPr>
          <w:p>
            <w:pPr>
              <w:pStyle w:val="TableContents"/>
              <w:spacing w:before="0" w:after="283"/>
              <w:rPr>
                <w:sz w:val="4"/>
                <w:szCs w:val="4"/>
              </w:rPr>
            </w:pPr>
            <w:r>
              <w:rPr>
                <w:sz w:val="4"/>
                <w:szCs w:val="4"/>
              </w:rPr>
            </w:r>
          </w:p>
        </w:tc>
        <w:tc>
          <w:tcPr>
            <w:tcW w:w="112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69" w:type="dxa"/>
            <w:gridSpan w:val="3"/>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(1)The three months ended March 31, 2022 includes cash paid on commodity contracts terminated prior to their contractual maturity of $4.2 million. </w:t>
      </w:r>
    </w:p>
    <w:p>
      <w:pPr>
        <w:pStyle w:val="TextBody"/>
        <w:spacing w:before="0" w:after="0"/>
        <w:ind w:left="0" w:right="0" w:firstLine="720"/>
        <w:jc w:val="both"/>
        <w:rPr/>
      </w:pPr>
      <w:r>
        <w:rPr/>
      </w:r>
    </w:p>
    <w:p>
      <w:pPr>
        <w:pStyle w:val="TextBody"/>
        <w:spacing w:lineRule="auto" w:line="288" w:before="0" w:after="0"/>
        <w:ind w:left="0" w:right="0" w:firstLine="720"/>
        <w:jc w:val="both"/>
        <w:rPr/>
      </w:pPr>
      <w:r>
        <w:rPr>
          <w:rFonts w:ascii="Times New Roman;sans-serif" w:hAnsi="Times New Roman;sans-serif"/>
          <w:b w:val="false"/>
          <w:color w:val="000000"/>
          <w:sz w:val="20"/>
        </w:rPr>
        <w:t>We recorded losses on our derivative instruments for the three months ended March 31, 2023 and 2022 primarily due to market prices being higher than the strike prices on our open derivative contracts. We are required to recognize all derivative instruments on our balance sheet as either assets or liabilities measured at fair value. See Note 10—</w:t>
      </w:r>
      <w:hyperlink w:anchor="i8dd89f0c72444a288e2bb25168f12b04_67">
        <w:r>
          <w:rPr>
            <w:rStyle w:val="InternetLink"/>
            <w:rFonts w:ascii="Times New Roman;sans-serif" w:hAnsi="Times New Roman;sans-serif"/>
            <w:b w:val="false"/>
            <w:color w:val="0000FF"/>
            <w:sz w:val="20"/>
            <w:u w:val="single"/>
          </w:rPr>
          <w:t>Derivatives</w:t>
        </w:r>
      </w:hyperlink>
      <w:r>
        <w:rPr>
          <w:color w:val="000000"/>
        </w:rPr>
        <w:t xml:space="preserve"> </w:t>
      </w:r>
      <w:r>
        <w:rPr>
          <w:rFonts w:ascii="Times New Roman;sans-serif" w:hAnsi="Times New Roman;sans-serif"/>
          <w:b w:val="false"/>
          <w:color w:val="000000"/>
          <w:sz w:val="20"/>
        </w:rPr>
        <w:t>of the notes to the condensed consolidated financial statements included elsewhere in this report for additional discussion of our open contracts at March 31, 2023.</w:t>
      </w:r>
    </w:p>
    <w:p>
      <w:pPr>
        <w:pStyle w:val="TextBody"/>
        <w:spacing w:before="0" w:after="0"/>
        <w:ind w:left="0" w:right="0" w:firstLine="720"/>
        <w:jc w:val="both"/>
        <w:rPr/>
      </w:pPr>
      <w:r>
        <w:rPr/>
      </w:r>
    </w:p>
    <w:p>
      <w:pPr>
        <w:pStyle w:val="TextBody"/>
        <w:spacing w:lineRule="auto" w:line="288" w:before="0" w:after="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Provision for (Benefit from) Income Taxes</w:t>
      </w:r>
    </w:p>
    <w:p>
      <w:pPr>
        <w:pStyle w:val="TextBody"/>
        <w:spacing w:before="0" w:after="0"/>
        <w:ind w:left="0" w:right="0" w:firstLine="720"/>
        <w:jc w:val="both"/>
        <w:rPr/>
      </w:pPr>
      <w:r>
        <w:rPr/>
      </w:r>
    </w:p>
    <w:p>
      <w:pPr>
        <w:pStyle w:val="TextBody"/>
        <w:spacing w:lineRule="auto" w:line="268" w:before="0" w:after="0"/>
        <w:ind w:left="0" w:right="0" w:firstLine="720"/>
        <w:jc w:val="both"/>
        <w:rPr/>
      </w:pPr>
      <w:r>
        <w:rPr>
          <w:rFonts w:ascii="Times New Roman;sans-serif" w:hAnsi="Times New Roman;sans-serif"/>
          <w:b w:val="false"/>
          <w:color w:val="000000"/>
          <w:sz w:val="20"/>
        </w:rPr>
        <w:t>The $6.8 million increase in income tax expense for the three months ended March 31, 2023 compared to the same period in 2022 resulted primarily due to the increase in pre-tax income attributable to the Partnership as a result of the expiration of the special income allocation at December 31, 2022 and the impact of maintaining a valuation allowance against the Partnership’s deferred tax assets as of March 31, 2022. See Note 9—</w:t>
      </w:r>
      <w:hyperlink w:anchor="i8dd89f0c72444a288e2bb25168f12b04_64">
        <w:r>
          <w:rPr>
            <w:rStyle w:val="InternetLink"/>
            <w:rFonts w:ascii="Times New Roman;sans-serif" w:hAnsi="Times New Roman;sans-serif"/>
            <w:b w:val="false"/>
            <w:color w:val="0000FF"/>
            <w:sz w:val="20"/>
            <w:u w:val="single"/>
          </w:rPr>
          <w:t>Income Taxes</w:t>
        </w:r>
      </w:hyperlink>
      <w:r>
        <w:rPr>
          <w:color w:val="000000"/>
        </w:rPr>
        <w:t xml:space="preserve"> </w:t>
      </w:r>
      <w:r>
        <w:rPr>
          <w:rFonts w:ascii="Times New Roman;sans-serif" w:hAnsi="Times New Roman;sans-serif"/>
          <w:b w:val="false"/>
          <w:color w:val="000000"/>
          <w:sz w:val="20"/>
        </w:rPr>
        <w:t>of the notes to the condensed consolidated financial statements included elsewhere in this report for further details.</w:t>
      </w:r>
    </w:p>
    <w:p>
      <w:pPr>
        <w:pStyle w:val="TextBody"/>
        <w:spacing w:before="0" w:after="0"/>
        <w:ind w:left="0" w:right="0" w:firstLine="720"/>
        <w:jc w:val="both"/>
        <w:rPr/>
      </w:pPr>
      <w:r>
        <w:rPr/>
      </w:r>
    </w:p>
    <w:p>
      <w:pPr>
        <w:pStyle w:val="TextBody"/>
        <w:spacing w:lineRule="auto" w:line="268" w:before="0" w:after="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Net Income (Loss) Attributable to Non-controlling Interest</w:t>
      </w:r>
    </w:p>
    <w:p>
      <w:pPr>
        <w:pStyle w:val="TextBody"/>
        <w:spacing w:before="0" w:after="0"/>
        <w:ind w:left="0" w:right="0" w:firstLine="720"/>
        <w:jc w:val="both"/>
        <w:rPr/>
      </w:pPr>
      <w:r>
        <w:rPr/>
      </w:r>
    </w:p>
    <w:p>
      <w:pPr>
        <w:pStyle w:val="TextBody"/>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$57.1 million decrease in net income (loss) attributable to non-controlling interest for the three months ended March 31, 2023 compared to the same period in 2022 is primarily due to the expiration of the special income allocation at December 31, 2022. </w:t>
      </w:r>
    </w:p>
    <w:p>
      <w:pPr>
        <w:pStyle w:val="HorizontalLine"/>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v:rect>
            </w:pict>
          </mc:Fallback>
        </mc:AlternateContent>
      </w:r>
    </w:p>
    <w:p>
      <w:pPr>
        <w:pStyle w:val="TextBody"/>
        <w:spacing w:lineRule="auto" w:line="288" w:before="0" w:after="0"/>
        <w:rPr/>
      </w:pPr>
      <w:hyperlink w:anchor="i8dd89f0c72444a288e2bb25168f12b04_7">
        <w:r>
          <w:rPr>
            <w:rStyle w:val="InternetLink"/>
            <w:rFonts w:ascii="Times New Roman;sans-serif" w:hAnsi="Times New Roman;sans-serif"/>
            <w:b w:val="false"/>
            <w:color w:val="0000FF"/>
            <w:sz w:val="16"/>
            <w:u w:val="single"/>
          </w:rPr>
          <w:t>Table of Contents</w:t>
        </w:r>
      </w:hyperlink>
    </w:p>
    <w:p>
      <w:pPr>
        <w:pStyle w:val="TextBody"/>
        <w:spacing w:before="0" w:after="0"/>
        <w:rPr/>
      </w:pPr>
      <w:r>
        <w:rPr/>
      </w:r>
    </w:p>
    <w:p>
      <w:pPr>
        <w:pStyle w:val="TextBody"/>
        <w:spacing w:before="0" w:after="0"/>
        <w:ind w:left="0" w:right="0" w:firstLine="72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spacing w:before="0" w:after="0"/>
        <w:jc w:val="both"/>
        <w:rPr/>
      </w:pPr>
      <w:r>
        <w:rPr/>
      </w:r>
    </w:p>
    <w:p>
      <w:pPr>
        <w:pStyle w:val="TextBody"/>
        <w:spacing w:lineRule="auto" w:line="288" w:before="0" w:after="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Overview of Sources and Uses of Cash</w:t>
      </w:r>
    </w:p>
    <w:p>
      <w:pPr>
        <w:pStyle w:val="TextBody"/>
        <w:spacing w:before="0" w:after="0"/>
        <w:jc w:val="both"/>
        <w:rPr/>
      </w:pPr>
      <w:r>
        <w:rPr/>
      </w:r>
    </w:p>
    <w:p>
      <w:pPr>
        <w:pStyle w:val="TextBody"/>
        <w:spacing w:lineRule="auto" w:line="288" w:before="0" w:after="0"/>
        <w:ind w:left="0" w:right="0" w:firstLine="720"/>
        <w:jc w:val="both"/>
        <w:rPr/>
      </w:pPr>
      <w:r>
        <w:rPr>
          <w:rFonts w:ascii="Times New Roman;sans-serif" w:hAnsi="Times New Roman;sans-serif"/>
          <w:b w:val="false"/>
          <w:color w:val="000000"/>
          <w:sz w:val="20"/>
        </w:rPr>
        <w:t xml:space="preserve">As we pursue our business and financial strategy, we regularly consider which capital resources, including cash flow and equity and debt financings, are available to meet our future financial obligations and liquidity requirements. Our future ability to grow proved reserves will be highly dependent on the capital resources available to us. Our primary sources of liquidity have been cash flows from operations, proceeds from sales of non-core assets, equity and debt offerings and borrowings under </w:t>
      </w:r>
      <w:r>
        <w:rPr>
          <w:rFonts w:ascii="Times New Roman;sans-serif" w:hAnsi="Times New Roman;sans-serif"/>
          <w:b w:val="false"/>
          <w:color w:val="000000"/>
          <w:sz w:val="20"/>
          <w:highlight w:val="white"/>
        </w:rPr>
        <w:t>the Operating Company’s</w:t>
      </w:r>
      <w:r>
        <w:rPr>
          <w:color w:val="000000"/>
        </w:rPr>
        <w:t xml:space="preserve"> </w:t>
      </w:r>
      <w:r>
        <w:rPr>
          <w:rFonts w:ascii="Times New Roman;sans-serif" w:hAnsi="Times New Roman;sans-serif"/>
          <w:b w:val="false"/>
          <w:color w:val="000000"/>
          <w:sz w:val="20"/>
        </w:rPr>
        <w:t>credit agreement. Our primary uses of cash have been distributions to our unitholders, repayments of debt, capital expenditures for the acquisition of our mineral interests and royalty interests in oil and natural gas properties and repurchases of our common units. At March 31, 2023, we had approximately $239.1 million of liquidity consisting of $9.1 million in cash and cash equivalents and $230.0 million available under the Ope</w:t>
      </w:r>
      <w:r>
        <w:rPr>
          <w:rFonts w:ascii="Times New Roman;sans-serif" w:hAnsi="Times New Roman;sans-serif"/>
          <w:b w:val="false"/>
          <w:color w:val="000000"/>
          <w:sz w:val="20"/>
          <w:highlight w:val="white"/>
        </w:rPr>
        <w:t>rating Company’s credit agreement</w:t>
      </w:r>
      <w:r>
        <w:rPr>
          <w:rFonts w:ascii="Times New Roman;sans-serif" w:hAnsi="Times New Roman;sans-serif"/>
          <w:b w:val="false"/>
          <w:color w:val="000000"/>
          <w:sz w:val="20"/>
        </w:rPr>
        <w:t xml:space="preserve">. </w:t>
      </w:r>
    </w:p>
    <w:p>
      <w:pPr>
        <w:pStyle w:val="TextBody"/>
        <w:spacing w:before="0" w:after="0"/>
        <w:ind w:left="0" w:right="0" w:firstLine="720"/>
        <w:jc w:val="both"/>
        <w:rPr/>
      </w:pPr>
      <w:r>
        <w:rPr/>
      </w:r>
    </w:p>
    <w:p>
      <w:pPr>
        <w:pStyle w:val="TextBody"/>
        <w:spacing w:lineRule="auto" w:line="288" w:before="0" w:after="0"/>
        <w:ind w:left="0" w:right="0" w:firstLine="720"/>
        <w:jc w:val="both"/>
        <w:rPr/>
      </w:pPr>
      <w:r>
        <w:rPr>
          <w:rFonts w:ascii="Times New Roman;sans-serif" w:hAnsi="Times New Roman;sans-serif"/>
          <w:b w:val="false"/>
          <w:color w:val="000000"/>
          <w:sz w:val="20"/>
        </w:rPr>
        <w:t xml:space="preserve">Our working capital requirements are supported by our cash and cash equivalents and </w:t>
      </w:r>
      <w:r>
        <w:rPr>
          <w:rFonts w:ascii="Times New Roman;sans-serif" w:hAnsi="Times New Roman;sans-serif"/>
          <w:b w:val="false"/>
          <w:color w:val="000000"/>
          <w:sz w:val="20"/>
          <w:highlight w:val="white"/>
        </w:rPr>
        <w:t xml:space="preserve">the Operating Company’s </w:t>
      </w:r>
      <w:r>
        <w:rPr>
          <w:rFonts w:ascii="Times New Roman;sans-serif" w:hAnsi="Times New Roman;sans-serif"/>
          <w:b w:val="false"/>
          <w:color w:val="000000"/>
          <w:sz w:val="20"/>
        </w:rPr>
        <w:t xml:space="preserve">credit agreement. We may draw on </w:t>
      </w:r>
      <w:r>
        <w:rPr>
          <w:rFonts w:ascii="Times New Roman;sans-serif" w:hAnsi="Times New Roman;sans-serif"/>
          <w:b w:val="false"/>
          <w:color w:val="000000"/>
          <w:sz w:val="20"/>
          <w:highlight w:val="white"/>
        </w:rPr>
        <w:t>the Operating Company’s credit agreement</w:t>
      </w:r>
      <w:r>
        <w:rPr>
          <w:color w:val="000000"/>
        </w:rPr>
        <w:t xml:space="preserve"> </w:t>
      </w:r>
      <w:r>
        <w:rPr>
          <w:rFonts w:ascii="Times New Roman;sans-serif" w:hAnsi="Times New Roman;sans-serif"/>
          <w:b w:val="false"/>
          <w:color w:val="000000"/>
          <w:sz w:val="20"/>
        </w:rPr>
        <w:t>to meet short-term cash requirements, or issue debt or equity securities as part of our longer-term liquidity and capital management program. Because of the alternatives available to us as discussed above, we believe that our short-term and long-term liquidity are adequate to fund not only our current operations, but also our near-term and long-term funding requirements including our acquisitions of mineral and royalty interests, distributions, debt service obligations and repayment of debt maturities, common unit and senior note repurchases and any amounts that may ultimately be paid in connection with contingencies.</w:t>
      </w:r>
    </w:p>
    <w:p>
      <w:pPr>
        <w:pStyle w:val="TextBody"/>
        <w:spacing w:before="0" w:after="0"/>
        <w:ind w:left="0" w:right="0" w:firstLine="720"/>
        <w:jc w:val="both"/>
        <w:rPr/>
      </w:pPr>
      <w:r>
        <w:rPr/>
      </w:r>
    </w:p>
    <w:p>
      <w:pPr>
        <w:pStyle w:val="TextBody"/>
        <w:spacing w:lineRule="auto" w:line="288" w:before="0" w:after="0"/>
        <w:ind w:left="0" w:right="0" w:firstLine="720"/>
        <w:jc w:val="both"/>
        <w:rPr/>
      </w:pPr>
      <w:r>
        <w:rPr>
          <w:rFonts w:ascii="Times New Roman;sans-serif" w:hAnsi="Times New Roman;sans-serif"/>
          <w:b w:val="false"/>
          <w:color w:val="000000"/>
          <w:sz w:val="20"/>
        </w:rPr>
        <w:t xml:space="preserve">In order to mitigate volatility in oil and natural gas prices, we have entered into commodity derivative contracts as discussed further in </w:t>
      </w:r>
      <w:hyperlink w:anchor="i8dd89f0c72444a288e2bb25168f12b04_112">
        <w:r>
          <w:rPr>
            <w:rStyle w:val="InternetLink"/>
            <w:rFonts w:ascii="Times New Roman;sans-serif" w:hAnsi="Times New Roman;sans-serif"/>
            <w:b w:val="false"/>
            <w:color w:val="0000FF"/>
            <w:sz w:val="20"/>
            <w:u w:val="single"/>
          </w:rPr>
          <w:t>Item 3. Quantitative and Qualitative Disclosures About Market Risk—Commodity Price Risk</w:t>
        </w:r>
      </w:hyperlink>
      <w:r>
        <w:rPr>
          <w:rFonts w:ascii="Times New Roman;sans-serif" w:hAnsi="Times New Roman;sans-serif"/>
          <w:b w:val="false"/>
          <w:color w:val="000000"/>
          <w:sz w:val="20"/>
        </w:rPr>
        <w:t xml:space="preserve">. </w:t>
      </w:r>
    </w:p>
    <w:p>
      <w:pPr>
        <w:pStyle w:val="TextBody"/>
        <w:spacing w:before="0" w:after="0"/>
        <w:ind w:left="0" w:right="0" w:firstLine="720"/>
        <w:jc w:val="both"/>
        <w:rPr/>
      </w:pPr>
      <w:r>
        <w:rPr/>
      </w:r>
    </w:p>
    <w:p>
      <w:pPr>
        <w:pStyle w:val="TextBody"/>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Continued prolonged volatility in the capital, financial and/or credit markets due to the COVID-19 pandemic, the war in Ukraine, the depressed commodity markets and, or adverse macroeconomic conditions, including persistent inflation, rising interests rates, global supply chain disruptions and increasing concerns over a potential economic downturn or recession, may limit our access to, or increase our cost of, capital or make capital unavailable on terms acceptable to us or at all. Although we expect that our sources of funding will be adequate to fund our short-term and long-term liquidity requirements, we cannot assure you that the needed capital will be available on acceptable terms or at all.</w:t>
      </w:r>
    </w:p>
    <w:p>
      <w:pPr>
        <w:pStyle w:val="TextBody"/>
        <w:spacing w:before="0" w:after="0"/>
        <w:ind w:left="0" w:right="0" w:firstLine="72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Cash Flows</w:t>
      </w:r>
    </w:p>
    <w:p>
      <w:pPr>
        <w:pStyle w:val="TextBody"/>
        <w:spacing w:before="0" w:after="0"/>
        <w:ind w:left="0" w:right="0" w:firstLine="72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our cash flows for the periods indicated:</w:t>
      </w:r>
    </w:p>
    <w:p>
      <w:pPr>
        <w:pStyle w:val="TextBody"/>
        <w:spacing w:before="0" w:after="0"/>
        <w:ind w:left="0" w:right="0" w:firstLine="720"/>
        <w:jc w:val="both"/>
        <w:rPr/>
      </w:pPr>
      <w:r>
        <w:rPr/>
      </w:r>
    </w:p>
    <w:tbl>
      <w:tblPr>
        <w:tblW w:w="6984" w:type="dxa"/>
        <w:jc w:val="left"/>
        <w:tblInd w:w="0" w:type="dxa"/>
        <w:tblCellMar>
          <w:top w:w="28" w:type="dxa"/>
          <w:left w:w="28" w:type="dxa"/>
          <w:bottom w:w="28" w:type="dxa"/>
          <w:right w:w="28" w:type="dxa"/>
        </w:tblCellMar>
      </w:tblPr>
      <w:tblGrid>
        <w:gridCol w:w="1561"/>
        <w:gridCol w:w="1370"/>
        <w:gridCol w:w="1389"/>
        <w:gridCol w:w="211"/>
        <w:gridCol w:w="826"/>
        <w:gridCol w:w="109"/>
        <w:gridCol w:w="109"/>
        <w:gridCol w:w="109"/>
        <w:gridCol w:w="109"/>
        <w:gridCol w:w="211"/>
        <w:gridCol w:w="826"/>
        <w:gridCol w:w="154"/>
      </w:tblGrid>
      <w:tr>
        <w:trPr/>
        <w:tc>
          <w:tcPr>
            <w:tcW w:w="1561" w:type="dxa"/>
            <w:tcBorders/>
            <w:shd w:fill="auto" w:val="clear"/>
            <w:vAlign w:val="center"/>
          </w:tcPr>
          <w:p>
            <w:pPr>
              <w:pStyle w:val="TableContents"/>
              <w:spacing w:before="0" w:after="283"/>
              <w:rPr>
                <w:sz w:val="4"/>
                <w:szCs w:val="4"/>
              </w:rPr>
            </w:pPr>
            <w:r>
              <w:rPr>
                <w:sz w:val="4"/>
                <w:szCs w:val="4"/>
              </w:rPr>
            </w:r>
          </w:p>
        </w:tc>
        <w:tc>
          <w:tcPr>
            <w:tcW w:w="1370" w:type="dxa"/>
            <w:tcBorders/>
            <w:shd w:fill="auto" w:val="clear"/>
            <w:vAlign w:val="center"/>
          </w:tcPr>
          <w:p>
            <w:pPr>
              <w:pStyle w:val="TableContents"/>
              <w:spacing w:before="0" w:after="283"/>
              <w:rPr>
                <w:sz w:val="4"/>
                <w:szCs w:val="4"/>
              </w:rPr>
            </w:pPr>
            <w:r>
              <w:rPr>
                <w:sz w:val="4"/>
                <w:szCs w:val="4"/>
              </w:rPr>
            </w:r>
          </w:p>
        </w:tc>
        <w:tc>
          <w:tcPr>
            <w:tcW w:w="138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3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6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r>
      <w:tr>
        <w:trPr/>
        <w:tc>
          <w:tcPr>
            <w:tcW w:w="43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43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64"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thousands)</w:t>
            </w:r>
          </w:p>
        </w:tc>
      </w:tr>
      <w:tr>
        <w:trPr/>
        <w:tc>
          <w:tcPr>
            <w:tcW w:w="43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Flow Data:</w:t>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2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 operating activities</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107,243 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135,838 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 investing activities</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(116,583)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31,957 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2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 financing activities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(174,177)</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increase (decrease) in cash and cash equivalents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(9,073)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(6,382)</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ind w:left="0" w:right="0" w:firstLine="720"/>
        <w:jc w:val="both"/>
        <w:rPr/>
      </w:pPr>
      <w:r>
        <w:rPr/>
      </w:r>
    </w:p>
    <w:p>
      <w:pPr>
        <w:pStyle w:val="TextBody"/>
        <w:spacing w:lineRule="auto" w:line="288" w:before="0" w:after="0"/>
        <w:ind w:left="0" w:right="0" w:firstLine="720"/>
        <w:jc w:val="both"/>
        <w:rPr>
          <w:rFonts w:ascii="Times New Roman;sans-serif" w:hAnsi="Times New Roman;sans-serif"/>
          <w:b w:val="false"/>
          <w:i/>
          <w:color w:val="000000"/>
          <w:sz w:val="20"/>
        </w:rPr>
      </w:pPr>
      <w:r>
        <w:rPr>
          <w:rFonts w:ascii="Times New Roman;sans-serif" w:hAnsi="Times New Roman;sans-serif"/>
          <w:b w:val="false"/>
          <w:i/>
          <w:color w:val="000000"/>
          <w:sz w:val="20"/>
        </w:rPr>
        <w:t>Operating Activities</w:t>
      </w:r>
    </w:p>
    <w:p>
      <w:pPr>
        <w:pStyle w:val="TextBody"/>
        <w:spacing w:before="0" w:after="0"/>
        <w:ind w:left="0" w:right="0" w:firstLine="720"/>
        <w:jc w:val="both"/>
        <w:rPr/>
      </w:pPr>
      <w:r>
        <w:rPr/>
      </w:r>
    </w:p>
    <w:p>
      <w:pPr>
        <w:pStyle w:val="TextBody"/>
        <w:spacing w:lineRule="auto" w:line="288" w:before="0" w:after="0"/>
        <w:ind w:left="0" w:right="0" w:firstLine="720"/>
        <w:jc w:val="both"/>
        <w:rPr/>
      </w:pPr>
      <w:r>
        <w:rPr>
          <w:rFonts w:ascii="Times New Roman;sans-serif" w:hAnsi="Times New Roman;sans-serif"/>
          <w:b w:val="false"/>
          <w:color w:val="000000"/>
          <w:sz w:val="20"/>
        </w:rPr>
        <w:t>Our operating cash flow is sensitive to many variables, the most significant of which are the volatility of prices for oil and natural gas and the volumes of oil and natural gas sold by our producers. The decrease in net cash provided by operating activities during the three months ended March 31, 2023 compared to the same period in 2022 was primarily driven by (i) lower royalty income and (ii) changes in our working capital accounts, due primarily to the timing of when collections are made on accounts receivable and payments are made on accounts payable and accrued liabilities, as well as an increase in taxes payable as our pre-tax income attributable to the Partnership increases. These cash outflows were partially offset by a decrease in cash paid for derivative settlements. See “</w:t>
      </w:r>
      <w:r>
        <w:rPr>
          <w:color w:val="000000"/>
        </w:rPr>
        <w:t>—</w:t>
      </w:r>
      <w:hyperlink w:anchor="i8dd89f0c72444a288e2bb25168f12b04_94">
        <w:r>
          <w:rPr>
            <w:rStyle w:val="InternetLink"/>
            <w:rFonts w:ascii="Times New Roman;sans-serif" w:hAnsi="Times New Roman;sans-serif"/>
            <w:b w:val="false"/>
            <w:i/>
            <w:color w:val="0000FF"/>
            <w:sz w:val="20"/>
            <w:u w:val="single"/>
          </w:rPr>
          <w:t>Results of Operations</w:t>
        </w:r>
      </w:hyperlink>
      <w:r>
        <w:rPr>
          <w:color w:val="000000"/>
        </w:rPr>
        <w:t xml:space="preserve">” </w:t>
      </w:r>
      <w:r>
        <w:rPr>
          <w:rFonts w:ascii="Times New Roman;sans-serif" w:hAnsi="Times New Roman;sans-serif"/>
          <w:b w:val="false"/>
          <w:color w:val="000000"/>
          <w:sz w:val="20"/>
        </w:rPr>
        <w:t>for discussion of significant changes in our revenues and expenses.</w:t>
      </w:r>
    </w:p>
    <w:p>
      <w:pPr>
        <w:pStyle w:val="TextBody"/>
        <w:spacing w:before="0" w:after="0"/>
        <w:ind w:left="0" w:right="0" w:firstLine="720"/>
        <w:jc w:val="both"/>
        <w:rPr/>
      </w:pPr>
      <w:r>
        <w:rPr/>
      </w:r>
    </w:p>
    <w:p>
      <w:pPr>
        <w:pStyle w:val="HorizontalLine"/>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v:rect>
            </w:pict>
          </mc:Fallback>
        </mc:AlternateContent>
      </w:r>
    </w:p>
    <w:p>
      <w:pPr>
        <w:pStyle w:val="TextBody"/>
        <w:spacing w:lineRule="auto" w:line="288" w:before="0" w:after="0"/>
        <w:rPr/>
      </w:pPr>
      <w:hyperlink w:anchor="i8dd89f0c72444a288e2bb25168f12b04_7">
        <w:r>
          <w:rPr>
            <w:rStyle w:val="InternetLink"/>
            <w:rFonts w:ascii="Times New Roman;sans-serif" w:hAnsi="Times New Roman;sans-serif"/>
            <w:b w:val="false"/>
            <w:color w:val="0000FF"/>
            <w:sz w:val="16"/>
            <w:u w:val="single"/>
          </w:rPr>
          <w:t>Table of Contents</w:t>
        </w:r>
      </w:hyperlink>
    </w:p>
    <w:p>
      <w:pPr>
        <w:pStyle w:val="TextBody"/>
        <w:spacing w:before="0" w:after="0"/>
        <w:rPr/>
      </w:pPr>
      <w:r>
        <w:rPr/>
      </w:r>
    </w:p>
    <w:p>
      <w:pPr>
        <w:pStyle w:val="TextBody"/>
        <w:spacing w:lineRule="auto" w:line="288" w:before="0" w:after="0"/>
        <w:ind w:left="0" w:right="0" w:firstLine="720"/>
        <w:jc w:val="both"/>
        <w:rPr>
          <w:rFonts w:ascii="Times New Roman;sans-serif" w:hAnsi="Times New Roman;sans-serif"/>
          <w:b w:val="false"/>
          <w:i/>
          <w:color w:val="000000"/>
          <w:sz w:val="20"/>
        </w:rPr>
      </w:pPr>
      <w:r>
        <w:rPr>
          <w:rFonts w:ascii="Times New Roman;sans-serif" w:hAnsi="Times New Roman;sans-serif"/>
          <w:b w:val="false"/>
          <w:i/>
          <w:color w:val="000000"/>
          <w:sz w:val="20"/>
        </w:rPr>
        <w:t>Investing Activities</w:t>
      </w:r>
    </w:p>
    <w:p>
      <w:pPr>
        <w:pStyle w:val="TextBody"/>
        <w:spacing w:before="0" w:after="0"/>
        <w:ind w:left="0" w:right="0" w:firstLine="72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 during the three months ended March 31, 2023 primarily related to the acquisition of oil and natural gas interests in the Drop Down and from other third-party acquisitions.</w:t>
      </w:r>
    </w:p>
    <w:p>
      <w:pPr>
        <w:pStyle w:val="TextBody"/>
        <w:spacing w:before="0" w:after="0"/>
        <w:ind w:left="0" w:right="0" w:firstLine="72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Net provided by in investing activities during the three months ended March 31, 2022 primarily related to proceeds from the divestitures of oil and natural gas interests.</w:t>
      </w:r>
    </w:p>
    <w:p>
      <w:pPr>
        <w:pStyle w:val="TextBody"/>
        <w:spacing w:before="0" w:after="0"/>
        <w:ind w:left="0" w:right="0" w:firstLine="720"/>
        <w:jc w:val="both"/>
        <w:rPr/>
      </w:pPr>
      <w:r>
        <w:rPr/>
      </w:r>
    </w:p>
    <w:p>
      <w:pPr>
        <w:pStyle w:val="TextBody"/>
        <w:spacing w:lineRule="auto" w:line="288" w:before="0" w:after="0"/>
        <w:ind w:left="0" w:right="0" w:firstLine="720"/>
        <w:jc w:val="both"/>
        <w:rPr>
          <w:rFonts w:ascii="Times New Roman;sans-serif" w:hAnsi="Times New Roman;sans-serif"/>
          <w:b w:val="false"/>
          <w:i/>
          <w:color w:val="000000"/>
          <w:sz w:val="20"/>
        </w:rPr>
      </w:pPr>
      <w:r>
        <w:rPr>
          <w:rFonts w:ascii="Times New Roman;sans-serif" w:hAnsi="Times New Roman;sans-serif"/>
          <w:b w:val="false"/>
          <w:i/>
          <w:color w:val="000000"/>
          <w:sz w:val="20"/>
        </w:rPr>
        <w:t>Financing Activities</w:t>
      </w:r>
    </w:p>
    <w:p>
      <w:pPr>
        <w:pStyle w:val="TextBody"/>
        <w:spacing w:before="0" w:after="0"/>
        <w:ind w:left="0" w:right="0" w:firstLine="72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Net cash provided by financing activities during the three months ended March 31, 2023 primarily resulted from $118.0 million of borrowings under the Operating Company’s revolving credit facility, which were offset by distributions of $84.7 million to our unitholders and $33.0 million of common unit repurchases.</w:t>
      </w:r>
    </w:p>
    <w:p>
      <w:pPr>
        <w:pStyle w:val="TextBody"/>
        <w:spacing w:before="0" w:after="0"/>
        <w:ind w:left="0" w:right="0" w:firstLine="72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Net cash used in financing activities during the three months ended March 31, 2022, was primarily related to distributions of $78.9 million to our unitholders and $39.3 million of common unit repurchases which included approximately $37.3 million for the repurchase of 1.5 million common units from a significant unitholder in a privately negotiated transaction. Additionally, we made net repayments of $56.0 million under the Operating Company’s revolving credit facility during the first quarter of 2022.</w:t>
      </w:r>
    </w:p>
    <w:p>
      <w:pPr>
        <w:pStyle w:val="TextBody"/>
        <w:spacing w:before="0" w:after="0"/>
        <w:ind w:left="0" w:right="0" w:firstLine="72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Capital Resources</w:t>
      </w:r>
    </w:p>
    <w:p>
      <w:pPr>
        <w:pStyle w:val="TextBody"/>
        <w:spacing w:before="0" w:after="0"/>
        <w:ind w:left="0" w:right="0" w:firstLine="720"/>
        <w:jc w:val="both"/>
        <w:rPr/>
      </w:pPr>
      <w:r>
        <w:rPr/>
      </w:r>
    </w:p>
    <w:p>
      <w:pPr>
        <w:pStyle w:val="TextBody"/>
        <w:spacing w:lineRule="auto" w:line="288" w:before="0" w:after="0"/>
        <w:ind w:left="0" w:right="0" w:firstLine="720"/>
        <w:jc w:val="both"/>
        <w:rPr>
          <w:rFonts w:ascii="Times New Roman;sans-serif" w:hAnsi="Times New Roman;sans-serif"/>
          <w:b w:val="false"/>
          <w:i/>
          <w:color w:val="000000"/>
          <w:sz w:val="20"/>
        </w:rPr>
      </w:pPr>
      <w:r>
        <w:rPr>
          <w:rFonts w:ascii="Times New Roman;sans-serif" w:hAnsi="Times New Roman;sans-serif"/>
          <w:b w:val="false"/>
          <w:i/>
          <w:color w:val="000000"/>
          <w:sz w:val="20"/>
        </w:rPr>
        <w:t>The Operating Company’s Revolving Credit Facility</w:t>
      </w:r>
    </w:p>
    <w:p>
      <w:pPr>
        <w:pStyle w:val="TextBody"/>
        <w:spacing w:before="0" w:after="0"/>
        <w:ind w:left="0" w:right="0" w:firstLine="720"/>
        <w:jc w:val="both"/>
        <w:rPr/>
      </w:pPr>
      <w:r>
        <w:rPr/>
      </w:r>
    </w:p>
    <w:p>
      <w:pPr>
        <w:pStyle w:val="TextBody"/>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At March 31, 2023, the Operating Company’s credit agreement, which matures on June 2, 2025, had an elected commitment amount of $500.0 million, with $270.0 million in outstanding borrowings and $230.0 million of availability.</w:t>
      </w:r>
    </w:p>
    <w:p>
      <w:pPr>
        <w:pStyle w:val="TextBody"/>
        <w:spacing w:before="0" w:after="0"/>
        <w:ind w:left="0" w:right="0" w:firstLine="720"/>
        <w:jc w:val="both"/>
        <w:rPr/>
      </w:pPr>
      <w:r>
        <w:rPr/>
      </w:r>
    </w:p>
    <w:p>
      <w:pPr>
        <w:pStyle w:val="TextBody"/>
        <w:spacing w:lineRule="auto" w:line="288" w:before="0" w:after="0"/>
        <w:ind w:left="0" w:right="0" w:firstLine="720"/>
        <w:jc w:val="both"/>
        <w:rPr/>
      </w:pPr>
      <w:r>
        <w:rPr>
          <w:rFonts w:ascii="Times New Roman;sans-serif" w:hAnsi="Times New Roman;sans-serif"/>
          <w:b w:val="false"/>
          <w:color w:val="000000"/>
          <w:sz w:val="20"/>
        </w:rPr>
        <w:t>See Note 6—</w:t>
      </w:r>
      <w:hyperlink w:anchor="i8dd89f0c72444a288e2bb25168f12b04_55">
        <w:r>
          <w:rPr>
            <w:rStyle w:val="InternetLink"/>
            <w:rFonts w:ascii="Times New Roman;sans-serif" w:hAnsi="Times New Roman;sans-serif"/>
            <w:b w:val="false"/>
            <w:color w:val="0000FF"/>
            <w:sz w:val="20"/>
            <w:u w:val="single"/>
          </w:rPr>
          <w:t>Debt</w:t>
        </w:r>
      </w:hyperlink>
      <w:r>
        <w:rPr>
          <w:color w:val="000000"/>
        </w:rPr>
        <w:t xml:space="preserve"> </w:t>
      </w:r>
      <w:r>
        <w:rPr>
          <w:rFonts w:ascii="Times New Roman;sans-serif" w:hAnsi="Times New Roman;sans-serif"/>
          <w:b w:val="false"/>
          <w:color w:val="000000"/>
          <w:sz w:val="20"/>
        </w:rPr>
        <w:t>of the notes to the condensed consolidated financial statements included elsewhere in this report for additional discussion of our outstanding debt at March 31, 2023.</w:t>
      </w:r>
    </w:p>
    <w:p>
      <w:pPr>
        <w:pStyle w:val="TextBody"/>
        <w:spacing w:before="0" w:after="0"/>
        <w:ind w:left="0" w:right="0" w:firstLine="72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Capital Requirements</w:t>
      </w:r>
    </w:p>
    <w:p>
      <w:pPr>
        <w:pStyle w:val="TextBody"/>
        <w:spacing w:before="0" w:after="0"/>
        <w:ind w:left="0" w:right="0" w:firstLine="720"/>
        <w:jc w:val="both"/>
        <w:rPr/>
      </w:pPr>
      <w:r>
        <w:rPr/>
      </w:r>
    </w:p>
    <w:p>
      <w:pPr>
        <w:pStyle w:val="TextBody"/>
        <w:spacing w:lineRule="auto" w:line="288" w:before="0" w:after="0"/>
        <w:ind w:left="0" w:right="0" w:firstLine="720"/>
        <w:jc w:val="both"/>
        <w:rPr>
          <w:rFonts w:ascii="Times New Roman;sans-serif" w:hAnsi="Times New Roman;sans-serif"/>
          <w:b w:val="false"/>
          <w:i/>
          <w:color w:val="000000"/>
          <w:sz w:val="20"/>
        </w:rPr>
      </w:pPr>
      <w:r>
        <w:rPr>
          <w:rFonts w:ascii="Times New Roman;sans-serif" w:hAnsi="Times New Roman;sans-serif"/>
          <w:b w:val="false"/>
          <w:i/>
          <w:color w:val="000000"/>
          <w:sz w:val="20"/>
        </w:rPr>
        <w:t>Repurchases of Securities</w:t>
      </w:r>
    </w:p>
    <w:p>
      <w:pPr>
        <w:pStyle w:val="TextBody"/>
        <w:spacing w:before="0" w:after="0"/>
        <w:ind w:left="0" w:right="0" w:firstLine="720"/>
        <w:jc w:val="both"/>
        <w:rPr/>
      </w:pPr>
      <w:r>
        <w:rPr/>
      </w:r>
    </w:p>
    <w:p>
      <w:pPr>
        <w:pStyle w:val="TextBody"/>
        <w:spacing w:lineRule="auto" w:line="276" w:before="0" w:after="0"/>
        <w:ind w:left="0" w:right="0" w:firstLine="720"/>
        <w:jc w:val="both"/>
        <w:rPr/>
      </w:pPr>
      <w:r>
        <w:rPr>
          <w:rFonts w:ascii="Times New Roman;sans-serif" w:hAnsi="Times New Roman;sans-serif"/>
          <w:b w:val="false"/>
          <w:color w:val="000000"/>
          <w:sz w:val="20"/>
        </w:rPr>
        <w:t>Under our current common unit repurchase program, the board of directors of our General Partner has authorized us to acquire up to $750.0 million of our common units. As of March 31, 2023, $496.7 million remains avail</w:t>
      </w:r>
      <w:r>
        <w:rPr>
          <w:rFonts w:ascii="Times New Roman;sans-serif" w:hAnsi="Times New Roman;sans-serif"/>
          <w:b w:val="false"/>
          <w:color w:val="000000"/>
          <w:sz w:val="20"/>
          <w:highlight w:val="white"/>
        </w:rPr>
        <w:t xml:space="preserve">able for use to repurchase units under this repurchase program, excluding excise tax. </w:t>
      </w:r>
    </w:p>
    <w:p>
      <w:pPr>
        <w:pStyle w:val="TextBody"/>
        <w:spacing w:before="0" w:after="0"/>
        <w:ind w:left="0" w:right="0" w:firstLine="720"/>
        <w:jc w:val="both"/>
        <w:rPr/>
      </w:pPr>
      <w:r>
        <w:rPr/>
      </w:r>
    </w:p>
    <w:p>
      <w:pPr>
        <w:pStyle w:val="TextBody"/>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may also from time to time opportunistically repurchase some of the outstanding Notes in open market purchases or in privately negotiated transactions.</w:t>
      </w:r>
    </w:p>
    <w:p>
      <w:pPr>
        <w:pStyle w:val="TextBody"/>
        <w:spacing w:before="0" w:after="0"/>
        <w:ind w:left="0" w:right="0" w:firstLine="720"/>
        <w:jc w:val="both"/>
        <w:rPr/>
      </w:pPr>
      <w:r>
        <w:rPr/>
      </w:r>
    </w:p>
    <w:p>
      <w:pPr>
        <w:pStyle w:val="TextBody"/>
        <w:spacing w:lineRule="auto" w:line="276" w:before="0" w:after="0"/>
        <w:ind w:left="0" w:right="0" w:firstLine="720"/>
        <w:jc w:val="both"/>
        <w:rPr>
          <w:rFonts w:ascii="Times New Roman;sans-serif" w:hAnsi="Times New Roman;sans-serif"/>
          <w:b w:val="false"/>
          <w:i/>
          <w:color w:val="000000"/>
          <w:sz w:val="20"/>
        </w:rPr>
      </w:pPr>
      <w:r>
        <w:rPr>
          <w:rFonts w:ascii="Times New Roman;sans-serif" w:hAnsi="Times New Roman;sans-serif"/>
          <w:b w:val="false"/>
          <w:i/>
          <w:color w:val="000000"/>
          <w:sz w:val="20"/>
        </w:rPr>
        <w:t>Cash Distributions</w:t>
      </w:r>
    </w:p>
    <w:p>
      <w:pPr>
        <w:pStyle w:val="TextBody"/>
        <w:spacing w:before="0" w:after="0"/>
        <w:ind w:left="0" w:right="0" w:firstLine="720"/>
        <w:jc w:val="both"/>
        <w:rPr/>
      </w:pPr>
      <w:r>
        <w:rPr/>
      </w:r>
    </w:p>
    <w:p>
      <w:pPr>
        <w:pStyle w:val="TextBody"/>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distribution for the first quarter of 2023 is $0.33 per common unit payable on May 18, 2023 to common unitholders of record at the close of business on May 11, 2023. The dividend consists of a base quarterly dividend of $0.25 per common unit and a variable quarterly dividend of $0.08 per common unit. Future base and variable dividends are at the discretion of the board of directors of our General Partner. </w:t>
      </w:r>
    </w:p>
    <w:p>
      <w:pPr>
        <w:pStyle w:val="TextBody"/>
        <w:spacing w:before="0" w:after="0"/>
        <w:ind w:left="0" w:right="0" w:firstLine="720"/>
        <w:jc w:val="both"/>
        <w:rPr/>
      </w:pPr>
      <w:r>
        <w:rPr/>
      </w:r>
    </w:p>
    <w:p>
      <w:pPr>
        <w:pStyle w:val="TextBody"/>
        <w:spacing w:lineRule="auto" w:line="268" w:before="0" w:after="0"/>
        <w:ind w:left="0" w:right="0" w:firstLine="720"/>
        <w:jc w:val="both"/>
        <w:rPr/>
      </w:pPr>
      <w:r>
        <w:rPr>
          <w:rFonts w:ascii="Times New Roman;sans-serif" w:hAnsi="Times New Roman;sans-serif"/>
          <w:b w:val="false"/>
          <w:color w:val="000000"/>
          <w:sz w:val="20"/>
        </w:rPr>
        <w:t>See Note 7—</w:t>
      </w:r>
      <w:hyperlink w:anchor="i8dd89f0c72444a288e2bb25168f12b04_58">
        <w:r>
          <w:rPr>
            <w:rStyle w:val="InternetLink"/>
            <w:rFonts w:ascii="Times New Roman;sans-serif" w:hAnsi="Times New Roman;sans-serif"/>
            <w:b w:val="false"/>
            <w:color w:val="0000FF"/>
            <w:sz w:val="20"/>
            <w:u w:val="single"/>
          </w:rPr>
          <w:t>Unitholders' Equity and Distributions</w:t>
        </w:r>
      </w:hyperlink>
      <w:r>
        <w:rPr>
          <w:color w:val="000000"/>
        </w:rPr>
        <w:t xml:space="preserve"> </w:t>
      </w:r>
      <w:r>
        <w:rPr>
          <w:rFonts w:ascii="Times New Roman;sans-serif" w:hAnsi="Times New Roman;sans-serif"/>
          <w:b w:val="false"/>
          <w:color w:val="000000"/>
          <w:sz w:val="20"/>
        </w:rPr>
        <w:t>of the notes to the condensed consolidated financial statements included elsewhere in this report for further discussion of the repurchase program and distributions.</w:t>
      </w:r>
    </w:p>
    <w:p>
      <w:pPr>
        <w:pStyle w:val="TextBody"/>
        <w:spacing w:before="0" w:after="0"/>
        <w:ind w:left="0" w:right="0" w:firstLine="72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Critical Accounting Estimates</w:t>
      </w:r>
    </w:p>
    <w:p>
      <w:pPr>
        <w:pStyle w:val="TextBody"/>
        <w:spacing w:before="0" w:after="0"/>
        <w:jc w:val="both"/>
        <w:rPr/>
      </w:pPr>
      <w:r>
        <w:rPr/>
      </w:r>
    </w:p>
    <w:p>
      <w:pPr>
        <w:pStyle w:val="TextBody"/>
        <w:spacing w:lineRule="auto" w:line="288" w:before="0" w:after="0"/>
        <w:ind w:left="0" w:right="0" w:firstLine="720"/>
        <w:jc w:val="both"/>
        <w:rPr/>
      </w:pPr>
      <w:r>
        <w:rPr>
          <w:rFonts w:ascii="Times New Roman;sans-serif" w:hAnsi="Times New Roman;sans-serif"/>
          <w:b w:val="false"/>
          <w:color w:val="000000"/>
          <w:sz w:val="20"/>
        </w:rPr>
        <w:t xml:space="preserve">There have been no changes to our critical accounting estimates from those disclosed in our </w:t>
      </w:r>
      <w:hyperlink r:id="rId5">
        <w:r>
          <w:rPr>
            <w:rStyle w:val="InternetLink"/>
            <w:rFonts w:ascii="Times New Roman;sans-serif" w:hAnsi="Times New Roman;sans-serif"/>
            <w:b w:val="false"/>
            <w:color w:val="0000FF"/>
            <w:sz w:val="20"/>
            <w:u w:val="single"/>
          </w:rPr>
          <w:t>Annual Report on Form 10-K</w:t>
        </w:r>
      </w:hyperlink>
      <w:r>
        <w:rPr>
          <w:color w:val="000000"/>
        </w:rPr>
        <w:t xml:space="preserve"> </w:t>
      </w:r>
      <w:r>
        <w:rPr>
          <w:rFonts w:ascii="Times New Roman;sans-serif" w:hAnsi="Times New Roman;sans-serif"/>
          <w:b w:val="false"/>
          <w:color w:val="000000"/>
          <w:sz w:val="20"/>
        </w:rPr>
        <w:t>for the year ended December 31, 2022.</w:t>
      </w:r>
    </w:p>
    <w:p>
      <w:pPr>
        <w:pStyle w:val="TextBody"/>
        <w:spacing w:before="0" w:after="0"/>
        <w:ind w:left="0" w:right="0" w:firstLine="720"/>
        <w:jc w:val="both"/>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Recent Accounting Pronouncements</w:t>
      </w:r>
    </w:p>
    <w:p>
      <w:pPr>
        <w:pStyle w:val="TextBody"/>
        <w:spacing w:before="0" w:after="0"/>
        <w:jc w:val="both"/>
        <w:rPr/>
      </w:pPr>
      <w:r>
        <w:rPr/>
      </w:r>
    </w:p>
    <w:p>
      <w:pPr>
        <w:pStyle w:val="TextBody"/>
        <w:spacing w:lineRule="auto" w:line="276" w:before="0" w:after="0"/>
        <w:ind w:left="0" w:right="0" w:firstLine="720"/>
        <w:jc w:val="both"/>
        <w:rPr/>
      </w:pPr>
      <w:r>
        <w:rPr>
          <w:rFonts w:ascii="Times New Roman;sans-serif" w:hAnsi="Times New Roman;sans-serif"/>
          <w:b w:val="false"/>
          <w:color w:val="000000"/>
          <w:sz w:val="20"/>
        </w:rPr>
        <w:t>See Note 2—</w:t>
      </w:r>
      <w:hyperlink w:anchor="i8dd89f0c72444a288e2bb25168f12b04_43">
        <w:r>
          <w:rPr>
            <w:rStyle w:val="InternetLink"/>
            <w:rFonts w:ascii="Times New Roman;sans-serif" w:hAnsi="Times New Roman;sans-serif"/>
            <w:b w:val="false"/>
            <w:color w:val="0000FF"/>
            <w:sz w:val="20"/>
            <w:u w:val="single"/>
          </w:rPr>
          <w:t>Summary of Significant Accounting Policies</w:t>
        </w:r>
      </w:hyperlink>
      <w:r>
        <w:rPr>
          <w:color w:val="000000"/>
        </w:rPr>
        <w:t xml:space="preserve"> </w:t>
      </w:r>
      <w:r>
        <w:rPr>
          <w:rFonts w:ascii="Times New Roman;sans-serif" w:hAnsi="Times New Roman;sans-serif"/>
          <w:b w:val="false"/>
          <w:color w:val="000000"/>
          <w:sz w:val="20"/>
        </w:rPr>
        <w:t xml:space="preserve">included in the condensed notes to the consolidated financial statements included elsewhere in this report for recent accounting pronouncements not yet adopted, if any. </w:t>
      </w:r>
    </w:p>
    <w:p>
      <w:pPr>
        <w:pStyle w:val="HorizontalLine"/>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v:rect>
            </w:pict>
          </mc:Fallback>
        </mc:AlternateContent>
      </w:r>
    </w:p>
    <w:p>
      <w:pPr>
        <w:pStyle w:val="TextBody"/>
        <w:spacing w:lineRule="auto" w:line="288" w:before="0" w:after="0"/>
        <w:rPr/>
      </w:pPr>
      <w:hyperlink w:anchor="i8dd89f0c72444a288e2bb25168f12b04_7">
        <w:r>
          <w:rPr>
            <w:rStyle w:val="InternetLink"/>
            <w:rFonts w:ascii="Times New Roman;sans-serif" w:hAnsi="Times New Roman;sans-serif"/>
            <w:b w:val="false"/>
            <w:color w:val="0000FF"/>
            <w:sz w:val="16"/>
            <w:u w:val="single"/>
          </w:rPr>
          <w:t>Table of Contents</w:t>
        </w:r>
      </w:hyperlink>
    </w:p>
    <w:p>
      <w:pPr>
        <w:pStyle w:val="TextBody"/>
        <w:spacing w:before="0" w:after="0"/>
        <w:rPr/>
      </w:pPr>
      <w:r>
        <w:rPr/>
      </w:r>
    </w:p>
    <w:p>
      <w:pPr>
        <w:pStyle w:val="TextBody"/>
        <w:spacing w:before="0" w:after="0"/>
        <w:ind w:left="0" w:right="0" w:firstLine="72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ITEM 3.    QUANTITATIVE AND QUALITATIVE DISCLOSURES ABOUT MARKET RISK</w:t>
      </w:r>
    </w:p>
    <w:p>
      <w:pPr>
        <w:pStyle w:val="TextBody"/>
        <w:spacing w:before="0" w:after="0"/>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are exposed to market risk, including the effects of adverse changes in commodity prices and interest rates as described below. The primary objective of the following information is to provide quantitative and qualitative information about our potential exposure to market risks. The term “market risk” refers to the risk of loss arising from adverse changes in oil and natural gas prices and interest rates. The disclosures are not meant to be precise indicators of expected future losses, but rather indicators of reasonably possible losses.</w:t>
      </w:r>
    </w:p>
    <w:p>
      <w:pPr>
        <w:pStyle w:val="TextBody"/>
        <w:spacing w:before="0" w:after="0"/>
        <w:ind w:left="0" w:right="0" w:firstLine="720"/>
        <w:jc w:val="both"/>
        <w:rPr/>
      </w:pPr>
      <w:r>
        <w:rPr/>
      </w:r>
    </w:p>
    <w:p>
      <w:pPr>
        <w:pStyle w:val="TextBody"/>
        <w:spacing w:lineRule="auto" w:line="288" w:before="0" w:after="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Commodity Price Risk</w:t>
      </w:r>
    </w:p>
    <w:p>
      <w:pPr>
        <w:pStyle w:val="TextBody"/>
        <w:spacing w:before="0" w:after="0"/>
        <w:ind w:left="0" w:right="0" w:firstLine="720"/>
        <w:jc w:val="both"/>
        <w:rPr/>
      </w:pPr>
      <w:r>
        <w:rPr/>
      </w:r>
    </w:p>
    <w:p>
      <w:pPr>
        <w:pStyle w:val="TextBody"/>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major market risk exposure is in the pricing applicable to the oil and natural gas production of our operators. Realized prices are driven primarily by the prevailing worldwide price for crude oil and prices for natural gas in the United States. Both crude oil and natural gas realized prices are also impacted by the quality of the product, supply and demand balances in local physical markets and the availability of transportation to demand centers. Pricing for oil and natural gas production has been historically volatile and unpredictable and the prices that our operators receive for production depend on many factors outside of our or their control, such as the war in Ukraine, rising interest rates, global supply chain disruptions, a potential economic downturn or recession, the COVID-19 pandemic and actions taken by OPEC members and other exporting nations. We cannot predict events that may lead to future price volatility and the near term energy outlook remains subject to heightened levels of uncertainty.</w:t>
      </w:r>
    </w:p>
    <w:p>
      <w:pPr>
        <w:pStyle w:val="TextBody"/>
        <w:spacing w:before="0" w:after="0"/>
        <w:ind w:left="0" w:right="0" w:firstLine="720"/>
        <w:jc w:val="both"/>
        <w:rPr/>
      </w:pPr>
      <w:r>
        <w:rPr/>
      </w:r>
    </w:p>
    <w:p>
      <w:pPr>
        <w:pStyle w:val="TextBody"/>
        <w:spacing w:lineRule="auto" w:line="288" w:before="0" w:after="0"/>
        <w:ind w:left="0" w:right="0" w:firstLine="720"/>
        <w:jc w:val="both"/>
        <w:rPr/>
      </w:pPr>
      <w:r>
        <w:rPr>
          <w:rFonts w:ascii="Times New Roman;sans-serif" w:hAnsi="Times New Roman;sans-serif"/>
          <w:b w:val="false"/>
          <w:color w:val="000000"/>
          <w:sz w:val="20"/>
        </w:rPr>
        <w:t>We historically have used fixed price swap contracts, fixed price basis swap contracts and costless collars with corresponding put and call options to reduce price volatility associated with certain of our royalty income as discussed in Note 10—</w:t>
      </w:r>
      <w:hyperlink w:anchor="i8dd89f0c72444a288e2bb25168f12b04_67">
        <w:r>
          <w:rPr>
            <w:rStyle w:val="InternetLink"/>
            <w:rFonts w:ascii="Times New Roman;sans-serif" w:hAnsi="Times New Roman;sans-serif"/>
            <w:b w:val="false"/>
            <w:color w:val="0000FF"/>
            <w:sz w:val="20"/>
            <w:u w:val="single"/>
          </w:rPr>
          <w:t>Derivatives</w:t>
        </w:r>
      </w:hyperlink>
      <w:r>
        <w:rPr>
          <w:color w:val="000000"/>
        </w:rPr>
        <w:t xml:space="preserve"> </w:t>
      </w:r>
      <w:r>
        <w:rPr>
          <w:rFonts w:ascii="Times New Roman;sans-serif" w:hAnsi="Times New Roman;sans-serif"/>
          <w:b w:val="false"/>
          <w:color w:val="000000"/>
          <w:sz w:val="20"/>
        </w:rPr>
        <w:t>of the notes to the condensed consolidated financial statements included elsewhere in this report.</w:t>
      </w:r>
    </w:p>
    <w:p>
      <w:pPr>
        <w:pStyle w:val="TextBody"/>
        <w:spacing w:before="0" w:after="0"/>
        <w:ind w:left="0" w:right="0" w:firstLine="720"/>
        <w:jc w:val="both"/>
        <w:rPr/>
      </w:pPr>
      <w:r>
        <w:rPr/>
      </w:r>
    </w:p>
    <w:p>
      <w:pPr>
        <w:pStyle w:val="TextBody"/>
        <w:spacing w:lineRule="auto" w:line="288" w:before="0" w:after="0"/>
        <w:ind w:left="0" w:right="0" w:firstLine="720"/>
        <w:jc w:val="both"/>
        <w:rPr/>
      </w:pPr>
      <w:r>
        <w:rPr>
          <w:rFonts w:ascii="Times New Roman;sans-serif" w:hAnsi="Times New Roman;sans-serif"/>
          <w:b w:val="false"/>
          <w:color w:val="000000"/>
          <w:sz w:val="20"/>
        </w:rPr>
        <w:t>At March 31, 2023</w:t>
      </w:r>
      <w:r>
        <w:rPr>
          <w:rFonts w:ascii="Times New Roman;sans-serif" w:hAnsi="Times New Roman;sans-serif"/>
          <w:b w:val="false"/>
          <w:color w:val="000000"/>
          <w:sz w:val="20"/>
          <w:highlight w:val="white"/>
        </w:rPr>
        <w:t xml:space="preserve">, </w:t>
      </w:r>
      <w:r>
        <w:rPr>
          <w:rFonts w:ascii="Times New Roman;sans-serif" w:hAnsi="Times New Roman;sans-serif"/>
          <w:b w:val="false"/>
          <w:color w:val="000000"/>
          <w:sz w:val="20"/>
        </w:rPr>
        <w:t>we had a net liability derivative position related to our commodity price derivatives of $3.1 million. Utilizing actual derivative contractual volumes under our contracts as of March 31, 2023, a 10% increase in forward curves associated with the underlying commodity would have decreased the net liability position by $0.6 million to $2.5 million, while a 10% decrease in forward curves associated with the underlying commodity would have increased the net liability derivative position by $0.5 million to $3.7 million. However, any cash derivative gain or loss would be substantially offset by a decrease or increase, respectively, in the actual sales value of production covered by the derivative instrument.</w:t>
      </w:r>
    </w:p>
    <w:p>
      <w:pPr>
        <w:pStyle w:val="TextBody"/>
        <w:spacing w:before="0" w:after="0"/>
        <w:ind w:left="0" w:right="0" w:firstLine="720"/>
        <w:jc w:val="both"/>
        <w:rPr/>
      </w:pPr>
      <w:r>
        <w:rPr/>
      </w:r>
    </w:p>
    <w:p>
      <w:pPr>
        <w:pStyle w:val="TextBody"/>
        <w:spacing w:lineRule="auto" w:line="288" w:before="0" w:after="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Credit Risk</w:t>
      </w:r>
    </w:p>
    <w:p>
      <w:pPr>
        <w:pStyle w:val="TextBody"/>
        <w:spacing w:before="0" w:after="0"/>
        <w:ind w:left="0" w:right="0" w:firstLine="72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are subject to risk resulting from the concentration of royalty income in producing oil and natural gas interests and receivables with a limited number of significant purchasers and producers. We do not require collateral and the failure or inability of our significant purchasers to meet their obligations to us due to their liquidity issues, bankruptcy, insolvency or liquidation may adversely affect our financial results. Volatility in commodity pricing environment and macroeconomic conditions may enhance our purchaser credit risk.</w:t>
      </w:r>
    </w:p>
    <w:p>
      <w:pPr>
        <w:pStyle w:val="TextBody"/>
        <w:spacing w:before="0" w:after="0"/>
        <w:ind w:left="0" w:right="0" w:firstLine="720"/>
        <w:jc w:val="both"/>
        <w:rPr/>
      </w:pPr>
      <w:r>
        <w:rPr/>
      </w:r>
    </w:p>
    <w:p>
      <w:pPr>
        <w:pStyle w:val="TextBody"/>
        <w:spacing w:lineRule="auto" w:line="288" w:before="0" w:after="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 xml:space="preserve">Interest Rate Risk </w:t>
      </w:r>
    </w:p>
    <w:p>
      <w:pPr>
        <w:pStyle w:val="TextBody"/>
        <w:spacing w:before="0" w:after="0"/>
        <w:ind w:left="0" w:right="0" w:firstLine="72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are subject to market risk exposure related to changes in interest rates on our indebtedness under the Operating Company’s credit agreement. The terms of the credit agreement provide for interest on borrowings at a floating rate equal to (i) term SOFR plus 0.10% (“Adjusted Term SOFR”) or (ii) an alternate base rate (which is equal to the greatest of the prime rate, the Federal Funds effective rate plus 0.50%, and 1-month Adjusted Term SOFR plus 1.00%), in each case plus the applicable margin. The applicable margin ranges from 1.00% to 2.00% per annum in the case of the alternative base rate and from 2.00% to 3.00% per annum in the case of Adjusted Term SOFR, in each case depending on the amount of the loans outstanding in relation to the commitment, which is calculated using the least of the maximum credit amount, the aggregate elected commitment amount and the borrowing base. We are obligated to pay a quarterly commitment fee ranging from 0.375% to 0.500% per year on the unused portion of the commitment. As of March 31, 2023, we had $270.0 million in outstanding borrowings. During the three months ended March 31, 2023, the weighted average interest rate on the Operating Company’s revolving credit facility was 6.10%.</w:t>
      </w:r>
    </w:p>
    <w:p>
      <w:pPr>
        <w:pStyle w:val="TextBody"/>
        <w:spacing w:before="0" w:after="0"/>
        <w:ind w:left="0" w:right="0" w:firstLine="72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v:rect>
            </w:pict>
          </mc:Fallback>
        </mc:AlternateContent>
      </w:r>
    </w:p>
    <w:p>
      <w:pPr>
        <w:pStyle w:val="TextBody"/>
        <w:spacing w:lineRule="auto" w:line="288" w:before="0" w:after="0"/>
        <w:rPr/>
      </w:pPr>
      <w:hyperlink w:anchor="i8dd89f0c72444a288e2bb25168f12b04_7">
        <w:r>
          <w:rPr>
            <w:rStyle w:val="InternetLink"/>
            <w:rFonts w:ascii="Times New Roman;sans-serif" w:hAnsi="Times New Roman;sans-serif"/>
            <w:b w:val="false"/>
            <w:color w:val="0000FF"/>
            <w:sz w:val="16"/>
            <w:u w:val="single"/>
          </w:rPr>
          <w:t>Table of Contents</w:t>
        </w:r>
      </w:hyperlink>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ITEM 4.          CONTROLS AND PROCEDURES</w:t>
      </w:r>
    </w:p>
    <w:p>
      <w:pPr>
        <w:pStyle w:val="TextBody"/>
        <w:spacing w:before="0" w:after="0"/>
        <w:rPr/>
      </w:pPr>
      <w:r>
        <w:rPr/>
      </w:r>
    </w:p>
    <w:p>
      <w:pPr>
        <w:pStyle w:val="TextBody"/>
        <w:spacing w:lineRule="auto" w:line="288" w:before="0" w:after="0"/>
        <w:ind w:left="0" w:right="0" w:firstLine="720"/>
        <w:jc w:val="both"/>
        <w:rPr/>
      </w:pPr>
      <w:r>
        <w:rPr>
          <w:rFonts w:ascii="Times New Roman;sans-serif" w:hAnsi="Times New Roman;sans-serif"/>
          <w:b w:val="false"/>
          <w:i/>
          <w:color w:val="000000"/>
          <w:sz w:val="20"/>
        </w:rPr>
        <w:t>Evaluation of Disclosure Control and Procedures</w:t>
      </w:r>
      <w:r>
        <w:rPr>
          <w:rFonts w:ascii="Times New Roman;sans-serif" w:hAnsi="Times New Roman;sans-serif"/>
          <w:b w:val="false"/>
          <w:color w:val="000000"/>
          <w:sz w:val="20"/>
        </w:rPr>
        <w:t>. Under the direction of the Chief Executive Officer and Chief Financial Officer of our General Partner, we have established disclosure controls and procedures, as defined in Rule 13a-15(e) and 15d-15(e) under the Exchange Act, that are designed to ensure that information required to be disclosed by us in the reports that we file or submit under the Exchange Act is recorded, processed, summarized and reported within the time periods specified in the SEC’s rules and forms. The disclosure controls and procedures are also intended to ensure that such information is accumulated and communicated to management, including the Chief Executive Officer and Chief Financial Officer of our General Partner, as appropriate to allow timely decisions regarding required disclosures. In designing and evaluating the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pStyle w:val="TextBody"/>
        <w:spacing w:before="0" w:after="0"/>
        <w:ind w:left="0" w:right="0" w:firstLine="72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2023, an evaluation was performed under the supervision and with the participation of management, including the Chief Executive Officer and Chief Financial Officer of our General Partner, of the effectiveness of the design and operation of our disclosure controls and procedures pursuant to Rule 13a-15(b) under the Exchange Act. Based upon the evaluation, the Chief Executive Officer and Chief Financial Officer of our General Partner have concluded that as of March 31, 2023, our disclosure controls and procedures are effective.</w:t>
      </w:r>
    </w:p>
    <w:p>
      <w:pPr>
        <w:pStyle w:val="TextBody"/>
        <w:spacing w:before="0" w:after="0"/>
        <w:ind w:left="0" w:right="0" w:firstLine="720"/>
        <w:jc w:val="both"/>
        <w:rPr/>
      </w:pPr>
      <w:r>
        <w:rPr/>
      </w:r>
    </w:p>
    <w:p>
      <w:pPr>
        <w:pStyle w:val="TextBody"/>
        <w:spacing w:lineRule="auto" w:line="288" w:before="0" w:after="0"/>
        <w:ind w:left="0" w:right="0" w:firstLine="720"/>
        <w:jc w:val="both"/>
        <w:rPr/>
      </w:pPr>
      <w:r>
        <w:rPr>
          <w:rFonts w:ascii="Times New Roman;sans-serif" w:hAnsi="Times New Roman;sans-serif"/>
          <w:b w:val="false"/>
          <w:i/>
          <w:color w:val="000000"/>
          <w:sz w:val="20"/>
        </w:rPr>
        <w:t>Changes in Internal Control over Financial Reporting</w:t>
      </w:r>
      <w:r>
        <w:rPr>
          <w:rFonts w:ascii="Times New Roman;sans-serif" w:hAnsi="Times New Roman;sans-serif"/>
          <w:b w:val="false"/>
          <w:color w:val="000000"/>
          <w:sz w:val="20"/>
        </w:rPr>
        <w:t>. There have not been any changes in our internal control over financial reporting that occurred during the quarter ended March 31, 2023 that have materially affected, or are reasonably likely to materially affect, internal controls over financial reporting.</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v:rect>
            </w:pict>
          </mc:Fallback>
        </mc:AlternateContent>
      </w:r>
    </w:p>
    <w:p>
      <w:pPr>
        <w:pStyle w:val="TextBody"/>
        <w:spacing w:lineRule="auto" w:line="288" w:before="0" w:after="0"/>
        <w:rPr/>
      </w:pPr>
      <w:hyperlink w:anchor="i8dd89f0c72444a288e2bb25168f12b04_7">
        <w:r>
          <w:rPr>
            <w:rStyle w:val="InternetLink"/>
            <w:rFonts w:ascii="Times New Roman;sans-serif" w:hAnsi="Times New Roman;sans-serif"/>
            <w:b w:val="false"/>
            <w:color w:val="0000FF"/>
            <w:sz w:val="16"/>
            <w:u w:val="single"/>
          </w:rPr>
          <w:t>Table of Contents</w:t>
        </w:r>
      </w:hyperlink>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II. OTHER INFORMATION</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ITEM 1.     LEGAL PROCEEDINGS</w:t>
      </w:r>
    </w:p>
    <w:p>
      <w:pPr>
        <w:pStyle w:val="TextBody"/>
        <w:spacing w:before="0" w:after="0"/>
        <w:rPr/>
      </w:pPr>
      <w:r>
        <w:rPr/>
      </w:r>
    </w:p>
    <w:p>
      <w:pPr>
        <w:pStyle w:val="TextBody"/>
        <w:spacing w:lineRule="auto" w:line="288" w:before="0" w:after="0"/>
        <w:ind w:left="0" w:right="0" w:firstLine="720"/>
        <w:jc w:val="both"/>
        <w:rPr/>
      </w:pPr>
      <w:r>
        <w:rPr>
          <w:rFonts w:ascii="Times New Roman;sans-serif" w:hAnsi="Times New Roman;sans-serif"/>
          <w:b w:val="false"/>
          <w:color w:val="000000"/>
          <w:sz w:val="20"/>
        </w:rPr>
        <w:t>Due to the nature of our business, we are, from time to time, involved in routine litigation or subject to disputes or claims related to our business activities. In the opinion of our management, none of the pending litigation, disputes or claims against us, if decided adversely, will have a material adverse effect on our financial condition, cash flows or results of operations. See Note 12—</w:t>
      </w:r>
      <w:hyperlink w:anchor="i8dd89f0c72444a288e2bb25168f12b04_73">
        <w:r>
          <w:rPr>
            <w:rStyle w:val="InternetLink"/>
            <w:rFonts w:ascii="Times New Roman;sans-serif" w:hAnsi="Times New Roman;sans-serif"/>
            <w:b w:val="false"/>
            <w:color w:val="0000FF"/>
            <w:sz w:val="20"/>
            <w:u w:val="single"/>
          </w:rPr>
          <w:t>Commitments and Contingencies</w:t>
        </w:r>
      </w:hyperlink>
      <w:r>
        <w:rPr>
          <w:color w:val="000000"/>
        </w:rPr>
        <w:t xml:space="preserve"> </w:t>
      </w:r>
      <w:r>
        <w:rPr>
          <w:rFonts w:ascii="Times New Roman;sans-serif" w:hAnsi="Times New Roman;sans-serif"/>
          <w:b w:val="false"/>
          <w:color w:val="000000"/>
          <w:sz w:val="20"/>
        </w:rPr>
        <w:t xml:space="preserve">of the notes to the condensed consolidated financial statements included elsewhere in this report. </w:t>
      </w:r>
    </w:p>
    <w:p>
      <w:pPr>
        <w:pStyle w:val="TextBody"/>
        <w:spacing w:before="0" w:after="0"/>
        <w:ind w:left="0" w:right="0" w:firstLine="72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spacing w:before="0" w:after="0"/>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business faces many risks. Any of the risks discussed in this report and our other SEC filings could have a material impact on our business, financial position or results of operations. Additional risks and uncertainties not presently known to us or that we currently believe to be immaterial may also materially impair our business operations, financial condition or future results.</w:t>
      </w:r>
    </w:p>
    <w:p>
      <w:pPr>
        <w:pStyle w:val="TextBody"/>
        <w:spacing w:before="0" w:after="0"/>
        <w:ind w:left="0" w:right="0" w:firstLine="720"/>
        <w:jc w:val="both"/>
        <w:rPr/>
      </w:pPr>
      <w:r>
        <w:rPr/>
      </w:r>
    </w:p>
    <w:p>
      <w:pPr>
        <w:pStyle w:val="TextBody"/>
        <w:spacing w:lineRule="auto" w:line="288" w:before="0" w:after="0"/>
        <w:ind w:left="0" w:right="0" w:firstLine="720"/>
        <w:jc w:val="both"/>
        <w:rPr/>
      </w:pPr>
      <w:r>
        <w:rPr>
          <w:rFonts w:ascii="Times New Roman;sans-serif" w:hAnsi="Times New Roman;sans-serif"/>
          <w:b w:val="false"/>
          <w:color w:val="000000"/>
          <w:sz w:val="20"/>
        </w:rPr>
        <w:t xml:space="preserve">As of the date of this filing, we continue to be subject to the risk factors previously disclosed in </w:t>
      </w:r>
      <w:r>
        <w:fldChar w:fldCharType="begin"/>
      </w:r>
      <w:r>
        <w:rPr>
          <w:rStyle w:val="InternetLink"/>
          <w:sz w:val="20"/>
          <w:u w:val="single"/>
          <w:b w:val="false"/>
          <w:rFonts w:ascii="Times New Roman;sans-serif" w:hAnsi="Times New Roman;sans-serif"/>
        </w:rPr>
        <w:instrText> HYPERLINK "https://www.sec.gov/ix?doc=/Archives/edgar/data/1602065/000160206523000007/vnom-20221231.htm" \l "i014aed5382dd45488e402459c1f9d159_25"</w:instrText>
      </w:r>
      <w:r>
        <w:rPr>
          <w:rStyle w:val="InternetLink"/>
          <w:sz w:val="20"/>
          <w:u w:val="single"/>
          <w:b w:val="false"/>
          <w:rFonts w:ascii="Times New Roman;sans-serif" w:hAnsi="Times New Roman;sans-serif"/>
        </w:rPr>
        <w:fldChar w:fldCharType="separate"/>
      </w:r>
      <w:r>
        <w:rPr>
          <w:rStyle w:val="InternetLink"/>
          <w:rFonts w:ascii="Times New Roman;sans-serif" w:hAnsi="Times New Roman;sans-serif"/>
          <w:b w:val="false"/>
          <w:color w:val="0000FF"/>
          <w:sz w:val="20"/>
          <w:u w:val="single"/>
        </w:rPr>
        <w:t>Part I, Item 1A. Risk Factors in our Annual Report on Form 10-K</w:t>
      </w:r>
      <w:r>
        <w:rPr>
          <w:rStyle w:val="InternetLink"/>
          <w:sz w:val="20"/>
          <w:u w:val="single"/>
          <w:b w:val="false"/>
          <w:rFonts w:ascii="Times New Roman;sans-serif" w:hAnsi="Times New Roman;sans-serif"/>
        </w:rPr>
        <w:fldChar w:fldCharType="end"/>
      </w:r>
      <w:r>
        <w:rPr>
          <w:color w:val="000000"/>
        </w:rPr>
        <w:t xml:space="preserve"> </w:t>
      </w:r>
      <w:r>
        <w:rPr>
          <w:rFonts w:ascii="Times New Roman;sans-serif" w:hAnsi="Times New Roman;sans-serif"/>
          <w:b w:val="false"/>
          <w:color w:val="000000"/>
          <w:sz w:val="20"/>
        </w:rPr>
        <w:t xml:space="preserve">for the year ended December 31, 2022, filed with the SEC on February 23, 2023 and in subsequent filings we make with the SEC. There have been no material changes in our risk factors from those described in our </w:t>
      </w:r>
      <w:hyperlink r:id="rId6">
        <w:r>
          <w:rPr>
            <w:rStyle w:val="InternetLink"/>
          </w:rPr>
          <w:t>Annual R</w:t>
        </w:r>
      </w:hyperlink>
      <w:hyperlink r:id="rId7">
        <w:r>
          <w:rPr>
            <w:rStyle w:val="InternetLink"/>
          </w:rPr>
          <w:t>eport</w:t>
        </w:r>
      </w:hyperlink>
      <w:hyperlink r:id="rId8">
        <w:r>
          <w:rPr>
            <w:rStyle w:val="InternetLink"/>
          </w:rPr>
          <w:t xml:space="preserve"> on Form 10-K</w:t>
        </w:r>
      </w:hyperlink>
      <w:r>
        <w:rPr>
          <w:color w:val="000000"/>
        </w:rPr>
        <w:t xml:space="preserve"> </w:t>
      </w:r>
      <w:r>
        <w:rPr>
          <w:rFonts w:ascii="Times New Roman;sans-serif" w:hAnsi="Times New Roman;sans-serif"/>
          <w:b w:val="false"/>
          <w:color w:val="000000"/>
          <w:sz w:val="20"/>
        </w:rPr>
        <w:t>for the year ended December 31, 2022.</w:t>
      </w:r>
    </w:p>
    <w:p>
      <w:pPr>
        <w:pStyle w:val="TextBody"/>
        <w:spacing w:before="0" w:after="0"/>
        <w:ind w:left="0" w:right="0" w:firstLine="72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2.     UNREGISTERED SALES OF EQUITY SECURITIES AND USE OF PROCEEDS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Unregistered Sales of Equity Securities</w:t>
      </w:r>
    </w:p>
    <w:p>
      <w:pPr>
        <w:pStyle w:val="TextBody"/>
        <w:spacing w:before="0" w:after="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spacing w:before="0" w:after="0"/>
        <w:ind w:left="0" w:right="0" w:firstLine="720"/>
        <w:jc w:val="both"/>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Issuer Repurchases of Equity Securities</w:t>
      </w:r>
    </w:p>
    <w:p>
      <w:pPr>
        <w:pStyle w:val="TextBody"/>
        <w:spacing w:before="0" w:after="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common unit repurchase activity for the three months ended March 31, 2023 was as follows:</w:t>
      </w:r>
    </w:p>
    <w:p>
      <w:pPr>
        <w:pStyle w:val="TextBody"/>
        <w:spacing w:before="0" w:after="0"/>
        <w:jc w:val="both"/>
        <w:rPr/>
      </w:pPr>
      <w:r>
        <w:rPr/>
      </w:r>
    </w:p>
    <w:tbl>
      <w:tblPr>
        <w:tblW w:w="10205" w:type="dxa"/>
        <w:jc w:val="left"/>
        <w:tblInd w:w="0" w:type="dxa"/>
        <w:tblCellMar>
          <w:top w:w="28" w:type="dxa"/>
          <w:left w:w="28" w:type="dxa"/>
          <w:bottom w:w="28" w:type="dxa"/>
          <w:right w:w="28" w:type="dxa"/>
        </w:tblCellMar>
      </w:tblPr>
      <w:tblGrid>
        <w:gridCol w:w="584"/>
        <w:gridCol w:w="454"/>
        <w:gridCol w:w="459"/>
        <w:gridCol w:w="109"/>
        <w:gridCol w:w="109"/>
        <w:gridCol w:w="109"/>
        <w:gridCol w:w="467"/>
        <w:gridCol w:w="456"/>
        <w:gridCol w:w="457"/>
        <w:gridCol w:w="109"/>
        <w:gridCol w:w="109"/>
        <w:gridCol w:w="109"/>
        <w:gridCol w:w="301"/>
        <w:gridCol w:w="881"/>
        <w:gridCol w:w="155"/>
        <w:gridCol w:w="109"/>
        <w:gridCol w:w="109"/>
        <w:gridCol w:w="109"/>
        <w:gridCol w:w="712"/>
        <w:gridCol w:w="712"/>
        <w:gridCol w:w="714"/>
        <w:gridCol w:w="109"/>
        <w:gridCol w:w="109"/>
        <w:gridCol w:w="109"/>
        <w:gridCol w:w="449"/>
        <w:gridCol w:w="1760"/>
        <w:gridCol w:w="336"/>
      </w:tblGrid>
      <w:tr>
        <w:trPr/>
        <w:tc>
          <w:tcPr>
            <w:tcW w:w="584" w:type="dxa"/>
            <w:tcBorders/>
            <w:shd w:fill="auto" w:val="clear"/>
            <w:vAlign w:val="center"/>
          </w:tcPr>
          <w:p>
            <w:pPr>
              <w:pStyle w:val="TableContents"/>
              <w:spacing w:before="0" w:after="283"/>
              <w:rPr>
                <w:sz w:val="4"/>
                <w:szCs w:val="4"/>
              </w:rPr>
            </w:pPr>
            <w:r>
              <w:rPr>
                <w:sz w:val="4"/>
                <w:szCs w:val="4"/>
              </w:rPr>
            </w:r>
          </w:p>
        </w:tc>
        <w:tc>
          <w:tcPr>
            <w:tcW w:w="454" w:type="dxa"/>
            <w:tcBorders/>
            <w:shd w:fill="auto" w:val="clear"/>
            <w:vAlign w:val="center"/>
          </w:tcPr>
          <w:p>
            <w:pPr>
              <w:pStyle w:val="TableContents"/>
              <w:spacing w:before="0" w:after="283"/>
              <w:rPr>
                <w:sz w:val="4"/>
                <w:szCs w:val="4"/>
              </w:rPr>
            </w:pPr>
            <w:r>
              <w:rPr>
                <w:sz w:val="4"/>
                <w:szCs w:val="4"/>
              </w:rPr>
            </w:r>
          </w:p>
        </w:tc>
        <w:tc>
          <w:tcPr>
            <w:tcW w:w="45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67" w:type="dxa"/>
            <w:tcBorders/>
            <w:shd w:fill="auto" w:val="clear"/>
            <w:vAlign w:val="center"/>
          </w:tcPr>
          <w:p>
            <w:pPr>
              <w:pStyle w:val="TableContents"/>
              <w:spacing w:before="0" w:after="283"/>
              <w:rPr>
                <w:sz w:val="4"/>
                <w:szCs w:val="4"/>
              </w:rPr>
            </w:pPr>
            <w:r>
              <w:rPr>
                <w:sz w:val="4"/>
                <w:szCs w:val="4"/>
              </w:rPr>
            </w:r>
          </w:p>
        </w:tc>
        <w:tc>
          <w:tcPr>
            <w:tcW w:w="456" w:type="dxa"/>
            <w:tcBorders/>
            <w:shd w:fill="auto" w:val="clear"/>
            <w:vAlign w:val="center"/>
          </w:tcPr>
          <w:p>
            <w:pPr>
              <w:pStyle w:val="TableContents"/>
              <w:spacing w:before="0" w:after="283"/>
              <w:rPr>
                <w:sz w:val="4"/>
                <w:szCs w:val="4"/>
              </w:rPr>
            </w:pPr>
            <w:r>
              <w:rPr>
                <w:sz w:val="4"/>
                <w:szCs w:val="4"/>
              </w:rPr>
            </w:r>
          </w:p>
        </w:tc>
        <w:tc>
          <w:tcPr>
            <w:tcW w:w="45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1" w:type="dxa"/>
            <w:tcBorders/>
            <w:shd w:fill="auto" w:val="clear"/>
            <w:vAlign w:val="center"/>
          </w:tcPr>
          <w:p>
            <w:pPr>
              <w:pStyle w:val="TableContents"/>
              <w:spacing w:before="0" w:after="283"/>
              <w:rPr>
                <w:sz w:val="4"/>
                <w:szCs w:val="4"/>
              </w:rPr>
            </w:pPr>
            <w:r>
              <w:rPr>
                <w:sz w:val="4"/>
                <w:szCs w:val="4"/>
              </w:rPr>
            </w:r>
          </w:p>
        </w:tc>
        <w:tc>
          <w:tcPr>
            <w:tcW w:w="881"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12" w:type="dxa"/>
            <w:tcBorders/>
            <w:shd w:fill="auto" w:val="clear"/>
            <w:vAlign w:val="center"/>
          </w:tcPr>
          <w:p>
            <w:pPr>
              <w:pStyle w:val="TableContents"/>
              <w:spacing w:before="0" w:after="283"/>
              <w:rPr>
                <w:sz w:val="4"/>
                <w:szCs w:val="4"/>
              </w:rPr>
            </w:pPr>
            <w:r>
              <w:rPr>
                <w:sz w:val="4"/>
                <w:szCs w:val="4"/>
              </w:rPr>
            </w:r>
          </w:p>
        </w:tc>
        <w:tc>
          <w:tcPr>
            <w:tcW w:w="712" w:type="dxa"/>
            <w:tcBorders/>
            <w:shd w:fill="auto" w:val="clear"/>
            <w:vAlign w:val="center"/>
          </w:tcPr>
          <w:p>
            <w:pPr>
              <w:pStyle w:val="TableContents"/>
              <w:spacing w:before="0" w:after="283"/>
              <w:rPr>
                <w:sz w:val="4"/>
                <w:szCs w:val="4"/>
              </w:rPr>
            </w:pPr>
            <w:r>
              <w:rPr>
                <w:sz w:val="4"/>
                <w:szCs w:val="4"/>
              </w:rPr>
            </w:r>
          </w:p>
        </w:tc>
        <w:tc>
          <w:tcPr>
            <w:tcW w:w="71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49" w:type="dxa"/>
            <w:tcBorders/>
            <w:shd w:fill="auto" w:val="clear"/>
            <w:vAlign w:val="center"/>
          </w:tcPr>
          <w:p>
            <w:pPr>
              <w:pStyle w:val="TableContents"/>
              <w:spacing w:before="0" w:after="283"/>
              <w:rPr>
                <w:sz w:val="4"/>
                <w:szCs w:val="4"/>
              </w:rPr>
            </w:pPr>
            <w:r>
              <w:rPr>
                <w:sz w:val="4"/>
                <w:szCs w:val="4"/>
              </w:rPr>
            </w:r>
          </w:p>
        </w:tc>
        <w:tc>
          <w:tcPr>
            <w:tcW w:w="1760" w:type="dxa"/>
            <w:tcBorders/>
            <w:shd w:fill="auto" w:val="clear"/>
            <w:vAlign w:val="center"/>
          </w:tcPr>
          <w:p>
            <w:pPr>
              <w:pStyle w:val="TableContents"/>
              <w:spacing w:before="0" w:after="283"/>
              <w:rPr>
                <w:sz w:val="4"/>
                <w:szCs w:val="4"/>
              </w:rPr>
            </w:pPr>
            <w:r>
              <w:rPr>
                <w:sz w:val="4"/>
                <w:szCs w:val="4"/>
              </w:rPr>
            </w:r>
          </w:p>
        </w:tc>
        <w:tc>
          <w:tcPr>
            <w:tcW w:w="336" w:type="dxa"/>
            <w:tcBorders/>
            <w:shd w:fill="auto" w:val="clear"/>
            <w:vAlign w:val="center"/>
          </w:tcPr>
          <w:p>
            <w:pPr>
              <w:pStyle w:val="TableContents"/>
              <w:spacing w:before="0" w:after="283"/>
              <w:rPr>
                <w:sz w:val="4"/>
                <w:szCs w:val="4"/>
              </w:rPr>
            </w:pPr>
            <w:r>
              <w:rPr>
                <w:sz w:val="4"/>
                <w:szCs w:val="4"/>
              </w:rPr>
            </w:r>
          </w:p>
        </w:tc>
      </w:tr>
      <w:tr>
        <w:trPr/>
        <w:tc>
          <w:tcPr>
            <w:tcW w:w="149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Period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 Number of Units Purchased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7"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0"/>
              <w:jc w:val="center"/>
              <w:rPr/>
            </w:pPr>
            <w:r>
              <w:rPr>
                <w:rFonts w:ascii="Times New Roman;sans-serif" w:hAnsi="Times New Roman;sans-serif"/>
                <w:b/>
                <w:color w:val="000000"/>
                <w:sz w:val="18"/>
              </w:rPr>
              <w:t>Average Price Paid Per Unit</w:t>
            </w:r>
            <w:r>
              <w:rPr>
                <w:rFonts w:ascii="Times New Roman;sans-serif" w:hAnsi="Times New Roman;sans-serif"/>
                <w:b/>
                <w:color w:val="000000"/>
                <w:sz w:val="12"/>
              </w:rPr>
              <w:t>(1)(3)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8"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 Number of Units Purchased as Part of Publicly Announced Plan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45"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0"/>
              <w:jc w:val="center"/>
              <w:rPr/>
            </w:pPr>
            <w:r>
              <w:rPr>
                <w:rFonts w:ascii="Times New Roman;sans-serif" w:hAnsi="Times New Roman;sans-serif"/>
                <w:b/>
                <w:color w:val="000000"/>
                <w:sz w:val="18"/>
              </w:rPr>
              <w:t>Approximate Dollar Value of Units that May Yet Be Purchased Under the Plan</w:t>
            </w:r>
            <w:r>
              <w:rPr>
                <w:rFonts w:ascii="Times New Roman;sans-serif" w:hAnsi="Times New Roman;sans-serif"/>
                <w:b/>
                <w:color w:val="000000"/>
                <w:sz w:val="12"/>
              </w:rPr>
              <w:t>(2)(3)</w:t>
            </w:r>
          </w:p>
        </w:tc>
      </w:tr>
      <w:tr>
        <w:trPr/>
        <w:tc>
          <w:tcPr>
            <w:tcW w:w="149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81" w:type="dxa"/>
            <w:gridSpan w:val="21"/>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thousands, except unit amounts)</w:t>
            </w:r>
          </w:p>
        </w:tc>
      </w:tr>
      <w:tr>
        <w:trPr/>
        <w:tc>
          <w:tcPr>
            <w:tcW w:w="149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January 1, 2023 - January 31, 2023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0"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357,868</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31.52 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8"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357,868</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6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518,099 </w:t>
            </w:r>
          </w:p>
        </w:tc>
        <w:tc>
          <w:tcPr>
            <w:tcW w:w="33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9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1, 2023 - February 28, 2023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0"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198,662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30.96 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8"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198,662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6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511,948 </w:t>
            </w:r>
          </w:p>
        </w:tc>
        <w:tc>
          <w:tcPr>
            <w:tcW w:w="33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9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March 1, 2023 - March 31, 2023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0"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558,400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27.33 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8"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558,400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6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496,685 </w:t>
            </w:r>
          </w:p>
        </w:tc>
        <w:tc>
          <w:tcPr>
            <w:tcW w:w="33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9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0"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1,114,930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29.33 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8"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1,114,930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(1)The average price paid per common unit includes any commissions paid to repurchase a common unit.</w:t>
      </w:r>
    </w:p>
    <w:p>
      <w:pPr>
        <w:pStyle w:val="TextBody"/>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(2)On July 26, 2022, the board of directors of our General Partner increased the authorization under our then-in-effect common unit repurchase program from $250.0 million to $750.0 million, excluding excise tax. This repurchase program has no expiration date and remains subject to market conditions, applicable legal requirements, contractual obligations and other factors and may be suspended from time to time, modified, extended or discontinued by the board of directors of our General Partner at any time.</w:t>
      </w:r>
    </w:p>
    <w:p>
      <w:pPr>
        <w:pStyle w:val="TextBody"/>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(3)The Inflation Reduction Act of 2022, which was enacted into law on August 16, 2022, imposed a nondeductible 1% excise tax on the net value of certain stock repurchases made after December 31, 2022. All dollar amounts presented exclude such excise taxes, as applicable.</w:t>
      </w:r>
    </w:p>
    <w:p>
      <w:pPr>
        <w:pStyle w:val="TextBody"/>
        <w:spacing w:before="0" w:after="0"/>
        <w:ind w:left="0" w:right="0" w:firstLine="72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v:rect>
            </w:pict>
          </mc:Fallback>
        </mc:AlternateContent>
      </w:r>
    </w:p>
    <w:p>
      <w:pPr>
        <w:pStyle w:val="TextBody"/>
        <w:spacing w:lineRule="auto" w:line="288" w:before="0" w:after="0"/>
        <w:rPr/>
      </w:pPr>
      <w:hyperlink w:anchor="i8dd89f0c72444a288e2bb25168f12b04_7">
        <w:r>
          <w:rPr>
            <w:rStyle w:val="InternetLink"/>
            <w:rFonts w:ascii="Times New Roman;sans-serif" w:hAnsi="Times New Roman;sans-serif"/>
            <w:b w:val="false"/>
            <w:color w:val="0000FF"/>
            <w:sz w:val="16"/>
            <w:u w:val="single"/>
          </w:rPr>
          <w:t>Table of Contents</w:t>
        </w:r>
      </w:hyperlink>
    </w:p>
    <w:p>
      <w:pPr>
        <w:pStyle w:val="TextBody"/>
        <w:spacing w:before="0" w:after="0"/>
        <w:rPr/>
      </w:pPr>
      <w:r>
        <w:rPr/>
      </w:r>
    </w:p>
    <w:p>
      <w:pPr>
        <w:pStyle w:val="TextBody"/>
        <w:spacing w:lineRule="auto" w:line="331" w:before="0" w:after="0"/>
        <w:rPr>
          <w:rFonts w:ascii="Times New Roman;sans-serif" w:hAnsi="Times New Roman;sans-serif"/>
          <w:b/>
          <w:color w:val="000000"/>
          <w:sz w:val="20"/>
        </w:rPr>
      </w:pPr>
      <w:r>
        <w:rPr>
          <w:rFonts w:ascii="Times New Roman;sans-serif" w:hAnsi="Times New Roman;sans-serif"/>
          <w:b/>
          <w:color w:val="000000"/>
          <w:sz w:val="20"/>
        </w:rPr>
        <w:t>ITEM 6.     EXHIBITS</w:t>
      </w:r>
    </w:p>
    <w:tbl>
      <w:tblPr>
        <w:tblW w:w="10205" w:type="dxa"/>
        <w:jc w:val="left"/>
        <w:tblInd w:w="0" w:type="dxa"/>
        <w:tblCellMar>
          <w:top w:w="28" w:type="dxa"/>
          <w:left w:w="28" w:type="dxa"/>
          <w:bottom w:w="28" w:type="dxa"/>
          <w:right w:w="28" w:type="dxa"/>
        </w:tblCellMar>
      </w:tblPr>
      <w:tblGrid>
        <w:gridCol w:w="325"/>
        <w:gridCol w:w="286"/>
        <w:gridCol w:w="287"/>
        <w:gridCol w:w="109"/>
        <w:gridCol w:w="109"/>
        <w:gridCol w:w="109"/>
        <w:gridCol w:w="2659"/>
        <w:gridCol w:w="2612"/>
        <w:gridCol w:w="3709"/>
      </w:tblGrid>
      <w:tr>
        <w:trPr/>
        <w:tc>
          <w:tcPr>
            <w:tcW w:w="325"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sz w:val="4"/>
                <w:szCs w:val="4"/>
              </w:rPr>
            </w:pPr>
            <w:r>
              <w:rPr>
                <w:sz w:val="4"/>
                <w:szCs w:val="4"/>
              </w:rPr>
            </w:r>
          </w:p>
        </w:tc>
        <w:tc>
          <w:tcPr>
            <w:tcW w:w="28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59" w:type="dxa"/>
            <w:tcBorders/>
            <w:shd w:fill="auto" w:val="clear"/>
            <w:vAlign w:val="center"/>
          </w:tcPr>
          <w:p>
            <w:pPr>
              <w:pStyle w:val="TableContents"/>
              <w:spacing w:before="0" w:after="283"/>
              <w:rPr>
                <w:sz w:val="4"/>
                <w:szCs w:val="4"/>
              </w:rPr>
            </w:pPr>
            <w:r>
              <w:rPr>
                <w:sz w:val="4"/>
                <w:szCs w:val="4"/>
              </w:rPr>
            </w:r>
          </w:p>
        </w:tc>
        <w:tc>
          <w:tcPr>
            <w:tcW w:w="2612" w:type="dxa"/>
            <w:tcBorders/>
            <w:shd w:fill="auto" w:val="clear"/>
            <w:vAlign w:val="center"/>
          </w:tcPr>
          <w:p>
            <w:pPr>
              <w:pStyle w:val="TableContents"/>
              <w:spacing w:before="0" w:after="283"/>
              <w:rPr>
                <w:sz w:val="4"/>
                <w:szCs w:val="4"/>
              </w:rPr>
            </w:pPr>
            <w:r>
              <w:rPr>
                <w:sz w:val="4"/>
                <w:szCs w:val="4"/>
              </w:rPr>
            </w:r>
          </w:p>
        </w:tc>
        <w:tc>
          <w:tcPr>
            <w:tcW w:w="3709" w:type="dxa"/>
            <w:tcBorders/>
            <w:shd w:fill="auto" w:val="clear"/>
            <w:vAlign w:val="center"/>
          </w:tcPr>
          <w:p>
            <w:pPr>
              <w:pStyle w:val="TableContents"/>
              <w:spacing w:before="0" w:after="283"/>
              <w:rPr>
                <w:sz w:val="4"/>
                <w:szCs w:val="4"/>
              </w:rPr>
            </w:pPr>
            <w:r>
              <w:rPr>
                <w:sz w:val="4"/>
                <w:szCs w:val="4"/>
              </w:rPr>
            </w:r>
          </w:p>
        </w:tc>
      </w:tr>
      <w:tr>
        <w:trPr/>
        <w:tc>
          <w:tcPr>
            <w:tcW w:w="898"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120"/>
              <w:jc w:val="left"/>
              <w:rPr>
                <w:rFonts w:ascii="Times New Roman;sans-serif" w:hAnsi="Times New Roman;sans-serif"/>
                <w:b/>
                <w:color w:val="000000"/>
                <w:sz w:val="18"/>
              </w:rPr>
            </w:pPr>
            <w:r>
              <w:rPr>
                <w:rFonts w:ascii="Times New Roman;sans-serif" w:hAnsi="Times New Roman;sans-serif"/>
                <w:b/>
                <w:color w:val="000000"/>
                <w:sz w:val="18"/>
              </w:rPr>
              <w:t>Exhibit Number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80"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120"/>
              <w:jc w:val="left"/>
              <w:rPr>
                <w:rFonts w:ascii="Times New Roman;sans-serif" w:hAnsi="Times New Roman;sans-serif"/>
                <w:b/>
                <w:color w:val="000000"/>
                <w:sz w:val="18"/>
              </w:rPr>
            </w:pPr>
            <w:r>
              <w:rPr>
                <w:rFonts w:ascii="Times New Roman;sans-serif" w:hAnsi="Times New Roman;sans-serif"/>
                <w:b/>
                <w:color w:val="000000"/>
                <w:sz w:val="18"/>
              </w:rPr>
              <w:t>Description</w:t>
            </w:r>
          </w:p>
        </w:tc>
      </w:tr>
      <w:tr>
        <w:trPr/>
        <w:tc>
          <w:tcPr>
            <w:tcW w:w="898"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8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0"/>
              <w:jc w:val="both"/>
              <w:rPr/>
            </w:pPr>
            <w:hyperlink r:id="rId9">
              <w:r>
                <w:rPr>
                  <w:rStyle w:val="InternetLink"/>
                  <w:rFonts w:ascii="Times New Roman;sans-serif" w:hAnsi="Times New Roman;sans-serif"/>
                  <w:b w:val="false"/>
                  <w:color w:val="0000FF"/>
                  <w:sz w:val="20"/>
                  <w:u w:val="single"/>
                </w:rPr>
                <w:t>Purchase and Sale Agreement dated August 6, 2021 by and among Swallowtail Royalties LLC, Swallowtail Royalties II LLC (collectively, as seller), Viper Energy Partners LLC (as buyer) and Viper Energy Partners LP (as parent, and collectively with Viper Energy Partners LLC, as buyer parties) (incorporated by reference to Exhibit 2.1 of the Partnership’s Current Report on Form 8-K (File 001-36505) filed on August 12, 2021).</w:t>
              </w:r>
            </w:hyperlink>
          </w:p>
        </w:tc>
      </w:tr>
      <w:tr>
        <w:trPr/>
        <w:tc>
          <w:tcPr>
            <w:tcW w:w="89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80" w:type="dxa"/>
            <w:gridSpan w:val="3"/>
            <w:tcBorders/>
            <w:shd w:fill="FFFFFF" w:val="clear"/>
            <w:tcMar>
              <w:top w:w="0" w:type="dxa"/>
              <w:left w:w="0" w:type="dxa"/>
              <w:bottom w:w="0" w:type="dxa"/>
              <w:right w:w="0" w:type="dxa"/>
            </w:tcMar>
            <w:vAlign w:val="center"/>
          </w:tcPr>
          <w:p>
            <w:pPr>
              <w:pStyle w:val="TableContents"/>
              <w:spacing w:lineRule="auto" w:line="240" w:before="0" w:after="40"/>
              <w:jc w:val="both"/>
              <w:rPr/>
            </w:pPr>
            <w:hyperlink r:id="rId10">
              <w:r>
                <w:rPr>
                  <w:rStyle w:val="InternetLink"/>
                  <w:rFonts w:ascii="Times New Roman;sans-serif" w:hAnsi="Times New Roman;sans-serif"/>
                  <w:b w:val="false"/>
                  <w:color w:val="0000FF"/>
                  <w:sz w:val="20"/>
                  <w:u w:val="single"/>
                </w:rPr>
                <w:t>Certificate of Limited Partnership of Viper Energy Partners LP (incorporated by reference to Exhibit 3.1 of the Partnership’s Registration Statement on Form S-1 (File 333-195769) filed on May 7, 2014).</w:t>
              </w:r>
            </w:hyperlink>
          </w:p>
        </w:tc>
      </w:tr>
      <w:tr>
        <w:trPr/>
        <w:tc>
          <w:tcPr>
            <w:tcW w:w="89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80" w:type="dxa"/>
            <w:gridSpan w:val="3"/>
            <w:tcBorders/>
            <w:shd w:fill="CCEEFF" w:val="clear"/>
            <w:tcMar>
              <w:top w:w="0" w:type="dxa"/>
              <w:left w:w="0" w:type="dxa"/>
              <w:bottom w:w="0" w:type="dxa"/>
              <w:right w:w="0" w:type="dxa"/>
            </w:tcMar>
            <w:vAlign w:val="center"/>
          </w:tcPr>
          <w:p>
            <w:pPr>
              <w:pStyle w:val="TableContents"/>
              <w:spacing w:lineRule="auto" w:line="240" w:before="0" w:after="0"/>
              <w:jc w:val="both"/>
              <w:rPr/>
            </w:pPr>
            <w:hyperlink r:id="rId11">
              <w:r>
                <w:rPr>
                  <w:rStyle w:val="InternetLink"/>
                  <w:rFonts w:ascii="Times New Roman;sans-serif" w:hAnsi="Times New Roman;sans-serif"/>
                  <w:b w:val="false"/>
                  <w:color w:val="0000FF"/>
                  <w:sz w:val="20"/>
                  <w:u w:val="single"/>
                </w:rPr>
                <w:t>Second Amended and Restated Agreement of Limited Partnership of Viper Energy Partners LP, dated as of May 9, 2018 (incorporated by reference to Exhibit 3.1 of the Partnership’s Current Report on Form 8-K (File 001-36505) filed on May 15, 2018).</w:t>
              </w:r>
            </w:hyperlink>
          </w:p>
        </w:tc>
      </w:tr>
      <w:tr>
        <w:trPr/>
        <w:tc>
          <w:tcPr>
            <w:tcW w:w="89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80" w:type="dxa"/>
            <w:gridSpan w:val="3"/>
            <w:tcBorders/>
            <w:shd w:fill="FFFFFF" w:val="clear"/>
            <w:tcMar>
              <w:top w:w="0" w:type="dxa"/>
              <w:left w:w="0" w:type="dxa"/>
              <w:bottom w:w="0" w:type="dxa"/>
              <w:right w:w="0" w:type="dxa"/>
            </w:tcMar>
            <w:vAlign w:val="center"/>
          </w:tcPr>
          <w:p>
            <w:pPr>
              <w:pStyle w:val="TableContents"/>
              <w:spacing w:lineRule="auto" w:line="240" w:before="0" w:after="0"/>
              <w:jc w:val="both"/>
              <w:rPr/>
            </w:pPr>
            <w:hyperlink r:id="rId12">
              <w:r>
                <w:rPr>
                  <w:rStyle w:val="InternetLink"/>
                  <w:rFonts w:ascii="Times New Roman;sans-serif" w:hAnsi="Times New Roman;sans-serif"/>
                  <w:b w:val="false"/>
                  <w:color w:val="0000FF"/>
                  <w:sz w:val="20"/>
                  <w:u w:val="single"/>
                </w:rPr>
                <w:t>First Amendment to Second Amended and Restated Agreement of Limited Partnership of Viper Energy Partners LP, dated as of May 10, 2018. (incorporated by reference to Exhibit 3.2 of the Partnership’s Current Report on Form 8-K (File 001-36505) filed on May 15, 2018).</w:t>
              </w:r>
            </w:hyperlink>
          </w:p>
        </w:tc>
      </w:tr>
      <w:tr>
        <w:trPr/>
        <w:tc>
          <w:tcPr>
            <w:tcW w:w="89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80" w:type="dxa"/>
            <w:gridSpan w:val="3"/>
            <w:tcBorders/>
            <w:shd w:fill="CCEEFF" w:val="clear"/>
            <w:tcMar>
              <w:top w:w="0" w:type="dxa"/>
              <w:left w:w="0" w:type="dxa"/>
              <w:bottom w:w="0" w:type="dxa"/>
              <w:right w:w="0" w:type="dxa"/>
            </w:tcMar>
            <w:vAlign w:val="center"/>
          </w:tcPr>
          <w:p>
            <w:pPr>
              <w:pStyle w:val="TableContents"/>
              <w:spacing w:lineRule="auto" w:line="240" w:before="0" w:after="0"/>
              <w:jc w:val="both"/>
              <w:rPr/>
            </w:pPr>
            <w:hyperlink r:id="rId13">
              <w:r>
                <w:rPr>
                  <w:rStyle w:val="InternetLink"/>
                  <w:rFonts w:ascii="Times New Roman;sans-serif" w:hAnsi="Times New Roman;sans-serif"/>
                  <w:b w:val="false"/>
                  <w:color w:val="0000FF"/>
                  <w:sz w:val="20"/>
                  <w:u w:val="single"/>
                </w:rPr>
                <w:t>Second Amended and Restated Limited Liability Company Agreement of Viper Energy Partners LLC, dated as of May 9, 2018. (incorporated by reference to Exhibit 3.3 of the Partnership’s Current Report on Form 8-K (File 001-36505) filed on May 15, 2018).</w:t>
              </w:r>
            </w:hyperlink>
          </w:p>
        </w:tc>
      </w:tr>
      <w:tr>
        <w:trPr/>
        <w:tc>
          <w:tcPr>
            <w:tcW w:w="89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3.5</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80" w:type="dxa"/>
            <w:gridSpan w:val="3"/>
            <w:tcBorders/>
            <w:shd w:fill="FFFFFF" w:val="clear"/>
            <w:tcMar>
              <w:top w:w="0" w:type="dxa"/>
              <w:left w:w="0" w:type="dxa"/>
              <w:bottom w:w="0" w:type="dxa"/>
              <w:right w:w="0" w:type="dxa"/>
            </w:tcMar>
            <w:vAlign w:val="center"/>
          </w:tcPr>
          <w:p>
            <w:pPr>
              <w:pStyle w:val="TableContents"/>
              <w:spacing w:lineRule="auto" w:line="240" w:before="0" w:after="0"/>
              <w:jc w:val="both"/>
              <w:rPr/>
            </w:pPr>
            <w:hyperlink r:id="rId14">
              <w:r>
                <w:rPr>
                  <w:rStyle w:val="InternetLink"/>
                  <w:rFonts w:ascii="Times New Roman;sans-serif" w:hAnsi="Times New Roman;sans-serif"/>
                  <w:b w:val="false"/>
                  <w:color w:val="0000FF"/>
                  <w:sz w:val="20"/>
                  <w:u w:val="single"/>
                </w:rPr>
                <w:t xml:space="preserve">First Amendment to Second Amended and Restated Limited Liability Company Agreement of Viper Energy Partners LLC, dated as of March 30, 2020 (incorporated by reference to Exhibit 3.1 of the Partnership’s Current Report on Form 8-K (File 001-36505) filed on March 31, 2020). </w:t>
              </w:r>
            </w:hyperlink>
          </w:p>
        </w:tc>
      </w:tr>
      <w:tr>
        <w:trPr/>
        <w:tc>
          <w:tcPr>
            <w:tcW w:w="89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80" w:type="dxa"/>
            <w:gridSpan w:val="3"/>
            <w:tcBorders/>
            <w:shd w:fill="auto" w:val="clear"/>
            <w:vAlign w:val="center"/>
          </w:tcPr>
          <w:p>
            <w:pPr>
              <w:pStyle w:val="TableContents"/>
              <w:spacing w:before="0" w:after="283"/>
              <w:rPr>
                <w:sz w:val="4"/>
                <w:szCs w:val="4"/>
              </w:rPr>
            </w:pPr>
            <w:r>
              <w:rPr>
                <w:sz w:val="4"/>
                <w:szCs w:val="4"/>
              </w:rPr>
            </w:r>
          </w:p>
        </w:tc>
      </w:tr>
      <w:tr>
        <w:trPr/>
        <w:tc>
          <w:tcPr>
            <w:tcW w:w="89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3.6</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80" w:type="dxa"/>
            <w:gridSpan w:val="3"/>
            <w:tcBorders/>
            <w:shd w:fill="CCEEFF" w:val="clear"/>
            <w:tcMar>
              <w:top w:w="0" w:type="dxa"/>
              <w:left w:w="0" w:type="dxa"/>
              <w:bottom w:w="0" w:type="dxa"/>
              <w:right w:w="0" w:type="dxa"/>
            </w:tcMar>
            <w:vAlign w:val="center"/>
          </w:tcPr>
          <w:p>
            <w:pPr>
              <w:pStyle w:val="TableContents"/>
              <w:spacing w:lineRule="auto" w:line="240" w:before="0" w:after="0"/>
              <w:jc w:val="both"/>
              <w:rPr/>
            </w:pPr>
            <w:hyperlink r:id="rId15">
              <w:r>
                <w:rPr>
                  <w:rStyle w:val="InternetLink"/>
                </w:rPr>
                <w:t xml:space="preserve">Second Amendment to the Second Amended and Restated Limited Liability Company Agreement of Viper Energy Partners LLC, dated as of December 27, 2021 (incorporated by reference to </w:t>
              </w:r>
            </w:hyperlink>
            <w:hyperlink r:id="rId16">
              <w:r>
                <w:rPr>
                  <w:rStyle w:val="InternetLink"/>
                </w:rPr>
                <w:t xml:space="preserve">Exhibit </w:t>
              </w:r>
            </w:hyperlink>
            <w:hyperlink r:id="rId17">
              <w:r>
                <w:rPr>
                  <w:rStyle w:val="InternetLink"/>
                </w:rPr>
                <w:t>3.1 of the Partnership’s Current Report on Form 8-K (File 001-36505) filed on December 28, 2021).</w:t>
              </w:r>
            </w:hyperlink>
          </w:p>
        </w:tc>
      </w:tr>
      <w:tr>
        <w:trPr/>
        <w:tc>
          <w:tcPr>
            <w:tcW w:w="89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80" w:type="dxa"/>
            <w:gridSpan w:val="3"/>
            <w:tcBorders/>
            <w:shd w:fill="FFFFFF" w:val="clear"/>
            <w:tcMar>
              <w:top w:w="0" w:type="dxa"/>
              <w:left w:w="0" w:type="dxa"/>
              <w:bottom w:w="0" w:type="dxa"/>
              <w:right w:w="0" w:type="dxa"/>
            </w:tcMar>
            <w:vAlign w:val="center"/>
          </w:tcPr>
          <w:p>
            <w:pPr>
              <w:pStyle w:val="TableContents"/>
              <w:spacing w:lineRule="auto" w:line="240" w:before="0" w:after="0"/>
              <w:jc w:val="both"/>
              <w:rPr/>
            </w:pPr>
            <w:hyperlink r:id="rId18">
              <w:r>
                <w:rPr>
                  <w:rStyle w:val="InternetLink"/>
                  <w:rFonts w:ascii="Times New Roman;sans-serif" w:hAnsi="Times New Roman;sans-serif"/>
                  <w:b w:val="false"/>
                  <w:color w:val="0000FF"/>
                  <w:sz w:val="20"/>
                  <w:u w:val="single"/>
                </w:rPr>
                <w:t>Amended and Restated Registration Rights Agreement, dated as of May 9, 2018, by and between Viper Energy Partners LP and Diamondback Energy, Inc. (incorporated by reference to Exhibit 4.1 of the Partnership’s Current Report on Form 8-K (File 001-36505) filed on May 15, 2018).</w:t>
              </w:r>
            </w:hyperlink>
          </w:p>
        </w:tc>
      </w:tr>
      <w:tr>
        <w:trPr/>
        <w:tc>
          <w:tcPr>
            <w:tcW w:w="89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80" w:type="dxa"/>
            <w:gridSpan w:val="3"/>
            <w:tcBorders/>
            <w:shd w:fill="auto" w:val="clear"/>
            <w:vAlign w:val="center"/>
          </w:tcPr>
          <w:p>
            <w:pPr>
              <w:pStyle w:val="TableContents"/>
              <w:spacing w:before="0" w:after="283"/>
              <w:rPr>
                <w:sz w:val="4"/>
                <w:szCs w:val="4"/>
              </w:rPr>
            </w:pPr>
            <w:r>
              <w:rPr>
                <w:sz w:val="4"/>
                <w:szCs w:val="4"/>
              </w:rPr>
            </w:r>
          </w:p>
        </w:tc>
      </w:tr>
      <w:tr>
        <w:trPr/>
        <w:tc>
          <w:tcPr>
            <w:tcW w:w="89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80" w:type="dxa"/>
            <w:gridSpan w:val="3"/>
            <w:tcBorders/>
            <w:shd w:fill="auto" w:val="clear"/>
            <w:vAlign w:val="center"/>
          </w:tcPr>
          <w:p>
            <w:pPr>
              <w:pStyle w:val="TableContents"/>
              <w:spacing w:before="0" w:after="283"/>
              <w:rPr>
                <w:sz w:val="4"/>
                <w:szCs w:val="4"/>
              </w:rPr>
            </w:pPr>
            <w:r>
              <w:rPr>
                <w:sz w:val="4"/>
                <w:szCs w:val="4"/>
              </w:rPr>
            </w:r>
          </w:p>
        </w:tc>
      </w:tr>
      <w:tr>
        <w:trPr/>
        <w:tc>
          <w:tcPr>
            <w:tcW w:w="89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80" w:type="dxa"/>
            <w:gridSpan w:val="3"/>
            <w:tcBorders/>
            <w:shd w:fill="auto" w:val="clear"/>
            <w:vAlign w:val="center"/>
          </w:tcPr>
          <w:p>
            <w:pPr>
              <w:pStyle w:val="TableContents"/>
              <w:spacing w:before="0" w:after="283"/>
              <w:rPr>
                <w:sz w:val="4"/>
                <w:szCs w:val="4"/>
              </w:rPr>
            </w:pPr>
            <w:r>
              <w:rPr>
                <w:sz w:val="4"/>
                <w:szCs w:val="4"/>
              </w:rPr>
            </w:r>
          </w:p>
        </w:tc>
      </w:tr>
      <w:tr>
        <w:trPr/>
        <w:tc>
          <w:tcPr>
            <w:tcW w:w="89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80" w:type="dxa"/>
            <w:gridSpan w:val="3"/>
            <w:tcBorders/>
            <w:shd w:fill="auto" w:val="clear"/>
            <w:vAlign w:val="center"/>
          </w:tcPr>
          <w:p>
            <w:pPr>
              <w:pStyle w:val="TableContents"/>
              <w:spacing w:before="0" w:after="283"/>
              <w:rPr>
                <w:sz w:val="4"/>
                <w:szCs w:val="4"/>
              </w:rPr>
            </w:pPr>
            <w:r>
              <w:rPr>
                <w:sz w:val="4"/>
                <w:szCs w:val="4"/>
              </w:rPr>
            </w:r>
          </w:p>
        </w:tc>
      </w:tr>
      <w:tr>
        <w:trPr/>
        <w:tc>
          <w:tcPr>
            <w:tcW w:w="89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80" w:type="dxa"/>
            <w:gridSpan w:val="3"/>
            <w:tcBorders/>
            <w:shd w:fill="auto" w:val="clear"/>
            <w:vAlign w:val="center"/>
          </w:tcPr>
          <w:p>
            <w:pPr>
              <w:pStyle w:val="TableContents"/>
              <w:spacing w:before="0" w:after="283"/>
              <w:rPr>
                <w:sz w:val="4"/>
                <w:szCs w:val="4"/>
              </w:rPr>
            </w:pPr>
            <w:r>
              <w:rPr>
                <w:sz w:val="4"/>
                <w:szCs w:val="4"/>
              </w:rPr>
            </w:r>
          </w:p>
        </w:tc>
      </w:tr>
      <w:tr>
        <w:trPr/>
        <w:tc>
          <w:tcPr>
            <w:tcW w:w="89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80" w:type="dxa"/>
            <w:gridSpan w:val="3"/>
            <w:tcBorders/>
            <w:shd w:fill="auto" w:val="clear"/>
            <w:vAlign w:val="center"/>
          </w:tcPr>
          <w:p>
            <w:pPr>
              <w:pStyle w:val="TableContents"/>
              <w:spacing w:before="0" w:after="283"/>
              <w:rPr>
                <w:sz w:val="4"/>
                <w:szCs w:val="4"/>
              </w:rPr>
            </w:pPr>
            <w:r>
              <w:rPr>
                <w:sz w:val="4"/>
                <w:szCs w:val="4"/>
              </w:rPr>
            </w:r>
          </w:p>
        </w:tc>
      </w:tr>
      <w:tr>
        <w:trPr/>
        <w:tc>
          <w:tcPr>
            <w:tcW w:w="89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80" w:type="dxa"/>
            <w:gridSpan w:val="3"/>
            <w:tcBorders/>
            <w:shd w:fill="auto" w:val="clear"/>
            <w:vAlign w:val="center"/>
          </w:tcPr>
          <w:p>
            <w:pPr>
              <w:pStyle w:val="TableContents"/>
              <w:spacing w:before="0" w:after="283"/>
              <w:rPr>
                <w:sz w:val="4"/>
                <w:szCs w:val="4"/>
              </w:rPr>
            </w:pPr>
            <w:r>
              <w:rPr>
                <w:sz w:val="4"/>
                <w:szCs w:val="4"/>
              </w:rPr>
            </w:r>
          </w:p>
        </w:tc>
      </w:tr>
      <w:tr>
        <w:trPr/>
        <w:tc>
          <w:tcPr>
            <w:tcW w:w="89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80" w:type="dxa"/>
            <w:gridSpan w:val="3"/>
            <w:tcBorders/>
            <w:shd w:fill="CCEEFF" w:val="clear"/>
            <w:tcMar>
              <w:top w:w="0" w:type="dxa"/>
              <w:left w:w="0" w:type="dxa"/>
              <w:bottom w:w="0" w:type="dxa"/>
              <w:right w:w="0" w:type="dxa"/>
            </w:tcMar>
            <w:vAlign w:val="center"/>
          </w:tcPr>
          <w:p>
            <w:pPr>
              <w:pStyle w:val="TableContents"/>
              <w:spacing w:lineRule="auto" w:line="240" w:before="0" w:after="0"/>
              <w:jc w:val="both"/>
              <w:rPr/>
            </w:pPr>
            <w:hyperlink r:id="rId19">
              <w:r>
                <w:rPr>
                  <w:rStyle w:val="InternetLink"/>
                  <w:rFonts w:ascii="Times New Roman;sans-serif" w:hAnsi="Times New Roman;sans-serif"/>
                  <w:b w:val="false"/>
                  <w:color w:val="0000FF"/>
                  <w:sz w:val="20"/>
                  <w:u w:val="single"/>
                </w:rPr>
                <w:t>Registration Rights Agreement, dated as of October 1, 2021, by and among Viper Energy Partners LP, Swallowtail Royalties LLC and Swallowtail Royalties II LLC (incorporated by reference to Exhibit 4.1 of the Partnership’s Current Report on Form 8-K (File 001-36505) filed on October 7, 2021).</w:t>
              </w:r>
            </w:hyperlink>
          </w:p>
        </w:tc>
      </w:tr>
      <w:tr>
        <w:trPr/>
        <w:tc>
          <w:tcPr>
            <w:tcW w:w="89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80" w:type="dxa"/>
            <w:gridSpan w:val="3"/>
            <w:tcBorders/>
            <w:shd w:fill="FFFFFF" w:val="clear"/>
            <w:tcMar>
              <w:top w:w="0" w:type="dxa"/>
              <w:left w:w="0" w:type="dxa"/>
              <w:bottom w:w="0" w:type="dxa"/>
              <w:right w:w="0" w:type="dxa"/>
            </w:tcMar>
            <w:vAlign w:val="center"/>
          </w:tcPr>
          <w:p>
            <w:pPr>
              <w:pStyle w:val="TableContents"/>
              <w:spacing w:lineRule="auto" w:line="240" w:before="0" w:after="40"/>
              <w:jc w:val="both"/>
              <w:rPr/>
            </w:pPr>
            <w:hyperlink w:anchor="q12023viper10-qxex311.htm">
              <w:r>
                <w:rPr>
                  <w:rStyle w:val="InternetLink"/>
                  <w:rFonts w:ascii="Times New Roman;sans-serif" w:hAnsi="Times New Roman;sans-serif"/>
                  <w:b w:val="false"/>
                  <w:color w:val="0000FF"/>
                  <w:sz w:val="20"/>
                  <w:u w:val="single"/>
                </w:rPr>
                <w:t>Certification of Chief Executive Officer pursuant to Rule 13a-14(a) promulgated under the Securities Exchange Act of 1934, as amended.</w:t>
              </w:r>
            </w:hyperlink>
          </w:p>
        </w:tc>
      </w:tr>
      <w:tr>
        <w:trPr/>
        <w:tc>
          <w:tcPr>
            <w:tcW w:w="89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80" w:type="dxa"/>
            <w:gridSpan w:val="3"/>
            <w:tcBorders/>
            <w:shd w:fill="CCEEFF" w:val="clear"/>
            <w:tcMar>
              <w:top w:w="0" w:type="dxa"/>
              <w:left w:w="0" w:type="dxa"/>
              <w:bottom w:w="0" w:type="dxa"/>
              <w:right w:w="0" w:type="dxa"/>
            </w:tcMar>
            <w:vAlign w:val="center"/>
          </w:tcPr>
          <w:p>
            <w:pPr>
              <w:pStyle w:val="TableContents"/>
              <w:spacing w:lineRule="auto" w:line="240" w:before="0" w:after="40"/>
              <w:jc w:val="both"/>
              <w:rPr/>
            </w:pPr>
            <w:hyperlink w:anchor="q12023viper10-qxex312.htm">
              <w:r>
                <w:rPr>
                  <w:rStyle w:val="InternetLink"/>
                  <w:rFonts w:ascii="Times New Roman;sans-serif" w:hAnsi="Times New Roman;sans-serif"/>
                  <w:b w:val="false"/>
                  <w:color w:val="0000FF"/>
                  <w:sz w:val="20"/>
                  <w:u w:val="single"/>
                </w:rPr>
                <w:t>Certification of Chief Financial Officer pursuant to Rule 13a-14(a) promulgated under the Securities Exchange Act of 1934, as amended.</w:t>
              </w:r>
            </w:hyperlink>
          </w:p>
        </w:tc>
      </w:tr>
      <w:tr>
        <w:trPr/>
        <w:tc>
          <w:tcPr>
            <w:tcW w:w="89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80" w:type="dxa"/>
            <w:gridSpan w:val="3"/>
            <w:tcBorders/>
            <w:shd w:fill="FFFFFF" w:val="clear"/>
            <w:tcMar>
              <w:top w:w="0" w:type="dxa"/>
              <w:left w:w="0" w:type="dxa"/>
              <w:bottom w:w="0" w:type="dxa"/>
              <w:right w:w="0" w:type="dxa"/>
            </w:tcMar>
            <w:vAlign w:val="center"/>
          </w:tcPr>
          <w:p>
            <w:pPr>
              <w:pStyle w:val="TableContents"/>
              <w:spacing w:lineRule="auto" w:line="240" w:before="0" w:after="40"/>
              <w:jc w:val="both"/>
              <w:rPr/>
            </w:pPr>
            <w:hyperlink w:anchor="q12023viper10-qxex321.htm">
              <w:r>
                <w:rPr>
                  <w:rStyle w:val="InternetLink"/>
                  <w:rFonts w:ascii="Times New Roman;sans-serif" w:hAnsi="Times New Roman;sans-serif"/>
                  <w:b w:val="false"/>
                  <w:color w:val="0000FF"/>
                  <w:sz w:val="20"/>
                  <w:u w:val="single"/>
                </w:rPr>
                <w:t>Certification of Chief Executive Officer and Chief Financial Officer pursuant to Rule 13a-14(b) promulgated under the Securities Exchange Act of 1934, as amended, and Section 1350 of Chapter 63 of Title 18 of the United States Code.</w:t>
              </w:r>
            </w:hyperlink>
          </w:p>
        </w:tc>
      </w:tr>
      <w:tr>
        <w:trPr/>
        <w:tc>
          <w:tcPr>
            <w:tcW w:w="89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80" w:type="dxa"/>
            <w:gridSpan w:val="3"/>
            <w:tcBorders/>
            <w:shd w:fill="CCEEFF" w:val="clear"/>
            <w:tcMar>
              <w:top w:w="0" w:type="dxa"/>
              <w:left w:w="0" w:type="dxa"/>
              <w:bottom w:w="0" w:type="dxa"/>
              <w:right w:w="0" w:type="dxa"/>
            </w:tcMar>
            <w:vAlign w:val="center"/>
          </w:tcPr>
          <w:p>
            <w:pPr>
              <w:pStyle w:val="TableContents"/>
              <w:spacing w:lineRule="auto" w:line="240"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financial information from the Registrant’s Quarterly Report on Form 10-Q for the quarter ended March 31, 2023, formatted in Inline XBRL: (i) Condensed Consolidated Balance Sheets, (ii) Condensed Consolidated Statements of Operations, (iii) Condensed Consolidated Statement of Changes in Unitholders’ Equity, (iv) Condensed Consolidated Statements of Cash Flows and (v) Condensed Notes to Consolidated Financial Statements.</w:t>
            </w:r>
          </w:p>
        </w:tc>
      </w:tr>
      <w:tr>
        <w:trPr/>
        <w:tc>
          <w:tcPr>
            <w:tcW w:w="89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80" w:type="dxa"/>
            <w:gridSpan w:val="3"/>
            <w:tcBorders/>
            <w:shd w:fill="auto" w:val="clear"/>
            <w:vAlign w:val="center"/>
          </w:tcPr>
          <w:p>
            <w:pPr>
              <w:pStyle w:val="TableContents"/>
              <w:spacing w:before="0" w:after="283"/>
              <w:rPr>
                <w:sz w:val="4"/>
                <w:szCs w:val="4"/>
              </w:rPr>
            </w:pPr>
            <w:r>
              <w:rPr>
                <w:sz w:val="4"/>
                <w:szCs w:val="4"/>
              </w:rPr>
            </w:r>
          </w:p>
        </w:tc>
      </w:tr>
      <w:tr>
        <w:trPr/>
        <w:tc>
          <w:tcPr>
            <w:tcW w:w="89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80" w:type="dxa"/>
            <w:gridSpan w:val="3"/>
            <w:tcBorders/>
            <w:shd w:fill="auto" w:val="clear"/>
            <w:vAlign w:val="center"/>
          </w:tcPr>
          <w:p>
            <w:pPr>
              <w:pStyle w:val="TableContents"/>
              <w:spacing w:before="0" w:after="283"/>
              <w:rPr>
                <w:sz w:val="4"/>
                <w:szCs w:val="4"/>
              </w:rPr>
            </w:pPr>
            <w:r>
              <w:rPr>
                <w:sz w:val="4"/>
                <w:szCs w:val="4"/>
              </w:rPr>
            </w:r>
          </w:p>
        </w:tc>
      </w:tr>
      <w:tr>
        <w:trPr/>
        <w:tc>
          <w:tcPr>
            <w:tcW w:w="89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80" w:type="dxa"/>
            <w:gridSpan w:val="3"/>
            <w:tcBorders/>
            <w:shd w:fill="auto" w:val="clear"/>
            <w:vAlign w:val="center"/>
          </w:tcPr>
          <w:p>
            <w:pPr>
              <w:pStyle w:val="TableContents"/>
              <w:spacing w:before="0" w:after="283"/>
              <w:rPr>
                <w:sz w:val="4"/>
                <w:szCs w:val="4"/>
              </w:rPr>
            </w:pPr>
            <w:r>
              <w:rPr>
                <w:sz w:val="4"/>
                <w:szCs w:val="4"/>
              </w:rPr>
            </w:r>
          </w:p>
        </w:tc>
      </w:tr>
      <w:tr>
        <w:trPr/>
        <w:tc>
          <w:tcPr>
            <w:tcW w:w="89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80" w:type="dxa"/>
            <w:gridSpan w:val="3"/>
            <w:tcBorders/>
            <w:shd w:fill="auto" w:val="clear"/>
            <w:vAlign w:val="center"/>
          </w:tcPr>
          <w:p>
            <w:pPr>
              <w:pStyle w:val="TableContents"/>
              <w:spacing w:before="0" w:after="283"/>
              <w:rPr>
                <w:sz w:val="4"/>
                <w:szCs w:val="4"/>
              </w:rPr>
            </w:pPr>
            <w:r>
              <w:rPr>
                <w:sz w:val="4"/>
                <w:szCs w:val="4"/>
              </w:rPr>
            </w:r>
          </w:p>
        </w:tc>
      </w:tr>
      <w:tr>
        <w:trPr/>
        <w:tc>
          <w:tcPr>
            <w:tcW w:w="89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80" w:type="dxa"/>
            <w:gridSpan w:val="3"/>
            <w:tcBorders/>
            <w:shd w:fill="auto" w:val="clear"/>
            <w:vAlign w:val="center"/>
          </w:tcPr>
          <w:p>
            <w:pPr>
              <w:pStyle w:val="TableContents"/>
              <w:spacing w:before="0" w:after="283"/>
              <w:rPr>
                <w:sz w:val="4"/>
                <w:szCs w:val="4"/>
              </w:rPr>
            </w:pPr>
            <w:r>
              <w:rPr>
                <w:sz w:val="4"/>
                <w:szCs w:val="4"/>
              </w:rPr>
            </w:r>
          </w:p>
        </w:tc>
      </w:tr>
      <w:tr>
        <w:trPr/>
        <w:tc>
          <w:tcPr>
            <w:tcW w:w="89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80" w:type="dxa"/>
            <w:gridSpan w:val="3"/>
            <w:tcBorders/>
            <w:shd w:fill="auto" w:val="clear"/>
            <w:vAlign w:val="center"/>
          </w:tcPr>
          <w:p>
            <w:pPr>
              <w:pStyle w:val="TableContents"/>
              <w:spacing w:before="0" w:after="283"/>
              <w:rPr>
                <w:sz w:val="4"/>
                <w:szCs w:val="4"/>
              </w:rPr>
            </w:pPr>
            <w:r>
              <w:rPr>
                <w:sz w:val="4"/>
                <w:szCs w:val="4"/>
              </w:rPr>
            </w:r>
          </w:p>
        </w:tc>
      </w:tr>
      <w:tr>
        <w:trPr/>
        <w:tc>
          <w:tcPr>
            <w:tcW w:w="89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80" w:type="dxa"/>
            <w:gridSpan w:val="3"/>
            <w:tcBorders/>
            <w:shd w:fill="FFFFFF" w:val="clear"/>
            <w:tcMar>
              <w:top w:w="0" w:type="dxa"/>
              <w:left w:w="0" w:type="dxa"/>
              <w:bottom w:w="0" w:type="dxa"/>
              <w:right w:w="0" w:type="dxa"/>
            </w:tcMar>
            <w:vAlign w:val="center"/>
          </w:tcPr>
          <w:p>
            <w:pPr>
              <w:pStyle w:val="TableContents"/>
              <w:spacing w:lineRule="auto" w:line="240"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(formatted as Inline XBRL and contained in Exhibit 101).</w:t>
            </w:r>
          </w:p>
        </w:tc>
      </w:tr>
    </w:tbl>
    <w:tbl>
      <w:tblPr>
        <w:tblW w:w="10205" w:type="dxa"/>
        <w:jc w:val="left"/>
        <w:tblInd w:w="0" w:type="dxa"/>
        <w:tblCellMar>
          <w:top w:w="28" w:type="dxa"/>
          <w:left w:w="28" w:type="dxa"/>
          <w:bottom w:w="28" w:type="dxa"/>
          <w:right w:w="28" w:type="dxa"/>
        </w:tblCellMar>
      </w:tblPr>
      <w:tblGrid>
        <w:gridCol w:w="124"/>
        <w:gridCol w:w="109"/>
        <w:gridCol w:w="109"/>
        <w:gridCol w:w="2884"/>
        <w:gridCol w:w="2884"/>
        <w:gridCol w:w="4095"/>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84" w:type="dxa"/>
            <w:tcBorders/>
            <w:shd w:fill="auto" w:val="clear"/>
            <w:vAlign w:val="center"/>
          </w:tcPr>
          <w:p>
            <w:pPr>
              <w:pStyle w:val="TableContents"/>
              <w:spacing w:before="0" w:after="283"/>
              <w:rPr>
                <w:sz w:val="4"/>
                <w:szCs w:val="4"/>
              </w:rPr>
            </w:pPr>
            <w:r>
              <w:rPr>
                <w:sz w:val="4"/>
                <w:szCs w:val="4"/>
              </w:rPr>
            </w:r>
          </w:p>
        </w:tc>
        <w:tc>
          <w:tcPr>
            <w:tcW w:w="2884" w:type="dxa"/>
            <w:tcBorders/>
            <w:shd w:fill="auto" w:val="clear"/>
            <w:vAlign w:val="center"/>
          </w:tcPr>
          <w:p>
            <w:pPr>
              <w:pStyle w:val="TableContents"/>
              <w:spacing w:before="0" w:after="283"/>
              <w:rPr>
                <w:sz w:val="4"/>
                <w:szCs w:val="4"/>
              </w:rPr>
            </w:pPr>
            <w:r>
              <w:rPr>
                <w:sz w:val="4"/>
                <w:szCs w:val="4"/>
              </w:rPr>
            </w:r>
          </w:p>
        </w:tc>
        <w:tc>
          <w:tcPr>
            <w:tcW w:w="4095"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6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Filed herewith.</w:t>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63"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certifications attached as Exhibit 32.1 accompany this Quarterly Report on Form 10-Q pursuant to 18 U.S.C. Section 1350, as adopted pursuant to Section 906 of the Sarbanes-Oxley Act of 2002, and shall not be deemed “filed” by the Registrant for purposes of Section 18 of the Securities Exchange Act of 1934, as amended.</w:t>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9863" w:type="dxa"/>
            <w:gridSpan w:val="3"/>
            <w:tcBorders/>
            <w:shd w:fill="auto" w:val="cle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v:rect>
            </w:pict>
          </mc:Fallback>
        </mc:AlternateContent>
      </w:r>
    </w:p>
    <w:p>
      <w:pPr>
        <w:pStyle w:val="TextBody"/>
        <w:spacing w:lineRule="auto" w:line="288" w:before="0" w:after="0"/>
        <w:rPr/>
      </w:pPr>
      <w:hyperlink w:anchor="i8dd89f0c72444a288e2bb25168f12b04_7">
        <w:r>
          <w:rPr>
            <w:rStyle w:val="InternetLink"/>
            <w:rFonts w:ascii="Times New Roman;sans-serif" w:hAnsi="Times New Roman;sans-serif"/>
            <w:b w:val="false"/>
            <w:color w:val="0000FF"/>
            <w:sz w:val="16"/>
            <w:u w:val="single"/>
          </w:rPr>
          <w:t>Table of Contents</w:t>
        </w:r>
      </w:hyperlink>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spacing w:before="0" w:after="0"/>
        <w:jc w:val="center"/>
        <w:rPr/>
      </w:pPr>
      <w:r>
        <w:rPr/>
      </w:r>
    </w:p>
    <w:p>
      <w:pPr>
        <w:pStyle w:val="TextBody"/>
        <w:spacing w:lineRule="auto" w:line="288" w:before="0" w:after="30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and Exchange Act of 1934, the Registrant has duly caused this report to be signed on its behalf by the undersigned thereunto duly authorized.</w:t>
      </w:r>
    </w:p>
    <w:p>
      <w:pPr>
        <w:pStyle w:val="TextBody"/>
        <w:spacing w:before="0" w:after="0"/>
        <w:ind w:left="0" w:right="0" w:firstLine="720"/>
        <w:rPr/>
      </w:pPr>
      <w:r>
        <w:rPr/>
      </w:r>
    </w:p>
    <w:tbl>
      <w:tblPr>
        <w:tblW w:w="6358" w:type="dxa"/>
        <w:jc w:val="left"/>
        <w:tblInd w:w="0" w:type="dxa"/>
        <w:tblCellMar>
          <w:top w:w="28" w:type="dxa"/>
          <w:left w:w="28" w:type="dxa"/>
          <w:bottom w:w="28" w:type="dxa"/>
          <w:right w:w="28" w:type="dxa"/>
        </w:tblCellMar>
      </w:tblPr>
      <w:tblGrid>
        <w:gridCol w:w="200"/>
        <w:gridCol w:w="177"/>
        <w:gridCol w:w="178"/>
        <w:gridCol w:w="379"/>
        <w:gridCol w:w="379"/>
        <w:gridCol w:w="381"/>
        <w:gridCol w:w="465"/>
        <w:gridCol w:w="465"/>
        <w:gridCol w:w="465"/>
        <w:gridCol w:w="948"/>
        <w:gridCol w:w="948"/>
        <w:gridCol w:w="1373"/>
      </w:tblGrid>
      <w:tr>
        <w:trPr/>
        <w:tc>
          <w:tcPr>
            <w:tcW w:w="200"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sz w:val="4"/>
                <w:szCs w:val="4"/>
              </w:rPr>
            </w:pPr>
            <w:r>
              <w:rPr>
                <w:sz w:val="4"/>
                <w:szCs w:val="4"/>
              </w:rPr>
            </w:r>
          </w:p>
        </w:tc>
        <w:tc>
          <w:tcPr>
            <w:tcW w:w="178" w:type="dxa"/>
            <w:tcBorders/>
            <w:shd w:fill="auto" w:val="clear"/>
            <w:vAlign w:val="center"/>
          </w:tcPr>
          <w:p>
            <w:pPr>
              <w:pStyle w:val="TableContents"/>
              <w:spacing w:before="0" w:after="283"/>
              <w:rPr>
                <w:sz w:val="4"/>
                <w:szCs w:val="4"/>
              </w:rPr>
            </w:pPr>
            <w:r>
              <w:rPr>
                <w:sz w:val="4"/>
                <w:szCs w:val="4"/>
              </w:rPr>
            </w:r>
          </w:p>
        </w:tc>
        <w:tc>
          <w:tcPr>
            <w:tcW w:w="379" w:type="dxa"/>
            <w:tcBorders/>
            <w:shd w:fill="auto" w:val="clear"/>
            <w:vAlign w:val="center"/>
          </w:tcPr>
          <w:p>
            <w:pPr>
              <w:pStyle w:val="TableContents"/>
              <w:spacing w:before="0" w:after="283"/>
              <w:rPr>
                <w:sz w:val="4"/>
                <w:szCs w:val="4"/>
              </w:rPr>
            </w:pPr>
            <w:r>
              <w:rPr>
                <w:sz w:val="4"/>
                <w:szCs w:val="4"/>
              </w:rPr>
            </w:r>
          </w:p>
        </w:tc>
        <w:tc>
          <w:tcPr>
            <w:tcW w:w="379" w:type="dxa"/>
            <w:tcBorders/>
            <w:shd w:fill="auto" w:val="clear"/>
            <w:vAlign w:val="center"/>
          </w:tcPr>
          <w:p>
            <w:pPr>
              <w:pStyle w:val="TableContents"/>
              <w:spacing w:before="0" w:after="283"/>
              <w:rPr>
                <w:sz w:val="4"/>
                <w:szCs w:val="4"/>
              </w:rPr>
            </w:pPr>
            <w:r>
              <w:rPr>
                <w:sz w:val="4"/>
                <w:szCs w:val="4"/>
              </w:rPr>
            </w:r>
          </w:p>
        </w:tc>
        <w:tc>
          <w:tcPr>
            <w:tcW w:w="381" w:type="dxa"/>
            <w:tcBorders/>
            <w:shd w:fill="auto" w:val="clear"/>
            <w:vAlign w:val="center"/>
          </w:tcPr>
          <w:p>
            <w:pPr>
              <w:pStyle w:val="TableContents"/>
              <w:spacing w:before="0" w:after="283"/>
              <w:rPr>
                <w:sz w:val="4"/>
                <w:szCs w:val="4"/>
              </w:rPr>
            </w:pPr>
            <w:r>
              <w:rPr>
                <w:sz w:val="4"/>
                <w:szCs w:val="4"/>
              </w:rPr>
            </w:r>
          </w:p>
        </w:tc>
        <w:tc>
          <w:tcPr>
            <w:tcW w:w="465" w:type="dxa"/>
            <w:tcBorders/>
            <w:shd w:fill="auto" w:val="clear"/>
            <w:vAlign w:val="center"/>
          </w:tcPr>
          <w:p>
            <w:pPr>
              <w:pStyle w:val="TableContents"/>
              <w:spacing w:before="0" w:after="283"/>
              <w:rPr>
                <w:sz w:val="4"/>
                <w:szCs w:val="4"/>
              </w:rPr>
            </w:pPr>
            <w:r>
              <w:rPr>
                <w:sz w:val="4"/>
                <w:szCs w:val="4"/>
              </w:rPr>
            </w:r>
          </w:p>
        </w:tc>
        <w:tc>
          <w:tcPr>
            <w:tcW w:w="465" w:type="dxa"/>
            <w:tcBorders/>
            <w:shd w:fill="auto" w:val="clear"/>
            <w:vAlign w:val="center"/>
          </w:tcPr>
          <w:p>
            <w:pPr>
              <w:pStyle w:val="TableContents"/>
              <w:spacing w:before="0" w:after="283"/>
              <w:rPr>
                <w:sz w:val="4"/>
                <w:szCs w:val="4"/>
              </w:rPr>
            </w:pPr>
            <w:r>
              <w:rPr>
                <w:sz w:val="4"/>
                <w:szCs w:val="4"/>
              </w:rPr>
            </w:r>
          </w:p>
        </w:tc>
        <w:tc>
          <w:tcPr>
            <w:tcW w:w="465" w:type="dxa"/>
            <w:tcBorders/>
            <w:shd w:fill="auto" w:val="clear"/>
            <w:vAlign w:val="center"/>
          </w:tcPr>
          <w:p>
            <w:pPr>
              <w:pStyle w:val="TableContents"/>
              <w:spacing w:before="0" w:after="283"/>
              <w:rPr>
                <w:sz w:val="4"/>
                <w:szCs w:val="4"/>
              </w:rPr>
            </w:pPr>
            <w:r>
              <w:rPr>
                <w:sz w:val="4"/>
                <w:szCs w:val="4"/>
              </w:rPr>
            </w:r>
          </w:p>
        </w:tc>
        <w:tc>
          <w:tcPr>
            <w:tcW w:w="948" w:type="dxa"/>
            <w:tcBorders/>
            <w:shd w:fill="auto" w:val="clear"/>
            <w:vAlign w:val="center"/>
          </w:tcPr>
          <w:p>
            <w:pPr>
              <w:pStyle w:val="TableContents"/>
              <w:spacing w:before="0" w:after="283"/>
              <w:rPr>
                <w:sz w:val="4"/>
                <w:szCs w:val="4"/>
              </w:rPr>
            </w:pPr>
            <w:r>
              <w:rPr>
                <w:sz w:val="4"/>
                <w:szCs w:val="4"/>
              </w:rPr>
            </w:r>
          </w:p>
        </w:tc>
        <w:tc>
          <w:tcPr>
            <w:tcW w:w="948" w:type="dxa"/>
            <w:tcBorders/>
            <w:shd w:fill="auto" w:val="clear"/>
            <w:vAlign w:val="center"/>
          </w:tcPr>
          <w:p>
            <w:pPr>
              <w:pStyle w:val="TableContents"/>
              <w:spacing w:before="0" w:after="283"/>
              <w:rPr>
                <w:sz w:val="4"/>
                <w:szCs w:val="4"/>
              </w:rPr>
            </w:pPr>
            <w:r>
              <w:rPr>
                <w:sz w:val="4"/>
                <w:szCs w:val="4"/>
              </w:rPr>
            </w:r>
          </w:p>
        </w:tc>
        <w:tc>
          <w:tcPr>
            <w:tcW w:w="1373" w:type="dxa"/>
            <w:tcBorders/>
            <w:shd w:fill="auto" w:val="clear"/>
            <w:vAlign w:val="center"/>
          </w:tcPr>
          <w:p>
            <w:pPr>
              <w:pStyle w:val="TableContents"/>
              <w:spacing w:before="0" w:after="283"/>
              <w:rPr>
                <w:sz w:val="4"/>
                <w:szCs w:val="4"/>
              </w:rPr>
            </w:pPr>
            <w:r>
              <w:rPr>
                <w:sz w:val="4"/>
                <w:szCs w:val="4"/>
              </w:rPr>
            </w:r>
          </w:p>
        </w:tc>
      </w:tr>
      <w:tr>
        <w:trPr/>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4"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VIPER ENERGY PARTNERS LP</w:t>
            </w:r>
          </w:p>
        </w:tc>
      </w:tr>
      <w:tr>
        <w:trPr/>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4"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26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VIPER ENERGY PARTNERS GP LLC</w:t>
            </w:r>
          </w:p>
        </w:tc>
      </w:tr>
      <w:tr>
        <w:trPr/>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6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its General Partner</w:t>
            </w:r>
          </w:p>
        </w:tc>
      </w:tr>
      <w:tr>
        <w:trPr/>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1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3, 2023</w:t>
            </w:r>
          </w:p>
        </w:tc>
        <w:tc>
          <w:tcPr>
            <w:tcW w:w="139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26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Travis D. Stice</w:t>
            </w:r>
          </w:p>
        </w:tc>
      </w:tr>
      <w:tr>
        <w:trPr/>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6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Travis D. Stice</w:t>
            </w:r>
          </w:p>
        </w:tc>
      </w:tr>
      <w:tr>
        <w:trPr/>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6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r>
      <w:tr>
        <w:trPr/>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4"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1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3, 2023</w:t>
            </w:r>
          </w:p>
        </w:tc>
        <w:tc>
          <w:tcPr>
            <w:tcW w:w="139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26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Teresa L. Dick</w:t>
            </w:r>
          </w:p>
        </w:tc>
      </w:tr>
      <w:tr>
        <w:trPr/>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6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Teresa L. Dick</w:t>
            </w:r>
          </w:p>
        </w:tc>
      </w:tr>
      <w:tr>
        <w:trPr/>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6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bl>
    <w:p>
      <w:pPr>
        <w:pStyle w:val="TextBody"/>
        <w:jc w:val="both"/>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v:rect>
            </w:pict>
          </mc:Fallback>
        </mc:AlternateContent>
      </w:r>
    </w:p>
    <w:p>
      <w:pPr>
        <w:pStyle w:val="TextBody"/>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 xml:space="preserve">EXHIBIT 31.1 </w:t>
      </w:r>
    </w:p>
    <w:p>
      <w:pPr>
        <w:pStyle w:val="TextBody"/>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 xml:space="preserve">CERTIFICATION </w:t>
      </w:r>
    </w:p>
    <w:p>
      <w:pPr>
        <w:pStyle w:val="TextBody"/>
        <w:spacing w:lineRule="auto" w:line="288" w:before="18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I, Travis D. Stice, certify that: </w:t>
      </w:r>
    </w:p>
    <w:p>
      <w:pPr>
        <w:pStyle w:val="TextBody"/>
        <w:spacing w:lineRule="auto" w:line="288" w:before="100" w:after="283"/>
        <w:ind w:left="0" w:right="0" w:hanging="450"/>
        <w:rPr>
          <w:rFonts w:ascii="Times New Roman;sans-serif" w:hAnsi="Times New Roman;sans-serif"/>
          <w:b w:val="false"/>
          <w:color w:val="000000"/>
          <w:sz w:val="20"/>
        </w:rPr>
      </w:pPr>
      <w:r>
        <w:rPr>
          <w:rFonts w:ascii="Times New Roman;sans-serif" w:hAnsi="Times New Roman;sans-serif"/>
          <w:b w:val="false"/>
          <w:color w:val="000000"/>
          <w:sz w:val="20"/>
        </w:rPr>
        <w:t xml:space="preserve">1.    I have reviewed this Quarterly Report on Form 10-Q of Viper Energy Partners LP (the “registrant”). </w:t>
      </w:r>
    </w:p>
    <w:p>
      <w:pPr>
        <w:pStyle w:val="TextBody"/>
        <w:spacing w:lineRule="auto" w:line="288" w:before="100" w:after="283"/>
        <w:ind w:left="0" w:right="0" w:hanging="450"/>
        <w:rPr>
          <w:rFonts w:ascii="Times New Roman;sans-serif" w:hAnsi="Times New Roman;sans-serif"/>
          <w:b w:val="false"/>
          <w:color w:val="000000"/>
          <w:sz w:val="20"/>
        </w:rPr>
      </w:pPr>
      <w:r>
        <w:rPr>
          <w:rFonts w:ascii="Times New Roman;sans-serif" w:hAnsi="Times New Roman;sans-serif"/>
          <w:b w:val="false"/>
          <w:color w:val="000000"/>
          <w:sz w:val="20"/>
        </w:rPr>
        <w:t xml:space="preserve">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spacing w:lineRule="auto" w:line="288" w:before="100" w:after="283"/>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3.    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spacing w:lineRule="auto" w:line="288" w:before="100" w:after="283"/>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spacing w:lineRule="auto" w:line="288" w:before="100" w:after="283"/>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spacing w:lineRule="auto" w:line="288" w:before="100" w:after="283"/>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lineRule="auto" w:line="288" w:before="100" w:after="283"/>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spacing w:lineRule="auto" w:line="288" w:before="100" w:after="283"/>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spacing w:lineRule="auto" w:line="288" w:before="100" w:after="283"/>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 </w:t>
      </w:r>
    </w:p>
    <w:p>
      <w:pPr>
        <w:pStyle w:val="TextBody"/>
        <w:spacing w:lineRule="auto" w:line="288" w:before="100" w:after="283"/>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    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spacing w:lineRule="auto" w:line="288" w:before="100" w:after="80"/>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    Any fraud, whether or not material, that involves management or other employees who have a significant role in the registrant’s internal control over financial reporting. </w:t>
      </w:r>
    </w:p>
    <w:p>
      <w:pPr>
        <w:pStyle w:val="TextBody"/>
        <w:spacing w:lineRule="auto" w:line="288" w:before="0" w:after="0"/>
        <w:rPr>
          <w:color w:val="000000"/>
        </w:rPr>
      </w:pPr>
      <w:r>
        <w:rPr>
          <w:color w:val="000000"/>
        </w:rPr>
        <w:t> </w:t>
      </w:r>
    </w:p>
    <w:tbl>
      <w:tblPr>
        <w:tblW w:w="6055" w:type="dxa"/>
        <w:jc w:val="left"/>
        <w:tblInd w:w="0" w:type="dxa"/>
        <w:tblCellMar>
          <w:top w:w="28" w:type="dxa"/>
          <w:left w:w="28" w:type="dxa"/>
          <w:bottom w:w="28" w:type="dxa"/>
          <w:right w:w="28" w:type="dxa"/>
        </w:tblCellMar>
      </w:tblPr>
      <w:tblGrid>
        <w:gridCol w:w="216"/>
        <w:gridCol w:w="191"/>
        <w:gridCol w:w="192"/>
        <w:gridCol w:w="379"/>
        <w:gridCol w:w="379"/>
        <w:gridCol w:w="381"/>
        <w:gridCol w:w="109"/>
        <w:gridCol w:w="109"/>
        <w:gridCol w:w="109"/>
        <w:gridCol w:w="1163"/>
        <w:gridCol w:w="1163"/>
        <w:gridCol w:w="1664"/>
      </w:tblGrid>
      <w:tr>
        <w:trPr/>
        <w:tc>
          <w:tcPr>
            <w:tcW w:w="216"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c>
          <w:tcPr>
            <w:tcW w:w="192" w:type="dxa"/>
            <w:tcBorders/>
            <w:shd w:fill="auto" w:val="clear"/>
            <w:vAlign w:val="center"/>
          </w:tcPr>
          <w:p>
            <w:pPr>
              <w:pStyle w:val="TableContents"/>
              <w:spacing w:before="0" w:after="283"/>
              <w:rPr>
                <w:sz w:val="4"/>
                <w:szCs w:val="4"/>
              </w:rPr>
            </w:pPr>
            <w:r>
              <w:rPr>
                <w:sz w:val="4"/>
                <w:szCs w:val="4"/>
              </w:rPr>
            </w:r>
          </w:p>
        </w:tc>
        <w:tc>
          <w:tcPr>
            <w:tcW w:w="379" w:type="dxa"/>
            <w:tcBorders/>
            <w:shd w:fill="auto" w:val="clear"/>
            <w:vAlign w:val="center"/>
          </w:tcPr>
          <w:p>
            <w:pPr>
              <w:pStyle w:val="TableContents"/>
              <w:spacing w:before="0" w:after="283"/>
              <w:rPr>
                <w:sz w:val="4"/>
                <w:szCs w:val="4"/>
              </w:rPr>
            </w:pPr>
            <w:r>
              <w:rPr>
                <w:sz w:val="4"/>
                <w:szCs w:val="4"/>
              </w:rPr>
            </w:r>
          </w:p>
        </w:tc>
        <w:tc>
          <w:tcPr>
            <w:tcW w:w="379" w:type="dxa"/>
            <w:tcBorders/>
            <w:shd w:fill="auto" w:val="clear"/>
            <w:vAlign w:val="center"/>
          </w:tcPr>
          <w:p>
            <w:pPr>
              <w:pStyle w:val="TableContents"/>
              <w:spacing w:before="0" w:after="283"/>
              <w:rPr>
                <w:sz w:val="4"/>
                <w:szCs w:val="4"/>
              </w:rPr>
            </w:pPr>
            <w:r>
              <w:rPr>
                <w:sz w:val="4"/>
                <w:szCs w:val="4"/>
              </w:rPr>
            </w:r>
          </w:p>
        </w:tc>
        <w:tc>
          <w:tcPr>
            <w:tcW w:w="38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63" w:type="dxa"/>
            <w:tcBorders/>
            <w:shd w:fill="auto" w:val="clear"/>
            <w:vAlign w:val="center"/>
          </w:tcPr>
          <w:p>
            <w:pPr>
              <w:pStyle w:val="TableContents"/>
              <w:spacing w:before="0" w:after="283"/>
              <w:rPr>
                <w:sz w:val="4"/>
                <w:szCs w:val="4"/>
              </w:rPr>
            </w:pPr>
            <w:r>
              <w:rPr>
                <w:sz w:val="4"/>
                <w:szCs w:val="4"/>
              </w:rPr>
            </w:r>
          </w:p>
        </w:tc>
        <w:tc>
          <w:tcPr>
            <w:tcW w:w="1163" w:type="dxa"/>
            <w:tcBorders/>
            <w:shd w:fill="auto" w:val="clear"/>
            <w:vAlign w:val="center"/>
          </w:tcPr>
          <w:p>
            <w:pPr>
              <w:pStyle w:val="TableContents"/>
              <w:spacing w:before="0" w:after="283"/>
              <w:rPr>
                <w:sz w:val="4"/>
                <w:szCs w:val="4"/>
              </w:rPr>
            </w:pPr>
            <w:r>
              <w:rPr>
                <w:sz w:val="4"/>
                <w:szCs w:val="4"/>
              </w:rPr>
            </w:r>
          </w:p>
        </w:tc>
        <w:tc>
          <w:tcPr>
            <w:tcW w:w="1664" w:type="dxa"/>
            <w:tcBorders/>
            <w:shd w:fill="auto" w:val="clear"/>
            <w:vAlign w:val="center"/>
          </w:tcPr>
          <w:p>
            <w:pPr>
              <w:pStyle w:val="TableContents"/>
              <w:spacing w:before="0" w:after="283"/>
              <w:rPr>
                <w:sz w:val="4"/>
                <w:szCs w:val="4"/>
              </w:rPr>
            </w:pPr>
            <w:r>
              <w:rPr>
                <w:sz w:val="4"/>
                <w:szCs w:val="4"/>
              </w:rPr>
            </w:r>
          </w:p>
        </w:tc>
      </w:tr>
      <w:tr>
        <w:trPr/>
        <w:tc>
          <w:tcPr>
            <w:tcW w:w="5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Date: </w:t>
            </w:r>
          </w:p>
        </w:tc>
        <w:tc>
          <w:tcPr>
            <w:tcW w:w="11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3,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9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Travis D. Stice</w:t>
            </w:r>
          </w:p>
        </w:tc>
      </w:tr>
      <w:tr>
        <w:trPr/>
        <w:tc>
          <w:tcPr>
            <w:tcW w:w="5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9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Travis D. Stice</w:t>
            </w:r>
          </w:p>
        </w:tc>
      </w:tr>
      <w:tr>
        <w:trPr/>
        <w:tc>
          <w:tcPr>
            <w:tcW w:w="5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9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r>
      <w:tr>
        <w:trPr/>
        <w:tc>
          <w:tcPr>
            <w:tcW w:w="5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9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Viper Energy Partners GP LLC</w:t>
            </w:r>
          </w:p>
        </w:tc>
      </w:tr>
      <w:tr>
        <w:trPr/>
        <w:tc>
          <w:tcPr>
            <w:tcW w:w="5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9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general partner of Viper Energy Partners LP)</w:t>
            </w:r>
          </w:p>
        </w:tc>
      </w:tr>
    </w:tbl>
    <w:p>
      <w:pPr>
        <w:pStyle w:val="TextBody"/>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75260"/>
                <wp:effectExtent l="0" t="0" r="0" b="0"/>
                <wp:wrapNone/>
                <wp:docPr id="37" name="Frame37"/>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 xml:space="preserve">EXHIBIT 31.2 </w:t>
      </w:r>
    </w:p>
    <w:p>
      <w:pPr>
        <w:pStyle w:val="TextBody"/>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 xml:space="preserve">CERTIFICATION </w:t>
      </w:r>
    </w:p>
    <w:p>
      <w:pPr>
        <w:pStyle w:val="TextBody"/>
        <w:spacing w:lineRule="auto" w:line="288" w:before="18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I, Teresa L. Dick, certify that: </w:t>
      </w:r>
    </w:p>
    <w:p>
      <w:pPr>
        <w:pStyle w:val="TextBody"/>
        <w:spacing w:lineRule="auto" w:line="288" w:before="100" w:after="283"/>
        <w:ind w:left="0" w:right="0" w:hanging="450"/>
        <w:rPr>
          <w:rFonts w:ascii="Times New Roman;sans-serif" w:hAnsi="Times New Roman;sans-serif"/>
          <w:b w:val="false"/>
          <w:color w:val="000000"/>
          <w:sz w:val="20"/>
        </w:rPr>
      </w:pPr>
      <w:r>
        <w:rPr>
          <w:rFonts w:ascii="Times New Roman;sans-serif" w:hAnsi="Times New Roman;sans-serif"/>
          <w:b w:val="false"/>
          <w:color w:val="000000"/>
          <w:sz w:val="20"/>
        </w:rPr>
        <w:t xml:space="preserve">1.    I have reviewed this Quarterly Report on Form 10-Q of Viper Energy Partners LP (the “registrant”). </w:t>
      </w:r>
    </w:p>
    <w:p>
      <w:pPr>
        <w:pStyle w:val="TextBody"/>
        <w:spacing w:lineRule="auto" w:line="288" w:before="100" w:after="283"/>
        <w:ind w:left="0" w:right="0" w:hanging="450"/>
        <w:rPr>
          <w:rFonts w:ascii="Times New Roman;sans-serif" w:hAnsi="Times New Roman;sans-serif"/>
          <w:b w:val="false"/>
          <w:color w:val="000000"/>
          <w:sz w:val="20"/>
        </w:rPr>
      </w:pPr>
      <w:r>
        <w:rPr>
          <w:rFonts w:ascii="Times New Roman;sans-serif" w:hAnsi="Times New Roman;sans-serif"/>
          <w:b w:val="false"/>
          <w:color w:val="000000"/>
          <w:sz w:val="20"/>
        </w:rPr>
        <w:t xml:space="preserve">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spacing w:lineRule="auto" w:line="288" w:before="100" w:after="283"/>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3.    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spacing w:lineRule="auto" w:line="288" w:before="100" w:after="283"/>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spacing w:lineRule="auto" w:line="288" w:before="100" w:after="283"/>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spacing w:lineRule="auto" w:line="288" w:before="100" w:after="283"/>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lineRule="auto" w:line="288" w:before="100" w:after="283"/>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spacing w:lineRule="auto" w:line="288" w:before="100" w:after="283"/>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spacing w:lineRule="auto" w:line="288" w:before="100" w:after="283"/>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 </w:t>
      </w:r>
    </w:p>
    <w:p>
      <w:pPr>
        <w:pStyle w:val="TextBody"/>
        <w:spacing w:lineRule="auto" w:line="288" w:before="100" w:after="283"/>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    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spacing w:lineRule="auto" w:line="288" w:before="100" w:after="60"/>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    Any fraud, whether or not material, that involves management or other employees who have a significant role in the registrant’s internal control over financial reporting. </w:t>
      </w:r>
    </w:p>
    <w:p>
      <w:pPr>
        <w:pStyle w:val="TextBody"/>
        <w:spacing w:lineRule="auto" w:line="288" w:before="0" w:after="0"/>
        <w:rPr>
          <w:color w:val="000000"/>
        </w:rPr>
      </w:pPr>
      <w:r>
        <w:rPr>
          <w:color w:val="000000"/>
        </w:rPr>
        <w:t> </w:t>
      </w:r>
    </w:p>
    <w:tbl>
      <w:tblPr>
        <w:tblW w:w="6054" w:type="dxa"/>
        <w:jc w:val="left"/>
        <w:tblInd w:w="0" w:type="dxa"/>
        <w:tblCellMar>
          <w:top w:w="28" w:type="dxa"/>
          <w:left w:w="28" w:type="dxa"/>
          <w:bottom w:w="28" w:type="dxa"/>
          <w:right w:w="28" w:type="dxa"/>
        </w:tblCellMar>
      </w:tblPr>
      <w:tblGrid>
        <w:gridCol w:w="216"/>
        <w:gridCol w:w="191"/>
        <w:gridCol w:w="192"/>
        <w:gridCol w:w="379"/>
        <w:gridCol w:w="379"/>
        <w:gridCol w:w="381"/>
        <w:gridCol w:w="109"/>
        <w:gridCol w:w="109"/>
        <w:gridCol w:w="109"/>
        <w:gridCol w:w="1163"/>
        <w:gridCol w:w="1163"/>
        <w:gridCol w:w="1663"/>
      </w:tblGrid>
      <w:tr>
        <w:trPr/>
        <w:tc>
          <w:tcPr>
            <w:tcW w:w="216"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c>
          <w:tcPr>
            <w:tcW w:w="192" w:type="dxa"/>
            <w:tcBorders/>
            <w:shd w:fill="auto" w:val="clear"/>
            <w:vAlign w:val="center"/>
          </w:tcPr>
          <w:p>
            <w:pPr>
              <w:pStyle w:val="TableContents"/>
              <w:spacing w:before="0" w:after="283"/>
              <w:rPr>
                <w:sz w:val="4"/>
                <w:szCs w:val="4"/>
              </w:rPr>
            </w:pPr>
            <w:r>
              <w:rPr>
                <w:sz w:val="4"/>
                <w:szCs w:val="4"/>
              </w:rPr>
            </w:r>
          </w:p>
        </w:tc>
        <w:tc>
          <w:tcPr>
            <w:tcW w:w="379" w:type="dxa"/>
            <w:tcBorders/>
            <w:shd w:fill="auto" w:val="clear"/>
            <w:vAlign w:val="center"/>
          </w:tcPr>
          <w:p>
            <w:pPr>
              <w:pStyle w:val="TableContents"/>
              <w:spacing w:before="0" w:after="283"/>
              <w:rPr>
                <w:sz w:val="4"/>
                <w:szCs w:val="4"/>
              </w:rPr>
            </w:pPr>
            <w:r>
              <w:rPr>
                <w:sz w:val="4"/>
                <w:szCs w:val="4"/>
              </w:rPr>
            </w:r>
          </w:p>
        </w:tc>
        <w:tc>
          <w:tcPr>
            <w:tcW w:w="379" w:type="dxa"/>
            <w:tcBorders/>
            <w:shd w:fill="auto" w:val="clear"/>
            <w:vAlign w:val="center"/>
          </w:tcPr>
          <w:p>
            <w:pPr>
              <w:pStyle w:val="TableContents"/>
              <w:spacing w:before="0" w:after="283"/>
              <w:rPr>
                <w:sz w:val="4"/>
                <w:szCs w:val="4"/>
              </w:rPr>
            </w:pPr>
            <w:r>
              <w:rPr>
                <w:sz w:val="4"/>
                <w:szCs w:val="4"/>
              </w:rPr>
            </w:r>
          </w:p>
        </w:tc>
        <w:tc>
          <w:tcPr>
            <w:tcW w:w="38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63" w:type="dxa"/>
            <w:tcBorders/>
            <w:shd w:fill="auto" w:val="clear"/>
            <w:vAlign w:val="center"/>
          </w:tcPr>
          <w:p>
            <w:pPr>
              <w:pStyle w:val="TableContents"/>
              <w:spacing w:before="0" w:after="283"/>
              <w:rPr>
                <w:sz w:val="4"/>
                <w:szCs w:val="4"/>
              </w:rPr>
            </w:pPr>
            <w:r>
              <w:rPr>
                <w:sz w:val="4"/>
                <w:szCs w:val="4"/>
              </w:rPr>
            </w:r>
          </w:p>
        </w:tc>
        <w:tc>
          <w:tcPr>
            <w:tcW w:w="1163" w:type="dxa"/>
            <w:tcBorders/>
            <w:shd w:fill="auto" w:val="clear"/>
            <w:vAlign w:val="center"/>
          </w:tcPr>
          <w:p>
            <w:pPr>
              <w:pStyle w:val="TableContents"/>
              <w:spacing w:before="0" w:after="283"/>
              <w:rPr>
                <w:sz w:val="4"/>
                <w:szCs w:val="4"/>
              </w:rPr>
            </w:pPr>
            <w:r>
              <w:rPr>
                <w:sz w:val="4"/>
                <w:szCs w:val="4"/>
              </w:rPr>
            </w:r>
          </w:p>
        </w:tc>
        <w:tc>
          <w:tcPr>
            <w:tcW w:w="1663" w:type="dxa"/>
            <w:tcBorders/>
            <w:shd w:fill="auto" w:val="clear"/>
            <w:vAlign w:val="center"/>
          </w:tcPr>
          <w:p>
            <w:pPr>
              <w:pStyle w:val="TableContents"/>
              <w:spacing w:before="0" w:after="283"/>
              <w:rPr>
                <w:sz w:val="4"/>
                <w:szCs w:val="4"/>
              </w:rPr>
            </w:pPr>
            <w:r>
              <w:rPr>
                <w:sz w:val="4"/>
                <w:szCs w:val="4"/>
              </w:rPr>
            </w:r>
          </w:p>
        </w:tc>
      </w:tr>
      <w:tr>
        <w:trPr/>
        <w:tc>
          <w:tcPr>
            <w:tcW w:w="5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Date: </w:t>
            </w:r>
          </w:p>
        </w:tc>
        <w:tc>
          <w:tcPr>
            <w:tcW w:w="11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3,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Teresa L. Dick</w:t>
            </w:r>
          </w:p>
        </w:tc>
      </w:tr>
      <w:tr>
        <w:trPr/>
        <w:tc>
          <w:tcPr>
            <w:tcW w:w="5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8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Teresa L. Dick</w:t>
            </w:r>
          </w:p>
        </w:tc>
      </w:tr>
      <w:tr>
        <w:trPr/>
        <w:tc>
          <w:tcPr>
            <w:tcW w:w="5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r>
        <w:trPr/>
        <w:tc>
          <w:tcPr>
            <w:tcW w:w="5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Viper Energy Partners GP LLC</w:t>
            </w:r>
          </w:p>
        </w:tc>
      </w:tr>
      <w:tr>
        <w:trPr/>
        <w:tc>
          <w:tcPr>
            <w:tcW w:w="5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general partner of Viper Energy Partners LP)</w:t>
            </w:r>
          </w:p>
        </w:tc>
      </w:tr>
    </w:tbl>
    <w:p>
      <w:pPr>
        <w:pStyle w:val="TextBody"/>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75260"/>
                <wp:effectExtent l="0" t="0" r="0" b="0"/>
                <wp:wrapNone/>
                <wp:docPr id="38" name="Frame38"/>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 xml:space="preserve">EXHIBIT 32.1 </w:t>
      </w:r>
    </w:p>
    <w:p>
      <w:pPr>
        <w:pStyle w:val="TextBody"/>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 xml:space="preserve">CERTIFICATION OF PERIOD REPORT </w:t>
      </w:r>
    </w:p>
    <w:p>
      <w:pPr>
        <w:pStyle w:val="TextBody"/>
        <w:spacing w:lineRule="auto" w:line="288" w:before="18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Quarterly Report on Form 10-Q of Viper Energy Partners LP (the “Partnership”), as filed with the Securities and Exchange Commission on the date hereof (the “Report”), the undersigned, Travis D. Stice, Chief Executive Officer of Viper Energy Partners GP LLC, the general partner of Viper Energy Partners LP, and Teresa L. Dick, Chief Financial Officer of Viper Energy Partners GP LLC, certify, pursuant to 18 U.S.C. Section 1350, as adopted pursuant to Section 906 of the Sarbanes-Oxley Act of 2002, that, to their knowledge:</w:t>
      </w:r>
    </w:p>
    <w:p>
      <w:pPr>
        <w:pStyle w:val="TextBody"/>
        <w:spacing w:lineRule="auto" w:line="288" w:before="18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(1) the Report fully complies with the requirements of Section 13(a) or 15(d) of the Securities Exchange Act of 1934 (15 U.S.C. 78m(a) or 78o(d)); and </w:t>
      </w:r>
    </w:p>
    <w:p>
      <w:pPr>
        <w:pStyle w:val="TextBody"/>
        <w:spacing w:lineRule="auto" w:line="288" w:before="180" w:after="6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(2) the information contained in the Report fairly presents, in all material respects, the financial condition and results of operations of the Partnership. </w:t>
      </w:r>
    </w:p>
    <w:p>
      <w:pPr>
        <w:pStyle w:val="TextBody"/>
        <w:spacing w:lineRule="auto" w:line="288" w:before="0" w:after="0"/>
        <w:jc w:val="both"/>
        <w:rPr>
          <w:color w:val="000000"/>
        </w:rPr>
      </w:pPr>
      <w:r>
        <w:rPr>
          <w:color w:val="000000"/>
        </w:rPr>
        <w:t> </w:t>
      </w:r>
    </w:p>
    <w:tbl>
      <w:tblPr>
        <w:tblW w:w="6055" w:type="dxa"/>
        <w:jc w:val="left"/>
        <w:tblInd w:w="0" w:type="dxa"/>
        <w:tblCellMar>
          <w:top w:w="28" w:type="dxa"/>
          <w:left w:w="28" w:type="dxa"/>
          <w:bottom w:w="28" w:type="dxa"/>
          <w:right w:w="28" w:type="dxa"/>
        </w:tblCellMar>
      </w:tblPr>
      <w:tblGrid>
        <w:gridCol w:w="216"/>
        <w:gridCol w:w="191"/>
        <w:gridCol w:w="192"/>
        <w:gridCol w:w="379"/>
        <w:gridCol w:w="379"/>
        <w:gridCol w:w="381"/>
        <w:gridCol w:w="109"/>
        <w:gridCol w:w="109"/>
        <w:gridCol w:w="109"/>
        <w:gridCol w:w="1163"/>
        <w:gridCol w:w="1163"/>
        <w:gridCol w:w="1664"/>
      </w:tblGrid>
      <w:tr>
        <w:trPr/>
        <w:tc>
          <w:tcPr>
            <w:tcW w:w="216"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c>
          <w:tcPr>
            <w:tcW w:w="192" w:type="dxa"/>
            <w:tcBorders/>
            <w:shd w:fill="auto" w:val="clear"/>
            <w:vAlign w:val="center"/>
          </w:tcPr>
          <w:p>
            <w:pPr>
              <w:pStyle w:val="TableContents"/>
              <w:spacing w:before="0" w:after="283"/>
              <w:rPr>
                <w:sz w:val="4"/>
                <w:szCs w:val="4"/>
              </w:rPr>
            </w:pPr>
            <w:r>
              <w:rPr>
                <w:sz w:val="4"/>
                <w:szCs w:val="4"/>
              </w:rPr>
            </w:r>
          </w:p>
        </w:tc>
        <w:tc>
          <w:tcPr>
            <w:tcW w:w="379" w:type="dxa"/>
            <w:tcBorders/>
            <w:shd w:fill="auto" w:val="clear"/>
            <w:vAlign w:val="center"/>
          </w:tcPr>
          <w:p>
            <w:pPr>
              <w:pStyle w:val="TableContents"/>
              <w:spacing w:before="0" w:after="283"/>
              <w:rPr>
                <w:sz w:val="4"/>
                <w:szCs w:val="4"/>
              </w:rPr>
            </w:pPr>
            <w:r>
              <w:rPr>
                <w:sz w:val="4"/>
                <w:szCs w:val="4"/>
              </w:rPr>
            </w:r>
          </w:p>
        </w:tc>
        <w:tc>
          <w:tcPr>
            <w:tcW w:w="379" w:type="dxa"/>
            <w:tcBorders/>
            <w:shd w:fill="auto" w:val="clear"/>
            <w:vAlign w:val="center"/>
          </w:tcPr>
          <w:p>
            <w:pPr>
              <w:pStyle w:val="TableContents"/>
              <w:spacing w:before="0" w:after="283"/>
              <w:rPr>
                <w:sz w:val="4"/>
                <w:szCs w:val="4"/>
              </w:rPr>
            </w:pPr>
            <w:r>
              <w:rPr>
                <w:sz w:val="4"/>
                <w:szCs w:val="4"/>
              </w:rPr>
            </w:r>
          </w:p>
        </w:tc>
        <w:tc>
          <w:tcPr>
            <w:tcW w:w="38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63" w:type="dxa"/>
            <w:tcBorders/>
            <w:shd w:fill="auto" w:val="clear"/>
            <w:vAlign w:val="center"/>
          </w:tcPr>
          <w:p>
            <w:pPr>
              <w:pStyle w:val="TableContents"/>
              <w:spacing w:before="0" w:after="283"/>
              <w:rPr>
                <w:sz w:val="4"/>
                <w:szCs w:val="4"/>
              </w:rPr>
            </w:pPr>
            <w:r>
              <w:rPr>
                <w:sz w:val="4"/>
                <w:szCs w:val="4"/>
              </w:rPr>
            </w:r>
          </w:p>
        </w:tc>
        <w:tc>
          <w:tcPr>
            <w:tcW w:w="1163" w:type="dxa"/>
            <w:tcBorders/>
            <w:shd w:fill="auto" w:val="clear"/>
            <w:vAlign w:val="center"/>
          </w:tcPr>
          <w:p>
            <w:pPr>
              <w:pStyle w:val="TableContents"/>
              <w:spacing w:before="0" w:after="283"/>
              <w:rPr>
                <w:sz w:val="4"/>
                <w:szCs w:val="4"/>
              </w:rPr>
            </w:pPr>
            <w:r>
              <w:rPr>
                <w:sz w:val="4"/>
                <w:szCs w:val="4"/>
              </w:rPr>
            </w:r>
          </w:p>
        </w:tc>
        <w:tc>
          <w:tcPr>
            <w:tcW w:w="1664" w:type="dxa"/>
            <w:tcBorders/>
            <w:shd w:fill="auto" w:val="clear"/>
            <w:vAlign w:val="center"/>
          </w:tcPr>
          <w:p>
            <w:pPr>
              <w:pStyle w:val="TableContents"/>
              <w:spacing w:before="0" w:after="283"/>
              <w:rPr>
                <w:sz w:val="4"/>
                <w:szCs w:val="4"/>
              </w:rPr>
            </w:pPr>
            <w:r>
              <w:rPr>
                <w:sz w:val="4"/>
                <w:szCs w:val="4"/>
              </w:rPr>
            </w:r>
          </w:p>
        </w:tc>
      </w:tr>
      <w:tr>
        <w:trPr/>
        <w:tc>
          <w:tcPr>
            <w:tcW w:w="5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Date: </w:t>
            </w:r>
          </w:p>
        </w:tc>
        <w:tc>
          <w:tcPr>
            <w:tcW w:w="11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3,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9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Travis D. Stice</w:t>
            </w:r>
          </w:p>
        </w:tc>
      </w:tr>
      <w:tr>
        <w:trPr/>
        <w:tc>
          <w:tcPr>
            <w:tcW w:w="5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9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Travis D. Stice</w:t>
            </w:r>
          </w:p>
        </w:tc>
      </w:tr>
      <w:tr>
        <w:trPr/>
        <w:tc>
          <w:tcPr>
            <w:tcW w:w="5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9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r>
      <w:tr>
        <w:trPr/>
        <w:tc>
          <w:tcPr>
            <w:tcW w:w="5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9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Viper Energy Partners GP LLC</w:t>
            </w:r>
          </w:p>
        </w:tc>
      </w:tr>
      <w:tr>
        <w:trPr/>
        <w:tc>
          <w:tcPr>
            <w:tcW w:w="5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9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general partner of Viper Energy Partners LP)</w:t>
            </w:r>
          </w:p>
        </w:tc>
      </w:tr>
      <w:tr>
        <w:trPr/>
        <w:tc>
          <w:tcPr>
            <w:tcW w:w="5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Date: </w:t>
            </w:r>
          </w:p>
        </w:tc>
        <w:tc>
          <w:tcPr>
            <w:tcW w:w="11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3,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9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Teresa L. Dick</w:t>
            </w:r>
          </w:p>
        </w:tc>
      </w:tr>
      <w:tr>
        <w:trPr/>
        <w:tc>
          <w:tcPr>
            <w:tcW w:w="5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9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Teresa L. Dick</w:t>
            </w:r>
          </w:p>
        </w:tc>
      </w:tr>
      <w:tr>
        <w:trPr/>
        <w:tc>
          <w:tcPr>
            <w:tcW w:w="5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9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r>
        <w:trPr/>
        <w:tc>
          <w:tcPr>
            <w:tcW w:w="5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9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Viper Energy Partners GP LLC</w:t>
            </w:r>
          </w:p>
        </w:tc>
      </w:tr>
      <w:tr>
        <w:trPr/>
        <w:tc>
          <w:tcPr>
            <w:tcW w:w="5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9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general partner of Viper Energy Partners LP)</w:t>
            </w:r>
          </w:p>
        </w:tc>
      </w:tr>
      <w:tr>
        <w:trPr/>
        <w:tc>
          <w:tcPr>
            <w:tcW w:w="5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rPr/>
      </w:pPr>
      <w:r>
        <w:rPr/>
      </w:r>
      <w:r>
        <w:br w:type="page"/>
      </w:r>
    </w:p>
    <w:p>
      <w:pPr>
        <w:pStyle w:val="TextBody"/>
        <w:spacing w:before="0" w:after="283"/>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75260"/>
                <wp:effectExtent l="0" t="0" r="0" b="0"/>
                <wp:wrapNone/>
                <wp:docPr id="39" name="Frame39"/>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sans-serif"/>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ix?doc=/Archives/edgar/data/1602065/000160206523000007/vnom-20221231.htm" TargetMode="External"/><Relationship Id="rId3" Type="http://schemas.openxmlformats.org/officeDocument/2006/relationships/hyperlink" Target="https://www.sec.gov/ix?doc=/Archives/edgar/data/1602065/000160206523000007/vnom-20221231.htm" TargetMode="External"/><Relationship Id="rId4" Type="http://schemas.openxmlformats.org/officeDocument/2006/relationships/hyperlink" Target="https://www.sec.gov/ix?doc=/Archives/edgar/data/1602065/000160206523000007/vnom-20221231.htm" TargetMode="External"/><Relationship Id="rId5" Type="http://schemas.openxmlformats.org/officeDocument/2006/relationships/hyperlink" Target="https://www.sec.gov/ix?doc=/Archives/edgar/data/1602065/000160206523000007/vnom-20221231.htm" TargetMode="External"/><Relationship Id="rId6" Type="http://schemas.openxmlformats.org/officeDocument/2006/relationships/hyperlink" Target="https://www.sec.gov/ix?doc=/Archives/edgar/data/1602065/000160206523000007/vnom-20221231.htm" TargetMode="External"/><Relationship Id="rId7" Type="http://schemas.openxmlformats.org/officeDocument/2006/relationships/hyperlink" Target="https://www.sec.gov/ix?doc=/Archives/edgar/data/1602065/000160206523000007/vnom-20221231.htm" TargetMode="External"/><Relationship Id="rId8" Type="http://schemas.openxmlformats.org/officeDocument/2006/relationships/hyperlink" Target="https://www.sec.gov/ix?doc=/Archives/edgar/data/1602065/000160206523000007/vnom-20221231.htm" TargetMode="External"/><Relationship Id="rId9" Type="http://schemas.openxmlformats.org/officeDocument/2006/relationships/hyperlink" Target="http://www.sec.gov/Archives/edgar/data/1602065/000160206521000048/viperex21-8621.htm" TargetMode="External"/><Relationship Id="rId10" Type="http://schemas.openxmlformats.org/officeDocument/2006/relationships/hyperlink" Target="http://www.sec.gov/Archives/edgar/data/1602065/000119312514187469/d673207dex31.htm" TargetMode="External"/><Relationship Id="rId11" Type="http://schemas.openxmlformats.org/officeDocument/2006/relationships/hyperlink" Target="http://www.sec.gov/Archives/edgar/data/1602065/000160206518000017/viperex31-5x15x18.htm" TargetMode="External"/><Relationship Id="rId12" Type="http://schemas.openxmlformats.org/officeDocument/2006/relationships/hyperlink" Target="http://www.sec.gov/Archives/edgar/data/1602065/000160206518000017/viperex32-5x15x18.htm" TargetMode="External"/><Relationship Id="rId13" Type="http://schemas.openxmlformats.org/officeDocument/2006/relationships/hyperlink" Target="http://www.sec.gov/Archives/edgar/data/1602065/000160206518000017/viperex33-5x15x18.htm" TargetMode="External"/><Relationship Id="rId14" Type="http://schemas.openxmlformats.org/officeDocument/2006/relationships/hyperlink" Target="http://www.sec.gov/Archives/edgar/data/1602065/000160206520000014/viperex31-33120.htm" TargetMode="External"/><Relationship Id="rId15" Type="http://schemas.openxmlformats.org/officeDocument/2006/relationships/hyperlink" Target="https://www.sec.gov/Archives/edgar/data/1602065/000119312521367951/d249385dex31.htm" TargetMode="External"/><Relationship Id="rId16" Type="http://schemas.openxmlformats.org/officeDocument/2006/relationships/hyperlink" Target="https://www.sec.gov/Archives/edgar/data/1602065/000119312521367951/d249385dex31.htm" TargetMode="External"/><Relationship Id="rId17" Type="http://schemas.openxmlformats.org/officeDocument/2006/relationships/hyperlink" Target="https://www.sec.gov/Archives/edgar/data/1602065/000119312521367951/d249385dex31.htm" TargetMode="External"/><Relationship Id="rId18" Type="http://schemas.openxmlformats.org/officeDocument/2006/relationships/hyperlink" Target="http://www.sec.gov/Archives/edgar/data/1602065/000160206518000017/viperex41-5x15x18.htm" TargetMode="External"/><Relationship Id="rId19" Type="http://schemas.openxmlformats.org/officeDocument/2006/relationships/hyperlink" Target="http://www.sec.gov/Archives/edgar/data/1602065/000160206521000051/viperex41-10x1x21.htm" TargetMode="External"/><Relationship Id="rId20" Type="http://schemas.openxmlformats.org/officeDocument/2006/relationships/fontTable" Target="fontTable.xml"/><Relationship Id="rId2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8</Pages>
  <Words>15859</Words>
  <CharactersWithSpaces>103360</CharactersWithSpaces>
  <Paragraphs>2130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