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40" w:before="0" w:after="6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40"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9341" w:type="dxa"/>
        <w:jc w:val="left"/>
        <w:tblInd w:w="0" w:type="dxa"/>
        <w:tblLayout w:type="fixed"/>
        <w:tblCellMar>
          <w:top w:w="28" w:type="dxa"/>
          <w:left w:w="28" w:type="dxa"/>
          <w:bottom w:w="28" w:type="dxa"/>
          <w:right w:w="28" w:type="dxa"/>
        </w:tblCellMar>
      </w:tblPr>
      <w:tblGrid>
        <w:gridCol w:w="124"/>
        <w:gridCol w:w="109"/>
        <w:gridCol w:w="109"/>
        <w:gridCol w:w="2636"/>
        <w:gridCol w:w="2636"/>
        <w:gridCol w:w="3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SECURITIES EXCHANGE ACT OF 1934</w:t>
            </w:r>
          </w:p>
        </w:tc>
      </w:tr>
    </w:tbl>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 001-42807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283"/>
        <w:jc w:val="center"/>
        <w:rPr>
          <w:rFonts w:ascii="Times New Roman;serif" w:hAnsi="Times New Roman;serif"/>
          <w:b/>
          <w:color w:val="000000"/>
          <w:sz w:val="40"/>
        </w:rPr>
      </w:pPr>
      <w:r>
        <w:rPr>
          <w:rFonts w:ascii="Times New Roman;serif" w:hAnsi="Times New Roman;serif"/>
          <w:b/>
          <w:color w:val="000000"/>
          <w:sz w:val="40"/>
        </w:rPr>
        <w:t>Viper Energy, Inc.</w:t>
      </w:r>
    </w:p>
    <w:p>
      <w:pPr>
        <w:pStyle w:val="TextBody"/>
        <w:bidi w:val="0"/>
        <w:spacing w:lineRule="auto" w:line="240" w:before="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489" w:type="dxa"/>
        <w:jc w:val="center"/>
        <w:tblInd w:w="0" w:type="dxa"/>
        <w:tblLayout w:type="fixed"/>
        <w:tblCellMar>
          <w:top w:w="28" w:type="dxa"/>
          <w:left w:w="28" w:type="dxa"/>
          <w:bottom w:w="28" w:type="dxa"/>
          <w:right w:w="28" w:type="dxa"/>
        </w:tblCellMar>
      </w:tblPr>
      <w:tblGrid>
        <w:gridCol w:w="820"/>
        <w:gridCol w:w="721"/>
        <w:gridCol w:w="721"/>
        <w:gridCol w:w="721"/>
        <w:gridCol w:w="721"/>
        <w:gridCol w:w="733"/>
        <w:gridCol w:w="109"/>
        <w:gridCol w:w="109"/>
        <w:gridCol w:w="109"/>
        <w:gridCol w:w="109"/>
        <w:gridCol w:w="109"/>
        <w:gridCol w:w="109"/>
        <w:gridCol w:w="109"/>
        <w:gridCol w:w="109"/>
        <w:gridCol w:w="109"/>
        <w:gridCol w:w="109"/>
        <w:gridCol w:w="109"/>
        <w:gridCol w:w="109"/>
        <w:gridCol w:w="799"/>
        <w:gridCol w:w="799"/>
        <w:gridCol w:w="114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437"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39-2596878</w:t>
            </w:r>
          </w:p>
        </w:tc>
      </w:tr>
      <w:tr>
        <w:trPr/>
        <w:tc>
          <w:tcPr>
            <w:tcW w:w="443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Midland,</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79701</w:t>
            </w:r>
          </w:p>
        </w:tc>
      </w:tr>
      <w:tr>
        <w:trPr/>
        <w:tc>
          <w:tcPr>
            <w:tcW w:w="44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20" w:after="283"/>
        <w:jc w:val="center"/>
        <w:rPr/>
      </w:pPr>
      <w:r>
        <w:rPr>
          <w:rFonts w:ascii="Times New Roman;serif" w:hAnsi="Times New Roman;serif"/>
          <w:b/>
          <w:color w:val="000000"/>
          <w:sz w:val="16"/>
        </w:rPr>
        <w:t xml:space="preserve">Registrant’s telephone number, including area code </w:t>
      </w:r>
      <w:r>
        <w:rPr>
          <w:rFonts w:ascii="Times New Roman;serif" w:hAnsi="Times New Roman;serif"/>
          <w:b/>
          <w:color w:val="000000"/>
          <w:sz w:val="18"/>
        </w:rPr>
        <w:t>(</w:t>
      </w:r>
      <w:r>
        <w:rPr>
          <w:rFonts w:ascii="Times New Roman;serif" w:hAnsi="Times New Roman;serif"/>
          <w:b/>
          <w:color w:val="000000"/>
          <w:sz w:val="16"/>
        </w:rPr>
        <w:t>432</w:t>
      </w:r>
      <w:r>
        <w:rPr>
          <w:rFonts w:ascii="Times New Roman;serif" w:hAnsi="Times New Roman;serif"/>
          <w:b/>
          <w:color w:val="000000"/>
          <w:sz w:val="18"/>
        </w:rPr>
        <w:t xml:space="preserve">) </w:t>
      </w:r>
      <w:r>
        <w:rPr>
          <w:rFonts w:ascii="Times New Roman;serif" w:hAnsi="Times New Roman;serif"/>
          <w:b/>
          <w:color w:val="000000"/>
          <w:sz w:val="16"/>
        </w:rPr>
        <w:t>221-7400</w:t>
      </w:r>
    </w:p>
    <w:p>
      <w:pPr>
        <w:pStyle w:val="TextBody"/>
        <w:bidi w:val="0"/>
        <w:spacing w:before="0" w:after="0"/>
        <w:ind w:left="0" w:right="0" w:firstLine="720"/>
        <w:jc w:val="center"/>
        <w:rPr/>
      </w:pPr>
      <w:r>
        <w:rPr/>
      </w:r>
    </w:p>
    <w:tbl>
      <w:tblPr>
        <w:tblW w:w="9340" w:type="dxa"/>
        <w:jc w:val="center"/>
        <w:tblInd w:w="0" w:type="dxa"/>
        <w:tblLayout w:type="fixed"/>
        <w:tblCellMar>
          <w:top w:w="28" w:type="dxa"/>
          <w:left w:w="28" w:type="dxa"/>
          <w:bottom w:w="28" w:type="dxa"/>
          <w:right w:w="28" w:type="dxa"/>
        </w:tblCellMar>
      </w:tblPr>
      <w:tblGrid>
        <w:gridCol w:w="218"/>
        <w:gridCol w:w="192"/>
        <w:gridCol w:w="192"/>
        <w:gridCol w:w="1105"/>
        <w:gridCol w:w="1105"/>
        <w:gridCol w:w="1105"/>
        <w:gridCol w:w="192"/>
        <w:gridCol w:w="192"/>
        <w:gridCol w:w="192"/>
        <w:gridCol w:w="444"/>
        <w:gridCol w:w="444"/>
        <w:gridCol w:w="446"/>
        <w:gridCol w:w="192"/>
        <w:gridCol w:w="192"/>
        <w:gridCol w:w="192"/>
        <w:gridCol w:w="458"/>
        <w:gridCol w:w="458"/>
        <w:gridCol w:w="458"/>
        <w:gridCol w:w="458"/>
        <w:gridCol w:w="458"/>
        <w:gridCol w:w="647"/>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934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Title of each class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Trading Symbol(s)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Name of each exchange on which registered</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$0.000001 Par Value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VNOM</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r>
        <w:trPr/>
        <w:tc>
          <w:tcPr>
            <w:tcW w:w="602"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93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Securities registered pursuant to section 12(g) of the Act:</w:t>
            </w:r>
          </w:p>
        </w:tc>
      </w:tr>
      <w:tr>
        <w:trPr/>
        <w:tc>
          <w:tcPr>
            <w:tcW w:w="93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r>
    </w:tbl>
    <w:p>
      <w:pPr>
        <w:pStyle w:val="TextBody"/>
        <w:bidi w:val="0"/>
        <w:spacing w:lineRule="auto" w:line="240" w:before="60" w:after="283"/>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6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1" w:type="dxa"/>
            <w:gridSpan w:val="12"/>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Aggregate market value of the voting and non-voting common equity held by non-affiliates of registrant as of June 30, 2025, was approximately $5.0 billion.</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As of February 20, 2026, 176,723,281 shares of Class A Common Stock and 180,825,588 shares of Class B Common Stock of the registrant were outstanding.</w:t>
      </w:r>
    </w:p>
    <w:p>
      <w:pPr>
        <w:pStyle w:val="TextBody"/>
        <w:bidi w:val="0"/>
        <w:spacing w:before="0" w:after="0"/>
        <w:ind w:left="0" w:right="0" w:firstLine="720"/>
        <w:jc w:val="center"/>
        <w:rPr/>
      </w:pPr>
      <w:r>
        <w:rPr/>
      </w:r>
    </w:p>
    <w:p>
      <w:pPr>
        <w:pStyle w:val="TextBody"/>
        <w:bidi w:val="0"/>
        <w:spacing w:lineRule="auto" w:line="240" w:before="0" w:after="0"/>
        <w:ind w:left="0" w:right="0" w:firstLine="720"/>
        <w:jc w:val="center"/>
        <w:rPr>
          <w:rFonts w:ascii="Times New Roman;serif" w:hAnsi="Times New Roman;serif"/>
          <w:b/>
          <w:color w:val="000000"/>
          <w:sz w:val="15"/>
        </w:rPr>
      </w:pPr>
      <w:r>
        <w:rPr>
          <w:rFonts w:ascii="Times New Roman;serif" w:hAnsi="Times New Roman;serif"/>
          <w:b/>
          <w:color w:val="000000"/>
          <w:sz w:val="15"/>
        </w:rPr>
        <w:t>DOCUMENTS INCORPORATED BY REFERENCE</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Portions of Viper Energy, Inc.’s Proxy Statement for the 2026 Annual Meeting of Stockholders are incorporated by reference in Items 10, 11, 12, 13 and 14 of Part III of this Form 10-K.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3503"/>
        <w:gridCol w:w="3073"/>
        <w:gridCol w:w="3086"/>
        <w:gridCol w:w="158"/>
        <w:gridCol w:w="158"/>
        <w:gridCol w:w="227"/>
      </w:tblGrid>
      <w:tr>
        <w:trPr/>
        <w:tc>
          <w:tcPr>
            <w:tcW w:w="3503"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0">
              <w:r>
                <w:rPr>
                  <w:rStyle w:val="InternetLink"/>
                  <w:rFonts w:ascii="Times New Roman;serif" w:hAnsi="Times New Roman;serif"/>
                  <w:b w:val="false"/>
                  <w:color w:val="0000FF"/>
                  <w:sz w:val="20"/>
                  <w:u w:val="single"/>
                </w:rPr>
                <w:t>Glossary of Oil and Natural Gas Terms</w:t>
              </w:r>
            </w:hyperlink>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636f90b9a2bf4a46ad5fe64678400ed7_10">
              <w:r>
                <w:rPr>
                  <w:rStyle w:val="InternetLink"/>
                  <w:rFonts w:ascii="Times New Roman;serif" w:hAnsi="Times New Roman;serif"/>
                  <w:b w:val="false"/>
                  <w:color w:val="0000FF"/>
                  <w:sz w:val="20"/>
                  <w:u w:val="single"/>
                </w:rPr>
                <w:t>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3">
              <w:r>
                <w:rPr>
                  <w:rStyle w:val="InternetLink"/>
                  <w:rFonts w:ascii="Times New Roman;serif" w:hAnsi="Times New Roman;serif"/>
                  <w:b w:val="false"/>
                  <w:color w:val="0000FF"/>
                  <w:sz w:val="20"/>
                  <w:u w:val="single"/>
                </w:rPr>
                <w:t>Glossary of Certain Other Terms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3">
              <w:r>
                <w:rPr>
                  <w:rStyle w:val="InternetLink"/>
                  <w:rFonts w:ascii="Times New Roman;serif" w:hAnsi="Times New Roman;serif"/>
                  <w:b w:val="false"/>
                  <w:color w:val="0000FF"/>
                  <w:sz w:val="20"/>
                  <w:u w:val="single"/>
                </w:rPr>
                <w:t>iv</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6">
              <w:r>
                <w:rPr>
                  <w:rStyle w:val="InternetLink"/>
                  <w:rFonts w:ascii="Times New Roman;serif" w:hAnsi="Times New Roman;serif"/>
                  <w:b w:val="false"/>
                  <w:color w:val="0000FF"/>
                  <w:sz w:val="20"/>
                  <w:u w:val="single"/>
                </w:rPr>
                <w:t>Cautionary Statement Regarding Forward-Looking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6">
              <w:r>
                <w:rPr>
                  <w:rStyle w:val="InternetLink"/>
                  <w:rFonts w:ascii="Times New Roman;serif" w:hAnsi="Times New Roman;serif"/>
                  <w:b w:val="false"/>
                  <w:color w:val="0000FF"/>
                  <w:sz w:val="20"/>
                  <w:u w:val="single"/>
                </w:rPr>
                <w:t>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9">
              <w:r>
                <w:rPr>
                  <w:rStyle w:val="InternetLink"/>
                  <w:rFonts w:ascii="Times New Roman;serif" w:hAnsi="Times New Roman;serif"/>
                  <w:b/>
                  <w:color w:val="0000FF"/>
                  <w:sz w:val="18"/>
                  <w:u w:val="single"/>
                </w:rPr>
                <w:t>PART 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22">
              <w:r>
                <w:rPr>
                  <w:rStyle w:val="InternetLink"/>
                  <w:rFonts w:ascii="Times New Roman;serif" w:hAnsi="Times New Roman;serif"/>
                  <w:b w:val="false"/>
                  <w:color w:val="0000FF"/>
                  <w:sz w:val="20"/>
                  <w:u w:val="single"/>
                </w:rPr>
                <w:t>Items 1 and 2. Business and Properties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22">
              <w:r>
                <w:rPr>
                  <w:rStyle w:val="InternetLink"/>
                  <w:rFonts w:ascii="Times New Roman;serif" w:hAnsi="Times New Roman;serif"/>
                  <w:b w:val="false"/>
                  <w:color w:val="0000FF"/>
                  <w:sz w:val="20"/>
                  <w:u w:val="single"/>
                </w:rPr>
                <w:t>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25">
              <w:r>
                <w:rPr>
                  <w:rStyle w:val="InternetLink"/>
                  <w:rFonts w:ascii="Times New Roman;serif" w:hAnsi="Times New Roman;serif"/>
                  <w:b w:val="false"/>
                  <w:color w:val="0000FF"/>
                  <w:sz w:val="20"/>
                  <w:u w:val="single"/>
                </w:rPr>
                <w:t>Item 1A. 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25">
              <w:r>
                <w:rPr>
                  <w:rStyle w:val="InternetLink"/>
                  <w:rFonts w:ascii="Times New Roman;serif" w:hAnsi="Times New Roman;serif"/>
                  <w:b w:val="false"/>
                  <w:color w:val="0000FF"/>
                  <w:sz w:val="20"/>
                  <w:u w:val="single"/>
                </w:rPr>
                <w:t>14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28">
              <w:r>
                <w:rPr>
                  <w:rStyle w:val="InternetLink"/>
                  <w:rFonts w:ascii="Times New Roman;serif" w:hAnsi="Times New Roman;serif"/>
                  <w:b w:val="false"/>
                  <w:color w:val="0000FF"/>
                  <w:sz w:val="20"/>
                  <w:u w:val="single"/>
                </w:rPr>
                <w:t>Item 1B. Unresolved Staff Comments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28">
              <w:r>
                <w:rPr>
                  <w:rStyle w:val="InternetLink"/>
                  <w:rFonts w:ascii="Times New Roman;serif" w:hAnsi="Times New Roman;serif"/>
                  <w:b w:val="false"/>
                  <w:color w:val="0000FF"/>
                  <w:sz w:val="20"/>
                  <w:u w:val="single"/>
                </w:rPr>
                <w:t>25</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31">
              <w:r>
                <w:rPr>
                  <w:rStyle w:val="InternetLink"/>
                  <w:rFonts w:ascii="Times New Roman;serif" w:hAnsi="Times New Roman;serif"/>
                  <w:b w:val="false"/>
                  <w:color w:val="0000FF"/>
                  <w:sz w:val="20"/>
                  <w:u w:val="single"/>
                </w:rPr>
                <w:t>Item 1C. Cybersecurity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31">
              <w:r>
                <w:rPr>
                  <w:rStyle w:val="InternetLink"/>
                  <w:rFonts w:ascii="Times New Roman;serif" w:hAnsi="Times New Roman;serif"/>
                  <w:b w:val="false"/>
                  <w:color w:val="0000FF"/>
                  <w:sz w:val="20"/>
                  <w:u w:val="single"/>
                </w:rPr>
                <w:t>25</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34">
              <w:r>
                <w:rPr>
                  <w:rStyle w:val="InternetLink"/>
                  <w:rFonts w:ascii="Times New Roman;serif" w:hAnsi="Times New Roman;serif"/>
                  <w:b w:val="false"/>
                  <w:color w:val="0000FF"/>
                  <w:sz w:val="20"/>
                  <w:u w:val="single"/>
                </w:rPr>
                <w:t>Item 3. 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34">
              <w:r>
                <w:rPr>
                  <w:rStyle w:val="InternetLink"/>
                  <w:rFonts w:ascii="Times New Roman;serif" w:hAnsi="Times New Roman;serif"/>
                  <w:b w:val="false"/>
                  <w:color w:val="0000FF"/>
                  <w:sz w:val="20"/>
                  <w:u w:val="single"/>
                </w:rPr>
                <w:t>26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37">
              <w:r>
                <w:rPr>
                  <w:rStyle w:val="InternetLink"/>
                  <w:rFonts w:ascii="Times New Roman;serif" w:hAnsi="Times New Roman;serif"/>
                  <w:b w:val="false"/>
                  <w:color w:val="0000FF"/>
                  <w:sz w:val="20"/>
                  <w:u w:val="single"/>
                </w:rPr>
                <w:t>Item 4. 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37">
              <w:r>
                <w:rPr>
                  <w:rStyle w:val="InternetLink"/>
                  <w:rFonts w:ascii="Times New Roman;serif" w:hAnsi="Times New Roman;serif"/>
                  <w:b w:val="false"/>
                  <w:color w:val="0000FF"/>
                  <w:sz w:val="20"/>
                  <w:u w:val="single"/>
                </w:rPr>
                <w:t>26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40">
              <w:r>
                <w:rPr>
                  <w:rStyle w:val="InternetLink"/>
                  <w:rFonts w:ascii="Times New Roman;serif" w:hAnsi="Times New Roman;serif"/>
                  <w:b/>
                  <w:color w:val="0000FF"/>
                  <w:sz w:val="18"/>
                  <w:u w:val="single"/>
                </w:rPr>
                <w:t>PART 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43">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43">
              <w:r>
                <w:rPr>
                  <w:rStyle w:val="InternetLink"/>
                  <w:rFonts w:ascii="Times New Roman;serif" w:hAnsi="Times New Roman;serif"/>
                  <w:b w:val="false"/>
                  <w:color w:val="0000FF"/>
                  <w:sz w:val="20"/>
                  <w:u w:val="single"/>
                </w:rPr>
                <w:t>27</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46">
              <w:r>
                <w:rPr>
                  <w:rStyle w:val="InternetLink"/>
                  <w:rFonts w:ascii="Times New Roman;serif" w:hAnsi="Times New Roman;serif"/>
                  <w:b w:val="false"/>
                  <w:color w:val="0000FF"/>
                  <w:sz w:val="20"/>
                  <w:u w:val="single"/>
                </w:rPr>
                <w:t>Item 6. [Reserved]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46">
              <w:r>
                <w:rPr>
                  <w:rStyle w:val="InternetLink"/>
                  <w:rFonts w:ascii="Times New Roman;serif" w:hAnsi="Times New Roman;serif"/>
                  <w:b w:val="false"/>
                  <w:color w:val="0000FF"/>
                  <w:sz w:val="20"/>
                  <w:u w:val="single"/>
                </w:rPr>
                <w:t>28</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49">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49">
              <w:r>
                <w:rPr>
                  <w:rStyle w:val="InternetLink"/>
                  <w:rFonts w:ascii="Times New Roman;serif" w:hAnsi="Times New Roman;serif"/>
                  <w:b w:val="false"/>
                  <w:color w:val="0000FF"/>
                  <w:sz w:val="20"/>
                  <w:u w:val="single"/>
                </w:rPr>
                <w:t>29</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88">
              <w:r>
                <w:rPr>
                  <w:rStyle w:val="InternetLink"/>
                  <w:rFonts w:ascii="Times New Roman;serif" w:hAnsi="Times New Roman;serif"/>
                  <w:b w:val="false"/>
                  <w:color w:val="0000FF"/>
                  <w:sz w:val="20"/>
                  <w:u w:val="single"/>
                </w:rPr>
                <w:t>Item 7A. 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88">
              <w:r>
                <w:rPr>
                  <w:rStyle w:val="InternetLink"/>
                  <w:rFonts w:ascii="Times New Roman;serif" w:hAnsi="Times New Roman;serif"/>
                  <w:b w:val="false"/>
                  <w:color w:val="0000FF"/>
                  <w:sz w:val="20"/>
                  <w:u w:val="single"/>
                </w:rPr>
                <w:t>42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91">
              <w:r>
                <w:rPr>
                  <w:rStyle w:val="InternetLink"/>
                  <w:rFonts w:ascii="Times New Roman;serif" w:hAnsi="Times New Roman;serif"/>
                  <w:b w:val="false"/>
                  <w:color w:val="0000FF"/>
                  <w:sz w:val="20"/>
                  <w:u w:val="single"/>
                </w:rPr>
                <w:t>Item 8. Financial Statements and Supplementary Data</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91">
              <w:r>
                <w:rPr>
                  <w:rStyle w:val="InternetLink"/>
                  <w:rFonts w:ascii="Times New Roman;serif" w:hAnsi="Times New Roman;serif"/>
                  <w:b w:val="false"/>
                  <w:color w:val="0000FF"/>
                  <w:sz w:val="20"/>
                  <w:u w:val="single"/>
                </w:rPr>
                <w:t>44</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63">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63">
              <w:r>
                <w:rPr>
                  <w:rStyle w:val="InternetLink"/>
                  <w:rFonts w:ascii="Times New Roman;serif" w:hAnsi="Times New Roman;serif"/>
                  <w:b w:val="false"/>
                  <w:color w:val="0000FF"/>
                  <w:sz w:val="20"/>
                  <w:u w:val="single"/>
                </w:rPr>
                <w:t>83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66">
              <w:r>
                <w:rPr>
                  <w:rStyle w:val="InternetLink"/>
                  <w:rFonts w:ascii="Times New Roman;serif" w:hAnsi="Times New Roman;serif"/>
                  <w:b w:val="false"/>
                  <w:color w:val="0000FF"/>
                  <w:sz w:val="20"/>
                  <w:u w:val="single"/>
                </w:rPr>
                <w:t>Item 9A. 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66">
              <w:r>
                <w:rPr>
                  <w:rStyle w:val="InternetLink"/>
                  <w:rFonts w:ascii="Times New Roman;serif" w:hAnsi="Times New Roman;serif"/>
                  <w:b w:val="false"/>
                  <w:color w:val="0000FF"/>
                  <w:sz w:val="20"/>
                  <w:u w:val="single"/>
                </w:rPr>
                <w:t>83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93">
              <w:r>
                <w:rPr>
                  <w:rStyle w:val="InternetLink"/>
                  <w:rFonts w:ascii="Times New Roman;serif" w:hAnsi="Times New Roman;serif"/>
                  <w:b w:val="false"/>
                  <w:color w:val="0000FF"/>
                  <w:sz w:val="20"/>
                  <w:u w:val="single"/>
                </w:rPr>
                <w:t>Item 9B. 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93">
              <w:r>
                <w:rPr>
                  <w:rStyle w:val="InternetLink"/>
                  <w:rFonts w:ascii="Times New Roman;serif" w:hAnsi="Times New Roman;serif"/>
                  <w:b w:val="false"/>
                  <w:color w:val="0000FF"/>
                  <w:sz w:val="20"/>
                  <w:u w:val="single"/>
                </w:rPr>
                <w:t>86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96">
              <w:r>
                <w:rPr>
                  <w:rStyle w:val="InternetLink"/>
                  <w:rFonts w:ascii="Times New Roman;serif" w:hAnsi="Times New Roman;serif"/>
                  <w:b w:val="false"/>
                  <w:color w:val="0000FF"/>
                  <w:sz w:val="20"/>
                  <w:u w:val="single"/>
                </w:rPr>
                <w:t>Item 9C. Disclosure Regarding Foreign Jurisdictions that Prevent Inspections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96">
              <w:r>
                <w:rPr>
                  <w:rStyle w:val="InternetLink"/>
                  <w:rFonts w:ascii="Times New Roman;serif" w:hAnsi="Times New Roman;serif"/>
                  <w:b w:val="false"/>
                  <w:color w:val="0000FF"/>
                  <w:sz w:val="20"/>
                  <w:u w:val="single"/>
                </w:rPr>
                <w:t>86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75">
              <w:r>
                <w:rPr>
                  <w:rStyle w:val="InternetLink"/>
                  <w:rFonts w:ascii="Times New Roman;serif" w:hAnsi="Times New Roman;serif"/>
                  <w:b/>
                  <w:color w:val="0000FF"/>
                  <w:sz w:val="18"/>
                  <w:u w:val="single"/>
                </w:rPr>
                <w:t>PART III</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78">
              <w:r>
                <w:rPr>
                  <w:rStyle w:val="InternetLink"/>
                  <w:rFonts w:ascii="Times New Roman;serif" w:hAnsi="Times New Roman;serif"/>
                  <w:b w:val="false"/>
                  <w:color w:val="0000FF"/>
                  <w:sz w:val="20"/>
                  <w:u w:val="single"/>
                </w:rPr>
                <w:t>Item 10. Directors, Executive Officers and 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78">
              <w:r>
                <w:rPr>
                  <w:rStyle w:val="InternetLink"/>
                  <w:rFonts w:ascii="Times New Roman;serif" w:hAnsi="Times New Roman;serif"/>
                  <w:b w:val="false"/>
                  <w:color w:val="0000FF"/>
                  <w:sz w:val="20"/>
                  <w:u w:val="single"/>
                </w:rPr>
                <w:t>86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81">
              <w:r>
                <w:rPr>
                  <w:rStyle w:val="InternetLink"/>
                  <w:rFonts w:ascii="Times New Roman;serif" w:hAnsi="Times New Roman;serif"/>
                  <w:b w:val="false"/>
                  <w:color w:val="0000FF"/>
                  <w:sz w:val="20"/>
                  <w:u w:val="single"/>
                </w:rPr>
                <w:t>Item 11. Executive Compensation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81">
              <w:r>
                <w:rPr>
                  <w:rStyle w:val="InternetLink"/>
                  <w:rFonts w:ascii="Times New Roman;serif" w:hAnsi="Times New Roman;serif"/>
                  <w:b w:val="false"/>
                  <w:color w:val="0000FF"/>
                  <w:sz w:val="20"/>
                  <w:u w:val="single"/>
                </w:rPr>
                <w:t>86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84">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84">
              <w:r>
                <w:rPr>
                  <w:rStyle w:val="InternetLink"/>
                  <w:rFonts w:ascii="Times New Roman;serif" w:hAnsi="Times New Roman;serif"/>
                  <w:b w:val="false"/>
                  <w:color w:val="0000FF"/>
                  <w:sz w:val="20"/>
                  <w:u w:val="single"/>
                </w:rPr>
                <w:t>86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87">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87">
              <w:r>
                <w:rPr>
                  <w:rStyle w:val="InternetLink"/>
                  <w:rFonts w:ascii="Times New Roman;serif" w:hAnsi="Times New Roman;serif"/>
                  <w:b w:val="false"/>
                  <w:color w:val="0000FF"/>
                  <w:sz w:val="20"/>
                  <w:u w:val="single"/>
                </w:rPr>
                <w:t>86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90">
              <w:r>
                <w:rPr>
                  <w:rStyle w:val="InternetLink"/>
                  <w:rFonts w:ascii="Times New Roman;serif" w:hAnsi="Times New Roman;serif"/>
                  <w:b w:val="false"/>
                  <w:color w:val="0000FF"/>
                  <w:sz w:val="20"/>
                  <w:u w:val="single"/>
                </w:rPr>
                <w:t>Item 14. Principal Accountant Fees and Services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90">
              <w:r>
                <w:rPr>
                  <w:rStyle w:val="InternetLink"/>
                  <w:rFonts w:ascii="Times New Roman;serif" w:hAnsi="Times New Roman;serif"/>
                  <w:b w:val="false"/>
                  <w:color w:val="0000FF"/>
                  <w:sz w:val="20"/>
                  <w:u w:val="single"/>
                </w:rPr>
                <w:t>86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99">
              <w:r>
                <w:rPr>
                  <w:rStyle w:val="InternetLink"/>
                  <w:rFonts w:ascii="Times New Roman;serif" w:hAnsi="Times New Roman;serif"/>
                  <w:b/>
                  <w:color w:val="0000FF"/>
                  <w:sz w:val="18"/>
                  <w:u w:val="single"/>
                </w:rPr>
                <w:t>PART IV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202">
              <w:r>
                <w:rPr>
                  <w:rStyle w:val="InternetLink"/>
                  <w:rFonts w:ascii="Times New Roman;serif" w:hAnsi="Times New Roman;serif"/>
                  <w:b w:val="false"/>
                  <w:color w:val="0000FF"/>
                  <w:sz w:val="20"/>
                  <w:u w:val="single"/>
                </w:rPr>
                <w:t>Item 15. Exhibits and Financial Statement Schedules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202">
              <w:r>
                <w:rPr>
                  <w:rStyle w:val="InternetLink"/>
                  <w:rFonts w:ascii="Times New Roman;serif" w:hAnsi="Times New Roman;serif"/>
                  <w:b w:val="false"/>
                  <w:color w:val="0000FF"/>
                  <w:sz w:val="20"/>
                  <w:u w:val="single"/>
                </w:rPr>
                <w:t>87</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205">
              <w:r>
                <w:rPr>
                  <w:rStyle w:val="InternetLink"/>
                  <w:rFonts w:ascii="Times New Roman;serif" w:hAnsi="Times New Roman;serif"/>
                  <w:b w:val="false"/>
                  <w:color w:val="0000FF"/>
                  <w:sz w:val="20"/>
                  <w:u w:val="single"/>
                </w:rPr>
                <w:t>Item 16. Form 10-K Summary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205">
              <w:r>
                <w:rPr>
                  <w:rStyle w:val="InternetLink"/>
                  <w:rFonts w:ascii="Times New Roman;serif" w:hAnsi="Times New Roman;serif"/>
                  <w:b w:val="false"/>
                  <w:color w:val="0000FF"/>
                  <w:sz w:val="20"/>
                  <w:u w:val="single"/>
                </w:rPr>
                <w:t>89</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208">
              <w:r>
                <w:rPr>
                  <w:rStyle w:val="InternetLink"/>
                  <w:rFonts w:ascii="Times New Roman;serif" w:hAnsi="Times New Roman;serif"/>
                  <w:b w:val="false"/>
                  <w:color w:val="0000FF"/>
                  <w:sz w:val="20"/>
                  <w:u w:val="single"/>
                </w:rPr>
                <w:t>Signatures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208">
              <w:r>
                <w:rPr>
                  <w:rStyle w:val="InternetLink"/>
                  <w:rFonts w:ascii="Times New Roman;serif" w:hAnsi="Times New Roman;serif"/>
                  <w:b w:val="false"/>
                  <w:color w:val="0000FF"/>
                  <w:sz w:val="20"/>
                  <w:u w:val="single"/>
                </w:rPr>
                <w:t>90</w:t>
              </w:r>
            </w:hyperlink>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industry terms used in this Annual Report on Form 10-K (the “Annual Report” or this “report”):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49"/>
        <w:gridCol w:w="535"/>
        <w:gridCol w:w="525"/>
        <w:gridCol w:w="2537"/>
        <w:gridCol w:w="2417"/>
        <w:gridCol w:w="3442"/>
      </w:tblGrid>
      <w:tr>
        <w:trPr/>
        <w:tc>
          <w:tcPr>
            <w:tcW w:w="74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8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Midland, Texas.</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Basin</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large depression on the earth’s surface in which sediments accumulate.</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Bbl or barrel</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stock tank barrel, or 42 U.S. gallons liquid volume, used in this report in reference to crude oil or other liquid hydrocarbons.</w:t>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BO/d</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BO per day.</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 equivalent, with six thousand cubic feet of natural gas being equivalent to one barrel of oil.</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BOE/d</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BOE per day.</w:t>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British Thermal Unit</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quantity of heat required to raise the temperature of one pound of water by one degree Fahrenheit.</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Completion</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Condensate</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Liquid hydrocarbons associated with the production that is primarily natural gas.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Crude oil</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Liquid hydrocarbons retrieved from geological structures underground to be refined into fuel sources.</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Deterministic method</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method of estimating reserves or resources under which a single value for each parameter (from the geoscience, engineering or economic data) in the reserves calculation is used in the reserves estimation procedure.</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acreage</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Acreage allocated or assignable to productive wells.</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costs incurred in the acquisition, exploitation and exploration of proved oil and natural gas reserves.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well</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well drilled within the proved area of a natural gas or oil reservoir to the depth of a stratigraphic horizon known to be productive.</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Differential</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adjustment to the price of oil or natural gas from an established spot market price to reflect differences in the quality and/or location of oil or natural gas.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Dry hole</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well found to be incapable of producing hydrocarbons in sufficient quantities such that proceeds from the sale of such production exceed production expenses and taxes.</w:t>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Exploitation</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Field</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area consisting of either a single reservoir or multiple reservoirs, all grouped on or related to the same individual geological structural feature and/or stratigraphic condition.</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Finding costs</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costs incurred in the acquisition of proved oil and natural gas reserves divided by proved reserve additions and revisions to proved reserves.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Formation</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layer of rock which has distinct characteristics that differs from nearby rock. </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Fracturing</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Gross royalty acres or gross wells</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total acres or wells in which a mineral interest is owned.</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Henry Hub</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futures on the NYMEX.</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drilling</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drilling technique used in certain formations where a well is drilled vertically to a certain depth and then drilled at a right angle within a specified interval.</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wells</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Wells drilled directionally horizontal to allow for development of structures not reachable through traditional vertical drilling mechanisms.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MBbls</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barrels of crude oil and other liquid hydrocarbons.</w:t>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 determined using a ratio of six Mcf of natural gas to one Bbl of crude oil, condensate or natural gas liquids.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MBOE/d</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 per day.</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Mcf</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cubic feet of natural gas.</w:t>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8396"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Mineral interests</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interests in ownership of the resource and mineral rights, giving an owner the right to profit from the extracted resources.</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8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million British Thermal Units.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8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Million cubic feet of natural gas.</w:t>
            </w:r>
          </w:p>
        </w:tc>
      </w:tr>
      <w:tr>
        <w:trPr/>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23"/>
        <w:gridCol w:w="281"/>
        <w:gridCol w:w="284"/>
        <w:gridCol w:w="2814"/>
        <w:gridCol w:w="2520"/>
        <w:gridCol w:w="3583"/>
      </w:tblGrid>
      <w:tr>
        <w:trPr/>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vAlign w:val="center"/>
          </w:tcPr>
          <w:p>
            <w:pPr>
              <w:pStyle w:val="TableContents"/>
              <w:bidi w:val="0"/>
              <w:spacing w:before="0" w:after="283"/>
              <w:jc w:val="left"/>
              <w:rPr>
                <w:sz w:val="4"/>
                <w:szCs w:val="4"/>
              </w:rPr>
            </w:pPr>
            <w:r>
              <w:rPr>
                <w:sz w:val="4"/>
                <w:szCs w:val="4"/>
              </w:rPr>
            </w:r>
          </w:p>
        </w:tc>
        <w:tc>
          <w:tcPr>
            <w:tcW w:w="8917" w:type="dxa"/>
            <w:gridSpan w:val="3"/>
            <w:tcBorders/>
            <w:vAlign w:val="center"/>
          </w:tcPr>
          <w:p>
            <w:pPr>
              <w:pStyle w:val="TableContents"/>
              <w:bidi w:val="0"/>
              <w:spacing w:before="0" w:after="283"/>
              <w:jc w:val="left"/>
              <w:rPr>
                <w:sz w:val="4"/>
                <w:szCs w:val="4"/>
              </w:rPr>
            </w:pPr>
            <w:r>
              <w:rPr>
                <w:sz w:val="4"/>
                <w:szCs w:val="4"/>
              </w:rPr>
            </w:r>
          </w:p>
        </w:tc>
      </w:tr>
      <w:tr>
        <w:trPr/>
        <w:tc>
          <w:tcPr>
            <w:tcW w:w="1288" w:type="dxa"/>
            <w:gridSpan w:val="3"/>
            <w:tcBorders/>
            <w:vAlign w:val="center"/>
          </w:tcPr>
          <w:p>
            <w:pPr>
              <w:pStyle w:val="TableContents"/>
              <w:bidi w:val="0"/>
              <w:spacing w:before="0" w:after="283"/>
              <w:jc w:val="left"/>
              <w:rPr>
                <w:sz w:val="4"/>
                <w:szCs w:val="4"/>
              </w:rPr>
            </w:pPr>
            <w:r>
              <w:rPr>
                <w:sz w:val="4"/>
                <w:szCs w:val="4"/>
              </w:rPr>
            </w:r>
          </w:p>
        </w:tc>
        <w:tc>
          <w:tcPr>
            <w:tcW w:w="8917" w:type="dxa"/>
            <w:gridSpan w:val="3"/>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mineral acres</w:t>
            </w:r>
          </w:p>
        </w:tc>
        <w:tc>
          <w:tcPr>
            <w:tcW w:w="8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portion of total mineral rights a person or entity owns in a tract of land, calculated by multiplying the gross royalty acres in such tract by such person or entity’s fractional ownership interest.</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interest</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owner’s interest in the revenues of a well after deducting proceeds allocated to royalty, overriding interests and other burdens.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royalty acres</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mineral acres multiplied by the average lease royalty interest and other burdens.</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Tracts of land consisting of properties to be developed for oil and natural gas resource extraction.</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individual or company responsible for the exploration and/or production of an oil or natural gas well or lease.</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Plugging and abandonment</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Refers to the sealing off of fluids in the reservoir penetrated by a well so that the fluids from one reservoir will not escape into another or to the surface. Regulations of all states require plugging of abandoned wells.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Productive well</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well that is found to be mechanically capable of producing hydrocarbons in sufficient quantities such that proceeds from the sale of the production exceed production expenses and taxes.</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Prospect</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specific geographic area which, based on supporting geological, geophysical or other data and also preliminary economic analysis using reasonably anticipated prices and costs, is deemed to have potential for the discovery of commercially recoverable hydrocarbons.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developed reserves</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Reserves that can be expected to be recovered through existing wells with existing equipment and operating methods.</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reserves</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undeveloped reserves or PUDs</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Proved reserves that are expected to be recovered from new wells on undrilled acreage or from existing wells where a relatively major expenditure is required for recompletion.</w:t>
            </w:r>
          </w:p>
        </w:tc>
      </w:tr>
      <w:tr>
        <w:trPr/>
        <w:tc>
          <w:tcPr>
            <w:tcW w:w="1288" w:type="dxa"/>
            <w:gridSpan w:val="3"/>
            <w:tcBorders/>
            <w:vAlign w:val="center"/>
          </w:tcPr>
          <w:p>
            <w:pPr>
              <w:pStyle w:val="TableContents"/>
              <w:bidi w:val="0"/>
              <w:spacing w:before="0" w:after="283"/>
              <w:jc w:val="left"/>
              <w:rPr>
                <w:sz w:val="4"/>
                <w:szCs w:val="4"/>
              </w:rPr>
            </w:pPr>
            <w:r>
              <w:rPr>
                <w:sz w:val="4"/>
                <w:szCs w:val="4"/>
              </w:rPr>
            </w:r>
          </w:p>
        </w:tc>
        <w:tc>
          <w:tcPr>
            <w:tcW w:w="8917" w:type="dxa"/>
            <w:gridSpan w:val="3"/>
            <w:tcBorders/>
            <w:vAlign w:val="center"/>
          </w:tcPr>
          <w:p>
            <w:pPr>
              <w:pStyle w:val="TableContents"/>
              <w:bidi w:val="0"/>
              <w:spacing w:before="0" w:after="283"/>
              <w:jc w:val="left"/>
              <w:rPr>
                <w:sz w:val="4"/>
                <w:szCs w:val="4"/>
              </w:rPr>
            </w:pPr>
            <w:r>
              <w:rPr>
                <w:sz w:val="4"/>
                <w:szCs w:val="4"/>
              </w:rPr>
            </w:r>
          </w:p>
        </w:tc>
      </w:tr>
      <w:tr>
        <w:trPr/>
        <w:tc>
          <w:tcPr>
            <w:tcW w:w="1288" w:type="dxa"/>
            <w:gridSpan w:val="3"/>
            <w:tcBorders/>
            <w:vAlign w:val="center"/>
          </w:tcPr>
          <w:p>
            <w:pPr>
              <w:pStyle w:val="TableContents"/>
              <w:bidi w:val="0"/>
              <w:spacing w:before="0" w:after="283"/>
              <w:jc w:val="left"/>
              <w:rPr>
                <w:sz w:val="4"/>
                <w:szCs w:val="4"/>
              </w:rPr>
            </w:pPr>
            <w:r>
              <w:rPr>
                <w:sz w:val="4"/>
                <w:szCs w:val="4"/>
              </w:rPr>
            </w:r>
          </w:p>
        </w:tc>
        <w:tc>
          <w:tcPr>
            <w:tcW w:w="8917" w:type="dxa"/>
            <w:gridSpan w:val="3"/>
            <w:tcBorders/>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Recompletion</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re-entering an existing wellbore that is either producing or not producing and completing new reservoirs in an attempt to establish or increase existing production.</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Reservoir</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Resource play</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set of discovered or prospective oil and/or natural gas accumulations sharing similar geologic, geographic and temporal properties, such as source rock, reservoir structure, timing, trapping mechanism and hydrocarbon type.</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interest</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interest that gives an owner the right to receive a portion of the resources or revenues without having to carry any costs of development, which may be subject to expiration.</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Spacing</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distance between wells producing from the same reservoir. Spacing is often expressed in terms of acres (e.g., 40-acre spacing) and is often established by regulatory agencies.</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Spud</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Commencement of actual drilling operations.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Standardized measure</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present value of estimated future net revenue to be generated from the production of proved reserves, determined in accordance with the rules and regulations of the SEC (using prices and costs in effect as of the date of estimation), less future development, production and income tax expenses, and discounted at 10% per annum to reflect the timing of future net revenue.</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Tight formation</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formation with low permeability that produces natural gas with very low flow rates for long periods of time.</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Undeveloped acreage</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Lease acreage on which wells have not been drilled or completed to a point that would permit the production of economic quantities of oil and natural gas regardless of whether such acreage contains proved reserves.</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Waha Hub</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western Texas and New Mexico.</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Wellbore</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hole drilled by the bit that is equipped for oil or natural gas production on a completed well.</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Working interest</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West Texas Intermediate, a light sweet blend of oil produced from fields in western Texas and is a grade of oil that serves as a benchmark for oil on the NYMEX.</w:t>
            </w:r>
          </w:p>
        </w:tc>
      </w:tr>
      <w:tr>
        <w:trPr/>
        <w:tc>
          <w:tcPr>
            <w:tcW w:w="128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91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used in this report: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55"/>
        <w:gridCol w:w="347"/>
        <w:gridCol w:w="349"/>
        <w:gridCol w:w="2867"/>
        <w:gridCol w:w="2479"/>
        <w:gridCol w:w="3508"/>
      </w:tblGrid>
      <w:tr>
        <w:trPr/>
        <w:tc>
          <w:tcPr>
            <w:tcW w:w="65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Adjusted EBITDA, a non-GAAP measure, generally equals net income (loss) attributable to Viper Energy, Inc. plus net income (loss) attributable to non-controlling interest before interest expense, net, non-cash share-based compensation expense, depletion, impairment, non-cash (gain) loss on derivative instruments, (gain) loss on extinguishment of debt, other non-cash operating expenses, other non-recurring expenses, if any, and provision for (benefit from) income taxes.</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After August 19, 2025, Class A common stock, $0.000001 par value per share of New Viper (as defined below), and before August 19, 2025, Class A common stock, $0.000001 par value per share of Former Viper (as defined below).</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After August 19, 2025, Class B common stock, $0.000001 par value per share of New Viper, and before August 19, 2025, Class B common stock, $0.000001 par value per share of Former Viper.</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Collectively, Class A Common Stock and Class B Common Stock.</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transaction, effective November 13, 2023, whereby the Partnership converted from a Delaware limited partnership to a Delaware corporation known as “Viper Energy, Inc.” </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Diamondback</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Diamondback Energy, Inc., a Delaware corporation.</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Diamondback E&amp;P LLC</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subsidiary of Diamondback.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EPA</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Environmental Protection Agency.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FERC</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Federal Energy Regulatory Commission.</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United States.</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Viper Energy Partners GP LLC, a Delaware limited liability company; the general partner of the Partnership and a wholly owned subsidiary of Diamondback prior to the Conversion.</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Guaranteed Senior Notes</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outstanding senior notes of Viper Energy Partners LP (f/k/a Viper Energy Partners LLC), issued under indentures where Viper Energy, Inc. and VNOM Sub, Inc., a wholly owned subsidiary of Viper Energy, Inc., are the guarantors, consisting of the 4.900% Senior Notes due 2030 and the 5.700% Senior Notes due 2035.</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LTIP</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Viper Energy, Inc. Amended and Restated 2014 Long-Term Incentive Plan, as amended and restated by Viper Energy, Inc. 2024 Amended and Restated Long-Term Incentive Plan, and as may be further amended or restated from time to time.</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Nasdaq</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debt, a non-GAAP measure, is debt (excluding debt issuance costs, discounts and premiums) less cash and cash equivalents.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Those senior notes of Viper Energy, Inc. that were issued under indentures where Viper Energy Partners LLC and other subsidiaries were guarantors, consisting of the 5.375% Senior Notes due 2027 and the 7.375% Senior Notes due 2031, and which were redeemed on November 1, 2025 and July 23, 2025, respectively.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NYMEX</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New York Mercantile Exchange.</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OPEC</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Organization of the Petroleum Exporting Countries.</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Company or OpCo</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Prior to December 23, 2025, Viper Energy Partners LLC, a Delaware limited liability company and a consolidated subsidiary of Viper Energy, Inc. and after December 23, 2025, VNOM Holding Company LLC, a Delaware limited liability company and a consolidated subsidiary of Viper Energy, Inc. </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OpCo Unit</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Limited liability company membership interest in the Operating Company.</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Partnership</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Viper Energy Partners LP, the predecessor of the Company (as defined below), which converted into the Company in the Conversion.</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Partnership Agreement</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second amended and restated agreement of limited partnership of the Partnership, dated as of May 9, 2018, as amended as of May 10, 2018, and further amended on November 2, 2023.</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Ryder Scott</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Ryder Scott Company, L.P.</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Securities and Exchange Commission.</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 Prices</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Unweighted arithmetic average of the first-day-of-the-month price for each month during the 12-month period prior to the ending date of the period covered by this report.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Act</w:t>
            </w:r>
          </w:p>
        </w:tc>
        <w:tc>
          <w:tcPr>
            <w:tcW w:w="8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Securities Act of 1933, as amended.</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secured overnight financing rate.</w:t>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Wells Fargo</w:t>
            </w:r>
          </w:p>
        </w:tc>
        <w:tc>
          <w:tcPr>
            <w:tcW w:w="88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Wells Fargo Bank, National Association.</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our cash dividend policy and repurchases of our Common Stock, OpCo Units or Guaranteed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and the actual outcomes could differ materially from what we expressed in our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could cause the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its non-OPEC allies (“OPEC+”)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or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 and changing political and social perspectives on climate change and other ESG (as defined below) factors;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risks from our cash dividend policy and uncertainties over our future dividends;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drilling and development by our limited number of operators and our ability to replace operators in time of bankruptcy or default;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inherent uncertainties over our estimated reserves, the development of our proved undeveloped reserves or the yield from project areas on our properties;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geographical concentration of our producing properties and reserves in the Permian Basin and in a small number of producing horizons;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electrical power, internet and telecommunication infrastructure, information and computer systems, transportation, processing, storage and other facilities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geopolitics, regional conflicts, 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the credit facility and hedging contracts of our operating subsidiary;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substantial indebtedness and 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 to develop or acquire additional reserves and identify, complete or integrate acquisitions;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operational dependence on, and control by, Diamondback and potential conflicts of interest thereof;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other risks and factors disclosed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On November 13, 2023, Viper Energy Partners LP converted from a Delaware limited partnership to a Delaware corporation named “Viper Energy, Inc.” (the “Conversion”).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On August 19, 2025, upon completion of the Sitio Acquisition (as defined and discussed below), Viper Energy, Inc. changed its name to VNOM Sub, Inc. (“Former Viper”) and became a wholly owned subsidiary of New Cobra Pubco, Inc., which subsequently changed its name to Viper Energy, Inc., (“New Viper”), as a result of a merger contemplated by the documents governing the Sitio Acquisition (such merger, the “Viper PubCo Merger”).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References in this Annual Report to “Viper” refer to (A) New Viper following the Viper PubCo Merger (B) Former Viper prior to the Viper PubCo Merger but after the Conversion, and (C) Viper Energy Partners LP prior to the Conversion. References to the “Company,” “our company,” “we,” “our,” “us” or like terms refer collectively to Viper and its consolidated subsidiaries. References to “shares” or per share amounts prior to the Conversion refer to common units and Class B units or per unit amounts of Viper Energy Partners LP. References to shares or per share amounts following the Conversion refer to (A) Class A common stock, par value $0.000001 per share and Class B common stock, par value $0.000001 per share of New Viper following the Viper PubCo Merger and (B) Class A common stock, par value $0.000001 per share and Class B common stock, par value $0.000001 per share of Former Viper prior to the Viper PubCo Merger.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References to the “Operating Company” or “OpCo” refer to (A) New OpCo following the Reorganization and (B) Old OpCo prior to the Reorganization. References to “OpCo Units” refer to the units representing limited liability company interests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References to “Diamondback” refer collectively to Diamondback Energy, Inc. and its subsidiaries other than the Company. References to the “General Partner” refer to Viper Energy Partners GP LLC, our general partner prior to the Conversion. All references to dividends prior to the Conversion refer to distributions.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See Note 1—</w:t>
      </w:r>
      <w:hyperlink w:anchor="i636f90b9a2bf4a46ad5fe64678400ed7_115">
        <w:r>
          <w:rPr>
            <w:rStyle w:val="InternetLink"/>
            <w:rFonts w:ascii="Times New Roman;serif" w:hAnsi="Times New Roman;serif"/>
            <w:b w:val="false"/>
            <w:i/>
            <w:color w:val="0000FF"/>
            <w:sz w:val="20"/>
            <w:u w:val="single"/>
          </w:rPr>
          <w:t>Organization and Basis of Presentation</w:t>
        </w:r>
      </w:hyperlink>
      <w:r>
        <w:rPr>
          <w:color w:val="000000"/>
        </w:rPr>
        <w:t xml:space="preserve"> </w:t>
      </w:r>
      <w:r>
        <w:rPr>
          <w:rFonts w:ascii="Times New Roman;serif" w:hAnsi="Times New Roman;serif"/>
          <w:b w:val="false"/>
          <w:i/>
          <w:color w:val="000000"/>
          <w:sz w:val="20"/>
        </w:rPr>
        <w:t>in Item 8. Financial Statements and Supplementary Data of this report for additional discussion of the Conversion.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ITEMS 1 and 2. BUSINESS AND PROPERTIES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publicly traded Delaware corporation focused on owning and acquiring mineral and royalty interests in oil and natural gas properties primarily in the Permian Basin. We operate in one reportable segment. Effective November 13, 2023, we converted our legal status from a Delaware limited partnership into a Delaware corporation. Our primary business objective is to provide an attractive return to our stockholders by focusing on business results, generating robust free cash flow, reducing debt and protecting our balance sheet, while maintaining what we believe is a best-in-class cost structure. Our assets consist of mineral and royalty interests in oil and natural gas properties primarily in the Permian Basin in West Texas, substantially all of which are leased to working interest owners who bear the costs of operation and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focused on oil and natural gas properties primarily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formations of oil and natural gas bearing rock throughout.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Non-Permian Divestiture and Significant 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9, 2026, we divested all of our non-Permian assets, including those acquired from Sitio Royalties Corp. (“Sitio”), to an affiliate of GRP Energy Capital LLC and Warwick Capital Partners LLP for net cash proceeds of approximately $617 million, subject to customary post-closing adjustments (the “Non-Permian Divestiture”). The divested properties consisted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approximately 9,400 net royalty acres in the Denver-Julesburg, Eagle Ford and Williston basins with current production of approximately 4,750 BO/d.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we completed a series of transactions in which New Viper acquired Sitio, Sitio Royalties Operating Partnership, LP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including customary transaction costs and post-closing adjustments and the partial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we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$873 million in cash including customary post-closing adjustments, and (ii) the issuance of 69,626,640 OpCo Units and an equivalent number of shares of our Class B Common Stock (the “2025 Drop Down”). The mineral and royalty interests acquired in the 2025 Drop Down represent approximately 24,446 net royalty acres in the Permian Basin, 69% of which are operated by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further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assets consisted of mineral interests and royalty interests underlying approximately 4,462,119 gross royalty acres and 96,003 net royalty acres primarily in the Permian Basin, and Diamondback was the operator of approximately 35% of our net royalty acreage. As of December 31, 2025, there were 43,355 gross productive wells on this acreage, 6,524 of which were operated by Diamondback. Net production during the fourth quarter of 2025 was approximately 134,000 BOE/d and net production for the year ended December 31, 2025, averaged 95,126 BOE/d. For the years ended December 31, 2025, 2024 and 2023, royalty income generated from these mineral and royalty interests was $1.3 billion, $854 million and $717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our estimated proved oil and natural gas reserves totaled 406,035 MBOE based on reserve estimates prepared by our internal reservoir engineers and audited by Ryder Scott, an independent petroleum engineering firm. As of December 31, 2025, approximately 78% of our proved reserves were classified as proved developed producing reserves. PUD included in this estimate were from 1,653 gross horizontal well locations. As of December 31, 2025, our proved reserves were approximately 48% oil, 26% natural gas and 26% natural gas liquids.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Relationship with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Diamondback beneficially owned 155,058,093 shares of our outstanding Class B Common Stock, representing approximately 42.1% of the then outstanding voting power of our capital stock on a fully diluted basis, after giving effect to the outstanding TWR Class B Option (as defined and discussed in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We believe Diamondback’s significant ownership in us may motivate it to offer additional mineral and other interests in oil and natural gas properties to us in the future, although Diamondback has no obligation to do so and may elect to hold or dispose of mineral and other interests in such properties without offering us the opportunities to acquire them.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Diamondback views our company as part of its business strategy and that Diamondback may be incentivized to pursue additional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neither we nor our Operating Company have any employees. Diamondback provides management, operating and administrative services to us under the services and secondment agreement (the “Services and Secondment Agreement”), including the services of the executive officers and other employees. For additional information, please read </w:t>
      </w:r>
      <w:hyperlink w:anchor="i636f90b9a2bf4a46ad5fe64678400ed7_49">
        <w:r>
          <w:rPr>
            <w:rStyle w:val="InternetLink"/>
            <w:rFonts w:ascii="Times New Roman;serif" w:hAnsi="Times New Roman;serif"/>
            <w:b w:val="false"/>
            <w:color w:val="0000FF"/>
            <w:sz w:val="20"/>
            <w:u w:val="single"/>
          </w:rPr>
          <w:t>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and the consolidated financial statements and related notes in </w:t>
      </w:r>
      <w:hyperlink w:anchor="i636f90b9a2bf4a46ad5fe64678400ed7_91">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business objective is to generate the highest value proposition for our stockholders through a focus on increasing long-term per share growth and returns by generating robust free cash flow, managing our capital structure, including reducing debt, and protecting our balance sheet. We intend to accomplish this objective by executing the following strategies:</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Capitalize on the development of the properties underlying our mineral interests to grow our cash flow</w:t>
      </w:r>
      <w:r>
        <w:rPr>
          <w:rFonts w:ascii="Times New Roman;serif" w:hAnsi="Times New Roman;serif"/>
          <w:b w:val="false"/>
          <w:color w:val="000000"/>
          <w:sz w:val="20"/>
        </w:rPr>
        <w:t>. We expect the production from our mineral interests will increase as Diamondback and our other operators continue to develop our acreage by drilling and completing wells. We expect to capitalize on this development, which requires no capital expenditure funding from us, and believe the anticipated increase in our aggregate royalty payment receipts will enable us to grow our cash flows.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Leverage our relationship with Diamondback to participate with it in acquisitions of mineral or other interests in producing properties from third parties and to increase the size and scope of our potential third-party acquisition targets</w:t>
      </w:r>
      <w:r>
        <w:rPr>
          <w:rFonts w:ascii="Times New Roman;serif" w:hAnsi="Times New Roman;serif"/>
          <w:b w:val="false"/>
          <w:color w:val="000000"/>
          <w:sz w:val="20"/>
        </w:rPr>
        <w:t>. We have in the past and intend to continue to make opportunistic acquisitions of mineral and other interests that have substantial oil-weighted resource potential and organic growth potential. Through our relationships with Diamondback and its affiliates, we have access to their significant pool of management talent and industry relationships, which we believe provide us with a competitive advantage in pursuing potential third-party acquisition opportunities. For example, we and Diamondback may pursue an acquisition where Diamondback acquires working and revenue interests in properties and we acquire mineral, royalty or overriding royalty interests in such properties either in the same or subsequent transactions.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Seek to acquire from Diamondback or unaffiliated third parties, from time to time, mineral or other interests in producing oil and natural gas properties that meet our acquisition criteria</w:t>
      </w:r>
      <w:r>
        <w:rPr>
          <w:rFonts w:ascii="Times New Roman;serif" w:hAnsi="Times New Roman;serif"/>
          <w:b w:val="false"/>
          <w:color w:val="000000"/>
          <w:sz w:val="20"/>
        </w:rPr>
        <w:t>. Since our formation, we have acquired, and may have additional opportunities from time to time in the future to acquire, mineral or other interests in producing oil and natural gas properties directly from Diamondback as well as from unaffiliated third parties. We believe Diamondback may continue to be incentivized to sell properties to us, as doing so may enhance Diamondback’s economic returns by monetizing long-lived producing properties while potentially retaining a portion of the resulting cash flow through dividends on Diamondback’s controlling interests in us. However, neither Diamondback nor any of its affiliates are contractually or otherwise obligated to offer or sell any interests in properties to us. We also may seek to acquire mineral or other interests in producing oil and natural gas properties from unaffiliated third parties, such as our August 2025 acquisition of Sitio.</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High-grade our asset base. </w:t>
      </w:r>
      <w:r>
        <w:rPr>
          <w:rFonts w:ascii="Times New Roman;serif" w:hAnsi="Times New Roman;serif"/>
          <w:b w:val="false"/>
          <w:color w:val="000000"/>
          <w:sz w:val="20"/>
        </w:rPr>
        <w:t>We intend to continue to high-grade our asset base and opportunistically divest non-core mineral interests, such as the Non-Permian Divestiture on February 9, 2026, and then redeploy proceeds into our core areas of focus.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Maintain a conservative capital structure to allow financial flexibility. </w:t>
      </w:r>
      <w:r>
        <w:rPr>
          <w:rFonts w:ascii="Times New Roman;serif" w:hAnsi="Times New Roman;serif"/>
          <w:b w:val="false"/>
          <w:color w:val="000000"/>
          <w:sz w:val="20"/>
        </w:rPr>
        <w:t>Since our formation, we have maintained a conservative capital structure that has allowed us to opportunistically purchase accretive mineral and other interests. We are committed to maintaining a conservative leverage profile and will continue to seek to opportunistically fund accretive acquisitions. In addition to returning capital to our stockholders through base and variable dividends in accordance with our dividend policy and share repurchases under our repurchase program, we intend to continue to manage our balance sheet and debt obligations to ensure our ability to successfully operate in challenging business and commodity price environments.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Hedge to manage commodity price risk and to protect our balance sheet and cash flow</w:t>
      </w:r>
      <w:r>
        <w:rPr>
          <w:rFonts w:ascii="Times New Roman;serif" w:hAnsi="Times New Roman;serif"/>
          <w:b w:val="false"/>
          <w:color w:val="000000"/>
          <w:sz w:val="20"/>
        </w:rPr>
        <w:t>. We use a combination of derivative instruments to economically hedge exposure to changes in commodity prices and maintain financial and balance sheet flexibility.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Competitive Strengths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competitive strengths will allow us to successfully execute our business strategies and achieve our primary business objective: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Oil rich resource base in one of North America’s leading resource plays</w:t>
      </w:r>
      <w:r>
        <w:rPr>
          <w:rFonts w:ascii="Times New Roman;serif" w:hAnsi="Times New Roman;serif"/>
          <w:b w:val="false"/>
          <w:color w:val="000000"/>
          <w:sz w:val="20"/>
        </w:rPr>
        <w:t>. As of December 31, 2025, 244 horizontal drilling rigs were operating in the Permian Basin, representing 46% of the total U.S. onshore horizontal rig activity. The majority of our mineral and royalty acreage is positioned in the core of both the Midland and Delaware Basins in the Permian Basin. Production on our mineral and royalty acreage for the year ended December 31, 2025, and our estimated net proved reserves are heavily oil-weighted.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Sustainable, high margin business unburdened by capital expenses with minimal operating expenses. </w:t>
      </w:r>
      <w:r>
        <w:rPr>
          <w:rFonts w:ascii="Times New Roman;serif" w:hAnsi="Times New Roman;serif"/>
          <w:b w:val="false"/>
          <w:color w:val="000000"/>
          <w:sz w:val="20"/>
        </w:rPr>
        <w:t>Our mineral and royalty interests provide us with cash flows without the requirement to fund drilling and completion costs or lease operating expenses. Our operating margins generate free cash flow growth in a stable or rising price environment as the</w:t>
      </w:r>
      <w:r>
        <w:rPr>
          <w:color w:val="231F20"/>
        </w:rPr>
        <w:t xml:space="preserve"> </w:t>
      </w:r>
      <w:r>
        <w:rPr>
          <w:rFonts w:ascii="Times New Roman;serif" w:hAnsi="Times New Roman;serif"/>
          <w:b w:val="false"/>
          <w:color w:val="231F20"/>
          <w:sz w:val="20"/>
        </w:rPr>
        <w:t>underlying production associated with our royalty interests continues to grow.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231F20"/>
          <w:sz w:val="20"/>
        </w:rPr>
        <w:t>Experienced and proven management team</w:t>
      </w:r>
      <w:r>
        <w:rPr>
          <w:rFonts w:ascii="Times New Roman;serif" w:hAnsi="Times New Roman;serif"/>
          <w:b w:val="false"/>
          <w:color w:val="231F20"/>
          <w:sz w:val="20"/>
        </w:rPr>
        <w:t xml:space="preserve">. Diamondback provides us with personnel and general and administrative services, including the services of the executive officers, senior management and other employees, pursuant to the Services and Secondment Agreement. The members of our executive team have significant industry experience, most of which has been focused on resource play development primarily in the Permian Basin, and Diamondback, which currently operates approximately </w:t>
      </w:r>
      <w:r>
        <w:rPr>
          <w:rFonts w:ascii="Times New Roman;serif" w:hAnsi="Times New Roman;serif"/>
          <w:b w:val="false"/>
          <w:color w:val="000000"/>
          <w:sz w:val="20"/>
        </w:rPr>
        <w:t>35%</w:t>
      </w:r>
      <w:r>
        <w:rPr>
          <w:color w:val="231F20"/>
        </w:rPr>
        <w:t xml:space="preserve"> </w:t>
      </w:r>
      <w:r>
        <w:rPr>
          <w:rFonts w:ascii="Times New Roman;serif" w:hAnsi="Times New Roman;serif"/>
          <w:b w:val="false"/>
          <w:color w:val="231F20"/>
          <w:sz w:val="20"/>
        </w:rPr>
        <w:t>of our mineral and royalty acreage, has a proven track record of executing on multi-rig development drilling programs and extensive experience primarily in the Permian Basin. In addition, our executive team has significant experience with acquisition of properties and businesses in the oil and natural gas industry. We believe the industry relationships and experience of our management team are essential for the execution of our business strategy.</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231F20"/>
          <w:sz w:val="20"/>
        </w:rPr>
        <w:t xml:space="preserve">Favorable and stable business environment. </w:t>
      </w:r>
      <w:r>
        <w:rPr>
          <w:rFonts w:ascii="Times New Roman;serif" w:hAnsi="Times New Roman;serif"/>
          <w:b w:val="false"/>
          <w:color w:val="231F20"/>
          <w:sz w:val="20"/>
        </w:rPr>
        <w:t>We primarily focus our growth in the Permian Basin, one of the oldest, most prolific hydrocarbon basins in the United States, with a long and well-established production history and developed infrastructure. We believe that the geological and regulatory environment is more stable and predictable, and that we are faced with fewer operational risks in the Permian Basin as compared to other unconventional hydrocarbon basins. We believe that the impact of the proven application of new technology, combined with the substantial geological information available about the Permian Basin, also reduces the risk of development and exploration activities on our mineral and royalty acreage as compared to other unconventional hydrocarbon basins.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231F20"/>
        </w:rPr>
        <w:t>•</w:t>
      </w:r>
      <w:r>
        <w:rPr>
          <w:rFonts w:ascii="Times New Roman;serif" w:hAnsi="Times New Roman;serif"/>
          <w:b/>
          <w:i/>
          <w:color w:val="231F20"/>
          <w:sz w:val="20"/>
        </w:rPr>
        <w:t>Enhanced Permian Basin footprint facilitating the pursuit of disciplined transactions in highly fragmented minerals market.</w:t>
      </w:r>
      <w:r>
        <w:rPr>
          <w:color w:val="000000"/>
        </w:rPr>
        <w:t xml:space="preserve"> </w:t>
      </w:r>
      <w:r>
        <w:rPr>
          <w:rFonts w:ascii="Times New Roman;serif" w:hAnsi="Times New Roman;serif"/>
          <w:b w:val="false"/>
          <w:color w:val="000000"/>
          <w:sz w:val="20"/>
        </w:rPr>
        <w:t>On August 19, 2025, we completed the Sitio Acquisition, which has significantly expanded our footprint across the core of the Permian Basin and increased our exposure to high quality development activity. We believe that completion and integration of the Sitio Acquisition further enhances our ability to pursue disciplined transactions in what continues to be a highly fragmented minerals market, apply superior land and data capabilities to source and evaluate opportunities and integrate assets efficiently.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Data</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Proved Reserves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and Review of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reserves as of December 31, 2025, 2024 and 2023 are based on reserve estimates prepared by our internal reservoir engineers and audited by Ryder Scott, an independent petroleum engineering firm.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audits was to provide additional assurance on the reasonableness of internally prepared reserve estimates for 2025, 2024 and 2023. The proved reserve audits performed by Ryder Scott for 2025, 2024 and 2023 covered 100% of our total proved reserves for each respective year. A copy of the summary audit report prepared by Ryder Scott is included as Exhibit 99.1 to this Annual Report.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 rules, proved reserves are those quantities of oil and natural gas, which,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2025, were estimated using a deterministic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 (ii) volumetric-based methods, and (iii)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included, but were not limited to, decline curve analysis, which utilized extrapolations of available historical production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All proved undeveloped reserves were estimated by the analogy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SEC pricing requirements and forecasts of future production rates. To establish reasonable certainty with respect to our estimated proved reserves, the technologies and economic data used in the estimation of our proved reserves included, but were not limited to, production data, downhole completion information, geologic data and historical well cost and operating expense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process of estimating oil, natural gas and natural gas liquids reserves is complex and requires significant judgment, as discussed in </w:t>
      </w:r>
      <w:hyperlink w:anchor="i636f90b9a2bf4a46ad5fe64678400ed7_25">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 xml:space="preserve">and </w:t>
      </w:r>
      <w:hyperlink w:anchor="i636f90b9a2bf4a46ad5fe64678400ed7_82">
        <w:r>
          <w:rPr>
            <w:rStyle w:val="InternetLink"/>
            <w:rFonts w:ascii="Times New Roman;serif" w:hAnsi="Times New Roman;serif"/>
            <w:b w:val="false"/>
            <w:color w:val="0000FF"/>
            <w:sz w:val="20"/>
            <w:u w:val="single"/>
          </w:rPr>
          <w:t>Item 7. Management’s Discussion and Analysis of Financial Condition and Results of Operations—Critical Accounting Estimates</w:t>
        </w:r>
      </w:hyperlink>
      <w:r>
        <w:rPr>
          <w:color w:val="000000"/>
        </w:rPr>
        <w:t xml:space="preserve"> </w:t>
      </w:r>
      <w:r>
        <w:rPr>
          <w:rFonts w:ascii="Times New Roman;serif" w:hAnsi="Times New Roman;serif"/>
          <w:b w:val="false"/>
          <w:color w:val="000000"/>
          <w:sz w:val="20"/>
        </w:rPr>
        <w:t>of this report. As a result, our petroleum engineers and geoscience professionals have an internal controls process to ensure the integrity, accuracy and timeliness of the data used to calculate proved reserves relating to our assets. Our internal technical staff met with our independent reserve auditors periodically during their audit of the December 31, 2025 reserve report to discuss the assumptions and methods used in our proved reserve estimation process. As part of the audit process, we provide historical information to the independent reserve auditors for our properties such as ownership interest, oil and gas production, commodity prices and operating and development costs. Our Executive Vice President and Chief Engineer is primarily responsible for overseeing the preparation of all of our reserve estimates and overseeing communications with our independent reserve auditor. Our Executive Vice President and Chief Engineer is a petroleum engineer with over 22 years of reservoir and operations experience and our geoscience staff has an average of approximately 17 years of industry experience per person. Our technical staff uses historical information for our properties such as ownership interest, oil and natural gas production, commodity prices and operating and development costs to estimate economic lives of our properties. Ryder Scott performed an independent analysis during its audit of our estimated reserves for 2025 and any differences were reviewed with our Executive Vice President and Chief Engineer. For 2025, our reserve auditor’s estimates of our proved reserves did not differ materially from our estimates by more than the established audit tolerance guidelines of ten percent.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internal control procedures utilized in the preparation of our proved reserve estimates are intended to ensure reliability of reserve estimations, and include, but are not limited to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and verification of historical production data, which is based on actual production as reported by our operators;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preparation of reserve estimates by the primary reserve engineers or under their direct supervision;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by the primary reserve engineers of all of our reported proved reserves at the close of each quarter, including the review of all significant reserve changes and all new proved undeveloped reserves additions;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of historical realized commodity prices and differentials from index prices compared to the differentials used in the reserves database;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direct reporting responsibilities by our Executive Vice President and Chief Engineer to our Chief Executive Officer and by the current primary reserve engineer to our President;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prior to finalizing the reserve report, a review of our preliminary proved reserve estimates by our Chief Executive Officer, Diamondback’s Executive Vice President and Chief Operating Officer, our Executive Vice President and Chief Engineer and our primary reserves engineers takes place on an annual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of our proved reserve estimates by our Audit Committee with our executive team and Ryder Scott on an annual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verification of property ownership by our land department;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employee’s compensation is tied to the amount of reserves booked.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estimates and further discussion of our proved developed and proved undeveloped reserves, see Note 15—</w:t>
      </w:r>
      <w:hyperlink w:anchor="i636f90b9a2bf4a46ad5fe64678400ed7_160">
        <w:r>
          <w:rPr>
            <w:rStyle w:val="InternetLink"/>
            <w:rFonts w:ascii="Times New Roman;serif" w:hAnsi="Times New Roman;serif"/>
            <w:b w:val="false"/>
            <w:color w:val="0000FF"/>
            <w:sz w:val="20"/>
            <w:u w:val="single"/>
          </w:rPr>
          <w:t>Supplemental Information on Oil and Natural Gas Operations (Unaudited)</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Production Prices and Production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Production and Price History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properties are located primarily in the Midland and Delaware Basins of the Permian Basin in Texas. At December 31, 2025, 2024 and 2023, the Midland Basin and the Delaware Basin each contained 15% or more of our total proved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p>
      <w:pPr>
        <w:pStyle w:val="TextBody"/>
        <w:bidi w:val="0"/>
        <w:spacing w:before="0" w:after="0"/>
        <w:ind w:left="0" w:right="0" w:firstLine="720"/>
        <w:jc w:val="both"/>
        <w:rPr/>
      </w:pPr>
      <w:r>
        <w:rPr/>
      </w:r>
    </w:p>
    <w:tbl>
      <w:tblPr>
        <w:tblW w:w="7370" w:type="dxa"/>
        <w:jc w:val="left"/>
        <w:tblInd w:w="0" w:type="dxa"/>
        <w:tblLayout w:type="fixed"/>
        <w:tblCellMar>
          <w:top w:w="28" w:type="dxa"/>
          <w:left w:w="28" w:type="dxa"/>
          <w:bottom w:w="28" w:type="dxa"/>
          <w:right w:w="28" w:type="dxa"/>
        </w:tblCellMar>
      </w:tblPr>
      <w:tblGrid>
        <w:gridCol w:w="944"/>
        <w:gridCol w:w="831"/>
        <w:gridCol w:w="835"/>
        <w:gridCol w:w="360"/>
        <w:gridCol w:w="361"/>
        <w:gridCol w:w="256"/>
        <w:gridCol w:w="109"/>
        <w:gridCol w:w="109"/>
        <w:gridCol w:w="109"/>
        <w:gridCol w:w="360"/>
        <w:gridCol w:w="361"/>
        <w:gridCol w:w="276"/>
        <w:gridCol w:w="109"/>
        <w:gridCol w:w="109"/>
        <w:gridCol w:w="109"/>
        <w:gridCol w:w="309"/>
        <w:gridCol w:w="307"/>
        <w:gridCol w:w="236"/>
        <w:gridCol w:w="109"/>
        <w:gridCol w:w="109"/>
        <w:gridCol w:w="109"/>
        <w:gridCol w:w="360"/>
        <w:gridCol w:w="361"/>
        <w:gridCol w:w="232"/>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Other</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2023</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(2)Production data includes the Denver-Julesburg, Eagle Ford and Williston basins beginning August 19, 2025, the effective date on which the properties were acquired.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average sales price information for each of the periods indicated:</w:t>
      </w:r>
    </w:p>
    <w:p>
      <w:pPr>
        <w:pStyle w:val="TextBody"/>
        <w:bidi w:val="0"/>
        <w:spacing w:before="0" w:after="0"/>
        <w:ind w:left="0" w:right="0" w:firstLine="720"/>
        <w:jc w:val="both"/>
        <w:rPr/>
      </w:pPr>
      <w:r>
        <w:rPr/>
      </w:r>
    </w:p>
    <w:tbl>
      <w:tblPr>
        <w:tblW w:w="6506" w:type="dxa"/>
        <w:jc w:val="left"/>
        <w:tblInd w:w="0" w:type="dxa"/>
        <w:tblLayout w:type="fixed"/>
        <w:tblCellMar>
          <w:top w:w="28" w:type="dxa"/>
          <w:left w:w="28" w:type="dxa"/>
          <w:bottom w:w="28" w:type="dxa"/>
          <w:right w:w="28" w:type="dxa"/>
        </w:tblCellMar>
      </w:tblPr>
      <w:tblGrid>
        <w:gridCol w:w="1086"/>
        <w:gridCol w:w="955"/>
        <w:gridCol w:w="958"/>
        <w:gridCol w:w="211"/>
        <w:gridCol w:w="616"/>
        <w:gridCol w:w="109"/>
        <w:gridCol w:w="109"/>
        <w:gridCol w:w="109"/>
        <w:gridCol w:w="109"/>
        <w:gridCol w:w="211"/>
        <w:gridCol w:w="616"/>
        <w:gridCol w:w="109"/>
        <w:gridCol w:w="109"/>
        <w:gridCol w:w="109"/>
        <w:gridCol w:w="109"/>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($/BOE)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(1)Hedged prices reflect the effect of our commodity derivative transactions on our average sales prices. Our calculation of such effects includes realized gains and losses on cash settlements for matured commodity derivatives, which we do not designate for hedge accounting.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Productive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an average 2.2% net revenue interest in 43,355 gross productive wells, including an average 2.2% net revenue interest in 39,434 gross oil productive wells and an average 1.3% net revenue interest in 3,921 gross natural gas productive wells. As of December 31, 2025, we had 14 gross wells with an average 10.1% net revenue interest in process of being drilled by Diamondback. The expected timing of our wells is based primarily on permitting by third-party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December 31, 2025, relating to the gross and net royalty acreage of our mineral interests:</w:t>
      </w:r>
    </w:p>
    <w:p>
      <w:pPr>
        <w:pStyle w:val="TextBody"/>
        <w:bidi w:val="0"/>
        <w:spacing w:before="0" w:after="0"/>
        <w:ind w:left="0" w:right="0" w:firstLine="720"/>
        <w:jc w:val="both"/>
        <w:rPr/>
      </w:pPr>
      <w:r>
        <w:rPr/>
      </w:r>
    </w:p>
    <w:tbl>
      <w:tblPr>
        <w:tblW w:w="5125" w:type="dxa"/>
        <w:jc w:val="left"/>
        <w:tblInd w:w="0" w:type="dxa"/>
        <w:tblLayout w:type="fixed"/>
        <w:tblCellMar>
          <w:top w:w="28" w:type="dxa"/>
          <w:left w:w="28" w:type="dxa"/>
          <w:bottom w:w="28" w:type="dxa"/>
          <w:right w:w="28" w:type="dxa"/>
        </w:tblCellMar>
      </w:tblPr>
      <w:tblGrid>
        <w:gridCol w:w="438"/>
        <w:gridCol w:w="386"/>
        <w:gridCol w:w="390"/>
        <w:gridCol w:w="619"/>
        <w:gridCol w:w="619"/>
        <w:gridCol w:w="622"/>
        <w:gridCol w:w="109"/>
        <w:gridCol w:w="109"/>
        <w:gridCol w:w="109"/>
        <w:gridCol w:w="504"/>
        <w:gridCol w:w="504"/>
        <w:gridCol w:w="716"/>
      </w:tblGrid>
      <w:tr>
        <w:trPr/>
        <w:tc>
          <w:tcPr>
            <w:tcW w:w="4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Basin</w:t>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Royalty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Royalty Acreage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1,986,216 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36,004 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1,891,742 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584,161 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acreage</w:t>
            </w:r>
          </w:p>
        </w:tc>
        <w:tc>
          <w:tcPr>
            <w:tcW w:w="12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4,462,119 </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96,003 </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interest in production from our mineral interests is based on lease royalty terms which vary from property to property. Our interest in the majority of these properties is perpetual in nature; however, a portion of our net royalty acreage consists of overriding royalty interests which may be subject to expiration. Net royalty acres are defined as net mineral acres multiplied by the average lease royalty interest and other burdens.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Title to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drilling of an oil or natural gas well, it is typical in our industry for the well operator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to increase production and reserves in the future. Additionally, undeveloped acreage has greater risk of title defects than developed acreage. If there are any title defects or defects in the assignment of leasehold rights in properties in which we hold an interest, our business and cash available for dividends may be adversely affected.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intensely competitive, and we compete with other companies that may have greater resources. Many of these companies explore for and produce oil and natural gas, carry on midstream and refining operations and market petroleum and other products on a regional, national or worldwide basis. These companies may be able to pay more for productive oil and natural gas properties, mineral interests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than operators of our mineral and royalty acreage. Our larger or more integrated competitors may be able to absorb the burden of existing, and any changes to, federal, state and local laws and regulations more easily than we can, which would adversely affect our competitive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These alternate forms of energy include electricity, coal, fuel oils and nuclear energy.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 Nature of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demand for oil increases during the summer months and decreases during the winter months while demand for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Inc., to the extent the Company were to acquire working interests in the future as well as to any operators of our properties, including our current operators.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operations are subject to various types of legislation, regulation and other legal requirements enacted by governmental authorities. Federal and state legislation and regulation affecting the oil and natural gas industry is evolving. Some of these requirements carry substantial penalties for failure to comply. The regulatory burden on the oil and natural gas industry increases the cost of doing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Environmental Matters. </w:t>
      </w:r>
      <w:r>
        <w:rPr>
          <w:rFonts w:ascii="Times New Roman;serif" w:hAnsi="Times New Roman;serif"/>
          <w:b w:val="false"/>
          <w:color w:val="000000"/>
          <w:sz w:val="20"/>
        </w:rPr>
        <w:t xml:space="preserve">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regulations occur frequently, and may result in more stringent and costly pollution control or waste handling, storage, transport, disposal or cleanup requirements that could materially and adversely affect our business and prospects. Further, on January 20, 2025, President Trump issued a series of executive orders and memoranda signaling a shift in environmental and energy policy in the United States, including the revocation of several Biden administration-era executive orders related to public health, the environment, climate change and climate-related financial risks. President Trump also declared a “national energy emergency,” directing agencies to expedite conventional energy projects. While the Trump Administration’s changes to the environmental regulatory landscape in the United States continue to develop, it is possible that additional changes in the future could impact our results of operations and those of our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Waste Handling.</w:t>
      </w:r>
      <w:r>
        <w:rPr>
          <w:color w:val="000000"/>
        </w:rPr>
        <w:t xml:space="preserve"> </w:t>
      </w:r>
      <w:r>
        <w:rPr>
          <w:rFonts w:ascii="Times New Roman;serif" w:hAnsi="Times New Roman;serif"/>
          <w:b w:val="false"/>
          <w:color w:val="000000"/>
          <w:sz w:val="20"/>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Any changes in such laws and regulations could have a material adverse effect on our capital expenditures and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civil and criminal penalties can be imposed for failure to comply with waste handling requirements. Any legislative or regulatory reclassification of oil and natural gas exploration and production wastes could increase our costs to manage and dispose of such wastes.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Remediation of Hazardous Substances. </w:t>
      </w:r>
      <w:r>
        <w:rPr>
          <w:rFonts w:ascii="Times New Roman;serif" w:hAnsi="Times New Roman;serif"/>
          <w:b w:val="false"/>
          <w:color w:val="000000"/>
          <w:sz w:val="20"/>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Additionally, emerging contaminants, like per- and polyfluoroalkyl substances (“PFAS”) such as perfluorooctanesulfonic acid and perfluorooctanoic acid compounds, have become subject to CERCLA regulation in addition to existing federal and state chemicals regulation, and PFAS have recently been regulated under the Toxic Substances Control Act (“TSCA”). Other emerging contaminants could also become subject to regulation under CERCLA, TSCA or comparable state laws. Governmental agencies or third parties may seek to hold us responsible under CERCLA and comparable state statutes for all or part of the costs to clean up sites at which such “hazardous substances” have been released. We cannot provide any assurance that the costs and liabilities associated with the future imposition of such remedial or regulatory compliance obligations upon our operators would not have a material adverse effect on our operations or financial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Water Discharges. </w:t>
      </w:r>
      <w:r>
        <w:rPr>
          <w:rFonts w:ascii="Times New Roman;serif" w:hAnsi="Times New Roman;serif"/>
          <w:b w:val="false"/>
          <w:color w:val="000000"/>
          <w:sz w:val="20"/>
        </w:rPr>
        <w:t>The Federal Water Pollution Control Act of 1972, as amended, also known as the “Clean Water Act,” or the CWA, the Safe Drinking Water Act, the Oil Pollution Act of 1990,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scope of waters regulated under the CWA has fluctuated in recent years due to notable rulemaking efforts and judicial challenges. On January 18, 2023, the EPA and the U.S. Army Corps of Engineers, or the Corps, jointly promulgated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 rules expanding the scope of waters protected under the CWA. However, on May 25, 2023, the United States Supreme Court issued an opinion substantially narrowing the scope of “waters of the United States” protected by the CWA. On September 8, 2023, the EPA and the Corps published a final rule conforming their regulations to the decision. Later, on March 12, 2025, the EPA issued guidance narrowing the definition of “wetland” from the Biden-era definition in order to align that definition with the Supreme Court’s May 25, 2023 decision. These recent actions have provided some clarity. However, to the extent the EPA and the Corps broadly interpret their jurisdiction and expand the range of properties subject to the CWA’s jurisdiction, we or third-party operators could face increased costs and delays with respect to obtaining permits for dredge and fill activities in wetland areas.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On March 12, 2025, the EPA announced that it is re-evaluating the existing regulations on oil and gas wastewater, including exploring opportunities for discharge from centralized wastewater treatment facilities.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Non-compliance with the CWA or the OPA may result in substantial administrative, civil and criminal penalties, as well as injunctive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Air Emissions.</w:t>
      </w:r>
      <w:r>
        <w:rPr>
          <w:color w:val="000000"/>
        </w:rPr>
        <w:t xml:space="preserve"> </w:t>
      </w:r>
      <w:r>
        <w:rPr>
          <w:rFonts w:ascii="Times New Roman;serif" w:hAnsi="Times New Roman;serif"/>
          <w:b w:val="false"/>
          <w:color w:val="000000"/>
          <w:sz w:val="20"/>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if they are under common control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Climate Change.</w:t>
      </w:r>
      <w:r>
        <w:rPr>
          <w:color w:val="000000"/>
        </w:rPr>
        <w:t xml:space="preserve"> </w:t>
      </w:r>
      <w:r>
        <w:rPr>
          <w:rFonts w:ascii="Times New Roman;serif" w:hAnsi="Times New Roman;serif"/>
          <w:b w:val="false"/>
          <w:color w:val="000000"/>
          <w:sz w:val="20"/>
        </w:rPr>
        <w:t xml:space="preserve">In recent years, federal, state and local governments have taken steps to reduce emissions of greenhouse gases (including carbon dioxide, methane and other gases). Such rules and regulations have been proposed, amended and challenged, and finalized, and compliance deadlines have been extended or regulations rescinded. For example, the Infrastructure Investment and Jobs Act of 2021 and the Inflation Reduction Act of 2022, or the IRA, include billions of dollars in incentives for the development of renewable energy and supporting infrastructure. In March 2024, the EPA published a final rule in the Federal Register to establish comprehensive standards of performance and emission guidelines for methane and volatile organic compound emissions from new and existing operations in the oil and gas sector, including the exploration and production, transmission, processing, and storage segments. On November 26, 2025, the EPA issued an interim final rule to extend certain compliance deadlines from the March 2024 final rule. These incentives and regulations, if implemented, may encourage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“waste emissions charge” on the emission of methane that exceeds an applicable waste emissions threshold from sources required to report their greenhouse gas emissions to the EPA,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those sources in offshore and onshore petroleum and natural gas production and gathering and boosting source categories. On November 18, 2024, the EPA published a final rule on the methane emissions charge, which became effective on January 17, 2025. Twenty-three states filed a lawsuit challenging the CAA amendment, and the One Big Beautiful Bill Act, passed July 4, 2025, suspends the “waste emissions charge” from future implementation. The current U.S. presidential administration has also expressed an intention to scale back various other climate regulations launched under previous administrations. On February 12, 2026, the EPA issued a final rule eliminating the 2009 greenhouse gas endangerment finding, which underpins U.S. federal regulation of greenhouses gas emissions under the Clean Air Act. The final rule is expected to be subject to extensive litigation and the impact of such scaling back is difficult to predict at this time. Despite this shift, numerous proposals have been and continue to be made at the international, regional and state levels of government that are intended to limit emissions of greenhouse gases by enforceable requirements and voluntary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EPA has also finalized a series of greenhouse gas monitoring, reporting and emissions control rules for the oil and natural gas industry. On November 26, 2025, the EPA issued an interim final rule to extend certain compliance deadlines from the March 2024 final rule. Additionally, several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domestic regulation of greenhouse gases, there continues to be international interest in a global framework for greenhouse gas reductions. However, on January 20, 2025, President Trump issued an executive order directing the United States Ambassador to the United Nations to immediately withdraw from the Paris Agreement and revoke the U.S. International Climate Finance Plan, and on January 27, 2025, the United States’ Acting Ambassador to the United Nations submitted a notification of withdrawal from the Paris Agreement. The withdrawal became effective on January 27,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Regulation of Hydraulic Fracturing. </w:t>
      </w:r>
      <w:r>
        <w:rPr>
          <w:rFonts w:ascii="Times New Roman;serif" w:hAnsi="Times New Roman;serif"/>
          <w:b w:val="false"/>
          <w:color w:val="000000"/>
          <w:sz w:val="20"/>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8, 2024, the EPA published a final rule to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On December 1, 2025, the EPA published a final rule extending several compliance deadlines in the March 2024 final rule. This final rule was promptly challenged in federal court by environmental groups. While there is uncertainty regarding the scope and extent of EPA’s regulation of air emissions from hydraulic fracturing operations, any future laws and their implementing regulations may require us to obtain pre-approval for the expansion or modification of existing facilities or the construction of new facilities expected to produce air emissions. Additionally, in the future, the EPA may impose more stringent air permit requirements, or mandate the use of specific equipment or technologies to control emissions, which may increase our compliance or operating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the disposal of produced water, a moratorium on new produced water wells, and additional monitoring and reporting requirements could result in increased operating costs, forcing our operators or their vendors to truck produced water, recycle it or pump it through the pipeline network or other means, all of which could be costly. Our operators or their vendors may also limit disposal well volumes, disposal rates and pressures or locations, or require them to shut down or curtail the injection of produced water into disposal wells. These factors may make drilling activity in the affected parts of the Permian Basin less economical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17, 2024, the Texas Railroad Commission adopted a significant overhaul of its rules regulating oil and gas waste management facilities in Texas. The new rules went into effect on July 1, 2025. The new rules, found in 16 TAC Chapter 4, cover waste from oil and gas operations, such as rock and other material pulled up from the ground during drilling, as well as waste from other operations. The rules impose requirements related to waste management practices and production methods, such as recycling produced water. The rules also update requirements on the design, construction, operation, monitoring, and closure of waste management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Endangered Species. </w:t>
      </w:r>
      <w:r>
        <w:rPr>
          <w:rFonts w:ascii="Times New Roman;serif" w:hAnsi="Times New Roman;serif"/>
          <w:b w:val="false"/>
          <w:color w:val="000000"/>
          <w:sz w:val="20"/>
        </w:rPr>
        <w:t>The federal Endangered Species Act, or ESA, and analogous state laws restrict activities that may affect listed endangered or threatened species or their habitats. If endangered species, such as the lesser prairie chicken or dunes sagebrush lizard, are located in areas where our operators or their vendors operate, their operations or any work performed related to their operations could be prohibited or delayed, or expensive mitigation could be required. The designation of previously unprotected species as threatened or endangered in areas where our operators or their vendors operate could result in the imposition of restrictions on our operators’ or their vendors’ operations or any work related to their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Other Regulation of the Oil and Natural Gas Industry. </w:t>
      </w:r>
      <w:r>
        <w:rPr>
          <w:rFonts w:ascii="Times New Roman;serif" w:hAnsi="Times New Roman;serif"/>
          <w:b w:val="false"/>
          <w:color w:val="000000"/>
          <w:sz w:val="20"/>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availability, terms and cost of transportation of oil and natural gas significantly affect its marketability and sale. The interstate transportation and sale for resale of natural gas, and the interstate transportation of oil, is subject to federal regulation, including regulation of the terms, conditions and rates for interstate transportation, storage and various other matters, primarily by FERC. Oil and natural gas pipelines are also subject to extensive safety regulation by the Pipeline and Hazardous Materials Safety Administration, a part of the U.S. Department of Transportation, and state regulatory agencies. Federal and state regulations govern the price and terms for access to oil and natural gas pipeline transportation. FERC regulation of interstate oil and natural gas transmission in some circumstances may also affect the intrastate transportation of oil and natural gas, which is predominantly state-regulated.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Drilling and Production. </w:t>
      </w:r>
      <w:r>
        <w:rPr>
          <w:rFonts w:ascii="Times New Roman;serif" w:hAnsi="Times New Roman;serif"/>
          <w:b w:val="false"/>
          <w:color w:val="000000"/>
          <w:sz w:val="20"/>
        </w:rPr>
        <w:t>The operations of our operators are subject to various types of regulation at the federal, state and local 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they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stockholders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state and local regulations provide detailed requirements for the plugging and abandonment of wells, closure or decommissioning of production facilities and pipelines and for site restoration. Although the Corps does not require bonds or other financial assurances, some state agencies and municipalities do have such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Natural Gas Sales. </w:t>
      </w:r>
      <w:r>
        <w:rPr>
          <w:rFonts w:ascii="Times New Roman;serif" w:hAnsi="Times New Roman;serif"/>
          <w:b w:val="false"/>
          <w:color w:val="000000"/>
          <w:sz w:val="20"/>
        </w:rPr>
        <w:t>Historically, federal legislation and regulatory controls have affected the price and marketing of natural gas. FERC has jurisdiction over the transportation and sale for resale of natural gas in interstate commerce under the Natural Gas Act of 1938 and the Natural Gas Policy Act of 1978. Beginning with that legislation in 1978 and continuing with the Wellhead Decontrol Act of 1989,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 for violations.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Sales and Transportation</w:t>
      </w:r>
      <w:r>
        <w:rPr>
          <w:rFonts w:ascii="Times New Roman;serif" w:hAnsi="Times New Roman;serif"/>
          <w:b w:val="false"/>
          <w:i/>
          <w:color w:val="000000"/>
          <w:sz w:val="20"/>
        </w:rPr>
        <w:t xml:space="preserve">. </w:t>
      </w:r>
      <w:r>
        <w:rPr>
          <w:rFonts w:ascii="Times New Roman;serif" w:hAnsi="Times New Roman;serif"/>
          <w:b w:val="false"/>
          <w:color w:val="000000"/>
          <w:sz w:val="20"/>
        </w:rPr>
        <w:t>Sales of crude oil, condensate and natural gas liquids are not currently regulated and are made at negotiated prices. Nevertheless, the U.S. Congress could reenact price controls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Crude oil sales are affected by the availability, terms and cost of transportation. The transportation of oil (including other liquid hydrocarbons) in common carrier pipelines is also subject to rate regulation. FERC regulates interstate oil pipeline transportation rates under the Interstate Commerce Act.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State Regulation. </w:t>
      </w:r>
      <w:r>
        <w:rPr>
          <w:rFonts w:ascii="Times New Roman;serif" w:hAnsi="Times New Roman;serif"/>
          <w:b w:val="false"/>
          <w:color w:val="000000"/>
          <w:sz w:val="20"/>
        </w:rPr>
        <w:t>Texas regulates the drilling for, and the production, gathering and sale of, oil and natural gas, including imposing severance taxes and requirements for obtaining drilling permits.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our operators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do not have any employees. Since the Conversion, our business and affairs are overseen by our board of directors, and Diamondback continues to provide personnel and general and administrative services to us, including the services of the executive officers and other employees, pursuant to the Services and Secondment Agreement. Please see </w:t>
      </w:r>
      <w:hyperlink w:anchor="i636f90b9a2bf4a46ad5fe64678400ed7_49">
        <w:r>
          <w:rPr>
            <w:rStyle w:val="InternetLink"/>
            <w:rFonts w:ascii="Times New Roman;serif" w:hAnsi="Times New Roman;serif"/>
            <w:b w:val="false"/>
            <w:color w:val="0000FF"/>
            <w:sz w:val="20"/>
            <w:u w:val="single"/>
          </w:rPr>
          <w:t>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and the consolidated financial statements and related notes in </w:t>
      </w:r>
      <w:hyperlink w:anchor="i636f90b9a2bf4a46ad5fe64678400ed7_91">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of this report. All of the individuals that conduct our business, including our executive officers, are employed by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Midland, Texas and are owned by Diamondback. We believe that these facilities are adequate for our current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Availability of Company Reports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all amendments to those reports are available free of charge on the Investors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nature of our business activities subjects us to certain hazards and risks. The following is a summary of the material risks relating to our business activities.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Geopolitics and market conditions for oil and natural gas, and particularly volatility in prices for oil and natural gas, have in the past adversely affected, and may in the future adversely affect, our revenue, cash flows, profitability, growth and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the beginning of 2023 through the end of 2025, WTI has ranged from $55.27 to $93.68 per Bbl, and the Henry Hub price of natural gas has ranged from $1.58 to $5.29 per MMBtu. Regional and worldwide economic activity, changes in trade or other government policies or regulations, including with respect to U.S. energy and monetary policies, tariffs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barriers and any resulting trade tensions, regional conflicts and political instability, extreme weather conditions, and actions taken by OPEC+, continued to contribute to economic and pricing volatility. These factors and the volatility of the energy markets make it extremely difficult to predict future oil and natural gas price movements with any certainty. If the prices of oil and natural gas decline, our operations and financial condition may be materially and adversely affected. Our business may be also adversely impacted by any future government rule, regulation or order that may impose production limits, as well as pipeline capacity and storage constraints in the Permian Basin where we have mineral and royalty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and certain of our other operators increased production on our acreage during 2025, but Diamondback continued to exercise capital discipline by using the majority of their excess cash flow for debt repayment and/or return to their stockholders rather than expanding its drilling programs. We cannot reasonably predict whether production levels will remain at current levels or the full extent of the impact of the events above may have on our industry and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Based on the current commodity pricing environment and industry conditions, we recorded non-cash ceiling test impairments of $768 million in 2025. If</w:t>
      </w:r>
      <w:r>
        <w:rPr>
          <w:color w:val="000000"/>
          <w:shd w:fill="FFFFFF" w:val="clear"/>
        </w:rPr>
        <w:t xml:space="preserve"> </w:t>
      </w:r>
      <w:r>
        <w:rPr>
          <w:rFonts w:ascii="Times New Roman;serif" w:hAnsi="Times New Roman;serif"/>
          <w:b w:val="false"/>
          <w:color w:val="000000"/>
          <w:sz w:val="20"/>
          <w:shd w:fill="FFFFFF" w:val="clear"/>
        </w:rPr>
        <w:t>SEC Prices decline further as compared to com</w:t>
      </w:r>
      <w:r>
        <w:rPr>
          <w:rFonts w:ascii="Times New Roman;serif" w:hAnsi="Times New Roman;serif"/>
          <w:b w:val="false"/>
          <w:color w:val="000000"/>
          <w:sz w:val="20"/>
        </w:rPr>
        <w:t>modity prices used in prior periods, we may be required to record additional impairments in future periods and such impairments could be material. Further, if commodity prices decrease, our production, proved reserves and cash flows will be adversely impacted. Lower oil and natural gas prices may also result in a reduction in the borrowing base under our revolving credit facility, which may be determined at the discretion of our lenders.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commodity price derivatives could result in financial losses, may fail to protect us from declines in commodity prices, prevent us from fully benefiting from commodity price increases and may expose us to other risks, including counterparty 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commodity price derivatives, which have historically included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WTI pricing (WTI Cushing and Argus WTI Midland) and with natural gas derivative settlements based on the Henry Hub and Waha Hub pricing. By using derivative instruments to economically hedge exposure to changes in commodity prices, we expose ourselves to credit risk and market risk. 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Our counterparties have been determined to have an acceptable credit risk; therefore, we do not require collateral from our counterparties. By using derivative instruments, we may be prevented from fully realizing the benefits of increases in the prices of oil, natural gas and natural gas liquids above the price levels of the commodity price derivatives used to manage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information regarding our use of commodity price derivatives and our outstanding derivative contracts as of December 31, 2025, see Note 10—</w:t>
      </w:r>
      <w:hyperlink w:anchor="i636f90b9a2bf4a46ad5fe64678400ed7_14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 xml:space="preserve">in Item 8. Financial Statements and Supplementary Data, </w:t>
      </w:r>
      <w:hyperlink w:anchor="i636f90b9a2bf4a46ad5fe64678400ed7_49">
        <w:r>
          <w:rPr>
            <w:rStyle w:val="InternetLink"/>
            <w:rFonts w:ascii="Times New Roman;serif" w:hAnsi="Times New Roman;serif"/>
            <w:b w:val="false"/>
            <w:color w:val="0000FF"/>
            <w:sz w:val="20"/>
            <w:u w:val="single"/>
          </w:rPr>
          <w:t>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and </w:t>
      </w:r>
      <w:hyperlink w:anchor="i636f90b9a2bf4a46ad5fe64678400ed7_88">
        <w:r>
          <w:rPr>
            <w:rStyle w:val="InternetLink"/>
            <w:rFonts w:ascii="Times New Roman;serif" w:hAnsi="Times New Roman;serif"/>
            <w:b w:val="false"/>
            <w:color w:val="0000FF"/>
            <w:sz w:val="20"/>
            <w:u w:val="single"/>
          </w:rPr>
          <w:t>Item 7A. Quantitative and Qualitative Disclosures About Market Risk</w:t>
        </w:r>
      </w:hyperlink>
      <w:r>
        <w:rPr>
          <w:color w:val="000000"/>
        </w:rPr>
        <w:t>—</w:t>
      </w:r>
      <w:r>
        <w:rPr>
          <w:rFonts w:ascii="Times New Roman;serif" w:hAnsi="Times New Roman;serif"/>
          <w:b w:val="false"/>
          <w:color w:val="000000"/>
          <w:sz w:val="20"/>
        </w:rPr>
        <w:t>Commodity Price Risk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risks relating to the transition to a low carbon economy could impose new costs on our operations that may have a material and adverse effect on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Governmental and regulatory bodies, investors, consumers, industry and other stakeholders have evolving and varied views on climate change matters in recent years. Such views, together with changes in consumer and industrial/commercial behavior, preferences and attitudes with respect to the generation and consumption of energy, the use of hydrocarbons, and the use of products manufactured with, or powered by, hydrocarbons, may result in: (i) the enactment of new or evolving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battery technology), (iii) variability in demand from consumers and industry for energy sources other than oil and natural gas (including wind, solar, nuclear, and geothermal sources as well as electric vehicles), and (iv) development of, and variable demand from consumers and industry for, lower-emission products and services (including electric vehicles and renewable residential and commercial power supplies) as well as more efficient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developments may reduce the demand for products manufactured with (or powered by) hydrocarbons and the demand for, and in turn the prices of, oil and natural gas, which would likely have a material adverse impact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investments. The enactment of climate change-related regulations, policies and initiatives may also result in increases in our compliance costs and other operating costs and have other adverse effects, such as a greater potential for governmental investigations or litigation. For further discussion regarding the risks to us of climate change-related regulations, policies and initiatives, see </w:t>
      </w:r>
      <w:hyperlink w:anchor="i636f90b9a2bf4a46ad5fe64678400ed7_22">
        <w:r>
          <w:rPr>
            <w:rStyle w:val="InternetLink"/>
            <w:rFonts w:ascii="Times New Roman;serif" w:hAnsi="Times New Roman;serif"/>
            <w:b w:val="false"/>
            <w:color w:val="0000FF"/>
            <w:sz w:val="20"/>
            <w:u w:val="single"/>
          </w:rPr>
          <w:t>Items 1 and 2. Business and Properties</w:t>
        </w:r>
      </w:hyperlink>
      <w:r>
        <w:rPr>
          <w:color w:val="000000"/>
        </w:rPr>
        <w:t>—</w:t>
      </w:r>
      <w:r>
        <w:rPr>
          <w:rFonts w:ascii="Times New Roman;serif" w:hAnsi="Times New Roman;serif"/>
          <w:b w:val="false"/>
          <w:color w:val="000000"/>
          <w:sz w:val="20"/>
        </w:rPr>
        <w:t>Regulation—Climate Change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potentially reducing demand for oil and natural gas, and the availability of oilfield services and midstream and downstream customers, further regulatory or other climate change initiatives, to the extent they continue, may create investment and reputational risks associated with the exploration for, and production of, hydrocarbons, which may adversely affect the availability and cost to us of capital. Certain stakeholders and capital providers may seek to restrict or seek to impose more stringent conditions with respect to their investment in or financing of certain carbon intensive sectors, which could result in capital being unavailable to us, or only at a significantly increased cost.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Changing political and social perspectives on climate change and other environmental, social and governance factors may create risks and uncertainties impacting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meet evolving expectations of stakeholders, including governmental officials, standard setters, investors, employees, and customers, relating to climate change, human capital, and other environmental, social and governance (“ESG”) issues. There is conflicting and evolving pressures from proponents and opponents of ESG, and a failure to adapt to changing views could negatively impact our reputation. Proponents and opponents of these issues are increasingly resorting to activism, including litigation, to advance their positions. Such activism also includes attempts to effect changes to public companies’ businesses or governance to deal with climate change-related issues through shareholder proposals, public campaigns, proxy solicitations or other actions. Any such future actions may result in significant management distraction and potentially significant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whether due to our activities or the activities of the acquired entities or operations prior to their acquisition by us, we could incur substantial legal defense costs and, if any such litigation were adversely determined, we could incur substantial damages. 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Increased costs of capital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have sufficient available cash to pay any quarterly dividend on our Common Stock, our cash available for dividends may vary significantly from quarter to quarter and our board of directors may in the future modify or revoke our cash dividend policy at any time at its discretion. Our dividend policy could limit our ability to grow and make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may not have sufficient cash available to pay base or variable dividends to our common stockholders each quarter. Furthermore, our cash dividend policy does not require us to pay dividends on a quarterly basis or otherwise. The amount of cash we have to distribute each quarter principally depends upon the amount of royalty income we generate, which is dependent upon the volumes of production sold and the prices that our operators realize from the sale of such production. In addition, the actual amount of cash we will have to distribute each quarter under our cash dividend policy will be reduced by payments in respect of income taxes, debt service and other contractual obligations and fixed charges, increases in reserves for future operating or capital needs that the board of directors may determine is appropriate, lease bonus income, dividend equivalent rights payments and preferred dividends, if any, and any common share repurchases. The board of directors may further modify or revoke our dividend policy at any time in the future at its discretion. For information regarding our dividend policy and the recent modifications, see </w:t>
      </w:r>
      <w:hyperlink w:anchor="i636f90b9a2bf4a46ad5fe64678400ed7_43">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r>
        <w:rPr>
          <w:color w:val="000000"/>
        </w:rPr>
        <w:t>—</w:t>
      </w:r>
      <w:r>
        <w:rPr>
          <w:rFonts w:ascii="Times New Roman;serif" w:hAnsi="Times New Roman;serif"/>
          <w:b w:val="false"/>
          <w:color w:val="000000"/>
          <w:sz w:val="20"/>
        </w:rPr>
        <w:t xml:space="preserve">Dividend Policy and </w:t>
      </w:r>
      <w:hyperlink w:anchor="i636f90b9a2bf4a46ad5fe64678400ed7_49">
        <w:r>
          <w:rPr>
            <w:rStyle w:val="InternetLink"/>
            <w:rFonts w:ascii="Times New Roman;serif" w:hAnsi="Times New Roman;serif"/>
            <w:b w:val="false"/>
            <w:color w:val="000080"/>
            <w:sz w:val="20"/>
            <w:u w:val="single"/>
          </w:rPr>
          <w:t>Item 7. Management’s Discussion and Analysis</w:t>
        </w:r>
      </w:hyperlink>
      <w:hyperlink w:anchor="i636f90b9a2bf4a46ad5fe64678400ed7_49">
        <w:r>
          <w:rPr>
            <w:rStyle w:val="InternetLink"/>
            <w:rFonts w:ascii="Times New Roman;serif" w:hAnsi="Times New Roman;serif"/>
            <w:b w:val="false"/>
            <w:color w:val="000080"/>
            <w:sz w:val="20"/>
            <w:u w:val="single"/>
          </w:rPr>
          <w:t xml:space="preserve"> of </w:t>
        </w:r>
      </w:hyperlink>
      <w:hyperlink w:anchor="i636f90b9a2bf4a46ad5fe64678400ed7_49">
        <w:r>
          <w:rPr>
            <w:rStyle w:val="InternetLink"/>
            <w:rFonts w:ascii="Times New Roman;serif" w:hAnsi="Times New Roman;serif"/>
            <w:b w:val="false"/>
            <w:color w:val="000080"/>
            <w:sz w:val="20"/>
            <w:u w:val="single"/>
          </w:rPr>
          <w:t>Financial Condition and Results of Operations</w:t>
        </w:r>
      </w:hyperlink>
      <w:r>
        <w:rPr>
          <w:color w:val="000000"/>
        </w:rPr>
        <w:t xml:space="preserve"> </w:t>
      </w:r>
      <w:r>
        <w:rPr>
          <w:rFonts w:ascii="Times New Roman;serif" w:hAnsi="Times New Roman;serif"/>
          <w:b w:val="false"/>
          <w:color w:val="000000"/>
          <w:sz w:val="20"/>
        </w:rPr>
        <w:t>of this report. As a result, quarterly dividends paid to our stockholders may vary significantly from quarter to quarter and may be zero.</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our cash dividend policy, we have limited cash available to reinvest in our business or to fund acquisitions. We expect that we will continue to fund a portion of our capital expenditures and other needs with borrowings under the revolving credit facility and from the proceeds of debt and equity offerings.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issue additional shares in connection with any acquisitions or growth capital expenditures or as in-kind dividends, the payment of dividends on those additional shares may increase the risk that we will be unable to maintain or increase our per share dividend level.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a small number of operators for a substantial portion of the development and production on our mineral and royalty acreage. A reduction in the expected number of wells to be drilled on our acreage by these operators or the failure of an operator to adequately and efficiently develop and operate our acreage could have an adverse effect on our expected growth and our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failure of our operators</w:t>
      </w:r>
      <w:r>
        <w:rPr>
          <w:color w:val="000000"/>
          <w:shd w:fill="FFFFFF" w:val="clear"/>
        </w:rPr>
        <w:t xml:space="preserve"> </w:t>
      </w:r>
      <w:r>
        <w:rPr>
          <w:rFonts w:ascii="Times New Roman;serif" w:hAnsi="Times New Roman;serif"/>
          <w:b w:val="false"/>
          <w:color w:val="000000"/>
          <w:sz w:val="20"/>
          <w:shd w:fill="FFFFFF" w:val="clear"/>
        </w:rPr>
        <w:t>to adequately or efficiently perform operations or an operator’s failure to act in ways that are in our best interests could reduce production and revenues</w:t>
      </w:r>
      <w:r>
        <w:rPr>
          <w:rFonts w:ascii="Times New Roman;serif" w:hAnsi="Times New Roman;serif"/>
          <w:b w:val="false"/>
          <w:color w:val="000000"/>
          <w:sz w:val="20"/>
        </w:rPr>
        <w:t>.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high cost or shortages of rigs and other suitable drilling equipment, raw materials, supplies and oilfield services; the availability of production and transportation infrastructure and qualified operating personnel; regulatory restrictions;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operators may elect not to undertake development activities, or may undertake such activities in an unanticipated fashion, which may result in significant fluctuations in our royalty income and cash available for dividends to our stockholders.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development of our proved undeveloped reserves may take longer and may require higher levels of capital expenditures by operators than we currently anticipate.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22% of our total estimated proved reserves as of December 31, 2025, were proved undeveloped reserves and may not be ultimately developed or produced. Recovery of proved undeveloped reserves requires significant capital expenditures and successful drilling operations by the operators on our mineral and royalty acreage. The reserve data included in our reserve reports assumes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complete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terminate our leases if any of our operators declare bankruptcy, and we may experience delays and be unable to replace operators that do not make royalty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many of the leases that cover our mineral and royalty interests, a failure on the part of our operators to make royalty payments to us gives us the right to terminate the applicable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many of our mineral and royalty interests are covered by leases that do not provide us with the contractual right to terminate the lease or repossess the property if an operator fails to timely make royalty payments to us. In such instances, we may be forced to resort to litigation to seek payment of past due royalties and statutory interest, without the ability to replace the operator.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producing properties in which we have mineral and royalty interests are primarily concentrated in the Permian Basin of West Texas, making us vulnerable to risks (including weather-related risks) associated with a single geographic area. In addition, a large amount of our proved reserves is attributable to a small number of producing horizons within this area.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producing properties in which we have mineral and royalty interests are currently geographically primarily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faced by our operators or their customers, availability of equipment, facilities, personnel or services market limitations or interruption of the processing or transportation of crude oil, natural gas or natural gas liquids on our mineral and royalty acreage, and extreme weather conditions and their adverse impact on production volumes, availability of electrical power, road accessibility and transportation facilities on our mineral and royalty 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Extreme regional weather events may occur that can affect our operators’ suppliers or customers, which could adversely affect us. Climate changes may also increase the frequency and severity of significant weather events over time. Further, any increase in flaring of natural gas production on our mineral and royalty acreage due to weather-related events, or otherwise, could expose us to reputational risks and adversely impact our or our operators’ contractual and other business relationships. Any of the above-referenced events could have a material adverse effect on us. Likewise, a weather event could reduce the availability of electrical power, road accessibility, and transportation facilities, which could have an adverse impact on production volumes on our mineral and royalty acreage (and therefore on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mineral and royalty acreage, we could experience any of these conditions at the same time, resulting in a relatively greater impact on us than they might have on other companies that have a more diversified portfolio of assets. Such delays or interruptions could have a material adverse effect on our business,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geographic concentration of our mineral and royalty acreage, as of December 31, 2025, most of our proved reserves are concentrated in the Wolfberry resource play in the Midland Basin. This concentration of assets within a small number of producing horizons exposes us to additional risks, such as changes in field-wide rules and regulations that could cause our operators to permanently or temporarily shut-in all of the wells on our mineral and royalty acreage.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success depends on the development or acquisition of additional reserves, and our failure to successfully identify, complete and integrate acquisitions of properties or businesses could slow our growth and adversely affect our results of operations and cash available for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upon the development or acquisition of additional oil and natural gas reserves that are economically recoverable, as our proved reserves will generally decline as reserves are depleted. To increase reserves and production, we would need to undertake replacement activities or use our operators to undertake development, exploration and other replacement activities, requiring substantial capital expenditures. We may not have sufficient resources to acquire additional reserves and our operators may not have sufficient resources to undertake exploration, development, production or other replacement activities. Such activities by our operators may not result in significant additional reserves and efforts to drill productive wells at low finding costs may be unsuccessful. In addition, we do not expect to retain cash from our operations for replacement capital expenditures. Furthermore, although our revenues and cash available for dividends may increase if prevailing oil and natural gas prices increase significantly, finding costs for additional reserves could also increase.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which, if material, can render an interest worthless, nor will it permit us to become sufficiently familiar with the properties to assess fully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deficiencies and capabilities. Inspections may not always be performed on every well, and environmental problems, such as groundwater contamination, are not necessarily observable even when an inspection is undertaken. Environmental or other regulatory issues may arise with respect to acquired entities or operations years after the acquisitions, any of which can adversely affect our results of operations, financial condition and cash available for dividends. Even when problems are identified, the seller may be unwilling or unable to provide effective contractual protection against all or part of the problems. Significant acquisitions and other strategic transactions may involve other risks that may cause our business to be adversely impacted, including diversion of our management’s attention to evaluating and negotiating such transactions and our failure to realize the full benefit that we expect in estimated proved reserves, production volume or other benefits anticipated therefrom, or to realize these benefits within the expected time frame.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complete acquisitions or do so on commercially acceptable terms, as our ability to complete acquisitions is dependent upon, among other things, our ability to obtain debt and equity financing and, in some cases, regulatory approvals. Further, our future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effectively integrate the acquired business into our existing operations, the process of which may involve unforeseen difficulties and may require a disproportionate amount of our managerial and financial resources. In addition, possible future acquisitions may be larger and for purchase prices significantly higher than those paid for earlier acquisitions. Any of the unfavorable circumstances mentioned above could have a material adverse effect on our financial condition, results of operations and cash available for dividends. The inability to effectively manage the integration of acquisitions could reduce our focus on subsequent acquisitions and current operations, which, in turn, could negatively impact our growth, results of operations and cash available for dividends.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from our acquisitions, including the Sitio Acquisition and the 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recently completed several significant acquisitions, including the Sitio Acquisition and the 2025 Drop Down, and expect to pursue additional acquisitions as part of our growth strategy. Realizing anticipated benefits from these acquisitions depends in part on integrating acquired assets efficiently and effectively, which we may not accomplish due to,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associated with operating a larger organization and managing geographically dispersed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difficulty of integrating corporate, technological and administrative functions and complex systems, technology and networks, and addressing inconsistencies in standards, controls, operational philosophies and corporate cultures;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diversion of attention and resources from regular business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our indebtedness and the complexity of our capital 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incurring environmental or regulatory liabilities and encountering title defects;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in relationships with operators, customers, suppliers, landowners and other business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in hiring, training, retaining or integrating qualified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assuming unknown or contingent liabilities and incurring unforeseen expenses;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inaccuracies in assumptions regarding estimated proved reserves, future production, prices, revenues and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effectively manage the integration of our current or future acquisitions, or if our business activities are interrupted as a result, our business, results of operations and financial condition could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Project areas on our properties, which are in various stages of development, may not yield oil or natural gas in commercially viable quantities.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dividends may be materially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estimated reserves are based on many assumptions that may turn out to be inaccurate. Any material inaccuracies in these reserve estimates or underlying assumptions will materially affect the quantities and present value of our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Oil and natural gas reserve engineering is not an exact science and requires subjective estimates of underground accumulations of oil and natural gas and assumptions concerning future oil and natural gas prices, production levels, ultimate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recoveries and operating and development costs, if any. As a result, estimated quantities of proved reserves and projections of future production rates may be incorrect. Over time, we may make material changes to reserve estimates taking into account the results of actual drilling, testing and production. Also, certain assumptions regarding future oil and natural gas prices and production levels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portion of our reserve estimates are made without the benefit of a lengthy production history and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dependent on electrical power, internet and telecommunication infrastructure and information and computer systems. If any of these systems are compromised or unavailable,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dependent on electric power, internet and telecommunication infrastructure and Diamondback’s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Rapid growth in artificial intelligence (“AI”) related data centers and other high</w:t>
        <w:noBreakHyphen/>
        <w:t>intensity computing is materially increasing regional electricity demand and straining grids, which—together with extreme weather conditions, intermittent renewable generation, and other market constraints—can reduce power availability, increase prices (including scarcity pricing), and cause outages. Reduced power reliability could disrupt our operators’ drilling, completion, and production activities; impair midstream operations; hinder remote monitoring and data integrity; and force suspensions or shutdowns or unplanned spending on backup power and communications, any of which could have a material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cybersecurity and data privacy risks. A cyber incident could occur and result in information theft, data corruption, operational disruption and/or financial loss.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extensively on Diamondback’s information technology systems and infrastructure, including but not limited to data hosting platforms, real-time data acquisition systems, internally developed and third-party software, cloud services and other internally or externally hosted hardware and software platforms (collectively, “IT Systems”) for operational and other purposes, such as to (i) estimate our oil and natural gas reserves, (ii) process and record financial and operating data, and (iii) communicate with our management and board of directors, as well as, our vendors, suppliers and other third parties. Diamondback owns and manages certain IT Systems but also relies on third parties for a range of IT Systems and other products or services. Diamondback and certain third-party providers also collect, maintain and/or process proprietary data about our business, such as trade secrets, as well as personally identifiable information about our employees, business partners and others (collectively, “Confidential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experience attempted cyberattacks and other incidents, including phishing attacks and attacks on certain of our third-party providers, and we expect future cyberattacks and incidents to occur in varying degrees. To date, no incidents have materially affected our company, including our business strategy, results of operations or financial condition, but we cannot guarantee that material incidents will not occur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Diamondback’s IT Systems and our Confidential Information, and those of our vendors, service providers and other third-party providers and business partners, are vulnerable to evolving cybersecurity threats, including, without limitation, denial-of-service attacks; malicious software (e.g., ransomware); the exploitation of known and unknown misconfigurations, “bugs,” and other hardware or software vulnerabilities; data privacy breaches by insiders or others with authorized access; social engineering (e.g., phishing) attacks; attempts to gain unauthorized access to our data and Diamondback’s systems; and other electronic or physical security breaches. More recently, advancements in AI pose serious risks for many of the traditional tools used to identify individuals, including voice recognition (whether by machine or the human ear), facial recognition or screening questions to confirm identities. In addition, generative AI systems are increasingly used by malicious actors to create more sophisticated cyber-attacks (i.e., more realistic phishing or other attacks) and to circumvent controls, evade detection and even remove forensic evidence, rendering incident detection and remediation more challenging. These and other threat-related advancements expose us and Diamondback to increasing costs, including costs associated with additional personnel, protection technologies and policies and procedures and third-party experts and consultants. There can be no assurance that Diamondback’s cybersecurity risk management program, including its controls or processes, will be fully implemented,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complied with or effective in protecting IT Systems and Confidential Information. Moreover, neither we nor Diamondback manage the security controls or processes deployed by our third-party providers, such as cloud services that support our operations, and therefore, successful cyberattacks that disrupt or result in unauthorized access to third-party IT Systems could materially impact our and Diamondback’s operations and financial results. Similarly, we have acquired and continue to acquire companies that may have cybersecurity vulnerabilities or unsophisticated measures, which exposes us to significant risk. A significant cybersecurity attack or incident could compromise our Confidential Information or disrupt our operations, normal business functions and other aspects of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Diamondback provides personnel and general and administrative services to us, including personnel and infrastructure that underlie our cybersecurity risk management program. As cyber incidents continue to evolve, Diamondback may be required to expend additional resources (for which we may be partially responsible) to continue to modify or enhance protective measures or to investigate and remediate any vulnerability to cyber incidents. Diamondback maintains specialized insurance for possible liability resulting from a cyberattack on its assets; however, we cannot assure you that the insurance coverage will be adequate to cover claims that may arise, or that Diamondback will be able to maintain adequate insurance at rates we consider reasonable. A loss not fully covered by insurance could have a material adverse effect on our business, financial condition and cash flows. See </w:t>
      </w:r>
      <w:hyperlink w:anchor="i636f90b9a2bf4a46ad5fe64678400ed7_31">
        <w:r>
          <w:rPr>
            <w:rStyle w:val="InternetLink"/>
            <w:rFonts w:ascii="Times New Roman;serif" w:hAnsi="Times New Roman;serif"/>
            <w:b w:val="false"/>
            <w:color w:val="0000FF"/>
            <w:sz w:val="20"/>
            <w:u w:val="single"/>
          </w:rPr>
          <w:t>Item 1C. Cybersecurity</w:t>
        </w:r>
      </w:hyperlink>
      <w:r>
        <w:rPr>
          <w:color w:val="000000"/>
        </w:rPr>
        <w:t xml:space="preserve"> </w:t>
      </w:r>
      <w:r>
        <w:rPr>
          <w:rFonts w:ascii="Times New Roman;serif" w:hAnsi="Times New Roman;serif"/>
          <w:b w:val="false"/>
          <w:color w:val="000000"/>
          <w:sz w:val="20"/>
        </w:rPr>
        <w:t>below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variety of U.S. federal, state and international laws and regulations govern the collection, use, retention, sharing and security of personal data. All 50 states have enacted legislation on data breach notification requirements and many states continue to enact laws on matters of privacy, data protection and cybersecurity. The existing privacy-related laws and regulations are evolving and subject to potentially differing interpretations. In addition, various U.S. federal, state and foreign legislative and regulatory bodies continue to enact new laws regarding privacy and data protection, as well as expand the scope of existing laws. We cannot predict the impact of any such evolving privacy-related laws on our business, results of operations or financial condition, but may find it necessary to enhance the existing systems and procedures, which may involve substantial expense or distraction from other aspects of our business. In addition, any violations of applicable privacy-related laws or regulations may require us to address legal claims, sustain monetary penalties or incur other liabilities, as well as cause reputational damage, any of which could adversely impact our business, results of operations or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substantial indebtedness could adversely affect our results of operations, business flexibility and our ability to service our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a substantial amount of debt to finance our recent acquisitions and for other corporate purposes. Our ability to make scheduled payments of principal, to pay interest on or to refinance our indebtedness depends on our future performance, which is subject to economic, financial, competitive and other factors beyond our control. We are dependent on cash flow generated by the Operating Company to repay the Guaranteed Senior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alternative financing plans would be consummated on desirable terms or would be adequate to meet any debt service obligations then due.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revolving credit facility and the indentures governing the Guaranteed Senior Notes outstanding contain, and the terms of any future indebtedness may contain, restrictive covenants that limit our ability to, among other things: incur or guarantee additional indebtedness; make certain investments; create additional liens; sell or transfer assets; merge or consolidate with another entity; pay or declare dividends; designate certain of our subsidiaries as unrestricted subsidiaries; create unrestricted subsidiaries; and engage in transactions with affiliates</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revolving credit facility requires us to maintain a certain net debt to capitalization ratio.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would result in an event of default under the indentures governing the Guaranteed Senior Notes. The lenders will also have the right in these circumstances to terminate any commitments they have to provide further borrowings. If the indebtedness under the revolving credit facility and the Guaranteed Senior Notes were to be accelerated, we cannot assure you that our assets would be sufficient to repay in full that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any significant reduction in the borrowing base under our revolving credit facility as a result of borrowing base redeterminations, following a decline in commodity prices or otherwise, may negatively impact our liquidity and our ability to fund our operations and, as a result, may have a material adverse effect on our financial position, results of operations and cash flow. Further, if the outstanding borrowings under the revolving credit facility were to exceed the borrowing base as a result of any such redetermination, we would be required to repay the excess. 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Lastly, our earnings are exposed to interest rate risk associated with borrowings under our revolving credit facility. The terms of our revolving credit facility provide for interest on borrowings at a floating rate equal to an alternative base rate tied to SOFR. SOFR tends to fluctuate based on multiple factors, including general short-term interest rates, rates set by the U.S. Federal Reserve, and other central banks and general economic conditions. We have not hedged our interest rate exposure with respect to our floating rate debt. If interest rates increase, so will our interest costs, which may have a material adverse effect on our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downgrade in our debt ratings could restrict our access to, and negatively impact the terms of, current or future financings or trade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Inherent in an Investment in Us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controls us and its interests may conflict with ours or yours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beneficially owns approximately 42.1% of the voting power of our capital stock, on a fully diluted basis. For so long as Diamondback continues to have voting power over a significant percentage of our capital stock, even at times when such amount is less than 50%, it will be able to significantly influence the composition of our board of directors and the approval of actions requiring stockholder approval. Although the holders of our Common Stock are entitled to vote on all matters on which stockholders of a corporation are generally entitled to vote on under the General Corporation Law of the State of Delaware (the “DGCL”), including the election of our board of directors, pursuant to our certificate of incorporation, for so long as Diamondback and any of its subsidiaries collectively beneficially own at least 25% of our outstanding Common Stock (i) Diamondback has the right to designate up to three persons to serve as members of our board of directors, and (ii) our board of directors may not appoint any person other than a Diamondback seconded employee as an executive officer of our company unless such appointment is approved, in advance, by either (x) Diamondback (which approval may not be unreasonably withheld or conditioned), or (y) the affirmative vote of the holders of at least 80% of the voting power of our capital stock. Currently, there are two Diamondback designees to our board of directors—Travis Stice and Kaes Van’t Hof. Pursuant to the Services and Secondment Agreement, Diamondback continues to provide personnel and general and administrative services to us and OpCo, including the services of the executive officers and other employees. Accordingly, Diamondback will have significant influence with respect to our board of directors, management, business plans and policies, including the appointment and removal of our officers. In particular, for so long as Diamondback continues to beneficially own a significant percentage of our capital stock, it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do not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any employees and we rely solely on Diamondback to provide us with personnel and general and administrative services, including the services of the executive officers, senior management and other employees, under the terms and conditions of the Services and Secondment Agreement. Because Diamondback provides services to us that are similar to those it performs for itself and its affiliates, it may not have sufficient human, technical and other resources to provide those services at a level that it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Diamondback does not devote sufficient attention to the management and operation of our business or otherwise breaches the provisions of the services and secondment agreement, our financial results may suffer and our ability to pay dividends to our stockholders may be reduced. Many key responsibilities within our business have been assigned to a small number of individuals. The loss of their services could adversely affect our business. In particular, the loss of the services of one or more members of the executive team could disrupt our business. Further, we do not maintain “key person” life insurance policies on any of our executive team or other key personnel. As a result, we are not insured against any losses resulting from the death of these key individuals.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shares of Class A Common Stock could be adversely affected by sales of substantial amounts of our Class A Common Stock in the public or private markets.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provided registration rights to Diamondback and other parties collectively owning a substantial portion of our outstanding shares of Class A Common Stock on an as-converted basis. Pursuant to these registration rights, we have registered, under the Securities Act, all of the Class A Common Stock owned by Diamondback and those other parties for resale (including Class A Common Stock issuable in respect of the Class B Common Stock under the related exchange agreement or under the exchange provisions of the Operating Company’s limited liability company agreement). Sales by holders of a substantial number of our Class A Common Stock in the public markets, or the perception that such sales might occur, could have a material adverse effect on the price of our Class A Common Stock or could impair our ability to obtain capital through an offering of equity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 tax legislation may adversely affect our 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legislation has been proposed that, if enacted into law, would make significant changes to U.S. federal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2022, the IRA enacted a 15% corporate alternative minimum tax (“CAMT”) on the “adjusted financial statement income” of certain large corporations (generally, corporations reporting more than $1 billion average adjusted pre-tax net income on their consolidated financial statements) for tax years beginning after December 31, 2022. If we are or become subject to CAMT including as a result of our affiliation with Diamondback, our cash tax obligations for U.S. federal income taxes could be significantly accelerated.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 was signed into law. Among other provisions, the OBBB provides for immediate expensing of research or experimental expenses, bonus depreciation for qualified tangible property, deductible intangible drilling costs for purposes of the CAMT, and enhancements to limits on business interest expense deductions. The OBBB also imposes limits on deductibility of charitable contributions by corporations. To the extent the timing or amount of our tax deductions are affected by the applicable provisions of the OBBB, our cash tax obligations may be impacted.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Treasury Department, the Internal Revenue Service and other standard-setting bodies are expected to issue additional guidance on how the CAMT and other provisions of the IRA and OBBB will be applied or otherwise administered,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such guidance may differ from our interpretations. We continue to evaluate the IRA and OBBB and their effect on our financial results and operating cash flow.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provision of our certificate of incorporation requiring exclusive venue in the Court of Chancery in the State of Delaware for certain types of lawsuits may have the effect of discouraging lawsuits against us and our directors, officers and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unless we consent in writing to the selection of an alternative forum, the Court of Chancery of the State of Delaware generally shall be the sole and exclusive forum for (i) any derivative action or proceeding brought on behalf of the Company, (ii) any action asserting a claim of breach of a fiduciary duty owed by any director, officer, employee or stockholder of the Company to the Company or its stockholders, (iii) any action asserting a claim arising pursuant to any provision of the DGCL, our certificate of incorporation or bylaws or (iv) any other action asserting a claim against the Company governed by the internal affairs doctrine. This choice of forum provision does not waive our compliance with our obligations under the federal securities laws and the rules and regulations thereunder. Moreover, the provision does not apply to suits brought to enforce a duty or liability created by the Exchange Act or by the Securities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choice of forum provision may increase costs to bring a claim, discourage claims or limit a stockholder’s ability to bring a claim in a judicial forum that the stockholder finds favorable for disputes with the Company or our directors, officers or employees, which may discourage such lawsuits against the Company and its directors, officers and employees, even though an action, if successful, might benefit our stockholders. Alternatively, if a court were to find the choice of forum provision to be inapplicable or unenforceable in an action, we may incur additional costs associated with resolving such matters in other jurisdictions, which could increase our costs of litigation and adversely affect our business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certificate of incorporation does not limit the ability of Diamondback and certain of its directors, principals, officers, employees and their respective affiliates to compete with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none of Diamondback, any of its directors, principals, officers, employees or respective affiliates will have any duty to refrain from engaging, directly or indirectly, in the same business activities or similar business activities or lines of business in which we operate. In the ordinary course of their business activities, these persons may engage in activities where their interests conflict with our interests or those of our other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persons also may pursue acquisition opportunities that may be complementary to our business, and, as a result, those acquisition opportunities may not be available to us. In addition, these persons may have an interest in our pursuing acquisitions, divestitures and other transactions that, in their judgment, could enhance their investment, even though such transactions might involve risks to our common stockholders.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Delaware law might discourage or delay acquisition attempts for us that you might consider favorable.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may make the merger or acquisition of our company more difficult without the approval of our board of directors. Among other things, these provisions 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 prohibit stockholder action by written consent unless such action is consented to by the board of directors; provide for certain limitations on convening special stockholder meetings; provide (i) that the board of directors is expressly authorized to make, alter, or repeal our bylaws, and (ii) that our stockholders may only amend our bylaws with the approval of at least a majority of all of the outstanding shares of our capital stock entitled to vote; and establish advance notice requirements for nominations for elections to our board or for proposing matters that can be acted upon by stockholders at stockholder meetings.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anti-takeover provisions could discourage, delay or prevent a transaction involving a change in control of our company, including actions that our stockholders may deem advantageous, or could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pay base and variable dividends to the holders of our Class A Common Stock or make repurchases under our repurchase program may be limited by requirements under our certificate of incorporation, our holding company structure, applicable provisions of Delaware law and contractual restrictions.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current dividend policy, we pay quarterly base plus variable cash dividends on our Class A Common Stock. The outstanding shares of Class B Common Stock are entitled to an aggregate quarterly preferred dividend of $20,000 in cash. Other than the insignificant preferred dividend requirement, we are not required to pay dividends to our stockholders on a quarterly or other basis, and declaration of any other dividends in the future will be solely in the discretion of our board of directors, which may change our dividend policy at any time. Our ability to pay cash dividends to holders of our Class A Common Stock depends on a number of factors, including among other things, general economic and business conditions, our strategic plans and prospects, our businesses and investment opportunities, our financial condition and operating results, capital requirements and other anticipated cash needs, contractual restrictions and obligations, legal, tax and regulatory restrictions and other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as a holding company, our ability to pay dividends or repurchase shares of our Common Stock or OpCo Units is subject to the ability of OpCo and any future subsidiaries to provide cash to us. Viper Energy, Inc. has no material assets other than its membership interest in OpCo, which along with OpCo’s subsidiaries, holds all of the mineral and royalty interests and other assets consolidated on our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DGCL we may only pay dividends to our stockholders out of (i) our surplus, as defined and computed under the provisions of the DGCL, or (ii) our net profits for the fiscal year in which the dividend is declared and/or the preceding fiscal year. If we do not have sufficient surplus or net profits, we will be prohibited by law from paying any such dividend. In addition, the terms of our revolving credit facility include, and any other debt instruments or financing arrangements may from time to time include covenants or other restrictions that could constrain our ability to pay dividends, make other distributions or repurchase shares of our Common Stock or OpCo Units. Our certificate of incorporation contains provisions authorizing us to issue series of preferred stock that may have designations, preferences, rights, powers and duties that are different from, and may be senior to, those applicable to our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information regarding stockholders’ equity and our repurchase program, see 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Risk Management Strategy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provides us with personnel and general and administrative services pursuant to the Services and Secondment Agreement, including the personnel and infrastructure that underlie our cybersecurity risk management program. In connection therewith, Diamondback has implemented and invested in, and will continue to implement and invest in, controls, procedures and protections (including internal and external personnel) that are designed to protect Diamondback’s systems, identify and remediate on a regular basis vulnerabilities in Diamondback’s systems and related infrastructure and monitor and mitigate the risk of data loss and other cybersecurity threats. Diamondback has also engaged third-party consultants to conduct penetration testing and risk assessments. Diamondback’s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Diamondback’s cybersecurity risk management program is integrated into its overall enterprise risk management program, which integrates our enterprise risk management program, and shares common methodologies, reporting channels and governance processes that apply across the enterprise risk management program to other legal, compliance, strategic, operational, and financial risk areas that apply to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Diamondback’s cybersecurity risk management program, which it provides to us under the Services and Secondment Agreement, includes: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assessments designed to help identify material cybersecurity risks to critical systems, information, products, services, and the broader enterprise IT and operational technology (“OT”) environments;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security team principally responsible for managing (i) cybersecurity risk assessment processes, (ii) security controls, and (iii) its response to cybersecurity incidents;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train or otherwise assist with aspects of its security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security tools deployed in the IT and OT environments for protection against and monitoring for suspicious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awareness training of its employees, including incident response personnel and senior management, including those who provide these services for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tabletop exercises for members of its cybersecurity incident response team and legal department;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third-party risk management process for service providers, which may include diligence, assessments and/or contractual requirements, depending on each service provider’s operational criticality and relative risk profile.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Diamondback’s cybersecurity governance program is led by its Senior Vice President and Chief Information Officer, with support from the internal information technology department. Diamondback’s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Diamondback’s Senior Vice President and Chief Information Officer and his team, which consists of individuals who hold designations as Certified Information Systems Security Professional (CISSP), Certified Information Systems Auditor (CISA), and CompTIASecurity+, are responsible for leading enterprise-wide cybersecurity strategy, policy, standards, architecture and processes. In addition, Diamondback’s cybersecurity incident response team is responsible for responding to cybersecurity incidents and is guided by its Computer Security Incident Response Plan. Progress and developments in Diamondback’s cybersecurity governance program are communicated to members of its and our executive team. Diamondback’s and our management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Diamondback; alerts and reports produced by security tools deployed in the enterprise IT and OT environments; and through reporting by employees and service providers.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the risk management strategy and continues to be an area of increasing focus for our board, the audit committee and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receives quarterly updates from Diamondback’s Senior Vice President and Chief Information Officer on the status of Diamondback’s cybersecurity governance program, including as related to new or developing initiatives and any significant security incidents that may occur, to the extent relevant to our program. Board members also receive presentations on cybersecurity topics from Diamondback’s Senior Vice President and Chief Information Officer as part of the board’s continuing education on topics that impact public companies. Diamondback’s cybersecurity governance program also includes processes to assess cybersecurity risks related to third-party service providers, suppliers and vendors.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Risks from identified cybersecurity threats have not materially affected, and are not currently anticipated to materially affect, our Company, including our business strategy, results of operations or financial condition. See, however, </w:t>
      </w:r>
      <w:hyperlink w:anchor="i636f90b9a2bf4a46ad5fe64678400ed7_25">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report for additional information regarding cybersecurity risks we face and their potentially material impact on our business strategy, results of operations and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636f90b9a2bf4a46ad5fe64678400ed7_148">
        <w:r>
          <w:rPr>
            <w:rStyle w:val="InternetLink"/>
            <w:rFonts w:ascii="Times New Roman;serif" w:hAnsi="Times New Roman;serif"/>
            <w:b w:val="false"/>
            <w:color w:val="000080"/>
            <w:sz w:val="20"/>
            <w:u w:val="single"/>
          </w:rPr>
          <w:t>Commitments and Contingencie</w:t>
        </w:r>
      </w:hyperlink>
      <w:hyperlink w:anchor="i636f90b9a2bf4a46ad5fe64678400ed7_148">
        <w:r>
          <w:rPr>
            <w:rStyle w:val="InternetLink"/>
            <w:rFonts w:ascii="Times New Roman;serif" w:hAnsi="Times New Roman;serif"/>
            <w:b w:val="false"/>
            <w:color w:val="000080"/>
            <w:sz w:val="20"/>
            <w:u w:val="single"/>
          </w:rPr>
          <w:t>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 and Holders of Record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Shares of our Class A Common Stock are listed on Nasdaq under the symbol “VNOM.” There were 63 holders of record of our Class A Common Stock on February 20, 2026. There is no trading market for our Class B Common Stock; however, shares of our Class B Common Stock or the TWR Class B Option (as defined in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together with an equal number of OpCo Units, are exchangeable for the same number of shares of our Class A Common Stock at the discretion of the holders under the terms and conditions of OpCo’s limited liability company agreement or the applicable exchange agreement with such holders. There were 31 holders of record of our Class B Common Stock on February 20,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current dividend policy, we intend to pay a base dividend, as well as a variable dividend that takes into account capital returned to stockholders via our repurchase program. We currently intend to pay quarterly variable dividends of at least 75% of our available cash less the base dividend declared and the amount paid for repurchases of our Common Stock and OpCo Units as part of our repurchase program for the applicable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available cash and the available cash of the Operating Company for each quarter is determined by our board of directors following the end of such quarter. We expect that our available cash will generally equal the Adjusted EBITDA attributable to us for the applicable quarter, less cash needed for income taxes payable, debt service, contractual obligations, fixed charges and reserves for future operating or capital needs that our board of directors deems necessary or appropriate, lease bonus income (net of applicable taxes), and other insignificant expenses including dividend equivalent rights payments and preferred distributions.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cash available for distribution by the Operating Company to us pursuant to the distribution policy may change quarterly to enable the Operating Company to retain cash flow to help strengthen our balance sheet while also expanding the return of capital program through our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required to pay a quarterly preferred dividend in respect of our Class B Common Stock in the aggregate amount of $20,000 per quarter. Other than the preferred dividend requirement, we are not required to pay dividends to our stockholders on a quarterly or other basis, and declaration of any other dividends in the future will be solely in the discretion of our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repurchase activity for the three months ended December 31, 2025,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7"/>
        <w:gridCol w:w="464"/>
        <w:gridCol w:w="468"/>
        <w:gridCol w:w="109"/>
        <w:gridCol w:w="109"/>
        <w:gridCol w:w="109"/>
        <w:gridCol w:w="477"/>
        <w:gridCol w:w="477"/>
        <w:gridCol w:w="479"/>
        <w:gridCol w:w="109"/>
        <w:gridCol w:w="109"/>
        <w:gridCol w:w="109"/>
        <w:gridCol w:w="293"/>
        <w:gridCol w:w="857"/>
        <w:gridCol w:w="151"/>
        <w:gridCol w:w="109"/>
        <w:gridCol w:w="109"/>
        <w:gridCol w:w="109"/>
        <w:gridCol w:w="695"/>
        <w:gridCol w:w="695"/>
        <w:gridCol w:w="697"/>
        <w:gridCol w:w="109"/>
        <w:gridCol w:w="109"/>
        <w:gridCol w:w="109"/>
        <w:gridCol w:w="623"/>
        <w:gridCol w:w="1377"/>
        <w:gridCol w:w="467"/>
      </w:tblGrid>
      <w:tr>
        <w:trPr/>
        <w:tc>
          <w:tcPr>
            <w:tcW w:w="6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(1)(3)</w:t>
            </w:r>
          </w:p>
        </w:tc>
      </w:tr>
      <w:tr>
        <w:trPr/>
        <w:tc>
          <w:tcPr>
            <w:tcW w:w="1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and shares in ones)</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1,738 shares of Class A Common Stock repurchased from employees in order to satisfy tax withholding requirements. Such shares are cancelled and retired immediately upon repurchase. On December 10, 2025 our board of directors approved expanding the repurchase program to include repurchases of OpCo Units and shares of Class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The OpCo Units and the Company’s Class B Common Stock are not registered securities pursuant to Section 12 of the Exchange Act and as such repurchases of such unregistered securities are excluded from the shares listed in the table above. During December 2025, the Company, in a privately negotiated transaction, repurchased 1,000,000 OpCo Units for an aggregate purchase price of approximately $41 million, or $40.65 per OpCo Unit, and cancellation of an equal number of shares of the Company’s Class B Common Stock. The approximately $241 million remaining under the repurchase program for future repurchases at December 31, 2025 in the table above gives effect to such repurchase of OpCo Units.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(3)On July 26, 2022, our board of directors increased the authorization under our then-in-effect repurchase program from $250 million to $750 million and on February 18, 2026 further increased the authorization to $1.75 billion. This repurchase program has no expiration date and remains subject to market conditions, applicable legal requirements, contractual obligations and other factors and may be suspended, modified or extended, from time to time, or may be discontinued at any time, in each case, by our board of directors.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should not be deemed “soliciting material” or to be “filed” with the SEC, nor should such information be incorporated by reference into any future filing under the Securities Act or the Exchange Act, except to the extent that we specifically incorporate such information by reference into such a filing. The performance graph and information are included for historical comparative purposes only and should not be considered indicative of future stock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performance graph includes a comparison of our cumulative total stockholder return over a five-year period with the cumulative total returns of the Standard &amp; Poor’s 500 Stock Index, or the S&amp;P 500, and the SPDR S&amp;P Oil &amp; Gas Exploration and Production ETF, or XOP. The graph assumes an investment of $100 on December 31, 2020, and that all dividends were reinvested.</w:t>
      </w:r>
    </w:p>
    <w:p>
      <w:pPr>
        <w:pStyle w:val="TextBody"/>
        <w:bidi w:val="0"/>
        <w:spacing w:before="0" w:after="0"/>
        <w:jc w:val="center"/>
        <w:rPr/>
      </w:pPr>
      <w:r>
        <w:rPr/>
        <w:drawing>
          <wp:inline distT="0" distB="0" distL="0" distR="0">
            <wp:extent cx="5838825" cy="34290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5838825" cy="3429000"/>
                    </a:xfrm>
                    <a:prstGeom prst="rect">
                      <a:avLst/>
                    </a:prstGeom>
                  </pic:spPr>
                </pic:pic>
              </a:graphicData>
            </a:graphic>
          </wp:inline>
        </w:drawing>
      </w:r>
      <w:bookmarkStart w:id="0" w:name="i-1"/>
      <w:bookmarkEnd w:id="0"/>
    </w:p>
    <w:p>
      <w:pPr>
        <w:pStyle w:val="TextBody"/>
        <w:bidi w:val="0"/>
        <w:spacing w:before="0" w:after="0"/>
        <w:ind w:left="0" w:right="0" w:firstLine="720"/>
        <w:jc w:val="both"/>
        <w:rPr/>
      </w:pPr>
      <w:r>
        <w:rPr/>
      </w:r>
    </w:p>
    <w:tbl>
      <w:tblPr>
        <w:tblW w:w="7956" w:type="dxa"/>
        <w:jc w:val="left"/>
        <w:tblInd w:w="0" w:type="dxa"/>
        <w:tblLayout w:type="fixed"/>
        <w:tblCellMar>
          <w:top w:w="28" w:type="dxa"/>
          <w:left w:w="28" w:type="dxa"/>
          <w:bottom w:w="28" w:type="dxa"/>
          <w:right w:w="28" w:type="dxa"/>
        </w:tblCellMar>
      </w:tblPr>
      <w:tblGrid>
        <w:gridCol w:w="575"/>
        <w:gridCol w:w="506"/>
        <w:gridCol w:w="5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40"/>
        <w:gridCol w:w="240"/>
        <w:gridCol w:w="346"/>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Calculated Values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$454.07</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$195.98</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XOP</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$243.04</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consolidated financial statements and notes thereto presented in </w:t>
      </w:r>
      <w:hyperlink w:anchor="i636f90b9a2bf4a46ad5fe64678400ed7_91">
        <w:r>
          <w:rPr>
            <w:rStyle w:val="InternetLink"/>
            <w:rFonts w:ascii="Times New Roman;serif" w:hAnsi="Times New Roman;serif"/>
            <w:b w:val="false"/>
            <w:i/>
            <w:color w:val="0000FF"/>
            <w:sz w:val="20"/>
            <w:u w:val="single"/>
          </w:rPr>
          <w:t>Item 8. Financial Statements and Supplementary Data</w:t>
        </w:r>
      </w:hyperlink>
      <w:r>
        <w:rPr>
          <w:color w:val="000000"/>
        </w:rPr>
        <w:t xml:space="preserve"> </w:t>
      </w:r>
      <w:r>
        <w:rPr>
          <w:rFonts w:ascii="Times New Roman;serif" w:hAnsi="Times New Roman;serif"/>
          <w:b w:val="false"/>
          <w:i/>
          <w:color w:val="000000"/>
          <w:sz w:val="20"/>
        </w:rPr>
        <w:t xml:space="preserve">of this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discussed further in </w:t>
      </w:r>
      <w:hyperlink w:anchor="i636f90b9a2bf4a46ad5fe64678400ed7_25">
        <w:r>
          <w:rPr>
            <w:rStyle w:val="InternetLink"/>
            <w:rFonts w:ascii="Times New Roman;serif" w:hAnsi="Times New Roman;serif"/>
            <w:b w:val="false"/>
            <w:i/>
            <w:color w:val="0000FF"/>
            <w:sz w:val="20"/>
            <w:u w:val="single"/>
          </w:rPr>
          <w:t>Item 1A. Risk Factors</w:t>
        </w:r>
      </w:hyperlink>
      <w:r>
        <w:rPr>
          <w:color w:val="000000"/>
        </w:rPr>
        <w:t xml:space="preserve"> </w:t>
      </w:r>
      <w:r>
        <w:rPr>
          <w:rFonts w:ascii="Times New Roman;serif" w:hAnsi="Times New Roman;serif"/>
          <w:b w:val="false"/>
          <w:i/>
          <w:color w:val="000000"/>
          <w:sz w:val="20"/>
        </w:rPr>
        <w:t xml:space="preserve">and </w:t>
      </w:r>
      <w:hyperlink w:anchor="i636f90b9a2bf4a46ad5fe64678400ed7_16">
        <w:r>
          <w:rPr>
            <w:rStyle w:val="InternetLink"/>
            <w:rFonts w:ascii="Times New Roman;serif" w:hAnsi="Times New Roman;serif"/>
            <w:b w:val="false"/>
            <w:i/>
            <w:color w:val="0000FF"/>
            <w:sz w:val="20"/>
            <w:u w:val="single"/>
          </w:rPr>
          <w:t>Cautionary Statement Regarding Forward-Looking Statements</w:t>
        </w:r>
      </w:hyperlink>
      <w:r>
        <w:rPr>
          <w:color w:val="000000"/>
        </w:rPr>
        <w:t xml:space="preserve"> </w:t>
      </w:r>
      <w:r>
        <w:rPr>
          <w:rFonts w:ascii="Times New Roman;serif" w:hAnsi="Times New Roman;serif"/>
          <w:b w:val="false"/>
          <w:i/>
          <w:color w:val="000000"/>
          <w:sz w:val="20"/>
        </w:rPr>
        <w:t>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discussion includes a comparison of our results of operations, including changes in our operating income, and liquidity and capital resources for fiscal year 2025 and fiscal year 2024. A discussion of changes in our results of operations from fiscal year 2024 compared to fiscal year 2023 has been omitted from this report, but may be found in </w:t>
      </w:r>
      <w:r>
        <w:fldChar w:fldCharType="begin"/>
      </w:r>
      <w:r>
        <w:rPr>
          <w:rStyle w:val="InternetLink"/>
          <w:sz w:val="20"/>
          <w:u w:val="single"/>
          <w:b w:val="false"/>
          <w:rFonts w:ascii="Times New Roman;serif" w:hAnsi="Times New Roman;serif"/>
          <w:color w:val="000080"/>
        </w:rPr>
        <w:instrText xml:space="preserve"> HYPERLINK "https://www.sec.gov/ix?doc=/Archives/edgar/data/0001602065/000160206525000010/vnom-20241231.htm" \l "ib14eb29379da49d391d7c1866e807b85_25"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 xml:space="preserve">Part II. </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"https://www.sec.gov/ix?doc=/Archives/edgar/data/0001602065/000160206525000010/vnom-20241231.htm" \l "ib14eb29379da49d391d7c1866e807b85_25"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Item 7. Management’s Discussion and Analysis of Financial Condition and Results of Operations in our Annual Report on Form 10-</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"https://www.sec.gov/ix?doc=/Archives/edgar/data/0001602065/000160206525000010/vnom-20241231.htm" \l "ib14eb29379da49d391d7c1866e807b85_25"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K</w:t>
      </w:r>
      <w:r>
        <w:rPr>
          <w:rStyle w:val="InternetLink"/>
          <w:sz w:val="20"/>
          <w:u w:val="single"/>
          <w:b w:val="false"/>
          <w:rFonts w:ascii="Times New Roman;serif" w:hAnsi="Times New Roman;serif"/>
          <w:color w:val="000080"/>
        </w:rPr>
        <w:fldChar w:fldCharType="end"/>
      </w:r>
      <w:r>
        <w:rPr>
          <w:color w:val="000000"/>
        </w:rPr>
        <w:t xml:space="preserve"> </w:t>
      </w:r>
      <w:r>
        <w:rPr>
          <w:rFonts w:ascii="Times New Roman;serif" w:hAnsi="Times New Roman;serif"/>
          <w:b w:val="false"/>
          <w:color w:val="000000"/>
          <w:sz w:val="20"/>
        </w:rPr>
        <w:t>for the year ended December 31, 2024, filed with the SEC on February 26, 2025, and is incorporated by reference in this report from such prior Annual Report on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Increase in Repurchase Program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18, 2026, our board of directors approved an increase in authorization under our existing repurchase program from $750 million to $1.75 billion, excluding excise tax. As of February 20, 2026, approximately $1.2 billion remains available for future repurchases under our repurchase program, excluding excise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18, 2026, our board of directors approved (i) an increase to our annual base dividend to $1.52 per share of Class A Common Stock beginning with the dividend payable for the fourth quarter of 2025, and (ii) a combined quarterly base and variable cash dividend of $0.52 per share of Class A Common Stock and $0.65 per OpCo Unit payable on March 12,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we completed the Non-Permian Divestiture for net cash proceeds of approximately $617 million, subject to customary post-closing adjustments. The divested properties consisted of approximately 9,400 net royalty acres in the Denver-Julesburg, Eagle Ford and Williston basins with current production of approximately 4,750 BO/d. Proceeds from the Non-Permian Divestiture were used to repay the Term Loan (as defined below) and to reduce borrowings outstanding on the 2025 Revolving Credit Facility (as defined below).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Acquisitions Update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we completed the Sitio Acquisition in an all-equity transaction valued at approximately $4.0 billion, including customary transaction costs and post-closing adjustments and the partial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we completed the 2025 Drop Down for consideration consisting of (i) $873 million in cash including customary post-closing adjustments, and (ii) the issuance of 69,626,640 OpCo Units and an equivalent number of shares of our Class B Common Stock (collectively, the “Drop Down Equity Issuance”). The mineral and royalty interests acquired in the 2025 Drop Down represent approximately 24,446 net royalty acres in the Permian Basin, 69% of which are operated by Diamondback.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year ended December 31, 2025</w:t>
      </w:r>
      <w:r>
        <w:rPr>
          <w:rFonts w:ascii="Times New Roman;serif" w:hAnsi="Times New Roman;serif"/>
          <w:b w:val="false"/>
          <w:color w:val="000000"/>
          <w:sz w:val="20"/>
        </w:rPr>
        <w:t xml:space="preserve">, we acquired, in individually insignificant transactions from unrelated third-party sellers, mineral and royalty interests representing 515 net royalty acres in the Permian Basin for an aggregate net purchase price of approximately $140 million, including customary closing adjustments. Additionally, during the </w:t>
      </w:r>
      <w:r>
        <w:rPr>
          <w:rFonts w:ascii="Times New Roman;serif" w:hAnsi="Times New Roman;serif"/>
          <w:b w:val="false"/>
          <w:color w:val="000000"/>
          <w:sz w:val="20"/>
          <w:shd w:fill="FFFFFF" w:val="clear"/>
        </w:rPr>
        <w:t xml:space="preserve">year ended December 31, 2025, we acquired from </w:t>
      </w:r>
      <w:r>
        <w:rPr>
          <w:rFonts w:ascii="Times New Roman;serif" w:hAnsi="Times New Roman;serif"/>
          <w:b w:val="false"/>
          <w:color w:val="000000"/>
          <w:sz w:val="20"/>
        </w:rPr>
        <w:t>Morita Ranches Minerals, LLC</w:t>
      </w:r>
      <w:r>
        <w:rPr>
          <w:rFonts w:ascii="Times New Roman;serif" w:hAnsi="Times New Roman;serif"/>
          <w:b w:val="false"/>
          <w:color w:val="000000"/>
          <w:sz w:val="20"/>
          <w:shd w:fill="FFFFFF" w:val="clear"/>
        </w:rPr>
        <w:t xml:space="preserve">, mineral and royalty interests representing </w:t>
      </w:r>
      <w:r>
        <w:rPr>
          <w:rFonts w:ascii="Times New Roman;serif" w:hAnsi="Times New Roman;serif"/>
          <w:b w:val="false"/>
          <w:color w:val="000000"/>
          <w:sz w:val="20"/>
        </w:rPr>
        <w:t>1,691 net royalty acres in the Permian Basin for consideration consisting of $208 million in cash and 2,400,297 OpCo Units together with an equal number of shares of our Class B Common Stock, including customary transaction costs and post-closing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our footprint of mineral and royalty interests totaled approximately 96,003 net royalty acres, approximately 35% of which are operated by Diamondback.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further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 Transactions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N</w:t>
      </w:r>
      <w:r>
        <w:rPr>
          <w:rFonts w:ascii="Times New Roman;serif" w:hAnsi="Times New Roman;serif"/>
          <w:b w:val="false"/>
          <w:i/>
          <w:color w:val="000000"/>
          <w:sz w:val="20"/>
        </w:rPr>
        <w:t>otes Offering and 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the Operating Company issued the Guaranteed Senior Notes for an aggregate principal amount of $1.6 billion. Using approximately $824 million of the net proceeds from the issuance of the Guaranteed Senior Notes, we redeemed all of our 7.375% Senior Notes maturing on November 1, 2031 (the “2031 Notes”) and on November 1, 2025 we redeemed our 5.375% Senior Notes due 2027 (the “2027 Notes”), including accrued and unpaid interest through the date of redemption and any redemption premiums. We used the remaining net proceeds to partially retire Sitio’s net debt of approximately $1.2 billion including any fees, costs and expenses related to the redemption or repayment of such debt, and for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the second quarter of 2025, prior to redemption, we opportunistically repurchased principal amounts of $50 million of the 2027 Notes in open market transactions for total cash consideration of $50 million, at an average of 99.7% of par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Old OpCo converted its legal form (the “OpCo Conversion”), in accordance with the applicable laws of the State of Delaware, to a Delaware limited partnership named Viper Energy Partners LP (“Viper LP”), which is now the issuer with respect to the Guaranteed Senior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Former Viper, as guarantor, the Operating Company, as borrower, and Goldman Sachs Bank USA, as administrative agent, entered into a $500 million term loan credit agreement (the “Term Loan”), which was fully drawn to partially fund the retirement of Sitio’s net debt. Following the closing of the Sitio Acquisition, New Viper became an additional guarantor of the borrower’s obligations under the Term Loan. Following the OpCo Conversion, Viper LP became the borrower under the Term Loan.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2025, Former Viper, as guarantor, entered into a credit agreement with the Operating Company, as borrower, and Wells Fargo, as the administrative agent providing for a senior unsecured revolving credit facility with a commitment amount of $1.5 billion (the “2025 Revolving Credit Facility”). The 2025 Revolving Credit Facility was previously guaranteed by certain subsidiaries of the Operating Company, and upon completion of the Sitio Acquisition, those subsidiary guarantees were released and New Viper and Former Viper became co-guarantors. The 2025 Revolving Credit Facility replaced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borrower’s previous revolving credit facility, and will mature on June 12, 2030, unless extended in accordance with its terms. Following the OpCo Conversion, Viper LP became the borrower under the 2025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636f90b9a2bf4a46ad5fe64678400ed7_13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for additional discussion of our debt.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2025, we completed an underwritten public offering of 28,336,000 shares of our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 We used the net proceeds from the 2025 Equity Offering to fund (i) a portion of the cash consideration for the 2025 Drop Down, (ii) the cash consideration for various individually insignificant acquisitions, and (iii)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Commodity Prices and Certain Other Market Considerations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Prices for oil, natural gas and natural gas liquids are determined primarily by prevailing market conditions. Regional and worldwide economic activity, changes in trade or other government policies or regulations, including with respect to U.S. energy and monetary policies, tariffs or other trade barriers and any resulting trade tensions, regional conflicts and political instability, extreme weather conditions and other substantially variable factors influence market conditions for these products. These factors are beyond our control and are difficult to predict. OPEC+ continues to meet regularly to evaluate the state of global oil supply, demand and inventory levels and can heavily influence volatility in oil prices. During 2025, 2024 and 2023, WTI prices averaged $64.73, $75.76 and $77.60 per Bbl, respectively, and Henry Hub prices averaged $3.62, $2.41 and $2.66 per MMBtu, respectively. For additional information around risks related to commodity prices, see </w:t>
      </w:r>
      <w:hyperlink w:anchor="i636f90b9a2bf4a46ad5fe64678400ed7_88">
        <w:r>
          <w:rPr>
            <w:rStyle w:val="InternetLink"/>
            <w:rFonts w:ascii="Times New Roman;serif" w:hAnsi="Times New Roman;serif"/>
            <w:b w:val="false"/>
            <w:color w:val="0000FF"/>
            <w:sz w:val="20"/>
            <w:u w:val="single"/>
          </w:rPr>
          <w:t>Item 7A. Quantitative and Qualitative Disclosures About Market Risk</w:t>
        </w:r>
      </w:hyperlink>
      <w:r>
        <w:rPr>
          <w:color w:val="000000"/>
        </w:rPr>
        <w:t>—</w:t>
      </w:r>
      <w:r>
        <w:rPr>
          <w:rFonts w:ascii="Times New Roman;serif" w:hAnsi="Times New Roman;serif"/>
          <w:b w:val="false"/>
          <w:color w:val="000000"/>
          <w:sz w:val="20"/>
        </w:rPr>
        <w:t>Commodity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2025 commodity prices, industry conditions and the results of the quarterly ceiling tests, we were required to record aggregate non-cash impairments of $768 million on our proved oil and natural gas interests during the year ended December 31, 2025.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Production and Operational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98 gross rigs operating on our mineral and royalty acreage, eight of which are operated by Diamondback. During 2025, we completed the Sitio Acquisition and the 2025 Drop Down, which reinforced the durability of our growth outlook and leveraged our leading position in the minerals and royalty sector to advance our differentiated acquisition strategy. Currently, we estimate full year production levels in 2026 to range between approximately 120 MBOE/d to 132 MBOE/d.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well information excluding the recently divested non-Permian assets as of December 31, 2025, unless otherwise specified: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94"/>
        <w:gridCol w:w="1658"/>
        <w:gridCol w:w="1663"/>
        <w:gridCol w:w="418"/>
        <w:gridCol w:w="418"/>
        <w:gridCol w:w="1045"/>
        <w:gridCol w:w="109"/>
        <w:gridCol w:w="109"/>
        <w:gridCol w:w="109"/>
        <w:gridCol w:w="380"/>
        <w:gridCol w:w="380"/>
        <w:gridCol w:w="955"/>
        <w:gridCol w:w="109"/>
        <w:gridCol w:w="109"/>
        <w:gridCol w:w="109"/>
        <w:gridCol w:w="203"/>
        <w:gridCol w:w="203"/>
        <w:gridCol w:w="334"/>
      </w:tblGrid>
      <w:tr>
        <w:trPr/>
        <w:tc>
          <w:tcPr>
            <w:tcW w:w="189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Third-Party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wells turned to production (fourth quarter 2025)</w:t>
            </w:r>
            <w:r>
              <w:rPr>
                <w:rFonts w:ascii="Times New Roman;serif" w:hAnsi="Times New Roman;serif"/>
                <w:b/>
                <w:color w:val="000000"/>
                <w:sz w:val="12"/>
              </w:rPr>
              <w:t>(1)</w:t>
            </w:r>
            <w:r>
              <w:rPr>
                <w:rFonts w:ascii="Times New Roman;serif" w:hAnsi="Times New Roman;serif"/>
                <w:b/>
                <w:color w:val="000000"/>
                <w:sz w:val="18"/>
              </w:rPr>
              <w:t>:</w:t>
            </w:r>
          </w:p>
        </w:tc>
        <w:tc>
          <w:tcPr>
            <w:tcW w:w="1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wells turned to production (year ended December 31, 2025)</w:t>
            </w:r>
            <w:r>
              <w:rPr>
                <w:rFonts w:ascii="Times New Roman;serif" w:hAnsi="Times New Roman;serif"/>
                <w:b/>
                <w:color w:val="000000"/>
                <w:sz w:val="12"/>
              </w:rPr>
              <w:t>(2)</w:t>
            </w:r>
            <w:r>
              <w:rPr>
                <w:rFonts w:ascii="Times New Roman;serif" w:hAnsi="Times New Roman;serif"/>
                <w:b/>
                <w:color w:val="000000"/>
                <w:sz w:val="18"/>
              </w:rPr>
              <w:t>:</w:t>
            </w:r>
          </w:p>
        </w:tc>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Horizontal producing well count:</w:t>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24,034</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active development well count</w:t>
            </w:r>
            <w:r>
              <w:rPr>
                <w:rFonts w:ascii="Times New Roman;serif" w:hAnsi="Times New Roman;serif"/>
                <w:b/>
                <w:color w:val="000000"/>
                <w:sz w:val="12"/>
              </w:rPr>
              <w:t>(3)</w:t>
            </w:r>
            <w:r>
              <w:rPr>
                <w:rFonts w:ascii="Times New Roman;serif" w:hAnsi="Times New Roman;serif"/>
                <w:b/>
                <w:color w:val="000000"/>
                <w:sz w:val="18"/>
              </w:rPr>
              <w:t>:</w:t>
            </w:r>
          </w:p>
        </w:tc>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Line of sight wells</w:t>
            </w:r>
            <w:r>
              <w:rPr>
                <w:rFonts w:ascii="Times New Roman;serif" w:hAnsi="Times New Roman;serif"/>
                <w:b/>
                <w:color w:val="000000"/>
                <w:sz w:val="12"/>
              </w:rPr>
              <w:t>(4)</w:t>
            </w:r>
            <w:r>
              <w:rPr>
                <w:rFonts w:ascii="Times New Roman;serif" w:hAnsi="Times New Roman;serif"/>
                <w:b/>
                <w:color w:val="000000"/>
                <w:sz w:val="18"/>
              </w:rPr>
              <w:t>:</w:t>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(1)Average lateral length of 11,283 feet.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(2)Average lateral length of 11,618 feet.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total 1,388 gross wells currently in the process of active development are those wells that have been spud and are expected to be turned to production within approximately the next six to eight months.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total 1,370 line-of-sight wells are those that are not currently in the process of active development, but for which we have reason to believe will be turned to production within approximately the next 15 to 18 months. The expected timing of these line-of-sight wells is based primarily on permitting by third-party operators or Diamondback’s current expected completion schedule. Existing permits or active development of our net royalty acreage does not ensure that those wells will be turned to production given the volatility in oil prices.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6865" w:type="dxa"/>
        <w:jc w:val="left"/>
        <w:tblInd w:w="0" w:type="dxa"/>
        <w:tblLayout w:type="fixed"/>
        <w:tblCellMar>
          <w:top w:w="28" w:type="dxa"/>
          <w:left w:w="28" w:type="dxa"/>
          <w:bottom w:w="28" w:type="dxa"/>
          <w:right w:w="28" w:type="dxa"/>
        </w:tblCellMar>
      </w:tblPr>
      <w:tblGrid>
        <w:gridCol w:w="1705"/>
        <w:gridCol w:w="1500"/>
        <w:gridCol w:w="1505"/>
        <w:gridCol w:w="217"/>
        <w:gridCol w:w="635"/>
        <w:gridCol w:w="112"/>
        <w:gridCol w:w="112"/>
        <w:gridCol w:w="112"/>
        <w:gridCol w:w="112"/>
        <w:gridCol w:w="217"/>
        <w:gridCol w:w="480"/>
        <w:gridCol w:w="158"/>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7808" w:type="dxa"/>
        <w:jc w:val="left"/>
        <w:tblInd w:w="0" w:type="dxa"/>
        <w:tblLayout w:type="fixed"/>
        <w:tblCellMar>
          <w:top w:w="28" w:type="dxa"/>
          <w:left w:w="28" w:type="dxa"/>
          <w:bottom w:w="28" w:type="dxa"/>
          <w:right w:w="28" w:type="dxa"/>
        </w:tblCellMar>
      </w:tblPr>
      <w:tblGrid>
        <w:gridCol w:w="2013"/>
        <w:gridCol w:w="1774"/>
        <w:gridCol w:w="1777"/>
        <w:gridCol w:w="211"/>
        <w:gridCol w:w="616"/>
        <w:gridCol w:w="109"/>
        <w:gridCol w:w="109"/>
        <w:gridCol w:w="109"/>
        <w:gridCol w:w="109"/>
        <w:gridCol w:w="211"/>
        <w:gridCol w:w="61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(2)Realized price net of all deducts for gathering, transportation and processing.</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for 2025 compared to the same period in 2024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Royalty Income.</w:t>
      </w:r>
      <w:r>
        <w:rPr>
          <w:color w:val="000000"/>
        </w:rPr>
        <w:t xml:space="preserv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$492 million in 2025 compared to the same period in 2024. This net increase consisted of an additional $701 million in royalty income from the 91% growth in production, partially offset by a net decrease of $209 million due primarily to lower average prices received for our oil and natural gas liquids production during 2025 compared to the same period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Of the 91% growth in production, approximately 46% is attributable to the 2025 Drop Down and 32% is attributable to the Sitio Acquisition. The remainder of the growth is primarily from new wells added between periods and other individually insignificant acquisitions. See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Taxes.</w:t>
      </w:r>
      <w:r>
        <w:rPr>
          <w:color w:val="000000"/>
        </w:rPr>
        <w:t xml:space="preserve">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shd w:fill="FFFFFF" w:val="clear"/>
        </w:rPr>
        <w:t>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general, production taxes are directly related to production revenues and are based upon current year commodity prices. Ad valorem taxes are based, among other factors, on property values driven by prior year commodity prices. Production taxes and ad valorem taxes as a percentage of royalty income in 2025</w:t>
      </w:r>
      <w:r>
        <w:rPr>
          <w:color w:val="000000"/>
          <w:shd w:fill="FFFFFF" w:val="clear"/>
        </w:rPr>
        <w:t xml:space="preserve"> </w:t>
      </w:r>
      <w:r>
        <w:rPr>
          <w:rFonts w:ascii="Times New Roman;serif" w:hAnsi="Times New Roman;serif"/>
          <w:b w:val="false"/>
          <w:color w:val="000000"/>
          <w:sz w:val="20"/>
          <w:shd w:fill="FFFFFF" w:val="clear"/>
        </w:rPr>
        <w:t>were relatively</w:t>
      </w:r>
      <w:r>
        <w:rPr>
          <w:color w:val="000000"/>
        </w:rPr>
        <w:t xml:space="preserve"> </w:t>
      </w:r>
      <w:r>
        <w:rPr>
          <w:rFonts w:ascii="Times New Roman;serif" w:hAnsi="Times New Roman;serif"/>
          <w:b w:val="false"/>
          <w:color w:val="000000"/>
          <w:sz w:val="20"/>
        </w:rPr>
        <w:t>consistent with the same period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Depletion.</w:t>
      </w:r>
      <w:r>
        <w:rPr>
          <w:color w:val="000000"/>
        </w:rPr>
        <w:t xml:space="preserve"> </w:t>
      </w:r>
      <w:r>
        <w:rPr>
          <w:rFonts w:ascii="Times New Roman;serif" w:hAnsi="Times New Roman;serif"/>
          <w:b w:val="false"/>
          <w:color w:val="000000"/>
          <w:sz w:val="20"/>
        </w:rPr>
        <w:t>The increase in depletion expense of $393 million in 2025 compared to the same period in 2024 consisted primarily of (i) $198 million due to an increase in the depletion rate to $17.48 per BOE in 2025, resulting primarily from the addition of leasehold costs and reserves from acquisitions completed in 2025, compared to $11.77 per BOE for the same period in 2024, and (ii) $195 million from growth in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w:t>
      </w:r>
      <w:r>
        <w:rPr>
          <w:color w:val="000000"/>
        </w:rPr>
        <w:t xml:space="preserve"> </w:t>
      </w:r>
      <w:r>
        <w:rPr>
          <w:rFonts w:ascii="Times New Roman;serif" w:hAnsi="Times New Roman;serif"/>
          <w:b w:val="false"/>
          <w:color w:val="000000"/>
          <w:sz w:val="20"/>
        </w:rPr>
        <w:t>In 2025, we recorded non-cash ceiling test impairment charges of $768 million due to the carrying value of our proved reserves exceeding their estimated future net cash flows utilizing the SEC’s methodology and pricing at December 31, 2025. The excess value resulted primarily from recording properties acquired in the 2025 Drop Down at Diamondback’s historical carrying value, which exceeded the value calculated in the third and fourth quarter 2025 ceiling tests, due primarily to declining SEC Prices. No impairment expense was recorded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 charges affect our results of operations but do not reduce our cash flow. In addition to commodity prices, our production rates, levels of proved reserves, transfers of unevaluated properties, income tax rate assumptions and other factors will determine our actual ceiling test calculation and impairment analysis in future periods. Given the overall decline in SEC Prices from the first quarter of 2025 through the first two months of 2026, we believe an additional material non-cash impairment of our assets is reasonably likely to occur in the first quarter of 2026; however, based on the number of factors that may impact our future estimate of proved reserves, we are currently unable to determine an estimate of the amount or range of amounts of any potential impairment charge in the first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a breakout of our general and administrative expenses for the periods presented:</w:t>
      </w:r>
    </w:p>
    <w:p>
      <w:pPr>
        <w:pStyle w:val="TextBody"/>
        <w:bidi w:val="0"/>
        <w:spacing w:before="0" w:after="0"/>
        <w:ind w:left="0" w:right="0" w:firstLine="720"/>
        <w:jc w:val="both"/>
        <w:rPr/>
      </w:pPr>
      <w:r>
        <w:rPr/>
      </w:r>
    </w:p>
    <w:tbl>
      <w:tblPr>
        <w:tblW w:w="7990" w:type="dxa"/>
        <w:jc w:val="left"/>
        <w:tblInd w:w="0" w:type="dxa"/>
        <w:tblLayout w:type="fixed"/>
        <w:tblCellMar>
          <w:top w:w="28" w:type="dxa"/>
          <w:left w:w="28" w:type="dxa"/>
          <w:bottom w:w="28" w:type="dxa"/>
          <w:right w:w="28" w:type="dxa"/>
        </w:tblCellMar>
      </w:tblPr>
      <w:tblGrid>
        <w:gridCol w:w="1560"/>
        <w:gridCol w:w="1371"/>
        <w:gridCol w:w="1374"/>
        <w:gridCol w:w="383"/>
        <w:gridCol w:w="928"/>
        <w:gridCol w:w="196"/>
        <w:gridCol w:w="196"/>
        <w:gridCol w:w="196"/>
        <w:gridCol w:w="196"/>
        <w:gridCol w:w="383"/>
        <w:gridCol w:w="928"/>
        <w:gridCol w:w="279"/>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BOE amounts in ones)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(per BOE)</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 xml:space="preserve">The increase in net interest expense of $22 million in 2025 compared to the same period in 2024 consisted primarily of (i) $40 million in additional expense on our Guaranteed Senior Notes, which were issued July 23, 2025, (ii) $11 million in additional interest expense incurred on the Term Loan, and (iii) other individually insignificant changes. These increases in net interest expense were partially offset by (i) interest cost savings of approximately $16 million due to the early termination of the Notes, (ii) $8 million in additional interest income, and (iii) a decrease of approximately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in interest expense on our current and previous revolving credit facility due to lower average borrowings outstanding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5782" w:type="dxa"/>
        <w:jc w:val="left"/>
        <w:tblInd w:w="0" w:type="dxa"/>
        <w:tblLayout w:type="fixed"/>
        <w:tblCellMar>
          <w:top w:w="28" w:type="dxa"/>
          <w:left w:w="28" w:type="dxa"/>
          <w:bottom w:w="28" w:type="dxa"/>
          <w:right w:w="28" w:type="dxa"/>
        </w:tblCellMar>
      </w:tblPr>
      <w:tblGrid>
        <w:gridCol w:w="1313"/>
        <w:gridCol w:w="1156"/>
        <w:gridCol w:w="1160"/>
        <w:gridCol w:w="262"/>
        <w:gridCol w:w="449"/>
        <w:gridCol w:w="135"/>
        <w:gridCol w:w="135"/>
        <w:gridCol w:w="135"/>
        <w:gridCol w:w="135"/>
        <w:gridCol w:w="262"/>
        <w:gridCol w:w="449"/>
        <w:gridCol w:w="191"/>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$33 million increase in the gain on derivative instruments, net in 2025 compared to the same period in 2024 consists primarily of (i) an $11 million net gain on our natural gas contracts, which consists of a $30 million net increase in cash receipts on our settled natural gas basis swaps, partially offset by a $19 million decrease in the value of our open natural gas contracts primarily due to changes in the differential between prices for Waha Hub and Henry Hub, (ii) a $13 million decrease in the estimated fair value of our 2026 WTI Contingent Liability based on fluctuations in the final WTI 2025 Average price (each as defined in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and (iii) other individually insignificant changes. See Note 10—</w:t>
      </w:r>
      <w:hyperlink w:anchor="i636f90b9a2bf4a46ad5fe64678400ed7_14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in Item 8. Financial Statements and Supplementary Data of this report for additional discussion of our open contracts at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Gain (Loss) on Early Extinguishment of Debt.</w:t>
      </w:r>
      <w:r>
        <w:rPr>
          <w:color w:val="000000"/>
        </w:rPr>
        <w:t xml:space="preserve"> </w:t>
      </w:r>
      <w:r>
        <w:rPr>
          <w:rFonts w:ascii="Times New Roman;serif" w:hAnsi="Times New Roman;serif"/>
          <w:b w:val="false"/>
          <w:color w:val="000000"/>
          <w:sz w:val="20"/>
        </w:rPr>
        <w:t>The $32 million loss on early extinguishment of debt in 2025 is due to the retirement of the 2031 Notes. See Note 6—</w:t>
      </w:r>
      <w:hyperlink w:anchor="i636f90b9a2bf4a46ad5fe64678400ed7_13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for additional discussion of our debt at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Provision for (Benefit from) Income Taxes.</w:t>
      </w:r>
      <w:r>
        <w:rPr>
          <w:color w:val="000000"/>
        </w:rPr>
        <w:t xml:space="preserve"> </w:t>
      </w:r>
      <w:r>
        <w:rPr>
          <w:rFonts w:ascii="Times New Roman;serif" w:hAnsi="Times New Roman;serif"/>
          <w:b w:val="false"/>
          <w:color w:val="000000"/>
          <w:sz w:val="20"/>
        </w:rPr>
        <w:t>The $81 million decrease in income tax benefit in 2025 compared to the same period in 2024 primarily resulted from recognizing a pre-tax loss attributable to Viper in 2025 compared to pre-tax income attributable to Viper in 2024, driven by the $768 million non-cash ceiling test impairments recorded in 2025. Additionally, the income tax benefit recognized in 2024 reflects the full release of a valuation allowance of $156 million during the fourth quarter of 2024. See Note 9—</w:t>
      </w:r>
      <w:hyperlink w:anchor="i636f90b9a2bf4a46ad5fe64678400ed7_139">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income tax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Income (Loss) Attributable to Non-Controlling Interest.</w:t>
      </w:r>
      <w:r>
        <w:rPr>
          <w:color w:val="000000"/>
        </w:rPr>
        <w:t xml:space="preserve"> </w:t>
      </w:r>
      <w:r>
        <w:rPr>
          <w:rFonts w:ascii="Times New Roman;serif" w:hAnsi="Times New Roman;serif"/>
          <w:b w:val="false"/>
          <w:color w:val="000000"/>
          <w:sz w:val="20"/>
        </w:rPr>
        <w:t xml:space="preserve">The change to $138 million in net loss attributable to non-controlling interest in 2025 from $245 million in net income attributable to non-controlling interest in 2024 is primarily due to the non-cash ceiling test impairments recorded in 2025 and changes in the non-controlling interest in the Operating Company resulting from (i) the Drop Down Equity Issuance, (ii) the issuance of OpCo Units to fund the Sitio Acquisition, and (iii) the issuance of OpCo Units to Tumbleweed Royalty IV, LLC in the fourth quarter of 2024, which were partially offset by a dilution of the non-controlling interest following the </w:t>
      </w:r>
      <w:r>
        <w:rPr>
          <w:rFonts w:ascii="Times New Roman;serif" w:hAnsi="Times New Roman;serif"/>
          <w:b w:val="false"/>
          <w:color w:val="000000"/>
          <w:sz w:val="20"/>
          <w:shd w:fill="FFFFFF" w:val="clear"/>
        </w:rPr>
        <w:t xml:space="preserve">2024 Equity Offering (as defined and discussed in </w:t>
      </w:r>
      <w:r>
        <w:rPr>
          <w:rFonts w:ascii="Times New Roman;serif" w:hAnsi="Times New Roman;serif"/>
          <w:b w:val="false"/>
          <w:color w:val="000000"/>
          <w:sz w:val="20"/>
        </w:rPr>
        <w:t>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in Item 8. Financial Statements and Supplementary Data of this report) and the 2025 Equity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 from operations, equity and debt offerings, borrowings under our revolving credit facility, term loan agreement and proceeds from sales of non-core assets. Our primary uses of cash have been dividends to our stockholders, Operating Company distributions to the holders of OpCo Units, repayments of debt, capital expenditures for the acquisition of our mineral and royalty interests in oil and natural gas properties, including the recently completed Sitio Acquisition, the 2025 Drop Down, and various individually insignificant acquisitions and repurchases of our Common Stock and OpCo Units. At December 31, 2025, we had approximately $1.4 billion of liquidity consisting of $13 million in cash and cash equivalents and $1.4 billion in available borrowings under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Revolving Credit Facility. See further discussion of changes in our sources of cash in “—</w:t>
      </w:r>
      <w:hyperlink w:anchor="i636f90b9a2bf4a46ad5fe64678400ed7_76">
        <w:r>
          <w:rPr>
            <w:rStyle w:val="InternetLink"/>
            <w:rFonts w:ascii="Times New Roman;serif" w:hAnsi="Times New Roman;serif"/>
            <w:b w:val="false"/>
            <w:color w:val="0000FF"/>
            <w:sz w:val="20"/>
            <w:u w:val="single"/>
          </w:rPr>
          <w:t>Capital Resources</w:t>
        </w:r>
      </w:hyperlink>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working capital requirements are supported by our cash and cash equivalents and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Revolving Credit Facility. We may draw on the 2025 Revolving Credit Facility to meet short-term cash requirements, or issue debt or equity securities as part of our longer-term liquidity and capital management program. Because of the alternatives available to us as discussed above, we believe our short-term and long-term liquidity are adequate to fund not only our current operations, but also our near-term and long-term funding requirements including dividends, debt service obligations, repayment of debt maturities, any repurchases of our Common Stock, OpCo Units or Guaranteed Senior Notes and any amounts that may ultimately be paid in connection with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order to mitigate volatility in oil and natural gas prices, we have entered into commodity derivative contracts as discussed further in </w:t>
      </w:r>
      <w:hyperlink w:anchor="i636f90b9a2bf4a46ad5fe64678400ed7_88">
        <w:r>
          <w:rPr>
            <w:rStyle w:val="InternetLink"/>
            <w:rFonts w:ascii="Times New Roman;serif" w:hAnsi="Times New Roman;serif"/>
            <w:b w:val="false"/>
            <w:color w:val="0000FF"/>
            <w:sz w:val="20"/>
            <w:u w:val="single"/>
          </w:rPr>
          <w:t>Item 7A. Quantitative and Qualitative Disclosures About Market Risk</w:t>
        </w:r>
      </w:hyperlink>
      <w:r>
        <w:rPr>
          <w:color w:val="000000"/>
        </w:rPr>
        <w:t>—</w:t>
      </w:r>
      <w:r>
        <w:rPr>
          <w:rFonts w:ascii="Times New Roman;serif" w:hAnsi="Times New Roman;serif"/>
          <w:b w:val="false"/>
          <w:color w:val="000000"/>
          <w:sz w:val="20"/>
        </w:rPr>
        <w:t>Commodity Price Risk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Continued prolonged volatility in the capital, financial and/or credit markets due to changing or adverse macroeconomic conditions, including tariffs, higher interest rates, global supply chain disruptions, actions taken by OPEC members and other exporting nations and geopolitical global conflicts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flows for the period indicated:</w:t>
      </w:r>
    </w:p>
    <w:p>
      <w:pPr>
        <w:pStyle w:val="TextBody"/>
        <w:bidi w:val="0"/>
        <w:spacing w:before="0" w:after="0"/>
        <w:ind w:left="0" w:right="0" w:firstLine="720"/>
        <w:jc w:val="both"/>
        <w:rPr/>
      </w:pPr>
      <w:r>
        <w:rPr/>
      </w:r>
    </w:p>
    <w:tbl>
      <w:tblPr>
        <w:tblW w:w="6694" w:type="dxa"/>
        <w:jc w:val="left"/>
        <w:tblInd w:w="0" w:type="dxa"/>
        <w:tblLayout w:type="fixed"/>
        <w:tblCellMar>
          <w:top w:w="28" w:type="dxa"/>
          <w:left w:w="28" w:type="dxa"/>
          <w:bottom w:w="28" w:type="dxa"/>
          <w:right w:w="28" w:type="dxa"/>
        </w:tblCellMar>
      </w:tblPr>
      <w:tblGrid>
        <w:gridCol w:w="1562"/>
        <w:gridCol w:w="1374"/>
        <w:gridCol w:w="1384"/>
        <w:gridCol w:w="217"/>
        <w:gridCol w:w="636"/>
        <w:gridCol w:w="112"/>
        <w:gridCol w:w="112"/>
        <w:gridCol w:w="112"/>
        <w:gridCol w:w="112"/>
        <w:gridCol w:w="217"/>
        <w:gridCol w:w="481"/>
        <w:gridCol w:w="112"/>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operating cash flow is sensitive to many variables, the most significant of which are the volatility of prices for oil and natural gas and the volumes of oil and natural gas sold by our operators. The increase in net cash provided by operating activities in 2025, compared to the same period in 2024 was primarily driven by an increase in royalty and lease bonus income and receiving cash payments on our derivatives in 2025 compared to making cash payments to counterparties in 2024. These increases in cash flow were partially offset by an increase in certain cash costs for production and ad valorem taxes, general and administrative expenses, other operating expenses which include severance costs related to the Sitio Acquisition and other changes in our working capital accounts including the timing of when accounts receivable are collected and accounts payable are remitted. See “—</w:t>
      </w:r>
      <w:hyperlink w:anchor="i636f90b9a2bf4a46ad5fe64678400ed7_64">
        <w:r>
          <w:rPr>
            <w:rStyle w:val="InternetLink"/>
            <w:rFonts w:ascii="Times New Roman;serif" w:hAnsi="Times New Roman;serif"/>
            <w:b w:val="false"/>
            <w:color w:val="0000FF"/>
            <w:sz w:val="20"/>
            <w:u w:val="single"/>
          </w:rPr>
          <w:t>Results of Operations</w:t>
        </w:r>
      </w:hyperlink>
      <w:r>
        <w:rPr>
          <w:color w:val="000000"/>
        </w:rPr>
        <w:t xml:space="preserve">” </w:t>
      </w:r>
      <w:r>
        <w:rPr>
          <w:rFonts w:ascii="Times New Roman;serif" w:hAnsi="Times New Roman;serif"/>
          <w:b w:val="false"/>
          <w:color w:val="000000"/>
          <w:sz w:val="20"/>
        </w:rPr>
        <w:t>above for further discussion of significant changes in our income and expenses.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Net cash used in investing activities during the year ended December 31, 2025, was primarily related to acquisitions of oil and natural gas interests, including the approximately $1.2 billion repayment made for Sitio’s outstanding debt as part of the consideration for the Sitio Acquisition, the 2025 Drop Down, and acquisitions of oil and natural gas interests from other third parties. See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additional information on these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Net cash used in investing activities during the year ended December 31, 2024, primarily related to acquisitions of oil and natural gas interests from third parties, which includes $654 million in cash paid for the Tumbleweed Acquisitions (as defined and discussed in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partially offset by proceeds of $88 million primarily from the divestiture of non-Permian oil and natural gas interests.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year ended December 31, 2025, was primarily attributable to (i) net proceeds from the issuance of the Guaranteed Senior Notes of $1.6 billion, (ii) proceeds of $1.2 billion from the 2025 Equity Offering, and (iii) net proceeds from the Term Loan of $500 million. These cash inflows were partially offset by (i) $745 million of dividends paid to holders of our OpCo Units and our Class A Common Stock, (ii) $430 million paid for the retirement of the outstanding principal on our 2027 Notes, (iii) $427 million paid for the retirement of the outstanding principal and the redemption premium on our 2031 Notes, (iv) $194 million of securities repurchases under the Company’s repurchase program, and (v) repayments net of borrowings of $156 million on the 2025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used in financing activities during the year ended December 31, 2024, was primarily attributable to $481 million of dividends paid to stockholders and the Operating Company’s unitholders, which was largely offset by proceeds of $476 million from the </w:t>
      </w:r>
      <w:r>
        <w:rPr>
          <w:rFonts w:ascii="Times New Roman;serif" w:hAnsi="Times New Roman;serif"/>
          <w:b w:val="false"/>
          <w:color w:val="000000"/>
          <w:sz w:val="20"/>
          <w:shd w:fill="FFFFFF" w:val="clear"/>
        </w:rPr>
        <w:t xml:space="preserve">2024 Equity Offering (as defined and discussed in </w:t>
      </w:r>
      <w:r>
        <w:rPr>
          <w:rFonts w:ascii="Times New Roman;serif" w:hAnsi="Times New Roman;serif"/>
          <w:b w:val="false"/>
          <w:color w:val="000000"/>
          <w:sz w:val="20"/>
        </w:rPr>
        <w:t>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2025 Revolving Credit Facility and Other 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our credit facility, which matures on June 12, 2030, had a commitment amount of $1.5 billion, with $105 million in outstanding borrowings and $1.4 billion of availability. In the first quarter of 2026, we fully repaid the $105 million of outstanding borrowings under our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at December 31, 2025, we had $500 million in outstanding borrowings under the Term Loan, which we subsequently repaid in full with proceeds from the Non-Permian Divestiture in February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636f90b9a2bf4a46ad5fe64678400ed7_13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for additional discussion of our outstanding debt at December 31,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Ratings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In May 2025, Fitch Investor Services upgraded our credit rating to investment grade, the second such investment grade credit rating for us. This upgrade granted us access to a broader investor base, lower interest rates and reduced collateral requirements; therefore, enhancing our liquidity. Currently, our credit ratings from the three main credit rating agencies are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Standard and Poor’s Global Ratings Services (BBB-);</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Fitch Investor Services (BBB-);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Moody’s Investor Services (Ba1).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rating downgrades may result in additional letters of credit or cash collateral being posted under certain contractual arrangements.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 December 31, 2025, we had total principal payments due on our outstanding Guaranteed Senior Notes of $500 million in 2030 and $1.1 billion in 2035. Additionally, we have a remaining aggregate interest expense obligation of $750 million on the Guaranteed Senior Notes with $87 million due in 2026, an aggregate of $174 million due for years 2027 to 2028, an aggregate of $174 million due for years 2029 to 2030, and $315 million due thereafter. The Guaranteed Senior Notes are not subject to any mandatory redemption or sinking fund requirements. See Note 6—</w:t>
      </w:r>
      <w:hyperlink w:anchor="i636f90b9a2bf4a46ad5fe64678400ed7_13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for further information on the Notes.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Repurchases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December 10, 2025, our board of directors expanded our repurchase program to include repurchases of our Class B Common Stock and OpCo Units in addition to our previously authorized Class A Common Stock. On February 18, 2026, our board of directors also approved an increase in our repurchase program authorization from $750 million to $1.75 billion, excluding the 1% U.S. federal excise tax on certain repurchases of stock by publicly traded U.S. corporations enacted as part of the IRA. Since the inception of our repurchase program through February 20, 2026, we have repurchased an aggregate of 18,878,469 shares of our Common Stock and OpCo Units for a total cost of $525 million, excluding any applicable excise tax, leaving approximately $1.2 billion for future</w:t>
      </w:r>
      <w:r>
        <w:rPr>
          <w:color w:val="000000"/>
          <w:shd w:fill="FFFFFF" w:val="clear"/>
        </w:rPr>
        <w:t xml:space="preserve"> </w:t>
      </w:r>
      <w:r>
        <w:rPr>
          <w:rFonts w:ascii="Times New Roman;serif" w:hAnsi="Times New Roman;serif"/>
          <w:b w:val="false"/>
          <w:color w:val="000000"/>
          <w:sz w:val="20"/>
          <w:shd w:fill="FFFFFF" w:val="clear"/>
        </w:rPr>
        <w:t>repurchases</w:t>
      </w:r>
      <w:r>
        <w:rPr>
          <w:color w:val="000000"/>
        </w:rPr>
        <w:t xml:space="preserve"> </w:t>
      </w:r>
      <w:r>
        <w:rPr>
          <w:rFonts w:ascii="Times New Roman;serif" w:hAnsi="Times New Roman;serif"/>
          <w:b w:val="false"/>
          <w:color w:val="000000"/>
          <w:sz w:val="20"/>
        </w:rPr>
        <w:t>under the repurchase program</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See 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Dividends and Return of Capital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paid a total of $745 million and $481 million in dividends, on our Class A Common Stock, OpCo Units and participating securities under the LTIP during 2025 and 2024,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our high operating and free cash flow margin, strong balance sheet, and the Non-Permian Divestiture closure, we returned 90% of cash available for distribution to stockholders with respect to the fourth quarter of 2025. As a result, in addition to repurchases under our repurchase program, we will pay a cash dividend for the fourth quarter of 2025 of $0.52 per share of Class A Common Stock and $0.65 per OpCo Unit, in each case payable on March 12, 2026, to eligible holders of record at the close of business on March 5, 2026. The dividend to stockholders consists of a base quarterly dividend of $0.38 per share of Class A Common Stock and a variable quarterly dividend of $0.14 per share of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moved closer to our net debt target of $1.5 billion following the closure of the Non-Permian Divestiture on February 9, 2026, and are positioned to increase our return of capital upwards of 100% of future cash available for distribution to stockholders, while also delivering sustainable per-share growth.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 repurchase program and dividends. We expect to continue paying quarterly cash dividends in respect of our common shares. Future base and variable dividends are not required and are at the discretion of the board of directors, who may change the dividend policies at any time.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Guarantor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2025, New Viper, Former Viper and the Operating Company filed a registration statement on Form S-3 with the SEC registering debt securities of the Operating Company. On July 23, 2025, the Operating Company issued the Guaranteed Senior Notes for an aggregate principal amount of $1.6 billion, which are fully and unconditionally guaranteed by each of Former Viper and New Viper. Following the OpCo Conversion, Viper LP became the issuer of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Guaranteed Senior Notes and the guarantees are the issuer’s and each guarantor’s respective senior unsecured obligations and rank equally in right of payment with all of the issuer’s and each guarantor’s respective existing and future senior indebtedness, including all of the issuer’s and each guarantor’s obligations under the 2025 Revolving Credit Facility and the New Loan, and senior in right of payment to any of the issuer’s and each guarantor’s future indebtedness that is expressly subordinated in right of payment to the Guaranteed Senior Notes and the guarantees,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and the guarantees are effectively subordinated to any of the issuer’s and each guarantor’s existing and future secured indebtedness, if any, to the extent of the value of the collateral securing such indebtedness, and are structurally subordinated to all of the existing and future indebtedness and other liabilities (including trade payables) of each of the issuer’s and each guarantor’s respective subsidiaries that is not an obligor on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bankruptcy, liquidation, reorganization or other winding up of the issuer or a guarantor or upon a default in payment with respect to, or the acceleration of, any senior secured indebtedness of the issuer or a guarantor, the assets of the issuer or such guarantor that secure such senior secured indebtedness will be available to pay obligations on the Guaranteed Senior Notes and the guarantees only after all obligations under such senior secured indebtedness have been repaid in full from such assets. There may not be sufficient assets remaining to pay amounts due on any or all of the Guaranteed Senior Notes then outstanding and the guarantees.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the guarantors under the guarantees are limited in a manner designed to prevent the guarantees from constituting a fraudulent conveyance or fraudulent transfer under applicable law, although no assurance can be given that a court would give the holder the benefit of such provision. If a guarantee were rendered voidable, it could be subordinated by a court to all other indebtedness (including contingent liabilities) of such guarantor, and, depending on the amount of such indebtedness, the guarantor’s liability on such guarantee could be reduced to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except that such guarantee will be released or terminated in certain circumstances set forth in the indentures governing the Guaranteed Senior Notes, and, subject to certain exceptions, the alternative disclosures specified in Rule 13-01 are provided, which include narrative disclosure and summarized financial information. Accordingly, separate consolidated financial statements of the issuer have not been presented. Furthermore, as permitted under Rule 13-01(a)(4)(vi) of Regulation S-X, we have excluded the summarized financial information for the issuer because the assets, liabilities and results of operations of the issuer are not materially different than the corresponding amounts in our consolidated financial statements and management believes such summarized financial information would be repetitive and would not provide incremental value to investors.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consolidated financial statements, which have been prepared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the following to be our most critical accounting estimates and have reviewed these critical accounting estimates with the Audit Committee of our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Income and Revenue Recognition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revenue in the month production is delivered to the purchaser. However, settlement statements for certain oil, natural gas and natural gas liquids sales from third-party operators other than Diamondback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our royalty interest.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 and such revisions may have a material impact on our results of operations and our royalty income receivables. Pricing estimates are based upon actual prices realized in an area by adjusting the market price for the average basis differential from market on a basin-by-basin basis. We record the differences between our estimates and the actual amounts received for royalties from third parties in the month that payment is received from the operator. We have existing internal controls for our royalty income estimation process and related accruals, but actual third-party royalty income in future periods could differ materially from estimated amounts. At December 31, 2025, our accrual for third-party royalty income was approximately $95 million. Actual revenues received during 2025 for prior years’ production from third parties were not materially different than the amount accrued at December 31,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Oil and Natural Gas Accounting and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mineral and royalty interests. As such, we consider the estimation of proved reserves to be a critical accounting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independent petroleum engineers, as of December 31, 2025, 2024 and 2023. The process of estimating oil and natural gas reserves is complex, requiring significant decisions in the evaluation of available geological, geophysical, engineering and economic data. Significant inputs included in the calculation of future net cash flows include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Aggregate non-cash ceiling test impairments of $768 million were recorded on our proved oil and natural gas properties during the year ended December 31, 2025. No impairments were recorded on our proved oil and natural gas properties during the years ended December 31, 2024 and 2023. Based on SEC Prices for oil and natural gas throughout 2025 and into 2026, we believe an additional impairment is reasonably likely to occur in the first quarter of 2026. Any future impairment could be material to our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monitoring information available from third-party operators of our acreage for future drilling plans, (ii) the success of operators drilling on our acreage, (iii) the assignment of proved reserves, and (iv) current market prices for mineral acreage within our primary basins. At December 31, 2025, our unevaluated properties totaled $4.9 billion. We did not record any impairment on our unevaluated properties during the year ended December 31, 2025, but any such future impairment could be material to our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 of Mineral and Royalty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Acquisitions of mineral and royalty interests from third parties are accounted for as asset acquisitions, whereby the purchase price and associated transaction costs are typically capitalized and allocated to the acquired mineral and royalty interests. The allocation is determined based on whether the interests acquired relate to proved or unproved oil and natural gas properties, utilizing the estimated fair value of proved reserves as of the date of acquisition. The valuation of proved reserves for acquisitions from unrelated parties is based on a projection of future cash flows using objective future pricing assumptions and a discount rate consistent with our estimated cost of capital at the time of the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income taxes we record requires interpretations of complex rules and regulations of federal and state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us. Negative evidence may include losses in recent years, if any, or the projection of losses in future periods. Estimating future taxable income requires numerous judgments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assumptions, including projections of future operating conditions which may be impacted by volatile future prices for our oil, natural gas and natural gas liquids, the expected timing and quantity of future production volumes, and the impact of our commodity derivative instruments on our income. These assumptions are discussed further in the critical accounting estimates titled “— Royalty Income and Revenue Recognition” and “— Oil and Natural Gas Accounting and Reserves.” Due to the impact these various assumptions and estimates can have on our estimates of taxable income, an estimate of the sensitivity to changes is not practicable.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management’s assessment of all available evidence, both positive and negative, supporting realizability of our deferred tax assets as required by applicable accounting standards, supported the conclusion that our deferred tax assets are more likely than not to be realized. A variety of positive evidence was assessed. In recent years, we have sustained cumulative pre-tax income due in part to higher commodity prices resulting from strong and stable market conditions, and the locations in which we operate have experienced a sustained and increasing pattern of development by a wide variety of operators, consistent with a presumption of more readily predictable development patterns for our properties. The significant acquisitions completed by us, including the Sitio Acquisition and the 2025 Drop Down, provide additional production capacity to generate future taxable income for utilization of our deferred tax assets. In addition, the recently closed Non-Permian Divestiture provides positive evidence supporting realizability of our capital loss carryforward against the estimated capital gain to be recognized in 2026. Based on these factors, we determined that no valuation allowance on our deferred tax assets is required as of December 31, 2025. As of December 31, 2025, we had net deferred tax assets of $33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636f90b9a2bf4a46ad5fe64678400ed7_118">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in Item 8. Financial Statements and Supplementary Data of this report for discussion of recent accounting pronouncements and a full listing of our significant accounting policies.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no off-balance sheet arrangements.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w:t>
      </w:r>
      <w:hyperlink w:anchor="i636f90b9a2bf4a46ad5fe64678400ed7_25">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report. We cannot predict events that may lead to future price volatility and the near term energy outlook remains subject to heightened levels of uncertainty.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historically have used fixed price swap contracts, fixed price basis swap contracts, deferred premium put contracts and costless collars with corresponding put and call options to reduce price volatility associated with certain of our royalty income as discussed in Note 10—</w:t>
      </w:r>
      <w:hyperlink w:anchor="i636f90b9a2bf4a46ad5fe64678400ed7_14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a net asset derivative position related to our commodity price derivative contracts of $21 million. Utilizing actual derivative contractual volumes under our contracts as of December 31, 2025, a 10% increase in forward curves associated with the underlying commodity would have increased the net asset position by $5 million to approximately $26 million, and a 10% decrease in forward curves associated with the underlying commodity would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increased the net asset position by $2 million to approximately $23 million. </w:t>
      </w:r>
      <w:r>
        <w:rPr>
          <w:rFonts w:ascii="Times New Roman;serif" w:hAnsi="Times New Roman;serif"/>
          <w:b w:val="false"/>
          <w:color w:val="000000"/>
          <w:sz w:val="20"/>
          <w:shd w:fill="FFFFFF" w:val="clear"/>
        </w:rPr>
        <w:t>However, any cash derivative gain or loss may be substantially offset by a decrease or increase, respectively, in the actual sales value of prod</w:t>
      </w:r>
      <w:r>
        <w:rPr>
          <w:rFonts w:ascii="Times New Roman;serif" w:hAnsi="Times New Roman;serif"/>
          <w:b w:val="false"/>
          <w:color w:val="000000"/>
          <w:sz w:val="20"/>
        </w:rPr>
        <w:t>uction covered by the derivative instrument.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subject to risk resulting from the concentration of royalty income in producing oil and natural gas properties and receivables with a limited number of several significant operators who sell our production to numerous purchasers. For the years ended December 31, 2025 and 2024, two operators each accounted for more than 10% of our income, respectively. For the year ended December 31, 2023, one operator accounted for more than 10% of our income. See Note 2—</w:t>
      </w:r>
      <w:hyperlink w:anchor="i636f90b9a2bf4a46ad5fe64678400ed7_118">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in Item 8. Financial Statements and Supplementary Data of this report for further details. Each of our operators sell to multiple purchasers.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the credit risk from our operators and purchasers.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market risk exposure related to changes in interest rates on our indebtedness under the 2025 Revolving Credit Facility and the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terms of the 2025 Revolving Credit Facility provide for interest on borrowings at a floating rate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based on the pricing level. The pricing level depends on the rating of our long-term senior unsecured debt by certain rating agencies. As of December 31, 2025, we had $105 million in outstanding borrowings under the 2025 Revolving Credit Facility with a weighted average interest rate of 6.02% during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Term Loan bear interest at a per annum rate elected by us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 As of December 31, 2025, we had $500 million in outstanding borrowings under the Term Loan with a weighted average interest rate on borrowings of 5.72%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34"/>
        <w:gridCol w:w="2911"/>
        <w:gridCol w:w="2801"/>
        <w:gridCol w:w="296"/>
        <w:gridCol w:w="296"/>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Documents included in this report: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1. Financial Statements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94">
              <w:r>
                <w:rPr>
                  <w:rStyle w:val="InternetLink"/>
                  <w:rFonts w:ascii="Times New Roman;serif" w:hAnsi="Times New Roman;serif"/>
                  <w:b w:val="false"/>
                  <w:color w:val="0000FF"/>
                  <w:sz w:val="20"/>
                  <w:u w:val="single"/>
                </w:rPr>
                <w:t xml:space="preserve">Report of Independent Registered Public Accounting Firm (PCAOB ID Number </w:t>
              </w:r>
            </w:hyperlink>
            <w:r>
              <w:rPr>
                <w:rFonts w:ascii="Times New Roman;serif" w:hAnsi="Times New Roman;serif"/>
                <w:b w:val="false"/>
                <w:color w:val="3051F2"/>
                <w:sz w:val="20"/>
                <w:u w:val="single"/>
              </w:rPr>
              <w:t>248</w:t>
            </w:r>
            <w:hyperlink w:anchor="i636f90b9a2bf4a46ad5fe64678400ed7_94">
              <w:r>
                <w:rPr>
                  <w:rStyle w:val="InternetLink"/>
                  <w:rFonts w:ascii="Times New Roman;serif" w:hAnsi="Times New Roman;serif"/>
                  <w:b w:val="false"/>
                  <w:color w:val="0000FF"/>
                  <w:sz w:val="20"/>
                  <w:u w:val="single"/>
                </w:rPr>
                <w:t>)</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94">
              <w:r>
                <w:rPr>
                  <w:rStyle w:val="InternetLink"/>
                  <w:rFonts w:ascii="Times New Roman;serif" w:hAnsi="Times New Roman;serif"/>
                  <w:b w:val="false"/>
                  <w:color w:val="0000FF"/>
                  <w:sz w:val="20"/>
                  <w:u w:val="single"/>
                </w:rPr>
                <w:t>45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03">
              <w:r>
                <w:rPr>
                  <w:rStyle w:val="InternetLink"/>
                  <w:rFonts w:ascii="Times New Roman;serif" w:hAnsi="Times New Roman;serif"/>
                  <w:b w:val="false"/>
                  <w:color w:val="0000FF"/>
                  <w:sz w:val="20"/>
                  <w:u w:val="single"/>
                </w:rPr>
                <w:t>Consolidated Statements of Operations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03">
              <w:r>
                <w:rPr>
                  <w:rStyle w:val="InternetLink"/>
                  <w:rFonts w:ascii="Times New Roman;serif" w:hAnsi="Times New Roman;serif"/>
                  <w:b w:val="false"/>
                  <w:color w:val="0000FF"/>
                  <w:sz w:val="20"/>
                  <w:u w:val="single"/>
                </w:rPr>
                <w:t>48</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00">
              <w:r>
                <w:rPr>
                  <w:rStyle w:val="InternetLink"/>
                  <w:rFonts w:ascii="Times New Roman;serif" w:hAnsi="Times New Roman;serif"/>
                  <w:b w:val="false"/>
                  <w:color w:val="0000FF"/>
                  <w:sz w:val="20"/>
                  <w:u w:val="single"/>
                </w:rPr>
                <w:t>Consolidated Balance Sheets</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00">
              <w:r>
                <w:rPr>
                  <w:rStyle w:val="InternetLink"/>
                  <w:rFonts w:ascii="Times New Roman;serif" w:hAnsi="Times New Roman;serif"/>
                  <w:b w:val="false"/>
                  <w:color w:val="0000FF"/>
                  <w:sz w:val="20"/>
                  <w:u w:val="single"/>
                </w:rPr>
                <w:t>49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09">
              <w:r>
                <w:rPr>
                  <w:rStyle w:val="InternetLink"/>
                  <w:rFonts w:ascii="Times New Roman;serif" w:hAnsi="Times New Roman;serif"/>
                  <w:b w:val="false"/>
                  <w:color w:val="0000FF"/>
                  <w:sz w:val="20"/>
                  <w:u w:val="single"/>
                </w:rPr>
                <w:t>Consolidated Statements of Cash Flows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09">
              <w:r>
                <w:rPr>
                  <w:rStyle w:val="InternetLink"/>
                  <w:rFonts w:ascii="Times New Roman;serif" w:hAnsi="Times New Roman;serif"/>
                  <w:b w:val="false"/>
                  <w:color w:val="0000FF"/>
                  <w:sz w:val="20"/>
                  <w:u w:val="single"/>
                </w:rPr>
                <w:t>50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06">
              <w:r>
                <w:rPr>
                  <w:rStyle w:val="InternetLink"/>
                  <w:rFonts w:ascii="Times New Roman;serif" w:hAnsi="Times New Roman;serif"/>
                  <w:b w:val="false"/>
                  <w:color w:val="0000FF"/>
                  <w:sz w:val="20"/>
                  <w:u w:val="single"/>
                </w:rPr>
                <w:t>Consolidated Statement of Stockholders’ Equity</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06">
              <w:r>
                <w:rPr>
                  <w:rStyle w:val="InternetLink"/>
                  <w:rFonts w:ascii="Times New Roman;serif" w:hAnsi="Times New Roman;serif"/>
                  <w:b w:val="false"/>
                  <w:color w:val="0000FF"/>
                  <w:sz w:val="20"/>
                  <w:u w:val="single"/>
                </w:rPr>
                <w:t>51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12">
              <w:r>
                <w:rPr>
                  <w:rStyle w:val="InternetLink"/>
                  <w:rFonts w:ascii="Times New Roman;serif" w:hAnsi="Times New Roman;serif"/>
                  <w:b w:val="false"/>
                  <w:color w:val="0000FF"/>
                  <w:sz w:val="20"/>
                  <w:u w:val="single"/>
                </w:rPr>
                <w:t>Notes to Consolidated Financial Statements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12">
              <w:r>
                <w:rPr>
                  <w:rStyle w:val="InternetLink"/>
                  <w:rFonts w:ascii="Times New Roman;serif" w:hAnsi="Times New Roman;serif"/>
                  <w:b w:val="false"/>
                  <w:color w:val="0000FF"/>
                  <w:sz w:val="20"/>
                  <w:u w:val="single"/>
                </w:rPr>
                <w:t>53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15">
              <w:r>
                <w:rPr>
                  <w:rStyle w:val="InternetLink"/>
                  <w:rFonts w:ascii="Times New Roman;serif" w:hAnsi="Times New Roman;serif"/>
                  <w:b w:val="false"/>
                  <w:color w:val="0000FF"/>
                  <w:sz w:val="20"/>
                  <w:u w:val="single"/>
                </w:rPr>
                <w:t>1. Organization and Basis of Presentation</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15">
              <w:r>
                <w:rPr>
                  <w:rStyle w:val="InternetLink"/>
                  <w:rFonts w:ascii="Times New Roman;serif" w:hAnsi="Times New Roman;serif"/>
                  <w:b w:val="false"/>
                  <w:color w:val="0000FF"/>
                  <w:sz w:val="20"/>
                  <w:u w:val="single"/>
                </w:rPr>
                <w:t>53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18">
              <w:r>
                <w:rPr>
                  <w:rStyle w:val="InternetLink"/>
                  <w:rFonts w:ascii="Times New Roman;serif" w:hAnsi="Times New Roman;serif"/>
                  <w:b w:val="false"/>
                  <w:color w:val="0000FF"/>
                  <w:sz w:val="20"/>
                  <w:u w:val="single"/>
                </w:rPr>
                <w:t>2. Summary of Significant Accounting Policies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18">
              <w:r>
                <w:rPr>
                  <w:rStyle w:val="InternetLink"/>
                  <w:rFonts w:ascii="Times New Roman;serif" w:hAnsi="Times New Roman;serif"/>
                  <w:b w:val="false"/>
                  <w:color w:val="0000FF"/>
                  <w:sz w:val="20"/>
                  <w:u w:val="single"/>
                </w:rPr>
                <w:t>55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21">
              <w:r>
                <w:rPr>
                  <w:rStyle w:val="InternetLink"/>
                  <w:rFonts w:ascii="Times New Roman;serif" w:hAnsi="Times New Roman;serif"/>
                  <w:b w:val="false"/>
                  <w:color w:val="0000FF"/>
                  <w:sz w:val="20"/>
                  <w:u w:val="single"/>
                </w:rPr>
                <w:t>3. Revenue from Contracts with Customers</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21">
              <w:r>
                <w:rPr>
                  <w:rStyle w:val="InternetLink"/>
                  <w:rFonts w:ascii="Times New Roman;serif" w:hAnsi="Times New Roman;serif"/>
                  <w:b w:val="false"/>
                  <w:color w:val="0000FF"/>
                  <w:sz w:val="20"/>
                  <w:u w:val="single"/>
                </w:rPr>
                <w:t>60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24">
              <w:r>
                <w:rPr>
                  <w:rStyle w:val="InternetLink"/>
                  <w:rFonts w:ascii="Times New Roman;serif" w:hAnsi="Times New Roman;serif"/>
                  <w:b w:val="false"/>
                  <w:color w:val="0000FF"/>
                  <w:sz w:val="20"/>
                  <w:u w:val="single"/>
                </w:rPr>
                <w:t>4. Acquisitions and Divestitures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24">
              <w:r>
                <w:rPr>
                  <w:rStyle w:val="InternetLink"/>
                  <w:rFonts w:ascii="Times New Roman;serif" w:hAnsi="Times New Roman;serif"/>
                  <w:b w:val="false"/>
                  <w:color w:val="0000FF"/>
                  <w:sz w:val="20"/>
                  <w:u w:val="single"/>
                </w:rPr>
                <w:t>61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27">
              <w:r>
                <w:rPr>
                  <w:rStyle w:val="InternetLink"/>
                  <w:rFonts w:ascii="Times New Roman;serif" w:hAnsi="Times New Roman;serif"/>
                  <w:b w:val="false"/>
                  <w:color w:val="0000FF"/>
                  <w:sz w:val="20"/>
                  <w:u w:val="single"/>
                </w:rPr>
                <w:t>5. Oil and Natural Gas Interests</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27">
              <w:r>
                <w:rPr>
                  <w:rStyle w:val="InternetLink"/>
                  <w:rFonts w:ascii="Times New Roman;serif" w:hAnsi="Times New Roman;serif"/>
                  <w:b w:val="false"/>
                  <w:color w:val="0000FF"/>
                  <w:sz w:val="20"/>
                  <w:u w:val="single"/>
                </w:rPr>
                <w:t>65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30">
              <w:r>
                <w:rPr>
                  <w:rStyle w:val="InternetLink"/>
                  <w:rFonts w:ascii="Times New Roman;serif" w:hAnsi="Times New Roman;serif"/>
                  <w:b w:val="false"/>
                  <w:color w:val="0000FF"/>
                  <w:sz w:val="20"/>
                  <w:u w:val="single"/>
                </w:rPr>
                <w:t>6. Debt</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30">
              <w:r>
                <w:rPr>
                  <w:rStyle w:val="InternetLink"/>
                  <w:rFonts w:ascii="Times New Roman;serif" w:hAnsi="Times New Roman;serif"/>
                  <w:b w:val="false"/>
                  <w:color w:val="0000FF"/>
                  <w:sz w:val="20"/>
                  <w:u w:val="single"/>
                </w:rPr>
                <w:t>66</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33">
              <w:r>
                <w:rPr>
                  <w:rStyle w:val="InternetLink"/>
                  <w:rFonts w:ascii="Times New Roman;serif" w:hAnsi="Times New Roman;serif"/>
                  <w:b w:val="false"/>
                  <w:color w:val="0000FF"/>
                  <w:sz w:val="20"/>
                  <w:u w:val="single"/>
                </w:rPr>
                <w:t>7. Stockholders’ Equity</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33">
              <w:r>
                <w:rPr>
                  <w:rStyle w:val="InternetLink"/>
                  <w:rFonts w:ascii="Times New Roman;serif" w:hAnsi="Times New Roman;serif"/>
                  <w:b w:val="false"/>
                  <w:color w:val="0000FF"/>
                  <w:sz w:val="20"/>
                  <w:u w:val="single"/>
                </w:rPr>
                <w:t>68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36">
              <w:r>
                <w:rPr>
                  <w:rStyle w:val="InternetLink"/>
                  <w:rFonts w:ascii="Times New Roman;serif" w:hAnsi="Times New Roman;serif"/>
                  <w:b w:val="false"/>
                  <w:color w:val="0000FF"/>
                  <w:sz w:val="20"/>
                  <w:u w:val="single"/>
                </w:rPr>
                <w:t>8. Earnings Per Common Share</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36">
              <w:r>
                <w:rPr>
                  <w:rStyle w:val="InternetLink"/>
                  <w:rFonts w:ascii="Times New Roman;serif" w:hAnsi="Times New Roman;serif"/>
                  <w:b w:val="false"/>
                  <w:color w:val="0000FF"/>
                  <w:sz w:val="20"/>
                  <w:u w:val="single"/>
                </w:rPr>
                <w:t>71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39">
              <w:r>
                <w:rPr>
                  <w:rStyle w:val="InternetLink"/>
                  <w:rFonts w:ascii="Times New Roman;serif" w:hAnsi="Times New Roman;serif"/>
                  <w:b w:val="false"/>
                  <w:color w:val="0000FF"/>
                  <w:sz w:val="20"/>
                  <w:u w:val="single"/>
                </w:rPr>
                <w:t>9. Income Taxes</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39">
              <w:r>
                <w:rPr>
                  <w:rStyle w:val="InternetLink"/>
                  <w:rFonts w:ascii="Times New Roman;serif" w:hAnsi="Times New Roman;serif"/>
                  <w:b w:val="false"/>
                  <w:color w:val="0000FF"/>
                  <w:sz w:val="20"/>
                  <w:u w:val="single"/>
                </w:rPr>
                <w:t>72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42">
              <w:r>
                <w:rPr>
                  <w:rStyle w:val="InternetLink"/>
                  <w:rFonts w:ascii="Times New Roman;serif" w:hAnsi="Times New Roman;serif"/>
                  <w:b w:val="false"/>
                  <w:color w:val="0000FF"/>
                  <w:sz w:val="20"/>
                  <w:u w:val="single"/>
                </w:rPr>
                <w:t>10. Derivatives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42">
              <w:r>
                <w:rPr>
                  <w:rStyle w:val="InternetLink"/>
                  <w:rFonts w:ascii="Times New Roman;serif" w:hAnsi="Times New Roman;serif"/>
                  <w:b w:val="false"/>
                  <w:color w:val="0000FF"/>
                  <w:sz w:val="20"/>
                  <w:u w:val="single"/>
                </w:rPr>
                <w:t>74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45">
              <w:r>
                <w:rPr>
                  <w:rStyle w:val="InternetLink"/>
                  <w:rFonts w:ascii="Times New Roman;serif" w:hAnsi="Times New Roman;serif"/>
                  <w:b w:val="false"/>
                  <w:color w:val="0000FF"/>
                  <w:sz w:val="20"/>
                  <w:u w:val="single"/>
                </w:rPr>
                <w:t>11. Fair Value Measurements</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45">
              <w:r>
                <w:rPr>
                  <w:rStyle w:val="InternetLink"/>
                  <w:rFonts w:ascii="Times New Roman;serif" w:hAnsi="Times New Roman;serif"/>
                  <w:b w:val="false"/>
                  <w:color w:val="0000FF"/>
                  <w:sz w:val="20"/>
                  <w:u w:val="single"/>
                </w:rPr>
                <w:t>75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48">
              <w:r>
                <w:rPr>
                  <w:rStyle w:val="InternetLink"/>
                  <w:rFonts w:ascii="Times New Roman;serif" w:hAnsi="Times New Roman;serif"/>
                  <w:b w:val="false"/>
                  <w:color w:val="0000FF"/>
                  <w:sz w:val="20"/>
                  <w:u w:val="single"/>
                </w:rPr>
                <w:t>12. Commitments and Contingencies</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48">
              <w:r>
                <w:rPr>
                  <w:rStyle w:val="InternetLink"/>
                  <w:rFonts w:ascii="Times New Roman;serif" w:hAnsi="Times New Roman;serif"/>
                  <w:b w:val="false"/>
                  <w:color w:val="0000FF"/>
                  <w:sz w:val="20"/>
                  <w:u w:val="single"/>
                </w:rPr>
                <w:t>77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51">
              <w:r>
                <w:rPr>
                  <w:rStyle w:val="InternetLink"/>
                  <w:rFonts w:ascii="Times New Roman;serif" w:hAnsi="Times New Roman;serif"/>
                  <w:b w:val="false"/>
                  <w:color w:val="0000FF"/>
                  <w:sz w:val="20"/>
                  <w:u w:val="single"/>
                </w:rPr>
                <w:t>13. Subsequent Events</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51">
              <w:r>
                <w:rPr>
                  <w:rStyle w:val="InternetLink"/>
                  <w:rFonts w:ascii="Times New Roman;serif" w:hAnsi="Times New Roman;serif"/>
                  <w:b w:val="false"/>
                  <w:color w:val="0000FF"/>
                  <w:sz w:val="20"/>
                  <w:u w:val="single"/>
                </w:rPr>
                <w:t>77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54">
              <w:r>
                <w:rPr>
                  <w:rStyle w:val="InternetLink"/>
                  <w:rFonts w:ascii="Times New Roman;serif" w:hAnsi="Times New Roman;serif"/>
                  <w:b w:val="false"/>
                  <w:color w:val="0000FF"/>
                  <w:sz w:val="20"/>
                  <w:u w:val="single"/>
                </w:rPr>
                <w:t>14. Segment Information</w:t>
              </w:r>
            </w:hyperlink>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54">
              <w:r>
                <w:rPr>
                  <w:rStyle w:val="InternetLink"/>
                  <w:rFonts w:ascii="Times New Roman;serif" w:hAnsi="Times New Roman;serif"/>
                  <w:b w:val="false"/>
                  <w:color w:val="0000FF"/>
                  <w:sz w:val="20"/>
                  <w:u w:val="single"/>
                </w:rPr>
                <w:t>78</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36f90b9a2bf4a46ad5fe64678400ed7_160">
              <w:r>
                <w:rPr>
                  <w:rStyle w:val="InternetLink"/>
                  <w:rFonts w:ascii="Times New Roman;serif" w:hAnsi="Times New Roman;serif"/>
                  <w:b w:val="false"/>
                  <w:color w:val="0000FF"/>
                  <w:sz w:val="20"/>
                  <w:u w:val="single"/>
                </w:rPr>
                <w:t>15. Supplemental Information on Oil and Natural Gas Operations (Unaudited)</w:t>
              </w:r>
            </w:hyperlink>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36f90b9a2bf4a46ad5fe64678400ed7_160">
              <w:r>
                <w:rPr>
                  <w:rStyle w:val="InternetLink"/>
                  <w:rFonts w:ascii="Times New Roman;serif" w:hAnsi="Times New Roman;serif"/>
                  <w:b w:val="false"/>
                  <w:color w:val="0000FF"/>
                  <w:sz w:val="20"/>
                  <w:u w:val="single"/>
                </w:rPr>
                <w:t>78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2. Financial Statement Schedules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Viper Energy,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Viper Energy, Inc. (a Delaware corporation) and subsidiaries (the “Company”) as of December 31, 2025 and 2024, the related consolidated statements of operations, cash flows, and stockholders’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25, 2026 expressed an unqualified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Estimation of proved reserves as it relates to the calculation and recognition of depletion and impairment expense and the valuation of acquired reserves in connection with the mineral and royalty interests acquired in the Sitio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further in Note 2 to the consolidated financial statements, the Company accounts for its oil and natural gas properties using the full cost method of accounting, which requires management to make estimates of proved reserve volumes and future revenues to calculate depletion and impairment expense. Additionally, as described further in Note 4 to the consolidated financial statements, the Company acquired significant mineral and royalty interests through the Sitio Acquisition which requires management to make estimates of reserve volumes and future revenues to value the properties. To estimate the volume of proved reserves and future revenues, management makes significant estimates and assumptions, including forecasting the timing and volumetric amounts of production and corresponding decline rate of producing properties associated with the operator’s development plan. In addition, the estimation of reserves is impacted by management’s judgments and estimates regarding the financial performance of wells to determine if wells are expected, with reasonable certainty, to be economical under the appropriate pricing assumptions. For acquired reserves, management utilizes an estimated fair value pricing model in determining the corresponding value of reserves. We identified the estimation of reserves attributable to oil and natural gas interests, including acquired reserves in the Sitio Acquisition, due to its impact on depletion and impairment expense and acquisition accounting, as a critical audit matter.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the estimation of proved reserves is a critical audit matter are that changes in certain inputs and assumptions, which include a high degree of subjectivity, necessary to estimate the volume and future revenues of the Company’s proved reserves, could have a significant impact on the measurement of depletion and impairment expense and the fair value of acquired proved oil and natural gas interests. In turn, auditing those inputs and assumptions required subjective and complex auditor judgment.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estimation of reserves included the following, among others.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tested the design and operating effectiveness of key controls relating to management’s estimation of proved reserves for the purpose of calculating depletion and impairment expense and management’s estimation of the fair value of the acquired oil and natural gas interests in the Sitio Acquisition.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evaluated the level of knowledge, skill, and ability of the Company’s reservoir engineering specialists and independent petroleum engineering specialists, made inquiries of those reservoir engineers regarding the process followed and judgments made to estimate the Company’s reserve volumes, and read the year-end reserve report audited by the independent petroleum engineering specialists.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Identified inputs and assumptions that were significant to the period end determination of proved reserve volumes and tested management’s process of determining the significant inputs and assumptions,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Compared the pricing used in the reserve report to relevant pricing benchmarks and realized prices related to revenue transactions recorded in the current year;</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Vouched, on a sample basis, the net revenue interests used in the reserve report to underlying land and division order records;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obtained the Company's assessment of operators’ development plans for proved undeveloped properties reflected in the reserve report and evaluated it against the Company’s historical conversion rates to evaluate the likelihood of development related to the proved undeveloped properties; and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Applied analytical procedures on inputs to the reserve report by comparing to historical actual results and to the prior year reserve report.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Identified inputs and assumptions that were significant to the estimated fair value of the acquired oil and natural gas interests in the Sitio Acquisition and tested management’s process of determining the significant inputs and assumptions,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Evaluated the appropriateness of fair value pricing, including pricing differentials, used in the fair value reserve report by comparing the pricing forecast to observable pricing information as of the acquisition closing date and pricing differentials to actual historical realized pricing of the acquired properties;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Evaluated the level of knowledge, skill and ability of the specialist utilized by the Company to assist in the preparation of the estimates of fair value of oil and natural gas properties acquired;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Utilized a valuation specialist to evaluate the reasonableness of the Company’s valuation methodology of the Sitio Acquisition, including testing key inputs and assumptions by understanding and assessing the process used to develop the estimate or through development of an independent expectation;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Evaluated the appropriateness of the discount rate used in the fair value reserve report of proved reserves by comparing to the Company’s actual weighted average cost of capital;</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Compared, on a sample basis, the net revenue interest used in the fair value reserve report to the historical reserve report;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Assessed forecasted production estimates in the fair value reserve report for reasonableness by comparing forecasted production amounts to the actual historical production amounts and to the forecasted production in the year-end reserve report for a sample of individual wells;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Applied analytical procedures on the fair value reserve report’s forecasted production by comparing to the prior year reserve report’s forecasted production and to the year-end reserve report’s forecasted production of the acquired proved properties; and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Compared the unproved acreage value allocated to other recent acquisitions in the same or similar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Oklahoma City, Oklahoma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20" w:after="283"/>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91" w:type="dxa"/>
        <w:jc w:val="left"/>
        <w:tblInd w:w="0" w:type="dxa"/>
        <w:tblLayout w:type="fixed"/>
        <w:tblCellMar>
          <w:top w:w="28" w:type="dxa"/>
          <w:left w:w="28" w:type="dxa"/>
          <w:bottom w:w="28" w:type="dxa"/>
          <w:right w:w="28" w:type="dxa"/>
        </w:tblCellMar>
      </w:tblPr>
      <w:tblGrid>
        <w:gridCol w:w="1705"/>
        <w:gridCol w:w="1500"/>
        <w:gridCol w:w="1505"/>
        <w:gridCol w:w="306"/>
        <w:gridCol w:w="894"/>
        <w:gridCol w:w="158"/>
        <w:gridCol w:w="158"/>
        <w:gridCol w:w="158"/>
        <w:gridCol w:w="158"/>
        <w:gridCol w:w="306"/>
        <w:gridCol w:w="741"/>
        <w:gridCol w:w="158"/>
        <w:gridCol w:w="158"/>
        <w:gridCol w:w="158"/>
        <w:gridCol w:w="158"/>
        <w:gridCol w:w="306"/>
        <w:gridCol w:w="741"/>
        <w:gridCol w:w="223"/>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shares:</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142,530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93,932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74,176</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142,530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93,932</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74,176</w:t>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53"/>
        <w:gridCol w:w="2270"/>
        <w:gridCol w:w="2210"/>
        <w:gridCol w:w="257"/>
        <w:gridCol w:w="881"/>
        <w:gridCol w:w="132"/>
        <w:gridCol w:w="132"/>
        <w:gridCol w:w="132"/>
        <w:gridCol w:w="132"/>
        <w:gridCol w:w="257"/>
        <w:gridCol w:w="753"/>
        <w:gridCol w:w="196"/>
      </w:tblGrid>
      <w:tr>
        <w:trPr/>
        <w:tc>
          <w:tcPr>
            <w:tcW w:w="285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par values and share data)</w:t>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 (net of allowance for credit losses)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receivable—related party</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 and impairment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 of allowances)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$0.000001 par value: 1,000,000,000 shares authorized; 170,942,687 and 102,977,142 shares issued and outstanding as of December 31, 2025, and December 31, 2024, respectively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$0.000001 par value: 1,000,000,000 shares authorized; 187,023,698 and 85,431,453 shares issued and outstanding as of December 31, 2025, and December 31, 2024, respectively</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Viper Energy, Inc. stockholders’ equity</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0" w:after="0"/>
        <w:ind w:left="0" w:right="0" w:firstLine="720"/>
        <w:jc w:val="center"/>
        <w:rPr/>
      </w:pPr>
      <w:r>
        <w:rPr/>
      </w:r>
    </w:p>
    <w:p>
      <w:pPr>
        <w:pStyle w:val="TextBody"/>
        <w:bidi w:val="0"/>
        <w:spacing w:before="0" w:after="0"/>
        <w:ind w:left="0" w:right="0" w:firstLine="720"/>
        <w:jc w:val="both"/>
        <w:rPr/>
      </w:pPr>
      <w:r>
        <w:rPr/>
      </w:r>
    </w:p>
    <w:tbl>
      <w:tblPr>
        <w:tblW w:w="9477" w:type="dxa"/>
        <w:jc w:val="left"/>
        <w:tblInd w:w="0" w:type="dxa"/>
        <w:tblLayout w:type="fixed"/>
        <w:tblCellMar>
          <w:top w:w="28" w:type="dxa"/>
          <w:left w:w="28" w:type="dxa"/>
          <w:bottom w:w="28" w:type="dxa"/>
          <w:right w:w="28" w:type="dxa"/>
        </w:tblCellMar>
      </w:tblPr>
      <w:tblGrid>
        <w:gridCol w:w="2260"/>
        <w:gridCol w:w="1982"/>
        <w:gridCol w:w="1998"/>
        <w:gridCol w:w="196"/>
        <w:gridCol w:w="631"/>
        <w:gridCol w:w="109"/>
        <w:gridCol w:w="109"/>
        <w:gridCol w:w="109"/>
        <w:gridCol w:w="109"/>
        <w:gridCol w:w="196"/>
        <w:gridCol w:w="496"/>
        <w:gridCol w:w="109"/>
        <w:gridCol w:w="109"/>
        <w:gridCol w:w="109"/>
        <w:gridCol w:w="109"/>
        <w:gridCol w:w="196"/>
        <w:gridCol w:w="496"/>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Depletion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receipts (payments) on 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receivable—related party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interests—related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oil and natural gas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public offering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public offering to Diamondback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as part of the repurchase program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 of OpCo Units as part of the repurchase program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stockholders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to Diamondback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other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transactions: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issued for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OpCo Units issued for acquisitions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OpCo Units issued to related party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tbl>
      <w:tblPr>
        <w:tblW w:w="13606" w:type="dxa"/>
        <w:jc w:val="left"/>
        <w:tblInd w:w="0" w:type="dxa"/>
        <w:tblLayout w:type="fixed"/>
        <w:tblCellMar>
          <w:top w:w="28" w:type="dxa"/>
          <w:left w:w="28" w:type="dxa"/>
          <w:bottom w:w="28" w:type="dxa"/>
          <w:right w:w="28" w:type="dxa"/>
        </w:tblCellMar>
      </w:tblPr>
      <w:tblGrid>
        <w:gridCol w:w="655"/>
        <w:gridCol w:w="220"/>
        <w:gridCol w:w="221"/>
        <w:gridCol w:w="331"/>
        <w:gridCol w:w="330"/>
        <w:gridCol w:w="211"/>
        <w:gridCol w:w="109"/>
        <w:gridCol w:w="109"/>
        <w:gridCol w:w="109"/>
        <w:gridCol w:w="196"/>
        <w:gridCol w:w="421"/>
        <w:gridCol w:w="109"/>
        <w:gridCol w:w="109"/>
        <w:gridCol w:w="109"/>
        <w:gridCol w:w="109"/>
        <w:gridCol w:w="330"/>
        <w:gridCol w:w="331"/>
        <w:gridCol w:w="146"/>
        <w:gridCol w:w="109"/>
        <w:gridCol w:w="109"/>
        <w:gridCol w:w="109"/>
        <w:gridCol w:w="196"/>
        <w:gridCol w:w="406"/>
        <w:gridCol w:w="109"/>
        <w:gridCol w:w="109"/>
        <w:gridCol w:w="109"/>
        <w:gridCol w:w="109"/>
        <w:gridCol w:w="196"/>
        <w:gridCol w:w="406"/>
        <w:gridCol w:w="109"/>
        <w:gridCol w:w="109"/>
        <w:gridCol w:w="109"/>
        <w:gridCol w:w="109"/>
        <w:gridCol w:w="323"/>
        <w:gridCol w:w="323"/>
        <w:gridCol w:w="171"/>
        <w:gridCol w:w="109"/>
        <w:gridCol w:w="109"/>
        <w:gridCol w:w="109"/>
        <w:gridCol w:w="323"/>
        <w:gridCol w:w="323"/>
        <w:gridCol w:w="171"/>
        <w:gridCol w:w="109"/>
        <w:gridCol w:w="109"/>
        <w:gridCol w:w="109"/>
        <w:gridCol w:w="196"/>
        <w:gridCol w:w="556"/>
        <w:gridCol w:w="109"/>
        <w:gridCol w:w="109"/>
        <w:gridCol w:w="109"/>
        <w:gridCol w:w="109"/>
        <w:gridCol w:w="252"/>
        <w:gridCol w:w="523"/>
        <w:gridCol w:w="141"/>
        <w:gridCol w:w="109"/>
        <w:gridCol w:w="109"/>
        <w:gridCol w:w="109"/>
        <w:gridCol w:w="249"/>
        <w:gridCol w:w="707"/>
        <w:gridCol w:w="140"/>
        <w:gridCol w:w="109"/>
        <w:gridCol w:w="109"/>
        <w:gridCol w:w="109"/>
        <w:gridCol w:w="196"/>
        <w:gridCol w:w="556"/>
        <w:gridCol w:w="154"/>
      </w:tblGrid>
      <w:tr>
        <w:trPr/>
        <w:tc>
          <w:tcPr>
            <w:tcW w:w="6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General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Common Stock</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Common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0" w:type="dxa"/>
            <w:gridSpan w:val="6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December 31, 2022</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Conversion of Viper Energy Partners LP Partnership Units to Viper Energy Inc. Shares of Common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Liquidation of General Partner</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shares/units issued for acquisition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shares/units issued to related party</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shares/units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to shareholders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to Diamondback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ownership of consolidated subsidiaries,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as part of share/unit buyback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December 31,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86,144 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90,710 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(1)The par values of the outstanding shares of Class A Common Stock and Class B Common Stock each round to zero at December 31, 2023.</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 (Continued)</w:t>
      </w:r>
    </w:p>
    <w:tbl>
      <w:tblPr>
        <w:tblW w:w="10205" w:type="dxa"/>
        <w:jc w:val="left"/>
        <w:tblInd w:w="0" w:type="dxa"/>
        <w:tblLayout w:type="fixed"/>
        <w:tblCellMar>
          <w:top w:w="28" w:type="dxa"/>
          <w:left w:w="28" w:type="dxa"/>
          <w:bottom w:w="28" w:type="dxa"/>
          <w:right w:w="28" w:type="dxa"/>
        </w:tblCellMar>
      </w:tblPr>
      <w:tblGrid>
        <w:gridCol w:w="941"/>
        <w:gridCol w:w="387"/>
        <w:gridCol w:w="388"/>
        <w:gridCol w:w="412"/>
        <w:gridCol w:w="414"/>
        <w:gridCol w:w="212"/>
        <w:gridCol w:w="111"/>
        <w:gridCol w:w="111"/>
        <w:gridCol w:w="111"/>
        <w:gridCol w:w="412"/>
        <w:gridCol w:w="414"/>
        <w:gridCol w:w="211"/>
        <w:gridCol w:w="109"/>
        <w:gridCol w:w="109"/>
        <w:gridCol w:w="109"/>
        <w:gridCol w:w="223"/>
        <w:gridCol w:w="652"/>
        <w:gridCol w:w="115"/>
        <w:gridCol w:w="109"/>
        <w:gridCol w:w="109"/>
        <w:gridCol w:w="109"/>
        <w:gridCol w:w="337"/>
        <w:gridCol w:w="769"/>
        <w:gridCol w:w="175"/>
        <w:gridCol w:w="109"/>
        <w:gridCol w:w="109"/>
        <w:gridCol w:w="109"/>
        <w:gridCol w:w="317"/>
        <w:gridCol w:w="927"/>
        <w:gridCol w:w="165"/>
        <w:gridCol w:w="109"/>
        <w:gridCol w:w="109"/>
        <w:gridCol w:w="109"/>
        <w:gridCol w:w="211"/>
        <w:gridCol w:w="721"/>
        <w:gridCol w:w="161"/>
      </w:tblGrid>
      <w:tr>
        <w:trPr/>
        <w:tc>
          <w:tcPr>
            <w:tcW w:w="94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Units issued for acquisition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to related party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102,977 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to related party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Units issued for acquisition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Units issued to related party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issuance of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shares of Class A Common Stock under repurchase program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OpCo Units and cancellation of Class B Common Stock under repurchase program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Common Stock to Class A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 equivalent rights payments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8"/>
              </w:rPr>
            </w:pPr>
            <w:r>
              <w:rPr>
                <w:rFonts w:ascii="Times New Roman;serif" w:hAnsi="Times New Roman;serif"/>
                <w:b/>
                <w:color w:val="000000"/>
                <w:sz w:val="18"/>
              </w:rPr>
              <w:t>Balance at December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170,943 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par values of the outstanding shares of Class A Common Stock and Class B Common Stock each round to zero during the periods presented.</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Energy, Inc. is a publicly traded Delaware corporation. Viper (as defined below) and its consolidated subsidiaries are focused on owning and acquiring mineral interests and royalty interests in oil and natural gas properties primarily in the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the Sitio Acquisition (as defined and discussed in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VNOM Sub, Inc. (formerly known as Viper Energy Inc., “Former Viper”) became a wholly owned subsidiary of Viper Energy, Inc. (formerly known as New Cobra Pubco, Inc., “New Viper”), as a result of a merger contemplated by the documents governing the Sitio Acquisition (such merger, the “Viper PubCo Merger”).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completion of the Viper PubCo Merger, each share of Former Viper’s Class A common stock, par value $0.000001 per share, issued and outstanding immediately prior to the effective time of the Viper PubCo Merger (other than certain excluded shares) was canceled and automatically converted into one share of New Viper Class A common stock, par value $0.000001 per share (“New Viper Class A Common Stock”), and each share of Former Viper’s Class B common stock, par value $0.000001 per share, issued and outstanding immediately prior to the effective time of the Viper PubCo Merger was automatically canceled and converted into one share of New Viper’s Class B common stock, par value $0.000001 per share (“New Viper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Viper, through its subsidiaries, owned approximately 46.5% of the outstanding OpCo Units and was the managing member of New OpCo.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Prior to March 8, 2024, the Company was a “controlled company” under the rules of the Nasdaq Stock Market LLC (the “Nasdaq Rules”). </w:t>
      </w:r>
      <w:r>
        <w:rPr>
          <w:rFonts w:ascii="Times New Roman;serif" w:hAnsi="Times New Roman;serif"/>
          <w:b w:val="false"/>
          <w:color w:val="000000"/>
          <w:sz w:val="20"/>
          <w:shd w:fill="FFFFFF" w:val="clear"/>
        </w:rPr>
        <w:t xml:space="preserve">On March 8, 2024, the Company’s parent, Diamondback (as defined below), </w:t>
      </w:r>
      <w:r>
        <w:rPr>
          <w:rFonts w:ascii="Times New Roman;serif" w:hAnsi="Times New Roman;serif"/>
          <w:b w:val="false"/>
          <w:color w:val="000000"/>
          <w:sz w:val="20"/>
        </w:rPr>
        <w:t>completed an underwritten pu</w:t>
      </w:r>
      <w:r>
        <w:rPr>
          <w:rFonts w:ascii="Times New Roman;serif" w:hAnsi="Times New Roman;serif"/>
          <w:b w:val="false"/>
          <w:color w:val="000000"/>
          <w:sz w:val="20"/>
          <w:shd w:fill="FFFFFF" w:val="clear"/>
        </w:rPr>
        <w:t xml:space="preserve">blic offering in which it sold </w:t>
      </w:r>
      <w:r>
        <w:rPr>
          <w:rFonts w:ascii="Times New Roman;serif" w:hAnsi="Times New Roman;serif"/>
          <w:b w:val="false"/>
          <w:color w:val="000000"/>
          <w:sz w:val="20"/>
        </w:rPr>
        <w:t>13,225,000 shares of the Company’s Class A Common Stock (the “Diamondback Offering”). Following the Diamondback Offering, Diamondback’s beneficial ownership was reduced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the Company, including the services of the executive officers and other employees (the “Services and Secondment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Subsequent transactions completed in 2025 have resulted in Diamondback temporarily owning more than or less than 50% of the Company’s Common Stock causing changes in the Company’s status as a “controlled company” under the applicable Nasdaq Rules. While the controlled company exemptions were at times again available to the Company, the Company’s board of directors did not avail itself of these exemptions. As of December 31, 2025, Diamondback beneficially owned approximately 42.1% of the outstanding voting power of the Company’s Common Stock, on a fully diluted basis after giving effect to the outstanding TWR Class B Option (as defined and discussed in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Conversion into Corporation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November 13, 2023, (the “Effective Time”), Viper Energy Partners LP converted from a publicly traded Delaware limited partnership to a Delaware corporation pursuant to a plan of conversion and changed its name from Viper Energy Partners LP to Viper Energy, Inc. Additionally, the certificate of incorporation and the bylaws of Viper Energy, Inc. became effective on the same date. This report includes the results for the Partnership prior to the Conversion and the Company following the Conversion. There are no tax impacts resulting from the Conversion as the Partnership was treated as a corporation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Effective Time, (i) each common unit representing limited partnership interest in the Partnership issued and outstanding immediately prior to the Effective Time was converted, on a unit-for-unit basis, into one issued and outstanding, fully paid and nonassessable share of Class A Common Stock, (ii) each Class B unit representing limited partnership interest in the Partnership issued and outstanding immediately prior to the Effective Time was converted, on a unit-for-unit basis, into one issued and outstanding, fully paid and nonassessable share of Class B Common Stock, and (iii) the general partner interest issued and outstanding immediately prior to the Effective Time (100% owned by the General Partner) was cancelled.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Effective Time, the Company’s certificate of incorporation and bylaws generally provided its stockholders with substantially the same or greater rights and substantially the same or lesser obligations, as those that limited partners had in the Partnership Agreement. Previously, limited partners were not generally entitled to vote with respect to governance of the Partnership, except for those few matters set forth in the Partnership Agreement. Following the Conversion, except as otherwise expressly provided in the Company’s certificate of incorporation, the holders of Common Stock are entitled to vote on all matters on which stockholders of a corporation are generally entitled to vote on under the General Corporation Law of the State of Delaware, including the election of the board of directors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continues to provide personnel and general and administrative services to the Company, including the services of the executive officers and other employees, pursuant to the Services and Secondment Agreement. In addition, for so long as Diamondback and any of its subsidiaries collectively beneficially own at least 25% of the outstanding Common Stock of the Company, (i) Diamondback will have the right to designate up to three persons to serve as directors of the Company, and (ii) the board of directors of the Company may not appoint any person other than a Diamondback seconded employee as an executive officer of the Company unless such appointment is approved, in advance, by either (x) Diamondback (which approval may not be unreasonably withheld or conditioned), or (y) the affirmative vote of the holders of at least 80% of the voting power of the capital stock of the Company. Currently, there are two Diamondback designees to the board of directors of the Company—Travis Stice and Kaes Van’t Hof.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the accompanying consolidated financial statements and related notes thereto to “Viper” refer to (A) New Viper following the Viper PubCo Merger, (B) Former Viper prior to the Viper PubCo Merger, but after the Conversion, and (C) Viper Energy Partners LP prior to the Conversion. References to the “Company,” “our company,” “we,” “our,” “us” or like terms refer collectively to Viper and its consolidated subsidiaries. References to “shares” or per share amounts prior to the Conversion refer to common units and Class B units or per unit amounts of Viper Energy Partners LP. References to shares or per share amounts following the Conversion refer to (A) Class A common stock, par value $0.000001 per share and Class B common stock, par value $0.000001 per share of New Viper following the Viper PubCo Merger and (B) Class A common stock, par value $0.000001 per share and Class B common stock, par value $0.000001 per share of Former Viper prior to the Viper PubCo Merger.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to the “Operating Company” or “OpCo” refer to (A) New OpCo following the Reorganization and (B) Old OpCo prior to the Reorganization. References to “OpCo Units” are to the units representing limited liability company interests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to “Diamondback” refer collectively to Diamondback Energy, Inc. and its subsidiaries other than the Company. References to the “General Partner” refer to Viper Energy Partners GP LLC, our general partner prior to the Conversion. All references to dividends prior to the Conversion refer to distributions.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and related notes thereto were prepared in conformity with GAAP. All material intercompany balances and transactions are eliminated in consolidation. The Company reports its operations in one reportable segment.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Making accurate estimates and assumptions is particularly difficult in the oil and natural gas industry given the challenges resulting from volatility in oil and natural gas prices. For instance, geopolitical global conflicts, higher interest rates, effects of tariffs, actions taken by OPEC and its non-OPEC allies, known collectively as OPEC+, global supply chain disruptions, measures to combat persistent inflation and instability in the financial sector have contributed to recent economic and pricing volatility. The financial results of companies in the oil and natural gas industry have been and may continue to be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including those acquired by the Company, and related present value estimates of future net cash flows therefrom, the carrying value of oil and natural gas interests, estimates of third-party operated royalty income related to expected sales volumes and prices, the recoverability of costs of unevaluated properties and estimates of income taxes, including deferred tax valuation allowances. Other areas requiring estimation include commodity derivatives and various fair values of non-oil and gas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represents the right to receive revenues from oil, natural gas and natural gas liquids sales obtained by the operator of the wells in which the Company owns a royalty interest. Royalty income is recognized at the point control of the product is transferred to the purchaser. Virtually all of the pricing provisions in the Company’s contracts are tied to a market index.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earns lease bonus income by leasing its mineral interests to exploration, development and production companies. The Company recognizes lease bonus income when a lease agreement has been executed and payment is determined to be collectible.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Income from Oil, Natural Gas and Natural Gas Liquids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oil, natural gas and natural gas liquids sales contracts are generally structured whereby the operator of the properties in which the Company owns a royalty interest sells the Company’s proportionate share of oil, natural gas and natural gas liquids production to the purchaser and the Company collects its percentage royalty based on the revenue generated. In this scenario, the Company recognizes revenue when control transfers to the purchaser at the wellhead or at the gas processing facility based on the Company’s percentage ownership share of the revenue, net of any deductions for gathering and transportation.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Transaction Price Allocated to Remaining Performance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right to royalty income does not originate until production occurs and, therefore, is not considered to exist beyond each day’s production. Therefore, there are no remaining performance obligations under any of the Company’s royalty income contracts.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Company’s royalty income contracts, it generally has the right to receive its interest in the gross proceeds collected by the operator from third-party purchasers of the Company’s production once production has occurred, at which point payment is unconditional. Accordingly, the Company’s royalty income contracts do not give rise to contract assets or liabilities under Accounting Standards Codification 606.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Prior-Period Performance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revenue in the month production is delivered to the purchaser. However, settlement statements for certain oil, natural gas and natural gas liquids sales may not be received for 30 to 90 days after the date production is delivered. As a result, the Company is required to estimate the amount of royalty income to be received based upon the Company’s royalty interest. The Company records the differences between its estimates and the actual amounts received for royalties in the month that payment is received from the operator. Any identified differences between its revenue estimates and actual revenue received historically have not been significant.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the full cost method of accounting for its oil and natural gas properties. Under this method, all acquisition costs from third parties are capitalized and amortized on a composite unit of production method based on proved oil, natural gas and natural gas liquids reserves.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gas liquids. Acquisitions of mineral and royalty interests from related parties are typically recorded at the parent’s historical carrying value and related transaction costs are expensed as incurred in accordance with guidance in ASC 805 for transactions between entities under common control. At December 31, 2025, and 2024, the Company’s oil and natural gas properties consisted primarily of mineral interests in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Depletion of evaluated oil and natural gas properties is computed on the units of production method, whereby capitalized costs are amortized over total proved reserves. The average depletion rate per barrel equivalent unit of production was $17.48, $11.77 and $10.20 for the years ended December 31, 2025, 2024 and 2023, respectively. Depletion for oil and natural gas properties was $607 million, $214 million and $146 million for the years ended December 31, 2025,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interests net of deferred income taxes, or the cost center ceiling. The cost center ceiling is defined as the sum of (i) estimated future net revenues, discounted at 10% per annum, from proved reserves, based on the trailing 12-month unweighted average of the first-day-of-the-month price, adjusted for any contract provisions, (ii) the cost of properties not being amortized, if any, and (iii)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See Note 5—</w:t>
      </w:r>
      <w:hyperlink w:anchor="i636f90b9a2bf4a46ad5fe64678400ed7_127">
        <w:r>
          <w:rPr>
            <w:rStyle w:val="InternetLink"/>
            <w:rFonts w:ascii="Times New Roman;serif" w:hAnsi="Times New Roman;serif"/>
            <w:b w:val="false"/>
            <w:color w:val="0000FF"/>
            <w:sz w:val="20"/>
            <w:u w:val="single"/>
          </w:rPr>
          <w:t>Oil and Natural Gas Interests</w:t>
        </w:r>
      </w:hyperlink>
      <w:r>
        <w:rPr>
          <w:color w:val="000000"/>
        </w:rPr>
        <w:t xml:space="preserve"> </w:t>
      </w:r>
      <w:r>
        <w:rPr>
          <w:rFonts w:ascii="Times New Roman;serif" w:hAnsi="Times New Roman;serif"/>
          <w:b w:val="false"/>
          <w:color w:val="000000"/>
          <w:sz w:val="20"/>
        </w:rPr>
        <w:t>for additional discussion of the Company’s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Costs associated with unevaluated properties are excluded from the full cost pool until the Company has made a determination as to the existence of proved reserves. The Company assesses all items classified as unevaluated property at least annually for possible impairment. The Company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assignment of proved reserves; and the economic viability of development if proved reserves are assigned. During any period in which these factors indicate an impairment, all or a portion of the associated leasehold costs are transferred to the full cost pool and are then subject to amortization.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Royalty Income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receivables consist of receivables for sales of oil, natural gas and natural gas liquids made by the Company’s third-party operators and Diamondback to third-party purchasers. The operators remit payment for production directly to the Company.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receivables are stated at amounts due from purchasers, net of an allowance for expected losses as estimated by the Company when collection is deemed doubtful. Royalty income receivables outstanding longer than the contractual payment terms are considered past due. The Company determines its allowance utilizing the loss-rate method, which considers a number of factors, including the Company’s previous loss history, the debtor’s current ability to pay its obligation to the Company, and the condition of the general economy and the industry as a whole. The Company writes off specific royalty income receivables when they become uncollectible, and payments subsequently received on such receivables are credited to the allowance for expected losses. At December 31, 2025 and 2024, the Company’s allowance for expected losses was immaterial.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 resulting from the concentration of its royalty income in producing oil and natural gas properties and receivables with several significant operators. For the year ended December 31, 2025, two operators each accounted for more than 10% of royalty income: Diamondback (55%) and ExxonMobil Corporation (14%). For the year ended December 31, 2024, two operators each accounted for more than 10% of royalty income: Diamondback (54%) and Pioneer Natural Resources (11%). For the year ended December 31, 2023, one operator accounted for more than 10% of royalty income: Diamondback (61%). Each of the Company’s operators sell to multiple purchasers. The Company does not require collateral and does not believe the loss of any single purchaser would materially impact the Company’s operating results, as crude oil and natural gas are fungible products with well-established markets and numerous purchasers.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Income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Diamondback, either directly or through its consolidated subsidiaries, owed the Company $88 million and $31 million, respectively, for royalty income received from third parties for the Company’s production, which had not yet been remitted to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Bonus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Diamondback and its subsidiaries paid the Operating Company $24 million of lease bonus income for 18 new leases covering 2,356 acres in Dawson, Glasscock, Howard, Martin, Midland and Reagan Counties, Texas. Lease bonus income from Diamondback for the year ended December 31, 2024 was immaterial. During the year ended December 31, 2023, Diamondback and its subsidiaries paid the Operating Company $108 million of lease bonus income, which included (i) one new lease of $96 million covering certain acreage in our Spanish Trail prospect in Midland County, Texas, from a lease agreement with a subsidiary of Diamondback on terms substantially identical to the Operating Company’s other lease arrangements with Diamondback and was considered and approved by the conflicts committee of the board of directors, (ii) nine other new leases covering 703 acres in Martin, Midland, Pecos, and Wheeler Counties, Texas, and (iii) two lease extensions covering 25 acres in Martin County, Texas.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significant related party acquisitions of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for further details regarding equity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related party transactions with Diamondback or its affiliates have been stated on the face of the consolidated financial statements or were insignificant for the years ended December 31, 2025, 2024 and 2023,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recognize its derivative instruments on the consolidated balance sheets as assets or liabilities at fair value with such amounts classified as current or long-term based on their anticipated settlement dates. The accounting for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recognizes interest and penalties related to income tax matters as interest expense and general and administrative expenses, respectively. During the years ended December 31, 2025, 2024 and 2023, there were no interest or penalties associated with uncertain tax positions recognized in the Company’s consolidated financial statements. See Note 9—</w:t>
      </w:r>
      <w:hyperlink w:anchor="i636f90b9a2bf4a46ad5fe64678400ed7_139">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Non-controlling interest in the accompanying consolidated financial statements represents the ownership interests of Diamondback, former equity holders of Sitio Royalties Operating Partnership, LP (“Sitio OpCo”), Tumbleweed Royalty IV, LLC (“TWR IV”) and the Morita Ranches Equity Recipients (</w:t>
      </w:r>
      <w:r>
        <w:rPr>
          <w:rFonts w:ascii="Times New Roman;serif" w:hAnsi="Times New Roman;serif"/>
          <w:b w:val="false"/>
          <w:color w:val="000000"/>
          <w:sz w:val="20"/>
          <w:shd w:fill="FFFFFF" w:val="clear"/>
        </w:rPr>
        <w:t xml:space="preserve">as defined and discussed in </w:t>
      </w:r>
      <w:r>
        <w:rPr>
          <w:rFonts w:ascii="Times New Roman;serif" w:hAnsi="Times New Roman;serif"/>
          <w:b w:val="false"/>
          <w:color w:val="000000"/>
          <w:sz w:val="20"/>
        </w:rPr>
        <w:t>Note 4—</w:t>
      </w:r>
      <w:hyperlink w:anchor="i636f90b9a2bf4a46ad5fe64678400ed7_124">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in the net assets of the Operating Company. When the non-controlling interests’ relative ownership in the Operating Company changes, adjustments to non-controlling interest and stockholders’ equity, tax effected, will occur. Because these changes in the Company’s ownership interest in the Operating Company did not result in a change of control, the transactions were accounted for as equity transactions under ASC Topic 810, “Consolidation.” This guidance requires that any differences between the carrying value of the Company’s basis in the Operating Company and the fair value of the consideration received are recognized directly in equity and attributed to the controlling interest. See Note 7—</w:t>
      </w:r>
      <w:hyperlink w:anchor="i636f90b9a2bf4a46ad5fe64678400ed7_133">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for further discussion of changes in ownership interest.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represent unrestricted cash on hand and include all highly liquid investments purchased with a maturity of three months or less and money market funds. The- Company maintains cash and cash equivalents in bank deposit accounts which, at times, may exceed the federally insured limits. The Company has not experienced any significant losses from such investments.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as of the dates indicated:</w:t>
      </w:r>
    </w:p>
    <w:p>
      <w:pPr>
        <w:pStyle w:val="TextBody"/>
        <w:bidi w:val="0"/>
        <w:spacing w:before="0" w:after="0"/>
        <w:ind w:left="0" w:right="0" w:firstLine="720"/>
        <w:jc w:val="both"/>
        <w:rPr/>
      </w:pPr>
      <w:r>
        <w:rPr/>
      </w:r>
    </w:p>
    <w:tbl>
      <w:tblPr>
        <w:tblW w:w="5663" w:type="dxa"/>
        <w:jc w:val="left"/>
        <w:tblInd w:w="0" w:type="dxa"/>
        <w:tblLayout w:type="fixed"/>
        <w:tblCellMar>
          <w:top w:w="28" w:type="dxa"/>
          <w:left w:w="28" w:type="dxa"/>
          <w:bottom w:w="28" w:type="dxa"/>
          <w:right w:w="28" w:type="dxa"/>
        </w:tblCellMar>
      </w:tblPr>
      <w:tblGrid>
        <w:gridCol w:w="1423"/>
        <w:gridCol w:w="1250"/>
        <w:gridCol w:w="1256"/>
        <w:gridCol w:w="211"/>
        <w:gridCol w:w="361"/>
        <w:gridCol w:w="109"/>
        <w:gridCol w:w="109"/>
        <w:gridCol w:w="109"/>
        <w:gridCol w:w="109"/>
        <w:gridCol w:w="211"/>
        <w:gridCol w:w="36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w:t>
      </w:r>
      <w:hyperlink w:anchor="i636f90b9a2bf4a46ad5fe64678400ed7_118">
        <w:r>
          <w:rPr>
            <w:rStyle w:val="InternetLink"/>
            <w:rFonts w:ascii="Times New Roman;serif" w:hAnsi="Times New Roman;serif"/>
            <w:b w:val="false"/>
            <w:color w:val="0000FF"/>
            <w:sz w:val="20"/>
            <w:u w:val="single"/>
          </w:rPr>
          <w:t>Derivative Instruments</w:t>
        </w:r>
      </w:hyperlink>
      <w:r>
        <w:rPr>
          <w:color w:val="000000"/>
        </w:rPr>
        <w:t xml:space="preserve">” </w:t>
      </w:r>
      <w:r>
        <w:rPr>
          <w:rFonts w:ascii="Times New Roman;serif" w:hAnsi="Times New Roman;serif"/>
          <w:b w:val="false"/>
          <w:color w:val="000000"/>
          <w:sz w:val="20"/>
        </w:rPr>
        <w:t>above for the Company’s accounting policy for derivative instruments.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Accrued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accrued liabilities are financial instruments for which the carrying value approximates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as of the dates indicated:</w:t>
      </w:r>
    </w:p>
    <w:p>
      <w:pPr>
        <w:pStyle w:val="TextBody"/>
        <w:bidi w:val="0"/>
        <w:spacing w:before="0" w:after="0"/>
        <w:ind w:left="0" w:right="0" w:firstLine="720"/>
        <w:jc w:val="both"/>
        <w:rPr/>
      </w:pPr>
      <w:r>
        <w:rPr/>
      </w:r>
    </w:p>
    <w:tbl>
      <w:tblPr>
        <w:tblW w:w="4524" w:type="dxa"/>
        <w:jc w:val="left"/>
        <w:tblInd w:w="0" w:type="dxa"/>
        <w:tblLayout w:type="fixed"/>
        <w:tblCellMar>
          <w:top w:w="28" w:type="dxa"/>
          <w:left w:w="28" w:type="dxa"/>
          <w:bottom w:w="28" w:type="dxa"/>
          <w:right w:w="28" w:type="dxa"/>
        </w:tblCellMar>
      </w:tblPr>
      <w:tblGrid>
        <w:gridCol w:w="971"/>
        <w:gridCol w:w="855"/>
        <w:gridCol w:w="859"/>
        <w:gridCol w:w="211"/>
        <w:gridCol w:w="466"/>
        <w:gridCol w:w="109"/>
        <w:gridCol w:w="109"/>
        <w:gridCol w:w="109"/>
        <w:gridCol w:w="109"/>
        <w:gridCol w:w="211"/>
        <w:gridCol w:w="36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adjustment accrual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Other assets include capitalized costs related to our current credit facility, the previous credit facility and the Term Loan (as defined and discussed in Note 6—</w:t>
      </w:r>
      <w:hyperlink w:anchor="i636f90b9a2bf4a46ad5fe64678400ed7_13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of $21 million and $18 million, and accumulated amortization of those costs over the term of the respective credit facilities of $13 million and $11 million as of December 31, 2025 and 2024,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Long-term debt includes capitalized costs related to t</w:t>
      </w:r>
      <w:r>
        <w:rPr>
          <w:rFonts w:ascii="Times New Roman;serif" w:hAnsi="Times New Roman;serif"/>
          <w:b w:val="false"/>
          <w:color w:val="000000"/>
          <w:sz w:val="20"/>
          <w:shd w:fill="FFFFFF" w:val="clear"/>
        </w:rPr>
        <w:t xml:space="preserve">he Guaranteed Senior </w:t>
      </w:r>
      <w:r>
        <w:rPr>
          <w:rFonts w:ascii="Times New Roman;serif" w:hAnsi="Times New Roman;serif"/>
          <w:b w:val="false"/>
          <w:color w:val="000000"/>
          <w:sz w:val="20"/>
        </w:rPr>
        <w:t xml:space="preserve">Notes. The costs associated with the </w:t>
      </w:r>
      <w:r>
        <w:rPr>
          <w:rFonts w:ascii="Times New Roman;serif" w:hAnsi="Times New Roman;serif"/>
          <w:b w:val="false"/>
          <w:color w:val="000000"/>
          <w:sz w:val="20"/>
          <w:shd w:fill="FFFFFF" w:val="clear"/>
        </w:rPr>
        <w:t xml:space="preserve">Guaranteed Senior </w:t>
      </w:r>
      <w:r>
        <w:rPr>
          <w:rFonts w:ascii="Times New Roman;serif" w:hAnsi="Times New Roman;serif"/>
          <w:b w:val="false"/>
          <w:color w:val="000000"/>
          <w:sz w:val="20"/>
        </w:rPr>
        <w:t xml:space="preserve">Notes are netted against the </w:t>
      </w:r>
      <w:r>
        <w:rPr>
          <w:rFonts w:ascii="Times New Roman;serif" w:hAnsi="Times New Roman;serif"/>
          <w:b w:val="false"/>
          <w:color w:val="000000"/>
          <w:sz w:val="20"/>
          <w:shd w:fill="FFFFFF" w:val="clear"/>
        </w:rPr>
        <w:t xml:space="preserve">Guaranteed Senior </w:t>
      </w:r>
      <w:r>
        <w:rPr>
          <w:rFonts w:ascii="Times New Roman;serif" w:hAnsi="Times New Roman;serif"/>
          <w:b w:val="false"/>
          <w:color w:val="000000"/>
          <w:sz w:val="20"/>
        </w:rPr>
        <w:t xml:space="preserve">Notes’ balances and amortized over the term of the </w:t>
      </w:r>
      <w:r>
        <w:rPr>
          <w:rFonts w:ascii="Times New Roman;serif" w:hAnsi="Times New Roman;serif"/>
          <w:b w:val="false"/>
          <w:color w:val="000000"/>
          <w:sz w:val="20"/>
          <w:shd w:fill="FFFFFF" w:val="clear"/>
        </w:rPr>
        <w:t xml:space="preserve">Guaranteed Senior </w:t>
      </w:r>
      <w:r>
        <w:rPr>
          <w:rFonts w:ascii="Times New Roman;serif" w:hAnsi="Times New Roman;serif"/>
          <w:b w:val="false"/>
          <w:color w:val="000000"/>
          <w:sz w:val="20"/>
        </w:rPr>
        <w:t>Notes using the effective interest method. See Note 6—</w:t>
      </w:r>
      <w:hyperlink w:anchor="i636f90b9a2bf4a46ad5fe64678400ed7_13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Company adopted the amendments in 2025 and applied the guidance on a retrospective basis. Adoption of the update resulted in additional disclosures in Note 9—</w:t>
      </w:r>
      <w:hyperlink w:anchor="i636f90b9a2bf4a46ad5fe64678400ed7_139">
        <w:r>
          <w:rPr>
            <w:rStyle w:val="InternetLink"/>
            <w:rFonts w:ascii="Times New Roman;serif" w:hAnsi="Times New Roman;serif"/>
            <w:b w:val="false"/>
            <w:color w:val="000080"/>
            <w:sz w:val="20"/>
            <w:u w:val="single"/>
          </w:rPr>
          <w:t>Income Taxe</w:t>
        </w:r>
      </w:hyperlink>
      <w:hyperlink w:anchor="i636f90b9a2bf4a46ad5fe64678400ed7_139">
        <w:r>
          <w:rPr>
            <w:rStyle w:val="InternetLink"/>
            <w:rFonts w:ascii="Times New Roman;serif" w:hAnsi="Times New Roman;serif"/>
            <w:b w:val="false"/>
            <w:color w:val="000080"/>
            <w:sz w:val="20"/>
            <w:u w:val="single"/>
          </w:rPr>
          <w:t>s</w:t>
        </w:r>
      </w:hyperlink>
      <w:r>
        <w:rPr>
          <w:color w:val="000000"/>
        </w:rPr>
        <w:t xml:space="preserve"> </w:t>
      </w:r>
      <w:r>
        <w:rPr>
          <w:rFonts w:ascii="Times New Roman;serif" w:hAnsi="Times New Roman;serif"/>
          <w:b w:val="false"/>
          <w:color w:val="000000"/>
          <w:sz w:val="20"/>
        </w:rPr>
        <w:t>but did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2025-07, “Derivatives and Hedging (Topic 815) and Revenue from Contracts with Customers (Topic 606) – Derivatives Scope Refinements and Scope Clarification for Share-Based Noncash Consideration from a Customer in a Revenue Contract.” The ASU addresses (i) the application of derivative accounting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contracts that include features based on the operations or activities of one of the parties to the contract and (ii) diversity in practice related to accounting for share-based noncash consideration from a customer. The Company elected to early-adopt this amendment in 2025 and applied the guidance on a prospective basis. Adoption of the update did not impact the Company’s historical financial position, results of operations or liquidity; however, the guidance may affect whether certain new arrangements qualify for derivative accounting.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discussed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3.    </w:t>
      </w:r>
      <w:r>
        <w:rPr>
          <w:rFonts w:ascii="Times New Roman;serif" w:hAnsi="Times New Roman;serif"/>
          <w:b/>
          <w:color w:val="000000"/>
          <w:sz w:val="20"/>
          <w:shd w:fill="FFFFFF" w:val="clear"/>
        </w:rPr>
        <w:t>REVENUE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any revenues recognized in the current reporting period for performance obligations satisfied in prior reporting periods were not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revenue from oil, natural gas and natural gas liquids by revenue generated from production on properties operated by Diamondback and revenue generated from production on properties operated by third parties: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29"/>
        <w:gridCol w:w="551"/>
        <w:gridCol w:w="556"/>
        <w:gridCol w:w="938"/>
        <w:gridCol w:w="2074"/>
        <w:gridCol w:w="486"/>
        <w:gridCol w:w="109"/>
        <w:gridCol w:w="109"/>
        <w:gridCol w:w="109"/>
        <w:gridCol w:w="894"/>
        <w:gridCol w:w="1975"/>
        <w:gridCol w:w="463"/>
        <w:gridCol w:w="109"/>
        <w:gridCol w:w="109"/>
        <w:gridCol w:w="109"/>
        <w:gridCol w:w="211"/>
        <w:gridCol w:w="616"/>
        <w:gridCol w:w="158"/>
      </w:tblGrid>
      <w:tr>
        <w:trPr/>
        <w:tc>
          <w:tcPr>
            <w:tcW w:w="6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9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royalty income</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39"/>
        <w:gridCol w:w="560"/>
        <w:gridCol w:w="565"/>
        <w:gridCol w:w="954"/>
        <w:gridCol w:w="2110"/>
        <w:gridCol w:w="494"/>
        <w:gridCol w:w="109"/>
        <w:gridCol w:w="109"/>
        <w:gridCol w:w="109"/>
        <w:gridCol w:w="910"/>
        <w:gridCol w:w="2012"/>
        <w:gridCol w:w="471"/>
        <w:gridCol w:w="109"/>
        <w:gridCol w:w="109"/>
        <w:gridCol w:w="109"/>
        <w:gridCol w:w="211"/>
        <w:gridCol w:w="466"/>
        <w:gridCol w:w="159"/>
      </w:tblGrid>
      <w:tr>
        <w:trPr/>
        <w:tc>
          <w:tcPr>
            <w:tcW w:w="6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3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3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royalty income</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tbl>
      <w:tblPr>
        <w:tblW w:w="10205" w:type="dxa"/>
        <w:jc w:val="left"/>
        <w:tblInd w:w="0" w:type="dxa"/>
        <w:tblLayout w:type="fixed"/>
        <w:tblCellMar>
          <w:top w:w="28" w:type="dxa"/>
          <w:left w:w="28" w:type="dxa"/>
          <w:bottom w:w="28" w:type="dxa"/>
          <w:right w:w="28" w:type="dxa"/>
        </w:tblCellMar>
      </w:tblPr>
      <w:tblGrid>
        <w:gridCol w:w="639"/>
        <w:gridCol w:w="560"/>
        <w:gridCol w:w="565"/>
        <w:gridCol w:w="954"/>
        <w:gridCol w:w="2110"/>
        <w:gridCol w:w="494"/>
        <w:gridCol w:w="109"/>
        <w:gridCol w:w="109"/>
        <w:gridCol w:w="109"/>
        <w:gridCol w:w="910"/>
        <w:gridCol w:w="2012"/>
        <w:gridCol w:w="471"/>
        <w:gridCol w:w="109"/>
        <w:gridCol w:w="109"/>
        <w:gridCol w:w="109"/>
        <w:gridCol w:w="211"/>
        <w:gridCol w:w="466"/>
        <w:gridCol w:w="159"/>
      </w:tblGrid>
      <w:tr>
        <w:trPr/>
        <w:tc>
          <w:tcPr>
            <w:tcW w:w="6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3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3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royalty income</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the Company completed a series of transactions in which New Viper acquired Sitio Royalties Corp. (“Sitio”),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including customary transaction costs and post-closing adjustments and the partial retirement of Sitio’s net debt of approximately $1.2 billion. The Company funded the retirement of Sitio’s net debt through a combination of cash on hand, proceeds from the issuance of the Guaranteed Senior Notes and borrowings under the Term Loan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6—</w:t>
      </w:r>
      <w:hyperlink w:anchor="i636f90b9a2bf4a46ad5fe64678400ed7_13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Equity consideration for the Sitio Acquisition consisted of the right for Sitio and Sitio OpCo’s former equity holders to receive (i) 0.4855 shares of New Viper Class A Common Stock, for each share of Sitio Class A common stock, par value $0.0001 per share, and (ii) 0.4855 OpCo Units, along with a corresponding amount of New Viper Class B Common Stock, for each unit representing limited partnership interests of Sitio OpCo, subject to certain exclusions. The OpCo Units and New Viper Class B Common Stock issued in the Sitio Acquisition are exchangeable from time to time for shares of New Viper Class A Common Stock (that is, one OpCo Unit and one share of Class B Common Stock, together, are exchangeable for one share of Class A Common Stock). Each share of Class C common stock, par value $0.0001 per share, of Sitio was automatically canceled in the transaction for no consideration and ceased to exist upon closing of the Sitio Acquisition. The shares of common stock of Former Viper and Sitio were delisted from the Nasdaq and their respective reporting obligations under the Exchange Act were terminated. As part of the Sitio Acquisition, New Viper issued 38,536,236 shares of Class A Common Stock, 35,619,951 shares of Class B Common Stock and 35,619,951 OpCo Units. In addition, at the closing of the Sitio Acquisition, the Company entered into a registration rights agreement with certain of Sitio OpCo’s former equity holders, pursuant to which such equity holders received certain demand registration rights with respect to the shares of the Company’s Class A Common Stock that may be acquired by them in exchange for OpCo Units and shares of the Company’s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See Note 13—</w:t>
      </w:r>
      <w:hyperlink w:anchor="i636f90b9a2bf4a46ad5fe64678400ed7_151">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for discussion of divestiture of the non-Permian acreage in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Sitio Acquisition was accounted for as an asset acquisition in accordance with ASC 805.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2025, the Company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$873 million in cash including customary post-closing adjustments, and (ii) the issuance of 69,626,640 OpCo Units and an equivalent number of shares of the Company’s Class B Common Stock (the “2025 Drop Down”). The OpCo Units and the Class B Common Stock issued in the 2025 Drop Down, as well as the OpCo Units and Class B Common Stock otherwise beneficially owned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Diamondback, are exchangeable from time to time for shares of the Company’s Class A Common Stock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issued at the closing of the 2025 Drop Down, are subject to the Company’s existing registration rights agreement with Diamondback, dated as of November 13, 2023, previously filed by the Company with the SEC.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acquired in the 2025 Drop Down represent approximately 24,446 net royalty acres in the Permian Basin, 69% of which are operated by Diamondback, and have an average net royalty interest of approximately 2.2% and then-current oil production of approximately 17,097 BO/d (the “Endeavor Mineral and Royalty Interests”). The Endeavor Mineral and Royalty Interests include interests in horizontal wells comprised of 5,574 gross proved developed production wells (of which approximately 32% are operated by Diamondback), 116 gross completed wells and 394 gross drilled but uncompleted wells, all of which are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Drop Down was approved by (i) the Company’s audit committee comprised of all independent directors and the full board of directors, in each case on January 30, 2025, and (ii) the majority of the Company’s stockholders, other than Diamondback and its subsidiaries, at the special meeting of the Company’s stockholders held on May 1, 2025, as required under the Nasdaq Rules.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funded the cash consideration for the 2025 Drop Down with a portion of the proceeds from the 2025 Equity Offering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7—</w:t>
      </w:r>
      <w:hyperlink w:anchor="i636f90b9a2bf4a46ad5fe64678400ed7_133">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 and borrowings under our previous revolving credit facility. The 2025 Drop Down was accounted for as a transaction between entities under common control, with the Endeavor Mineral and Royalty Interests recorded at Endeavor’s historical carrying value in the Company’s consolidated balance sheet.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Morita Ranches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the Company completed an acquisition of certain mineral and royalty interests located in Howard County, Texas from Morita Ranches Minerals, LLC (“Morita Ranches”) (the “Morita Ranches Acquisition”) pursuant to a definitive purchase and sale agreement for consideration consisting of approximately (i) $208 million in cash, and (ii) 2,400,297 OpCo Units together with an equal number of shares of the Company’s Class B Common Stock issued to certain affiliate designees of Morita Ranches (the “Morita Ranches Equity Recipients”), including customary transaction costs and post-closing adjustments. At the closing of the Morita Ranches Acquisition, the Morita Ranches Equity Recipients (i) became parties to the Third Amended and Restated Limited Liability Agreement of the Operating Company, dated as of October 1, 2024, as amended, and (ii) entered into an Exchange Agreement with the Company and the Operating Company to provide for the right to exchange the OpCo Units and shares of the Company’s Class B Common Stock acquired by the Morita Ranches Equity Recipients at the closing of the Morita Ranches Acquisition for an equal number of shares of the Company’s Class A Common Stock. In addition, at the closing of the Morita Ranches Acquisition, the Company entered into a registration rights agreement pursuant to which the Morita Ranches Equity Recipients received certain demand and piggyback registration rights with respect to the shares of the Company’s Class A Common Stock that may be acquired by them in exchange for OpCo Units and shares of the Company’s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included in the Morita Ranches Acquisition represent approximately 1,691 net royalty acres in the Permian Basin, 75% of which are operated by Diamondback, and have an average net royalty interest of approximately 10.9%. The Company funded the cash consideration for the Morita Ranches Acquisition with proceeds from the 2025 Equity Offering. The Morita Ranches Acquisition was accounted for as an asset acquisition in accordance with ASC 805.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acquired, in individually insignificant transactions from unrelated third-party sellers, mineral and royalty interests representing 515 net royalty acres in the Permian Basin for an aggregate purchase price of approximately $140 million, including customary closing adjustments. In the second half of 2025, the Company acquired, in individually insignificant transactions from Diamondback E&amp;P LLC, mineral and royalty interests representing 80 net royalty acres in the Permian Basin for an aggregate purchase price of approximately $2 million, including customary closing adjustments. The Company funded these acquisitions with cash on hand and borrowings under our revolving credit facility.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2024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Tumbleweed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and October of 2024, the Company completed a series of related acquisitions including the TWR Acquisition, the Q Acquisition and the M Acquisition (collectively the “Tumbleweed Acquisitions”), each as defined and discussed below.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TWR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2024, the Company acquired all of the issued and outstanding equity interests in TWR IV, LLC and TWR IV SellCo, LLC from TWR IV and TWR IV SellCo Parent, LLC (the “TWR Acquisition”), pursuant to a definitive purchase and sale agreement for consideration consisting of (i) approximately $464 million in cash, including transaction costs and certain customary post-closing adjustments, (ii) 10,093,670 OpCo Units to TWR IV, (iii) an option granted to TWR IV to acquire up to 10,093,670 shares of the Company’s Class B Common Stock (the “TWR Class B Option”), and (iv) contingent cash consideration of $16 million paid in January 2026 (the “TWR Contingent Liability”) based on the average price of WTI sweet crude oil prompt month futures contracts for the calendar year 2025 (the “WTI 2025 Average”), which was between $60.00 and $65.00. Additionally, at the closing of the TWR Acquisition, the Company assumed a royalty income receivable of approximately $24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TWR IV can exchange some or all of its OpCo Units for an equal number of shares of the Company’s Class A Common Stock and any OpCo Units so exchanged will reduce the number of shares of Class B Common Stock subject to the TWR Class B Option. In addition, at the closing of the TWR Acquisition, the Company entered into a registration rights agreement with TWR IV, pursuant to which TWR IV received certain demand and piggyback registration rights with respect to the shares of the Company’s Class A Common Stock that may be acquired by TWR IV in exchange for OpCo Units. The mineral and royalty interests acquired in the TWR Acquisition represent approximately 3,067 net royalty acres located primarily in the Permian Basin. The Company funded the cash consideration for the TWR Acquisition through a combination of cash on hand, borrowings under our previous revolving credit facility and proceeds from the </w:t>
      </w:r>
      <w:r>
        <w:rPr>
          <w:rFonts w:ascii="Times New Roman;serif" w:hAnsi="Times New Roman;serif"/>
          <w:b w:val="false"/>
          <w:color w:val="000000"/>
          <w:sz w:val="20"/>
          <w:shd w:fill="FFFFFF" w:val="clear"/>
        </w:rPr>
        <w:t xml:space="preserve">2024 Equity Offering (as defined and discussed in Note </w:t>
      </w:r>
      <w:r>
        <w:rPr>
          <w:rFonts w:ascii="Times New Roman;serif" w:hAnsi="Times New Roman;serif"/>
          <w:b w:val="false"/>
          <w:color w:val="000000"/>
          <w:sz w:val="20"/>
        </w:rPr>
        <w:t>7—</w:t>
      </w:r>
      <w:hyperlink w:anchor="i636f90b9a2bf4a46ad5fe64678400ed7_133">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Q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2024, the Company acquired all of the issued and outstanding equity interests in Tumbleweed-Q Royalties, LLC (the “Q Acquisition”), pursuant to a definitive purchase and sale agreement for consideration consisting of (i) approximately $114 million in cash, including transaction costs and certain customary post-closing adjustments, and (ii) contingent cash consideration of $2 million paid in January 2026 (the “Q Contingent Liability”) based on the WTI 2025 Average, which was between $60.00 and $65.00. The mineral and royalty interests acquired in the Q Acquisition represent approximately 406 net royalty acres located primarily in the Permian Basin. The cash consideration for the Q Acquisition was funded through a combination of cash on hand and borrowings under our previous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2024, the Company acquired all of the issued and outstanding equity interests in MC TWR Royalties, LP and MC TWR Intermediate, LLC (the “M Acquisition”), pursuant to a definitive purchase and sale agreement for consideration consisting of (i) approximately $76 million in cash, including transaction costs and certain customary post-closing adjustments, and (ii) contingent cash consideration of $2 million paid in January 2026 (the “M Contingent Liability”) based on the WTI 2025 Average, which was between $60.00 and $65.00. The mineral and royalty interests acquired in the M Acquisition represent approximately 267 net royalty acres located primarily in the Permian Basin. The cash consideration for the M Acquisition was funded through a combination of cash on hand and borrowings under our previous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Q Contingent Liability, the M Contingent Liability and the TWR Contingent Liability are collectively referred to as the “2026 WTI Contingent Liability.”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acquisitions discussed above, during the year ended December 31, 2024, the Company acquired, in individually insignificant transactions from unrelated third-party sellers, mineral and royalty interests representing 261 net royalty acres in the Permian Basin for an aggregate purchase price of approximately $54 million, including customary closing adjustments. The Company funded these acquisitions with cash on hand and borrowings under our previous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2024, the Company divested all of its non-Permian assets for a purchase price of approximately $87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2023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GRP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November 1, 2023, the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9,018,760 common units and $747 million in cash, including transaction costs and certain customary post-closing adjustments (the “GRP Acquisition”). The mineral and royalty interests acquired in the GRP Acquisition represent approximately 4,600 net royalty acres in the Permian Basin, and approximately 2,700 additional net royalty acres in other major basins. The cash consideration for the GRP Acquisition was funded through a combination of cash on hand and held in escrow, borrowings under our previous revolving credit facility, proceeds from the 2031 Notes (as defined and discussed in Note 6—</w:t>
      </w:r>
      <w:hyperlink w:anchor="i636f90b9a2bf4a46ad5fe64678400ed7_13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proceeds from the $200 million common unit issuance to Diamondback discussed further in Note 7—</w:t>
      </w:r>
      <w:hyperlink w:anchor="i636f90b9a2bf4a46ad5fe64678400ed7_133">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2023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8, 2023, the Company acquired certain mineral and royalty interests from subsidiaries of Diamondback for approximately $75 million in cash, including customary closing adjustments for net title benefits (the “2023 Drop Down”). The mineral and royalty interests acquired in the 2023 Drop Down represented approximately 660 net royalty acres in Ward County, Texas in the Southern Delaware Basin, 100% of which were operated by Diamondback, and had an average net royalty interest of approximately 7.2% and then-current production of approximately 300 BO/d. The Company funded the 2023 Drop Down through a combination of cash on hand and borrowings under our previous revolving credit facility. The 2023 Drop Down was accounted for as a transaction between entities under common control with the acquired properties recorded at Diamondback’s historical carrying value in the Company’s consolidated balance sheet. The historical carrying value of the properties approximated the 2023 Drop Down purchase price.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during the year ended December 31, 2023, the Company acquired, in individually insignificant transactions from unrelated third-party sellers, mineral and royalty interests representing 286 net royalty acres in the Permian Basin for an aggregate purchase price of approximately $70 million, including customary closing adjustments. The Company funded these acquisitions with cash on hand and borrowings under our previous revolving credit facility.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interests include the following for the periods presented:</w:t>
      </w:r>
    </w:p>
    <w:p>
      <w:pPr>
        <w:pStyle w:val="TextBody"/>
        <w:bidi w:val="0"/>
        <w:spacing w:before="0" w:after="0"/>
        <w:ind w:left="0" w:right="0" w:firstLine="720"/>
        <w:jc w:val="both"/>
        <w:rPr/>
      </w:pPr>
      <w:r>
        <w:rPr/>
      </w:r>
    </w:p>
    <w:tbl>
      <w:tblPr>
        <w:tblW w:w="6938" w:type="dxa"/>
        <w:jc w:val="left"/>
        <w:tblInd w:w="0" w:type="dxa"/>
        <w:tblLayout w:type="fixed"/>
        <w:tblCellMar>
          <w:top w:w="28" w:type="dxa"/>
          <w:left w:w="28" w:type="dxa"/>
          <w:bottom w:w="28" w:type="dxa"/>
          <w:right w:w="28" w:type="dxa"/>
        </w:tblCellMar>
      </w:tblPr>
      <w:tblGrid>
        <w:gridCol w:w="1661"/>
        <w:gridCol w:w="1459"/>
        <w:gridCol w:w="1469"/>
        <w:gridCol w:w="211"/>
        <w:gridCol w:w="721"/>
        <w:gridCol w:w="109"/>
        <w:gridCol w:w="109"/>
        <w:gridCol w:w="109"/>
        <w:gridCol w:w="109"/>
        <w:gridCol w:w="211"/>
        <w:gridCol w:w="61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interests: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interests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interests,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depletion and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costs not subject to depletion: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in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in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in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 subject to depletion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mineral and royalty interests representing approximately 96,003 and 35,671 net royalty acres,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associated with unevaluated properties are excluded from the full cost pool until a determination as to the existence of proved reserves can be made. The inclusion of the Company’s unevaluated costs into the amortization base is expected to be completed within nine to 12 years. All costs incurred not subject to depletion are classified as acquisition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Under the full cost method of accounting, the Company is required to perform a ceiling test each quarter. As a result of its ceiling test, the Company recorded aggregate non-cash ceiling test impairments for the year ended December 31, 2025 of $768 million. No impairment expense was recorded on the Company’s oil and natural gas interests for the years ended December 31, 2024 and 2023, based on the results of the respective quarterly ceiling tests. In addition to commodity prices, the Company’s production rates, levels of proved reserves, transfers of unevaluated properties, income tax rate assumptions and other factors will determine its actual ceiling test limitations and impairment analysis in future periods. </w:t>
      </w:r>
      <w:r>
        <w:rPr>
          <w:rFonts w:ascii="Times New Roman;serif" w:hAnsi="Times New Roman;serif"/>
          <w:b w:val="false"/>
          <w:color w:val="000000"/>
          <w:sz w:val="20"/>
          <w:shd w:fill="FFFFFF" w:val="clear"/>
        </w:rPr>
        <w:t>If future SEC Prices decline as compared to the com</w:t>
      </w:r>
      <w:r>
        <w:rPr>
          <w:rFonts w:ascii="Times New Roman;serif" w:hAnsi="Times New Roman;serif"/>
          <w:b w:val="false"/>
          <w:color w:val="000000"/>
          <w:sz w:val="20"/>
        </w:rPr>
        <w:t>modity prices used in prior quarters, the Company could have further write-downs in subsequent quarters, which may be material.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5003" w:type="dxa"/>
        <w:jc w:val="left"/>
        <w:tblInd w:w="0" w:type="dxa"/>
        <w:tblLayout w:type="fixed"/>
        <w:tblCellMar>
          <w:top w:w="28" w:type="dxa"/>
          <w:left w:w="28" w:type="dxa"/>
          <w:bottom w:w="28" w:type="dxa"/>
          <w:right w:w="28" w:type="dxa"/>
        </w:tblCellMar>
      </w:tblPr>
      <w:tblGrid>
        <w:gridCol w:w="1000"/>
        <w:gridCol w:w="878"/>
        <w:gridCol w:w="881"/>
        <w:gridCol w:w="211"/>
        <w:gridCol w:w="616"/>
        <w:gridCol w:w="109"/>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5.375% Senior Notes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4.900% Senior Notes due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7.375% Senior Notes due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5.700% Senior Notes due 2035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June 12, 2025, Former Viper, as guarantor, entered into a credit agreement with the Operating Company, as borrower, and Wells Fargo, as the administrative agent (the “2025 Revolving Credit Facility”), which among other things, provides the borrower with a senior unsecured revolving credit facility with a commitment of $1.5 billion, a swingline commitment of up to $50 million and a letter of credit commitment of $5 million. The 2025 Revolving Credit Facility has a maturity date of June 12, 2030, with the ability to request three extensions of the maturity date by one year. The 2025 Revolving Credit Facility was previously guaranteed by certain subsidiaries of the borrower, and upon completion of the Sitio Acquisition, those subsidiary guarantees were released and New Viper and Former Viper became co-guarantors. The 2025 Revolving Credit Facility replaced the borrower’s previous revolving credit facility, dated July 20, 2018, among the Company, the borrower and Wells Fargo as amended, restated, amended and restated, supplemented or otherwise modified prior to June 12, 2025. </w:t>
      </w:r>
      <w:r>
        <w:rPr>
          <w:rFonts w:ascii="Times New Roman;serif" w:hAnsi="Times New Roman;serif"/>
          <w:b w:val="false"/>
          <w:color w:val="000000"/>
          <w:sz w:val="20"/>
          <w:shd w:fill="FFFFFF" w:val="clear"/>
        </w:rPr>
        <w:t>As</w:t>
      </w:r>
      <w:r>
        <w:rPr>
          <w:color w:val="000000"/>
        </w:rPr>
        <w:t xml:space="preserve"> </w:t>
      </w:r>
      <w:r>
        <w:rPr>
          <w:rFonts w:ascii="Times New Roman;serif" w:hAnsi="Times New Roman;serif"/>
          <w:b w:val="false"/>
          <w:color w:val="000000"/>
          <w:sz w:val="20"/>
        </w:rPr>
        <w:t>of December 31, 2025, there was $105 million in outstanding borrowings and $1.4 billion available for future borrowings under the 2025 Revolving Credit Facility</w:t>
      </w:r>
      <w:r>
        <w:rPr>
          <w:rFonts w:ascii="Times New Roman;serif" w:hAnsi="Times New Roman;serif"/>
          <w:b w:val="false"/>
          <w:color w:val="000000"/>
          <w:sz w:val="20"/>
          <w:shd w:fill="FFFFFF" w:val="clear"/>
        </w:rPr>
        <w:t xml:space="preserve">. For the years ended December 31, 2025, </w:t>
      </w:r>
      <w:r>
        <w:rPr>
          <w:rFonts w:ascii="Times New Roman;serif" w:hAnsi="Times New Roman;serif"/>
          <w:b w:val="false"/>
          <w:color w:val="000000"/>
          <w:sz w:val="20"/>
        </w:rPr>
        <w:t xml:space="preserve">2024 and 2023, </w:t>
      </w:r>
      <w:r>
        <w:rPr>
          <w:rFonts w:ascii="Times New Roman;serif" w:hAnsi="Times New Roman;serif"/>
          <w:b w:val="false"/>
          <w:color w:val="000000"/>
          <w:sz w:val="20"/>
          <w:shd w:fill="FFFFFF" w:val="clear"/>
        </w:rPr>
        <w:t xml:space="preserve">the weighted average interest rates on borrowings under the borrower’s respective revolving credit facilities were </w:t>
      </w:r>
      <w:r>
        <w:rPr>
          <w:rFonts w:ascii="Times New Roman;serif" w:hAnsi="Times New Roman;serif"/>
          <w:b w:val="false"/>
          <w:color w:val="000000"/>
          <w:sz w:val="20"/>
        </w:rPr>
        <w:t>6.02%</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7.34%, and 7.41%</w:t>
      </w:r>
      <w:r>
        <w:rPr>
          <w:rFonts w:ascii="Times New Roman;serif" w:hAnsi="Times New Roman;serif"/>
          <w:b w:val="false"/>
          <w:color w:val="000000"/>
          <w:sz w:val="20"/>
          <w:shd w:fill="FFFFFF" w:val="clear"/>
        </w:rPr>
        <w:t>,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2025 Revolving Credit Facility bear interest at a per annum rate elected by the borrower that is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the Company’s long-term senior unsecured debt by certain ratings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Revolving Credit Facility contains a financial covenant that requires the Company to maintain a Total Net Debt to Capitalization Ratio (as defined in the 2025 Revolving Credit Facility) of no more than 65%. As of December 31, 2025, the borrower was in compliance with all financial maintenance covenants under the 2025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Old OpCo converted its legal form (the “OpCo Conversion”), in accordance with the applicable laws of the State of Delaware, to a Delaware limited partnership named Viper Energy Partners LP (“Viper LP”), which thereupon became the borrower with respect to the 2025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term loan credit agreement with the Operating Company, as borrower, and Goldman Sachs Bank USA, as administrative agent,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Loan provided the Company with the ability to borrow up to $500 million on a senior unsecured basis to fund a portion of the retirement of Sitio’s net debt, in connection with the Sitio Acquisition. On August 19, 2025, the date of closing of the Sitio Acquisition, the Term Loan was fully drawn in a single borrowing. Any then-outstanding amounts will mature and be payable in full on the second anniversary of the initial funding date. In connection with the closing of the Sitio Acquisition, New Viper became a co-guarantor of the Term Loan. During the year ended December 31, 2025, the weighted average interest rate on borrowings under the Term Loan was 5.72%.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Term Loan bear interest at a per annum rate elected by the borrower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OpCo Conversion, Viper LP became the borrower under the Term Loan.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Guaranteed Senior 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the Operating Company, as issuer, and Former Viper, as guarantor, issued $1.6 billion in aggregate principal amount of the Guaranteed Senior Notes consisting of (i) $500 million aggregate principal amount of 4.900% Senior Notes due August 1, 2030, (the “2030 Notes”), and (ii) $1.1 billion aggregate principal amount of 5.700% Senior Notes due August 1, 2035, (the “2035 Notes”). The Company received net proceeds of approximately $1.58 billion, after underwriters’ discounts and transaction costs. Interest on the Guaranteed Senior Notes is payable semi-annually in February and August of each year, beginning on February 1, 2026. Concurrently, the Company used approximately $824 million of the proceeds to redeem approximately $780 million in aggregate principal amounts of the Company’s outstanding Notes, including accrued interest due and applicable redemption premiums. Following the closing of the Sitio Acquisition, the Company used the remaining proceeds from the issuance of the Guaranteed Senior Notes to (i) retire Sitio’s 7.875% senior notes due 2028, (ii) partially repay borrowings under Sitio’s revolving credit facility, (iii) pay fees, costs and expenses related to the redemption or repayment of such debt, and (iv) for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(i) are senior unsecured obligations and are fully and unconditionally guaranteed by Former Viper, and, following the closing of the Sitio Acquisition, also by New Viper, (ii) are senior in right of payment to any of the Company’s future subordinated indebtedness, and (iii) rank equal in right of payment with all of the Company’s existing and future senior indebtedness. The Guaranteed Senior Notes have been registered under the Securities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OpCo Conversion, Viper LP became the issuer with respect to the Guaranteed Senior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opportunistically repurchased principal amounts of $50 million of its 5.375% Senior Notes due 2027 (the “2027 Notes”) in open market transactions for total cash consideration of $50 million, at an average of 99.7% of par value, resulting in an immaterial gain on extinguishment of debt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using proceeds from the issuance of the Guaranteed Senior Notes, the Company (i) redeemed all of its outstanding 7.375% Senior Notes maturing on November 1, 2031 (the “2031 Notes”), which were issued in October 2023 to partially fund the cash portion of the GRP Acquisition, for total cash consideration of approximately $434 million including the applicable redemption premium of 106.767% of par and accrued and unpaid interest up to, but not including, the redemption date, and (ii) deposited approximately $390 million to redeem all of its outstanding 2027 Notes on November 1, 2025, for total cash consideration, including payment of interest due to, but not including, the redemption date at a redemption price equal to 100% of the principal amount of the 2027 Notes. The redemption of the 2031 Notes resulted in a loss on extinguishment of debt of $32 million.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amounts have been incurred and charged to interest expense for the years ended December 31, 2025, 2024 and 2023:</w:t>
      </w:r>
    </w:p>
    <w:p>
      <w:pPr>
        <w:pStyle w:val="TextBody"/>
        <w:bidi w:val="0"/>
        <w:spacing w:before="0" w:after="0"/>
        <w:ind w:left="0" w:right="0" w:firstLine="720"/>
        <w:jc w:val="both"/>
        <w:rPr/>
      </w:pPr>
      <w:r>
        <w:rPr/>
      </w:r>
    </w:p>
    <w:tbl>
      <w:tblPr>
        <w:tblW w:w="4902" w:type="dxa"/>
        <w:jc w:val="left"/>
        <w:tblInd w:w="0" w:type="dxa"/>
        <w:tblLayout w:type="fixed"/>
        <w:tblCellMar>
          <w:top w:w="28" w:type="dxa"/>
          <w:left w:w="28" w:type="dxa"/>
          <w:bottom w:w="28" w:type="dxa"/>
          <w:right w:w="28" w:type="dxa"/>
        </w:tblCellMar>
      </w:tblPr>
      <w:tblGrid>
        <w:gridCol w:w="745"/>
        <w:gridCol w:w="652"/>
        <w:gridCol w:w="658"/>
        <w:gridCol w:w="211"/>
        <w:gridCol w:w="466"/>
        <w:gridCol w:w="109"/>
        <w:gridCol w:w="109"/>
        <w:gridCol w:w="109"/>
        <w:gridCol w:w="109"/>
        <w:gridCol w:w="211"/>
        <w:gridCol w:w="361"/>
        <w:gridCol w:w="109"/>
        <w:gridCol w:w="109"/>
        <w:gridCol w:w="109"/>
        <w:gridCol w:w="109"/>
        <w:gridCol w:w="211"/>
        <w:gridCol w:w="36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 and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a total of 170,942,687 shares of Class A Common Stock issued and outstanding and 187,023,698 shares of Class B Common Stock issued and outstanding. Additionally, at December 31, 2025, TWR IV held the TWR Class B Option to acquire up to 10,093,670 shares of the Company’s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Viper in its position as managing member of New OpCo, along with affiliates of Diamondback, TWR IV and the Morita Ranches Equity Recipients adopted the Amended and Restated Limited Liability Company Agreement of New OpCo (the “New OpCo LLC Agreement”). The New OpCo LLC Agreement provides that members of New OpCo may require the Company to redeem all or a portion of the shares of the Company’s Class B Common Stock held by such member, together with an equal number of OpCo Units (one share of Class B Common Stock together with one OpCo Unit) in exchange for (i) an equivalent number of shares of the Company’s Class A Common Stock, or (ii) cash consideration subject to the terms and conditions included in the New OpCo LLC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beneficial ownership of Common Stock and OpCo Units as of December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66"/>
        <w:gridCol w:w="626"/>
        <w:gridCol w:w="630"/>
        <w:gridCol w:w="976"/>
        <w:gridCol w:w="626"/>
        <w:gridCol w:w="628"/>
        <w:gridCol w:w="109"/>
        <w:gridCol w:w="109"/>
        <w:gridCol w:w="109"/>
        <w:gridCol w:w="409"/>
        <w:gridCol w:w="299"/>
        <w:gridCol w:w="745"/>
        <w:gridCol w:w="109"/>
        <w:gridCol w:w="109"/>
        <w:gridCol w:w="109"/>
        <w:gridCol w:w="849"/>
        <w:gridCol w:w="514"/>
        <w:gridCol w:w="508"/>
        <w:gridCol w:w="109"/>
        <w:gridCol w:w="109"/>
        <w:gridCol w:w="109"/>
        <w:gridCol w:w="382"/>
        <w:gridCol w:w="285"/>
        <w:gridCol w:w="781"/>
      </w:tblGrid>
      <w:tr>
        <w:trPr/>
        <w:tc>
          <w:tcPr>
            <w:tcW w:w="9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Shares of Common Stock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Percentage Ownership</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OpCo Units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Percentage Ownership</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equity holders of Class A Common Stock</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170,942,687 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and subsidiaries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170,942,687 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Diamondback and subsidiaries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155,058,093 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155,058,093 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Sitio OpCo former equity holders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29,565,308 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29,565,308 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TWR IV</w:t>
            </w:r>
            <w:r>
              <w:rPr>
                <w:rFonts w:ascii="Times New Roman;serif" w:hAnsi="Times New Roman;serif"/>
                <w:b w:val="false"/>
                <w:color w:val="000000"/>
                <w:sz w:val="13"/>
              </w:rPr>
              <w:t>(1)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10,093,670 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10,093,670 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Morita Ranches Equity Recipients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2,400,297 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2,400,297 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Total Ownership</w:t>
            </w:r>
            <w:r>
              <w:rPr>
                <w:rFonts w:ascii="Times New Roman;serif" w:hAnsi="Times New Roman;serif"/>
                <w:b/>
                <w:color w:val="000000"/>
                <w:sz w:val="12"/>
              </w:rPr>
              <w:t>(1)</w:t>
            </w:r>
          </w:p>
        </w:tc>
        <w:tc>
          <w:tcPr>
            <w:tcW w:w="16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368,060,055 </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368,060,055 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 a fully diluted basis, assuming TWR IV exercises the TWR Class B Option.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February 3, 2025, the Company completed an underwritten public offering of 28,336,000 shares of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 </w:t>
      </w:r>
      <w:r>
        <w:rPr>
          <w:rFonts w:ascii="Times New Roman;serif" w:hAnsi="Times New Roman;serif"/>
          <w:b w:val="false"/>
          <w:color w:val="000000"/>
          <w:sz w:val="20"/>
          <w:shd w:fill="FFFFFF" w:val="clear"/>
        </w:rPr>
        <w:t xml:space="preserve">The Company used the net proceeds from the </w:t>
      </w:r>
      <w:r>
        <w:rPr>
          <w:rFonts w:ascii="Times New Roman;serif" w:hAnsi="Times New Roman;serif"/>
          <w:b w:val="false"/>
          <w:color w:val="000000"/>
          <w:sz w:val="20"/>
        </w:rPr>
        <w:t>2025 Equity Offering</w:t>
      </w:r>
      <w:r>
        <w:rPr>
          <w:color w:val="000000"/>
          <w:shd w:fill="FFFFFF" w:val="clear"/>
        </w:rPr>
        <w:t xml:space="preserve"> </w:t>
      </w:r>
      <w:r>
        <w:rPr>
          <w:rFonts w:ascii="Times New Roman;serif" w:hAnsi="Times New Roman;serif"/>
          <w:b w:val="false"/>
          <w:color w:val="000000"/>
          <w:sz w:val="20"/>
          <w:shd w:fill="FFFFFF" w:val="clear"/>
        </w:rPr>
        <w:t xml:space="preserve">to fund (i) the cash consideration for the </w:t>
      </w:r>
      <w:r>
        <w:rPr>
          <w:rFonts w:ascii="Times New Roman;serif" w:hAnsi="Times New Roman;serif"/>
          <w:b w:val="false"/>
          <w:color w:val="000000"/>
          <w:sz w:val="20"/>
        </w:rPr>
        <w:t>Morita Ranches Acquisition, (ii) a portion of the cash consideration for the</w:t>
      </w:r>
      <w:r>
        <w:rPr>
          <w:color w:val="000000"/>
          <w:shd w:fill="FFFFFF" w:val="clear"/>
        </w:rPr>
        <w:t xml:space="preserve"> </w:t>
      </w:r>
      <w:r>
        <w:rPr>
          <w:rFonts w:ascii="Times New Roman;serif" w:hAnsi="Times New Roman;serif"/>
          <w:b w:val="false"/>
          <w:color w:val="000000"/>
          <w:sz w:val="20"/>
        </w:rPr>
        <w:t>2025 Drop Down</w:t>
      </w:r>
      <w:r>
        <w:rPr>
          <w:rFonts w:ascii="Times New Roman;serif" w:hAnsi="Times New Roman;serif"/>
          <w:b w:val="false"/>
          <w:color w:val="000000"/>
          <w:sz w:val="20"/>
          <w:shd w:fill="FFFFFF" w:val="clear"/>
        </w:rPr>
        <w:t>, and (iii) for general corporate purposes.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2024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On September 13, 2024, the Company completed an underwritten public offering of </w:t>
      </w:r>
      <w:r>
        <w:rPr>
          <w:rFonts w:ascii="Times New Roman;serif" w:hAnsi="Times New Roman;serif"/>
          <w:b w:val="false"/>
          <w:color w:val="000000"/>
          <w:sz w:val="20"/>
        </w:rPr>
        <w:t>11,500,000</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which included </w:t>
      </w:r>
      <w:r>
        <w:rPr>
          <w:rFonts w:ascii="Times New Roman;serif" w:hAnsi="Times New Roman;serif"/>
          <w:b w:val="false"/>
          <w:color w:val="000000"/>
          <w:sz w:val="20"/>
        </w:rPr>
        <w:t>1,500,000</w:t>
      </w:r>
      <w:r>
        <w:rPr>
          <w:color w:val="000000"/>
          <w:shd w:fill="FFFFFF" w:val="clear"/>
        </w:rPr>
        <w:t xml:space="preserve"> </w:t>
      </w:r>
      <w:r>
        <w:rPr>
          <w:rFonts w:ascii="Times New Roman;serif" w:hAnsi="Times New Roman;serif"/>
          <w:b w:val="false"/>
          <w:color w:val="000000"/>
          <w:sz w:val="20"/>
          <w:shd w:fill="FFFFFF" w:val="clear"/>
        </w:rPr>
        <w:t>shares issued pursuant to an option to purchase additional shares of Class A Common Stock granted to the under</w:t>
      </w:r>
      <w:r>
        <w:rPr>
          <w:rFonts w:ascii="Times New Roman;serif" w:hAnsi="Times New Roman;serif"/>
          <w:b w:val="false"/>
          <w:color w:val="000000"/>
          <w:sz w:val="20"/>
        </w:rPr>
        <w:t>writers, at a price to the public of $42.50 per share fo</w:t>
      </w:r>
      <w:r>
        <w:rPr>
          <w:rFonts w:ascii="Times New Roman;serif" w:hAnsi="Times New Roman;serif"/>
          <w:b w:val="false"/>
          <w:color w:val="000000"/>
          <w:sz w:val="20"/>
          <w:shd w:fill="FFFFFF" w:val="clear"/>
        </w:rPr>
        <w:t xml:space="preserve">r total net proceeds of approximately </w:t>
      </w:r>
      <w:r>
        <w:rPr>
          <w:rFonts w:ascii="Times New Roman;serif" w:hAnsi="Times New Roman;serif"/>
          <w:b w:val="false"/>
          <w:color w:val="000000"/>
          <w:sz w:val="20"/>
        </w:rPr>
        <w:t>$476 million</w:t>
      </w:r>
      <w:r>
        <w:rPr>
          <w:rFonts w:ascii="Times New Roman;serif" w:hAnsi="Times New Roman;serif"/>
          <w:b w:val="false"/>
          <w:color w:val="000000"/>
          <w:sz w:val="20"/>
          <w:shd w:fill="FFFFFF" w:val="clear"/>
        </w:rPr>
        <w:t xml:space="preserve">, after the underwriters’ discount and transaction costs (the “2024 Equity Offering”). The net proceeds were used to fund a portion of the cash consideration for </w:t>
      </w:r>
      <w:r>
        <w:rPr>
          <w:rFonts w:ascii="Times New Roman;serif" w:hAnsi="Times New Roman;serif"/>
          <w:b w:val="false"/>
          <w:color w:val="000000"/>
          <w:sz w:val="20"/>
        </w:rPr>
        <w:t>the TWR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2023 Viper Issuance of Common Units to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October 2023, the Company issued 7,215,007 of its common units to Diamondback at a price of $27.72 per unit for total net proceeds of approximately $200 million. The net proceeds were used to fund a portion of the cash consideration for the GRP Acquisition. During 2024, Diamondback sold all of its shares of the Company’s Class A Common Stock in the Diamondback Offering discussed in Note 1—</w:t>
      </w:r>
      <w:hyperlink w:anchor="i636f90b9a2bf4a46ad5fe64678400ed7_115">
        <w:r>
          <w:rPr>
            <w:rStyle w:val="InternetLink"/>
            <w:rFonts w:ascii="Times New Roman;serif" w:hAnsi="Times New Roman;serif"/>
            <w:b w:val="false"/>
            <w:color w:val="0000FF"/>
            <w:sz w:val="20"/>
            <w:u w:val="single"/>
          </w:rPr>
          <w:t>Organization and Basis of Presentation</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Previously, the Company’s board of directors authorized a </w:t>
      </w:r>
      <w:r>
        <w:rPr>
          <w:rFonts w:ascii="Times New Roman;serif" w:hAnsi="Times New Roman;serif"/>
          <w:b w:val="false"/>
          <w:color w:val="000000"/>
          <w:sz w:val="20"/>
        </w:rPr>
        <w:t>$750 million</w:t>
      </w:r>
      <w:r>
        <w:rPr>
          <w:color w:val="000000"/>
          <w:shd w:fill="FFFFFF" w:val="clear"/>
        </w:rPr>
        <w:t xml:space="preserve"> </w:t>
      </w:r>
      <w:r>
        <w:rPr>
          <w:rFonts w:ascii="Times New Roman;serif" w:hAnsi="Times New Roman;serif"/>
          <w:b w:val="false"/>
          <w:color w:val="000000"/>
          <w:sz w:val="20"/>
        </w:rPr>
        <w:t>repurchase program, with respect to the repurchase of the Company’s Class A Common Stock, excluding excise tax, over an indefinite period of time. On December 10, 2025, the Company’s board of directors expanded the repurc</w:t>
      </w:r>
      <w:r>
        <w:rPr>
          <w:rFonts w:ascii="Times New Roman;serif" w:hAnsi="Times New Roman;serif"/>
          <w:b w:val="false"/>
          <w:color w:val="000000"/>
          <w:sz w:val="20"/>
          <w:shd w:fill="FFFFFF" w:val="clear"/>
        </w:rPr>
        <w:t xml:space="preserve">hase program to also include repurchases of the Company’s Class B Common Stock and OpCo Units. </w:t>
      </w:r>
      <w:r>
        <w:rPr>
          <w:rFonts w:ascii="Times New Roman;serif" w:hAnsi="Times New Roman;serif"/>
          <w:b w:val="false"/>
          <w:color w:val="000000"/>
          <w:sz w:val="20"/>
        </w:rPr>
        <w:t>The Company has purchased and intends to continue to purchase shares of Common Stock and OpCo Units un</w:t>
      </w:r>
      <w:r>
        <w:rPr>
          <w:rFonts w:ascii="Times New Roman;serif" w:hAnsi="Times New Roman;serif"/>
          <w:b w:val="false"/>
          <w:color w:val="000000"/>
          <w:sz w:val="20"/>
          <w:shd w:fill="FFFFFF" w:val="clear"/>
        </w:rPr>
        <w:t>der the repurchase program opportunistically with funds from cash on hand, free cash flow from operatio</w:t>
      </w:r>
      <w:r>
        <w:rPr>
          <w:rFonts w:ascii="Times New Roman;serif" w:hAnsi="Times New Roman;serif"/>
          <w:b w:val="false"/>
          <w:color w:val="000000"/>
          <w:sz w:val="20"/>
        </w:rPr>
        <w:t>ns and potential l</w:t>
      </w:r>
      <w:r>
        <w:rPr>
          <w:rFonts w:ascii="Times New Roman;serif" w:hAnsi="Times New Roman;serif"/>
          <w:b w:val="false"/>
          <w:color w:val="000000"/>
          <w:sz w:val="20"/>
          <w:shd w:fill="FFFFFF" w:val="clear"/>
        </w:rPr>
        <w:t>iquidity events such as the sale of assets. This repurchase program may be suspended, modified or extended, from time to time, or may be discontinued at any time, in each case, by the Company’s board of directors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repurchases under the repurchase program totaled $194 million, which includes approximately $41 million for the repurchase of 1,000,000 OpCo Units from an affiliate of Kimmeridge Energy Management Company, LLC (“Kimmeridge”) in a privately negotiated transaction on December 10, 2025. Concurrently, a corresponding number of shares of the Company’s Class B Common Stock owned by Kimmeridge were cancelled. During the year ended December 31, 2024, there were no repurchases under the repurchase program. Repurchases of $95 million for the year ended December 31, 2023, include approximately $29 million for the repurchase of 1,000,000 shares of Class A Common Stock from GRP in a privately negotiated transaction in the fourth quarter of 2023. As of December 31, 2025, $241 million remains available under the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of the Company has established a dividend policy, whereby the Operating Company distributes all or a portion of its available cash on a quarterly basis to holders of the OpCo Units. Viper in turn distributes all or a portion of the available cash it receives from the Operating Company to holders of its Class A Common Stock through base and variable dividends that take into account capital returned to stockholders via its repurchase program. The Company’s available cash and the available cash of the Operating Company for each quarter is determined by the board of directors following the end of such quarter. The Company’s dividend policy currently requires the Company to pay quarterly variable dividends of at least 75% of its available cash less the base dividend declared and the amount paid for repurchases of the Company’s Common Stock and OpCo Units as part of its repurchase program for the applicable quarter. Additionally, the Company’s board of directors may approve certain one-time discretionary adjustments to the calculation of cash available for distribution.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that its available cash will generally equal the Adjusted EBITDA attributable to the Company for the applicable quarter, less cash needed for income taxes payable; debt service, contractual obligations, fixed charges and reserves for future operating or capital needs that the Company’s board of directors deems necessary or appropriate; lease bonus income (net of applicable taxes); dividend equivalent rights payments; preferred distributions and an adjustment for changes in ownership interests that occurred subsequent to the quarter, if 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percentage of cash available for distribution by the Operating Company pursuant to the distribution policy may change quarterly to enable the Operating Company to retain cash flow to help strengthen the Company’s balance sheet while also expanding the return of capital program through the Company’s repurchase program. The Company</w:t>
      </w:r>
      <w:r>
        <w:rPr>
          <w:color w:val="000000"/>
          <w:shd w:fill="FFFFFF" w:val="clear"/>
        </w:rPr>
        <w:t xml:space="preserve"> </w:t>
      </w:r>
      <w:r>
        <w:rPr>
          <w:rFonts w:ascii="Times New Roman;serif" w:hAnsi="Times New Roman;serif"/>
          <w:b w:val="false"/>
          <w:color w:val="000000"/>
          <w:sz w:val="20"/>
          <w:shd w:fill="FFFFFF" w:val="clear"/>
        </w:rPr>
        <w:t>is not required to pay dividends to the holders of its Class A Common Stock on a quarterly or other basis.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also required to pay a quarterly preferred dividend in respect of its Class B Common Stock in the aggregate amount of $20,000 per quarter, which is consistent with the Partnership’s pre-Conversion preferred distribution requirement. Other than the preferred dividend requirement, the Company is not required to pay dividends to the holders of its Common Stock on a quarterly or other basis, and declaration of any other dividends in the future will be solely in the discretion of the Company’s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cash distributions and dividends paid during the years ended December 31, 2025, 2024 and 2023 (in millions except per share amounts):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8"/>
        <w:gridCol w:w="192"/>
        <w:gridCol w:w="194"/>
        <w:gridCol w:w="109"/>
        <w:gridCol w:w="109"/>
        <w:gridCol w:w="109"/>
        <w:gridCol w:w="204"/>
        <w:gridCol w:w="485"/>
        <w:gridCol w:w="113"/>
        <w:gridCol w:w="109"/>
        <w:gridCol w:w="109"/>
        <w:gridCol w:w="109"/>
        <w:gridCol w:w="379"/>
        <w:gridCol w:w="816"/>
        <w:gridCol w:w="212"/>
        <w:gridCol w:w="109"/>
        <w:gridCol w:w="109"/>
        <w:gridCol w:w="109"/>
        <w:gridCol w:w="211"/>
        <w:gridCol w:w="501"/>
        <w:gridCol w:w="117"/>
        <w:gridCol w:w="109"/>
        <w:gridCol w:w="109"/>
        <w:gridCol w:w="109"/>
        <w:gridCol w:w="341"/>
        <w:gridCol w:w="577"/>
        <w:gridCol w:w="191"/>
        <w:gridCol w:w="109"/>
        <w:gridCol w:w="109"/>
        <w:gridCol w:w="109"/>
        <w:gridCol w:w="324"/>
        <w:gridCol w:w="324"/>
        <w:gridCol w:w="325"/>
        <w:gridCol w:w="109"/>
        <w:gridCol w:w="109"/>
        <w:gridCol w:w="109"/>
        <w:gridCol w:w="347"/>
        <w:gridCol w:w="347"/>
        <w:gridCol w:w="348"/>
        <w:gridCol w:w="109"/>
        <w:gridCol w:w="109"/>
        <w:gridCol w:w="109"/>
        <w:gridCol w:w="359"/>
        <w:gridCol w:w="257"/>
        <w:gridCol w:w="258"/>
        <w:gridCol w:w="109"/>
        <w:gridCol w:w="167"/>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per OpCo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Operating Company Distributions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per Class A Common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Class A Common Stockholders</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13, 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22, 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 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12, 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April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22, 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22, 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21, 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10, 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April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18, 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July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17, 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16,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24, 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(1)Dividends paid in the first quarter of 2024 include amounts paid to Diamondback for the 7,946,507 shares of Class A Common Stock then beneficially owned by Diamondback and distributions equivalent rights payments. As of March 31, 2024, Diamondback did not beneficially own any shares of Class A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(2)For distributions paid in 2023, includes amounts paid to Diamondback for the 731,500 common units then beneficially owned by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dividends will be made to the holders of record of the Company’s Class A Common Stock on the applicable record date, generally within 60 days after the end of each quarter.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Non-controlling interest in the accompanying consolidated financial statements represents the ownership interests of Diamondback, Sitio OpCo’s former equity holders, TWR IV and the </w:t>
      </w:r>
      <w:r>
        <w:rPr>
          <w:rFonts w:ascii="Times New Roman;serif" w:hAnsi="Times New Roman;serif"/>
          <w:b w:val="false"/>
          <w:color w:val="000000"/>
          <w:sz w:val="20"/>
        </w:rPr>
        <w:t xml:space="preserve">Morita Ranches Equity Recipients </w:t>
      </w:r>
      <w:r>
        <w:rPr>
          <w:rFonts w:ascii="Times New Roman;serif" w:hAnsi="Times New Roman;serif"/>
          <w:b w:val="false"/>
          <w:color w:val="000000"/>
          <w:sz w:val="20"/>
          <w:shd w:fill="FFFFFF" w:val="clear"/>
        </w:rPr>
        <w:t>in the net assets of the Operating Company. The non-controlling interests’ relative ownership in the Operating Company can change due to the purchase or sale of the Company’s Common Stock, the Company’s public offerings of shares of Class A Common Stock for which proceeds are contributed to the Operating Company in exchange for OpCo Units, issuance of shares of Class A Common Stock or issuance of shares of Class B Common Stock and OpCo Units for acquisitions, share-based compensation, repurchases of shares of Common Stock or OpCo Units and dividend equivalent rights paid on the Company’s Class A Common Stock. These changes in ownership percentage result in adjustments to non-controlling interest and stockholders’ equity, tax effected, but do not impact earnings.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changes in stockholders’ equity due to changes in ownership interest during the period: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685"/>
        <w:gridCol w:w="2223"/>
        <w:gridCol w:w="2238"/>
        <w:gridCol w:w="211"/>
        <w:gridCol w:w="466"/>
        <w:gridCol w:w="109"/>
        <w:gridCol w:w="109"/>
        <w:gridCol w:w="109"/>
        <w:gridCol w:w="109"/>
        <w:gridCol w:w="211"/>
        <w:gridCol w:w="466"/>
        <w:gridCol w:w="109"/>
        <w:gridCol w:w="109"/>
        <w:gridCol w:w="109"/>
        <w:gridCol w:w="109"/>
        <w:gridCol w:w="211"/>
        <w:gridCol w:w="466"/>
        <w:gridCol w:w="156"/>
      </w:tblGrid>
      <w:tr>
        <w:trPr/>
        <w:tc>
          <w:tcPr>
            <w:tcW w:w="268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ownership of consolidated subsidiaries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EARNINGS PER COMMON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income (loss) per common share on the consolidated statements of operations is based on the net income (loss) attributable to the Company’s Class A Common Stock for the years ended December 31, 2025,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9817" w:type="dxa"/>
        <w:jc w:val="left"/>
        <w:tblInd w:w="0" w:type="dxa"/>
        <w:tblLayout w:type="fixed"/>
        <w:tblCellMar>
          <w:top w:w="28" w:type="dxa"/>
          <w:left w:w="28" w:type="dxa"/>
          <w:bottom w:w="28" w:type="dxa"/>
          <w:right w:w="28" w:type="dxa"/>
        </w:tblCellMar>
      </w:tblPr>
      <w:tblGrid>
        <w:gridCol w:w="1825"/>
        <w:gridCol w:w="1600"/>
        <w:gridCol w:w="1614"/>
        <w:gridCol w:w="309"/>
        <w:gridCol w:w="858"/>
        <w:gridCol w:w="159"/>
        <w:gridCol w:w="159"/>
        <w:gridCol w:w="159"/>
        <w:gridCol w:w="159"/>
        <w:gridCol w:w="309"/>
        <w:gridCol w:w="748"/>
        <w:gridCol w:w="159"/>
        <w:gridCol w:w="159"/>
        <w:gridCol w:w="159"/>
        <w:gridCol w:w="159"/>
        <w:gridCol w:w="309"/>
        <w:gridCol w:w="748"/>
        <w:gridCol w:w="225"/>
      </w:tblGrid>
      <w:tr>
        <w:trPr/>
        <w:tc>
          <w:tcPr>
            <w:tcW w:w="182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period</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net income (loss) allocated to participating securities</w:t>
            </w:r>
            <w:r>
              <w:rPr>
                <w:rFonts w:ascii="Times New Roman;serif" w:hAnsi="Times New Roman;serif"/>
                <w:b w:val="false"/>
                <w:color w:val="000000"/>
                <w:sz w:val="13"/>
              </w:rPr>
              <w:t>(1)</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Potential common shares issuable</w:t>
            </w:r>
            <w:r>
              <w:rPr>
                <w:rFonts w:ascii="Times New Roman;serif" w:hAnsi="Times New Roman;serif"/>
                <w:b w:val="false"/>
                <w:color w:val="000000"/>
                <w:sz w:val="13"/>
              </w:rPr>
              <w:t>(2)</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(1)Unvested restricted stock units and performance restricted stock units that contain non-forfeitable dividend equivalent rights are considered participating securities and are therefore included in the earnings per share calculation pursuant to the two-class method.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(2)For the year ended December 31, 2025, 110,342 potential common shares were excluded from the computation of diluted earnings per common share because their inclusion would have been anti-dilutive as a result of recording a net loss attributable to the common shareholders for the period. For the years ended December 31, 2024 and 2023 no significant potential common shares were excluded from the computation of diluted earnings per common share.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total income tax benefit for the year ended December 31, 2025, differed from amounts computed by applying the United States federal statutory tax rate to pre-tax loss for the period primarily due to net loss attributable to the non-controlling interest. For the year ended December 31, 2024, the Company’s total income tax benefit differed from amounts computed by applying the United States federal statutory tax rate to pre-tax income for the period primarily due to the release of the remaining valuation allowance during the fourth quarter and net income attributable to non-controlling interests. For the year ended December 31, 2023, total income tax expense differed from amounts computed by applying the United States federal statutory rate to pre-tax income for the period primarily due to net income attributable to the non-controlling interest and the impact of reductions to the valuation allowance.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for the years ended December 31, 2025, 2024 and 2023 are as follows:</w:t>
      </w:r>
    </w:p>
    <w:p>
      <w:pPr>
        <w:pStyle w:val="TextBody"/>
        <w:bidi w:val="0"/>
        <w:spacing w:before="0" w:after="0"/>
        <w:ind w:left="0" w:right="0" w:firstLine="720"/>
        <w:jc w:val="both"/>
        <w:rPr/>
      </w:pPr>
      <w:r>
        <w:rPr/>
      </w:r>
    </w:p>
    <w:tbl>
      <w:tblPr>
        <w:tblW w:w="6761" w:type="dxa"/>
        <w:jc w:val="left"/>
        <w:tblInd w:w="0" w:type="dxa"/>
        <w:tblLayout w:type="fixed"/>
        <w:tblCellMar>
          <w:top w:w="28" w:type="dxa"/>
          <w:left w:w="28" w:type="dxa"/>
          <w:bottom w:w="28" w:type="dxa"/>
          <w:right w:w="28" w:type="dxa"/>
        </w:tblCellMar>
      </w:tblPr>
      <w:tblGrid>
        <w:gridCol w:w="1362"/>
        <w:gridCol w:w="1198"/>
        <w:gridCol w:w="1204"/>
        <w:gridCol w:w="211"/>
        <w:gridCol w:w="436"/>
        <w:gridCol w:w="109"/>
        <w:gridCol w:w="109"/>
        <w:gridCol w:w="109"/>
        <w:gridCol w:w="109"/>
        <w:gridCol w:w="211"/>
        <w:gridCol w:w="541"/>
        <w:gridCol w:w="109"/>
        <w:gridCol w:w="109"/>
        <w:gridCol w:w="109"/>
        <w:gridCol w:w="109"/>
        <w:gridCol w:w="211"/>
        <w:gridCol w:w="36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 (benefit):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provision (benefit)</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provision (benefit)</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statutory federal income tax amount to the recorded expense is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74"/>
        <w:gridCol w:w="471"/>
        <w:gridCol w:w="475"/>
        <w:gridCol w:w="210"/>
        <w:gridCol w:w="419"/>
        <w:gridCol w:w="116"/>
        <w:gridCol w:w="109"/>
        <w:gridCol w:w="109"/>
        <w:gridCol w:w="109"/>
        <w:gridCol w:w="335"/>
        <w:gridCol w:w="335"/>
        <w:gridCol w:w="792"/>
        <w:gridCol w:w="109"/>
        <w:gridCol w:w="109"/>
        <w:gridCol w:w="109"/>
        <w:gridCol w:w="204"/>
        <w:gridCol w:w="468"/>
        <w:gridCol w:w="113"/>
        <w:gridCol w:w="109"/>
        <w:gridCol w:w="109"/>
        <w:gridCol w:w="109"/>
        <w:gridCol w:w="335"/>
        <w:gridCol w:w="335"/>
        <w:gridCol w:w="792"/>
        <w:gridCol w:w="109"/>
        <w:gridCol w:w="109"/>
        <w:gridCol w:w="109"/>
        <w:gridCol w:w="209"/>
        <w:gridCol w:w="449"/>
        <w:gridCol w:w="116"/>
        <w:gridCol w:w="109"/>
        <w:gridCol w:w="109"/>
        <w:gridCol w:w="109"/>
        <w:gridCol w:w="318"/>
        <w:gridCol w:w="315"/>
        <w:gridCol w:w="889"/>
      </w:tblGrid>
      <w:tr>
        <w:trPr/>
        <w:tc>
          <w:tcPr>
            <w:tcW w:w="87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Percentage of 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Percentage of 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Percentage of Income (Loss) Before Income Taxes</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at the federal statutory rate (21%)</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State income tax, net of federal income tax effect</w:t>
            </w:r>
            <w:r>
              <w:rPr>
                <w:rFonts w:ascii="Times New Roman;serif" w:hAnsi="Times New Roman;serif"/>
                <w:b w:val="false"/>
                <w:color w:val="000000"/>
                <w:sz w:val="12"/>
              </w:rPr>
              <w:t>(1)</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nontaxable noncontrolling interest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(1)State taxes in Texas make up the majority (greater than 50%) of the tax effect in this category.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deferred tax assets and liabilities as of December 31, 2025 and 2024 are as follows:</w:t>
      </w:r>
    </w:p>
    <w:p>
      <w:pPr>
        <w:pStyle w:val="TextBody"/>
        <w:bidi w:val="0"/>
        <w:spacing w:before="0" w:after="0"/>
        <w:ind w:left="0" w:right="0" w:firstLine="720"/>
        <w:jc w:val="both"/>
        <w:rPr/>
      </w:pPr>
      <w:r>
        <w:rPr/>
      </w:r>
    </w:p>
    <w:tbl>
      <w:tblPr>
        <w:tblW w:w="6191" w:type="dxa"/>
        <w:jc w:val="left"/>
        <w:tblInd w:w="0" w:type="dxa"/>
        <w:tblLayout w:type="fixed"/>
        <w:tblCellMar>
          <w:top w:w="28" w:type="dxa"/>
          <w:left w:w="28" w:type="dxa"/>
          <w:bottom w:w="28" w:type="dxa"/>
          <w:right w:w="28" w:type="dxa"/>
        </w:tblCellMar>
      </w:tblPr>
      <w:tblGrid>
        <w:gridCol w:w="1463"/>
        <w:gridCol w:w="1283"/>
        <w:gridCol w:w="1288"/>
        <w:gridCol w:w="247"/>
        <w:gridCol w:w="424"/>
        <w:gridCol w:w="128"/>
        <w:gridCol w:w="128"/>
        <w:gridCol w:w="128"/>
        <w:gridCol w:w="128"/>
        <w:gridCol w:w="247"/>
        <w:gridCol w:w="547"/>
        <w:gridCol w:w="180"/>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capital loss carryforwards</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the Operating Company</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net deferred tax assets of approximately $33 million, including $5 million in federal capital loss carryforwards expiring in 2027 and immaterial state operating loss carryforwards. Deferred taxes are provided on the difference between the Company’s basis for financial accounting purposes and basis for federal income tax purposes in its investment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Sitio Acquisition, the Company acquired prepaid income tax balances of approximately $14 million and deferred tax assets of $5 million related to loss carryforwards. The Company also recognized a deferred tax liability of approximately $122 million. The Company’s federal loss carryforwards acquired from Sitio are subject to an annual limitation under Section 382 of the Internal Revenue Code of 1986, as amended (the “Code”), which subjects tax attributes to limitation upon an “ownership change” (as defined in the Code). In general, an ownership change occurs if there is a cumulative increase in the ownership of a corporation’s stock totaling more than 50 percentage points by one or more “5% shareholders” (as defined in the Code) at any time during a rolling three-year look back period. Based on Sitio’s fair market value, the Company has determined that the applicable annual limitation exceeds the loss carryforwards acquired from Sitio. As such, the Company believes that the application of Section 382 of the Code will not have an adverse effect on future usage of its federal tax attributes.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2024, the Company released its remaining valuation allowance of $156 million as a result of management’s assessment of the realizability of future taxable income, which primarily contributed to the discrete income tax benefit of $149 million for the year ended December 31, 2024. During the year ended December 31, 2023, the Company recognized a discrete income tax benefit of $7 million related to a partial release of its beginning-of-the-year valuation allowance, based on a change in judgment about the realizability of its deferred tax assets in future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2024, as part of the Diamondback Offering, the Company recognized a $28 million increase in its deferred tax asset and an $11 million increase in its valuation allowance through additional paid-in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did not have any significant uncertain tax positions requiring recognition in the financial statements. The Company’s 2022 through 2025 tax years remain open to examination by tax authorities.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“OBBB”), was enacted. The OBBB included multiple provisions applicable to U.S. income taxes for businesses, including immediate expensing of research or experimental expenses, bonus depreciation for qualified tangible property, deductible intangible drilling costs for purposes of the corporate “book” minimum tax and enhancements to limits on business interest expense deductions. The Company accounted for the OBBB in the period of enactment and concluded there was not a material impact to the Company’s current or deferred income tax balances.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DERIVATIVES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historically has used fixed price swap contracts, fixed price basis swap contracts, deferred premium puts and costless collars with corresponding put and call options to reduce price volatility associated with certain of its royalty income. At December 31, 2025, the Company has puts, costless collars and fixed price basis swap contracts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the 2025 Revolving Credit Facility and our counterparties have been deemed an acceptable credit risk. As such, collateral is not required from either the counterparties or the Company on its outstanding commodity derivative contracts. Market risks involved in the Company’s use of derivative instruments relate to its potential inability to realize the benefits of any increases in commodity prices above the prices established by its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the following outstanding derivative contracts. When aggregating multiple contracts, the weighted average contract price is disclosed.</w:t>
      </w:r>
    </w:p>
    <w:p>
      <w:pPr>
        <w:pStyle w:val="TextBody"/>
        <w:bidi w:val="0"/>
        <w:spacing w:before="0" w:after="0"/>
        <w:ind w:left="0" w:right="0" w:firstLine="720"/>
        <w:jc w:val="both"/>
        <w:rPr/>
      </w:pPr>
      <w:r>
        <w:rPr/>
      </w:r>
    </w:p>
    <w:tbl>
      <w:tblPr>
        <w:tblW w:w="10892"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90"/>
        <w:gridCol w:w="290"/>
        <w:gridCol w:w="291"/>
        <w:gridCol w:w="109"/>
        <w:gridCol w:w="109"/>
        <w:gridCol w:w="109"/>
        <w:gridCol w:w="255"/>
        <w:gridCol w:w="255"/>
        <w:gridCol w:w="256"/>
        <w:gridCol w:w="109"/>
        <w:gridCol w:w="109"/>
        <w:gridCol w:w="109"/>
        <w:gridCol w:w="220"/>
        <w:gridCol w:w="220"/>
        <w:gridCol w:w="221"/>
        <w:gridCol w:w="109"/>
        <w:gridCol w:w="109"/>
        <w:gridCol w:w="109"/>
        <w:gridCol w:w="234"/>
        <w:gridCol w:w="234"/>
        <w:gridCol w:w="238"/>
        <w:gridCol w:w="109"/>
        <w:gridCol w:w="109"/>
        <w:gridCol w:w="109"/>
        <w:gridCol w:w="314"/>
        <w:gridCol w:w="314"/>
        <w:gridCol w:w="318"/>
        <w:gridCol w:w="109"/>
        <w:gridCol w:w="109"/>
        <w:gridCol w:w="109"/>
        <w:gridCol w:w="109"/>
        <w:gridCol w:w="265"/>
        <w:gridCol w:w="265"/>
        <w:gridCol w:w="266"/>
        <w:gridCol w:w="109"/>
        <w:gridCol w:w="109"/>
        <w:gridCol w:w="109"/>
        <w:gridCol w:w="265"/>
        <w:gridCol w:w="265"/>
        <w:gridCol w:w="266"/>
        <w:gridCol w:w="109"/>
        <w:gridCol w:w="109"/>
        <w:gridCol w:w="109"/>
        <w:gridCol w:w="240"/>
        <w:gridCol w:w="180"/>
        <w:gridCol w:w="181"/>
        <w:gridCol w:w="109"/>
        <w:gridCol w:w="109"/>
        <w:gridCol w:w="109"/>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Swaps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Puts</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Ceiling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Strike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Deferred Premium</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$(1.35)</w:t>
            </w:r>
          </w:p>
        </w:tc>
      </w:tr>
      <w:tr>
        <w:trPr/>
        <w:tc>
          <w:tcPr>
            <w:tcW w:w="20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entered into certain treasury lock contracts to reduce the forecasted interest rate risk associated with the issuance of the Guaranteed Senior Notes. The treasury locks were terminated and settled upon issuance of the Guaranteed Senior Notes with a gain of $3 million recognized under the caption “Gain (loss) on derivative instruments, net” on the consolidated statements of operations for the year ended December 31,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the 2026 WTI Contingent Liability is recognized in “Gain (loss) on derivative instruments, net” on the Company’s consolidated statements of operations for the years ended December 31, 2025 and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i636f90b9a2bf4a46ad5fe64678400ed7_145">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consolidated statements of operations and the net cash receipts (payments) on derivatives for the periods presented:</w:t>
      </w:r>
    </w:p>
    <w:p>
      <w:pPr>
        <w:pStyle w:val="TextBody"/>
        <w:bidi w:val="0"/>
        <w:spacing w:before="0" w:after="0"/>
        <w:ind w:left="0" w:right="0" w:firstLine="720"/>
        <w:jc w:val="both"/>
        <w:rPr/>
      </w:pPr>
      <w:r>
        <w:rPr/>
      </w:r>
    </w:p>
    <w:tbl>
      <w:tblPr>
        <w:tblW w:w="6506" w:type="dxa"/>
        <w:jc w:val="left"/>
        <w:tblInd w:w="0" w:type="dxa"/>
        <w:tblLayout w:type="fixed"/>
        <w:tblCellMar>
          <w:top w:w="28" w:type="dxa"/>
          <w:left w:w="28" w:type="dxa"/>
          <w:bottom w:w="28" w:type="dxa"/>
          <w:right w:w="28" w:type="dxa"/>
        </w:tblCellMar>
      </w:tblPr>
      <w:tblGrid>
        <w:gridCol w:w="1335"/>
        <w:gridCol w:w="1175"/>
        <w:gridCol w:w="1179"/>
        <w:gridCol w:w="211"/>
        <w:gridCol w:w="361"/>
        <w:gridCol w:w="109"/>
        <w:gridCol w:w="109"/>
        <w:gridCol w:w="109"/>
        <w:gridCol w:w="109"/>
        <w:gridCol w:w="211"/>
        <w:gridCol w:w="361"/>
        <w:gridCol w:w="109"/>
        <w:gridCol w:w="109"/>
        <w:gridCol w:w="109"/>
        <w:gridCol w:w="109"/>
        <w:gridCol w:w="211"/>
        <w:gridCol w:w="43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1 - Observable inputs that reflect unadjusted quoted prices for identical assets or liabilities in active markets as of the reporting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not corroborated by market data and may be used with internally developed methodologies that result in management’s best estimate of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reported at fair value on a recurring basis on the Company’s consolidated balance sheets, including the Company’s commodity derivative instruments and the 2026 WTI 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fair values of the Company’s commodity derivative contracts are measured internally using established commodity futures price strips for the underlying commodity provided by a reputable third-party, the contracted notional volumes and time to maturity. </w:t>
      </w:r>
      <w:r>
        <w:rPr>
          <w:rFonts w:ascii="Times New Roman;serif" w:hAnsi="Times New Roman;serif"/>
          <w:b w:val="false"/>
          <w:color w:val="000000"/>
          <w:sz w:val="20"/>
          <w:shd w:fill="FFFFFF" w:val="clear"/>
        </w:rPr>
        <w:t xml:space="preserve">The net amounts are classified as current or noncurrent based on their anticipated settlement dates. The fair value of the </w:t>
      </w:r>
      <w:r>
        <w:rPr>
          <w:rFonts w:ascii="Times New Roman;serif" w:hAnsi="Times New Roman;serif"/>
          <w:b w:val="false"/>
          <w:color w:val="000000"/>
          <w:sz w:val="20"/>
        </w:rPr>
        <w:t>2026 WTI Contingent Liability</w:t>
      </w:r>
      <w:r>
        <w:rPr>
          <w:color w:val="000000"/>
          <w:shd w:fill="FFFFFF" w:val="clear"/>
        </w:rPr>
        <w:t xml:space="preserve"> </w:t>
      </w:r>
      <w:r>
        <w:rPr>
          <w:rFonts w:ascii="Times New Roman;serif" w:hAnsi="Times New Roman;serif"/>
          <w:b w:val="false"/>
          <w:color w:val="000000"/>
          <w:sz w:val="20"/>
          <w:shd w:fill="FFFFFF" w:val="clear"/>
        </w:rPr>
        <w:t>was estimated using observable market data and a Monte Carlo pricing model, which are considered Level 2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following tables provide (i) the consolidated balance sheet classification where the Company’s commodity derivative instrument assets and liabilities and </w:t>
      </w:r>
      <w:r>
        <w:rPr>
          <w:rFonts w:ascii="Times New Roman;serif" w:hAnsi="Times New Roman;serif"/>
          <w:b w:val="false"/>
          <w:color w:val="000000"/>
          <w:sz w:val="20"/>
        </w:rPr>
        <w:t>2026 WTI Contingent Liability are recorded, (</w:t>
      </w:r>
      <w:r>
        <w:rPr>
          <w:rFonts w:ascii="Times New Roman;serif" w:hAnsi="Times New Roman;serif"/>
          <w:b w:val="false"/>
          <w:color w:val="000000"/>
          <w:sz w:val="20"/>
          <w:shd w:fill="FFFFFF" w:val="clear"/>
        </w:rPr>
        <w:t xml:space="preserve">ii) fair value measurement information, (iii) </w:t>
      </w:r>
      <w:r>
        <w:rPr>
          <w:rFonts w:ascii="Times New Roman;serif" w:hAnsi="Times New Roman;serif"/>
          <w:b w:val="false"/>
          <w:color w:val="000000"/>
          <w:sz w:val="20"/>
        </w:rPr>
        <w:t xml:space="preserve">the gross amounts of recognized assets and liabilities, (iv) the amounts offset under master netting arrangements with counterparties, and (v) the resulting net amounts presented in the Company’s consolidated balance sheets </w:t>
      </w:r>
      <w:r>
        <w:rPr>
          <w:rFonts w:ascii="Times New Roman;serif" w:hAnsi="Times New Roman;serif"/>
          <w:b w:val="false"/>
          <w:color w:val="000000"/>
          <w:sz w:val="20"/>
          <w:shd w:fill="FFFFFF" w:val="clear"/>
        </w:rPr>
        <w:t>as of December 31, 2025, and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40"/>
        <w:gridCol w:w="650"/>
        <w:gridCol w:w="652"/>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12"/>
        <w:gridCol w:w="534"/>
        <w:gridCol w:w="161"/>
        <w:gridCol w:w="109"/>
        <w:gridCol w:w="109"/>
        <w:gridCol w:w="109"/>
        <w:gridCol w:w="426"/>
        <w:gridCol w:w="819"/>
        <w:gridCol w:w="222"/>
        <w:gridCol w:w="109"/>
        <w:gridCol w:w="109"/>
        <w:gridCol w:w="109"/>
        <w:gridCol w:w="433"/>
        <w:gridCol w:w="836"/>
        <w:gridCol w:w="325"/>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(2026 WTI Contingent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40"/>
        <w:gridCol w:w="650"/>
        <w:gridCol w:w="652"/>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12"/>
        <w:gridCol w:w="534"/>
        <w:gridCol w:w="161"/>
        <w:gridCol w:w="109"/>
        <w:gridCol w:w="109"/>
        <w:gridCol w:w="109"/>
        <w:gridCol w:w="426"/>
        <w:gridCol w:w="819"/>
        <w:gridCol w:w="222"/>
        <w:gridCol w:w="109"/>
        <w:gridCol w:w="109"/>
        <w:gridCol w:w="109"/>
        <w:gridCol w:w="460"/>
        <w:gridCol w:w="790"/>
        <w:gridCol w:w="344"/>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(2026 WTI Contingent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consolidated balance sheets:</w:t>
      </w:r>
    </w:p>
    <w:p>
      <w:pPr>
        <w:pStyle w:val="TextBody"/>
        <w:bidi w:val="0"/>
        <w:spacing w:before="0" w:after="0"/>
        <w:ind w:left="0" w:right="0" w:firstLine="720"/>
        <w:jc w:val="both"/>
        <w:rPr/>
      </w:pPr>
      <w:r>
        <w:rPr/>
      </w:r>
    </w:p>
    <w:tbl>
      <w:tblPr>
        <w:tblW w:w="6019" w:type="dxa"/>
        <w:jc w:val="left"/>
        <w:tblInd w:w="0" w:type="dxa"/>
        <w:tblLayout w:type="fixed"/>
        <w:tblCellMar>
          <w:top w:w="28" w:type="dxa"/>
          <w:left w:w="28" w:type="dxa"/>
          <w:bottom w:w="28" w:type="dxa"/>
          <w:right w:w="28" w:type="dxa"/>
        </w:tblCellMar>
      </w:tblPr>
      <w:tblGrid>
        <w:gridCol w:w="185"/>
        <w:gridCol w:w="162"/>
        <w:gridCol w:w="164"/>
        <w:gridCol w:w="294"/>
        <w:gridCol w:w="859"/>
        <w:gridCol w:w="152"/>
        <w:gridCol w:w="109"/>
        <w:gridCol w:w="109"/>
        <w:gridCol w:w="109"/>
        <w:gridCol w:w="211"/>
        <w:gridCol w:w="616"/>
        <w:gridCol w:w="109"/>
        <w:gridCol w:w="109"/>
        <w:gridCol w:w="109"/>
        <w:gridCol w:w="109"/>
        <w:gridCol w:w="294"/>
        <w:gridCol w:w="859"/>
        <w:gridCol w:w="152"/>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our current or previous revolving credit facility, as applicable, and the Term Loan approximate their carrying values based on borrowing rates available to the Company for bank loans with similar terms and maturities and are classified as Level 2 in the fair value hierarchy. The fair values of the Notes and Guaranteed Senior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636f90b9a2bf4a46ad5fe64678400ed7_118">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and Note 5—</w:t>
      </w:r>
      <w:hyperlink w:anchor="i636f90b9a2bf4a46ad5fe64678400ed7_127">
        <w:r>
          <w:rPr>
            <w:rStyle w:val="InternetLink"/>
            <w:rFonts w:ascii="Times New Roman;serif" w:hAnsi="Times New Roman;serif"/>
            <w:b w:val="false"/>
            <w:color w:val="0000FF"/>
            <w:sz w:val="20"/>
            <w:u w:val="single"/>
          </w:rPr>
          <w:t>Oil and Natural Gas Interests</w:t>
        </w:r>
      </w:hyperlink>
      <w:r>
        <w:rPr>
          <w:color w:val="000000"/>
        </w:rPr>
        <w:t xml:space="preserve"> </w:t>
      </w:r>
      <w:r>
        <w:rPr>
          <w:rFonts w:ascii="Times New Roman;serif" w:hAnsi="Times New Roman;serif"/>
          <w:b w:val="false"/>
          <w:color w:val="000000"/>
          <w:sz w:val="20"/>
        </w:rPr>
        <w:t>for further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other financial instruments consisting of cash and cash equivalents, royalty income receivable, income tax receivable, prepaid expenses and other current assets, accounts payable, accrued liabilities and income taxes payable. The carrying value of these instruments approximate their fair value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from time to time arising in the ordinary course of its business. While the ultimate outcome of any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18, 2026, our board of directors approved an increase to the Company’s annual base dividend to $1.52 per share of Class A Common Stock beginning with the dividend payable for the fourth quarter of 2025. Our board of directors further approved a cash dividend for the fourth quarter of 2025 of $0.52 per share of Class A Common Stock and $0.65 per OpCo Unit, in each case, payable on March 12, 2026, to holders of record at the close of business on March 5, 2026. The dividend on Class A Common Stock consists of a base quarterly dividend of $0.38 per share and a variable quarterly dividend of $0.14 per share.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Increase in Repurchase Program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18, 2026, our board of directors approved an increase in authorization under the Company’s existing repurchase program from $750 million to $1.75 billion, excluding excise tax. As of February 20, 2026, approximately $1.2 billion remains available for future repurchases under our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the Company divested all of its non-Permian assets, including those acquired from Sitio, to an affiliate of GRP Energy Capital LLC and Warwick Capital Partners LLP for net cash proceeds of approximately $617 million, subject to customary post-closing adjustments. The divested properties consisted of approximately 9,400 net royalty acres in the Denver-Julesburg, Eagle Ford and Williston basins with current production of approximately 4,750 BO/d. Proceeds from the divestiture were used to (i) repay the Company’s $500 million Term Loan in full, (ii) fully repay $90 million of then-outstanding borrowings under the 2025 Revolving Credit Facility, and (iii) for general corporate purposes.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the Company is managed on a consolidated basis as a single operating and reportable segment which is focused on owning and acquiring mineral and royalty interests primarily in the Permian Basin in West Texas. The Company’s operating segment primarily derives its revenue from customers through the receipt of royalty income on the sale of oil and natural gas products as well as other immaterial service contracts. See Note 3—</w:t>
      </w:r>
      <w:hyperlink w:anchor="i636f90b9a2bf4a46ad5fe64678400ed7_121">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Chief Operating Decision Maker (“CODM”) is a senior executive committee that is comprised of the Company’s Chief Executive Officer and President. The CODM uses the Company’s consolidated financial results to assess performance, allocate resources and make key operating decisions, obtaining the board’s approval as required. The measures of segment profit or loss and total assets utilized by the CODM are net income and total assets, as reported on the consolidated statements of operations and the consolidated balance sheets, respectively. The significant expense categories, their amounts and other segment items that are regularly provided to the CODM are those that are reported in the Company’s consolidated statements of operations as well as interest income and interest expense in Note 6—</w:t>
      </w:r>
      <w:hyperlink w:anchor="i636f90b9a2bf4a46ad5fe64678400ed7_13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SUPPLEMENTAL INFORMATION ON OIL AND NATURAL GAS OPERATIONS (Unaudited)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oil and natural gas reserves are attributable solely to properties within the United States.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Capitalized Oil and Natural Gas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Aggregate capitalized costs related to oil and natural gas production activities with applicable accumulated depreciation, depletion and amortization are as follows:</w:t>
      </w:r>
    </w:p>
    <w:p>
      <w:pPr>
        <w:pStyle w:val="TextBody"/>
        <w:bidi w:val="0"/>
        <w:spacing w:before="0" w:after="0"/>
        <w:ind w:left="0" w:right="0" w:firstLine="720"/>
        <w:jc w:val="both"/>
        <w:rPr/>
      </w:pPr>
      <w:r>
        <w:rPr/>
      </w:r>
    </w:p>
    <w:tbl>
      <w:tblPr>
        <w:tblW w:w="5964" w:type="dxa"/>
        <w:jc w:val="left"/>
        <w:tblInd w:w="0" w:type="dxa"/>
        <w:tblLayout w:type="fixed"/>
        <w:tblCellMar>
          <w:top w:w="28" w:type="dxa"/>
          <w:left w:w="28" w:type="dxa"/>
          <w:bottom w:w="28" w:type="dxa"/>
          <w:right w:w="28" w:type="dxa"/>
        </w:tblCellMar>
      </w:tblPr>
      <w:tblGrid>
        <w:gridCol w:w="1308"/>
        <w:gridCol w:w="1149"/>
        <w:gridCol w:w="1158"/>
        <w:gridCol w:w="211"/>
        <w:gridCol w:w="721"/>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interests: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interests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oil and natural gas interests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Costs Incurred in Oil and Natural Gas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incurred in oil and natural gas property acquisition activities are as follows:</w:t>
      </w:r>
    </w:p>
    <w:p>
      <w:pPr>
        <w:pStyle w:val="TextBody"/>
        <w:bidi w:val="0"/>
        <w:spacing w:before="0" w:after="0"/>
        <w:ind w:left="0" w:right="0" w:firstLine="720"/>
        <w:jc w:val="both"/>
        <w:rPr/>
      </w:pPr>
      <w:r>
        <w:rPr/>
      </w:r>
    </w:p>
    <w:tbl>
      <w:tblPr>
        <w:tblW w:w="5291" w:type="dxa"/>
        <w:jc w:val="left"/>
        <w:tblInd w:w="0" w:type="dxa"/>
        <w:tblLayout w:type="fixed"/>
        <w:tblCellMar>
          <w:top w:w="28" w:type="dxa"/>
          <w:left w:w="28" w:type="dxa"/>
          <w:bottom w:w="28" w:type="dxa"/>
          <w:right w:w="28" w:type="dxa"/>
        </w:tblCellMar>
      </w:tblPr>
      <w:tblGrid>
        <w:gridCol w:w="645"/>
        <w:gridCol w:w="568"/>
        <w:gridCol w:w="571"/>
        <w:gridCol w:w="211"/>
        <w:gridCol w:w="616"/>
        <w:gridCol w:w="109"/>
        <w:gridCol w:w="109"/>
        <w:gridCol w:w="109"/>
        <w:gridCol w:w="109"/>
        <w:gridCol w:w="211"/>
        <w:gridCol w:w="616"/>
        <w:gridCol w:w="109"/>
        <w:gridCol w:w="109"/>
        <w:gridCol w:w="109"/>
        <w:gridCol w:w="109"/>
        <w:gridCol w:w="211"/>
        <w:gridCol w:w="61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from Oil and Natural Gas Producing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Substantially all of the Company’s producing activities are from oil and natural gas activities and are included in the “—</w:t>
      </w:r>
      <w:hyperlink w:anchor="i636f90b9a2bf4a46ad5fe64678400ed7_103">
        <w:r>
          <w:rPr>
            <w:rStyle w:val="InternetLink"/>
            <w:rFonts w:ascii="Times New Roman;serif" w:hAnsi="Times New Roman;serif"/>
            <w:b w:val="false"/>
            <w:color w:val="0000FF"/>
            <w:sz w:val="20"/>
            <w:u w:val="single"/>
          </w:rPr>
          <w:t>Consolidated Statements of Operations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Proved oil and natural gas reserve estimates and their associated future net cash flows were prepared by the Company’s internal reservoir engineers and audited by Ryder Scott, independent petroleum engineers, as of December 31, 2025, 2024 and 2023. The reserve estimates represent the Company’s net revenue interest in the Company’s properties. Proved reserves were estimated in accordance with guidelines established by the SEC, which require that reserve estimates be prepared under existing economic and operating conditions based upon SEC Prices for the periods ended December 31, 2025, 2024 and 2023, respectively. Reserve estimates do not include any value for probable or possible reserves that may exist, nor do they include any value for undeveloped acreage. All of the Company’s proved reserves included in the reserve reports are located in the continental United States. Although the estimates are believed to be reasonable, actual future production, cash flows, taxes and quantities of recoverable oil and natural gas reserves may vary substantially from these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estimated proved reserves, which were prepared in accordance with the rules and regulations of the SEC:</w:t>
      </w:r>
    </w:p>
    <w:p>
      <w:pPr>
        <w:pStyle w:val="TextBody"/>
        <w:bidi w:val="0"/>
        <w:spacing w:before="0" w:after="0"/>
        <w:ind w:left="0" w:right="0" w:firstLine="720"/>
        <w:jc w:val="both"/>
        <w:rPr/>
      </w:pPr>
      <w:r>
        <w:rPr/>
      </w:r>
    </w:p>
    <w:tbl>
      <w:tblPr>
        <w:tblW w:w="10010" w:type="dxa"/>
        <w:jc w:val="left"/>
        <w:tblInd w:w="0" w:type="dxa"/>
        <w:tblLayout w:type="fixed"/>
        <w:tblCellMar>
          <w:top w:w="28" w:type="dxa"/>
          <w:left w:w="28" w:type="dxa"/>
          <w:bottom w:w="28" w:type="dxa"/>
          <w:right w:w="28" w:type="dxa"/>
        </w:tblCellMar>
      </w:tblPr>
      <w:tblGrid>
        <w:gridCol w:w="1331"/>
        <w:gridCol w:w="1168"/>
        <w:gridCol w:w="1175"/>
        <w:gridCol w:w="411"/>
        <w:gridCol w:w="415"/>
        <w:gridCol w:w="246"/>
        <w:gridCol w:w="109"/>
        <w:gridCol w:w="109"/>
        <w:gridCol w:w="109"/>
        <w:gridCol w:w="413"/>
        <w:gridCol w:w="413"/>
        <w:gridCol w:w="351"/>
        <w:gridCol w:w="109"/>
        <w:gridCol w:w="109"/>
        <w:gridCol w:w="109"/>
        <w:gridCol w:w="564"/>
        <w:gridCol w:w="564"/>
        <w:gridCol w:w="566"/>
        <w:gridCol w:w="109"/>
        <w:gridCol w:w="109"/>
        <w:gridCol w:w="109"/>
        <w:gridCol w:w="413"/>
        <w:gridCol w:w="413"/>
        <w:gridCol w:w="586"/>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Oil</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Natural Gas</w:t>
              <w:b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Natural Gas Liquids</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(MBOE)</w:t>
            </w:r>
            <w:r>
              <w:rPr>
                <w:rFonts w:ascii="Times New Roman;serif" w:hAnsi="Times New Roman;serif"/>
                <w:b/>
                <w:color w:val="000000"/>
                <w:sz w:val="12"/>
              </w:rPr>
              <w:t>(1)</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Proved Developed and Undeveloped Reserves:</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209,964 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34,902 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148,900 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18,977 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25,558 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89,903 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263,578 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45,416 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179,249 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33,498 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24,936 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93,563 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292,624 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53,540 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195,873 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336,127 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201,291 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90,973 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62,170 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(51,676)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193,206 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636,285 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106,781 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406,035 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Proved Developed Reserves: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221,462 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143,371 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253,271 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163,865 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512,302 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84,282 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316,702 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Proved Undeveloped Reserves: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35,878 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32,009 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123,983 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89,333 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total proved reserves of 219,259 MBOE, 94,019 MBOE, 91,417 MBOE and 81,895 MBOE as of December 31, 2025, 2024, 2023 and 2022, respectively, attributable to a non-controlling interest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Company’s total extensions and discoveries of 62,170 MBOE resulted primarily from the drilling of 1,497 new wells and from 1,071 new proved undeveloped locations added. The Company’s total downward revisions of previous estimated quantities of 18,570 MBOE were primarily attributable to negative revisions of (i) 11,481 MBOE associated with lower commodity prices, (ii) 4,722 MBOE due to PUD downgrades, and (iii) 2,367 MBOE primarily attributable to performance revisions. Total purchases of reserves in place of 201,291 MBOE resulted primarily from the Sitio Acquisition, the 2025 Drop Down, the Morita Ranches Acquisition and other acquisitions of certain mineral and royalty interests.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Company’s total extensions and discoveries of 24,936 MBOE resulted primarily from the drilling of 1,170 new wells and from 447 new proved undeveloped locations added. The Company’s total downward revisions of previous estimated quantities of 2,894 MBOE were primarily attributable to negative revisions of (i) 6,539 MBOE associated with lower commodity prices, and (ii) 2,936 MBOE due primarily to PUD downgrades partially offset by positive revisions of 6,580 MBOE primarily attributable to performance revisions. Total purchases of reserves in place of 14,941 MBOE resulted primarily from the Tumbleweed Acquisitions and other acquisitions of certain mineral and royalty interests. Divestitures of 2,138 MBOE related primarily to non-core mineral and royalty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Company’s total extensions and discoveries of 25,558 MBOE resulted primarily from the drilling of 904 new wells and from 179 new proved undeveloped locations added. The Company’s total positive revisions of previous estimated quantities of 138 MBOE consist of positive revisions of 5,688 MBOE primarily attributable to performance revisions which were largely offset by PUD downgrades of 5,548 MBOE. Total purchases of reserves in place of 18,977 MBOE resulted primarily from the GRP Acquisition and other acquisitions of certain mineral and royalty interests.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Proved Undeveloped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PUD reserves totaled 46,170 MBbls of oil, 123,983 MMcf of natural gas and 22,499 MBbls of natural gas liquids, for a total of 89,333 MBOE. PUDs will be converted from undeveloped to developed as the applicable wells begin production. The Company’s PUD reserves were from 1,653 horizontal wells, 61% of which are operated by Diamondback. Of the horizontal locations, 424 are Wolfcamp A wells, 415 are Wolfcamp B wells, 298 are Middle Spraberry/Jo Mill wells, 257 are Lower Spraberry wells, 82 are Bone Spring wells, 61 are Wolfcamp D wells, 47 are Dean wells, 46 are Barnett wells, 12 are Wolfcamp XY wells, eight are Wolfcamp C wells and three are Upper Spraberry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the changes in PUD reserves for 2025:</w:t>
      </w:r>
    </w:p>
    <w:p>
      <w:pPr>
        <w:pStyle w:val="TextBody"/>
        <w:bidi w:val="0"/>
        <w:spacing w:before="0" w:after="0"/>
        <w:ind w:left="0" w:right="0" w:firstLine="720"/>
        <w:jc w:val="both"/>
        <w:rPr/>
      </w:pPr>
      <w:r>
        <w:rPr/>
      </w:r>
    </w:p>
    <w:tbl>
      <w:tblPr>
        <w:tblW w:w="5927" w:type="dxa"/>
        <w:jc w:val="left"/>
        <w:tblInd w:w="0" w:type="dxa"/>
        <w:tblLayout w:type="fixed"/>
        <w:tblCellMar>
          <w:top w:w="28" w:type="dxa"/>
          <w:left w:w="28" w:type="dxa"/>
          <w:bottom w:w="28" w:type="dxa"/>
          <w:right w:w="28" w:type="dxa"/>
        </w:tblCellMar>
      </w:tblPr>
      <w:tblGrid>
        <w:gridCol w:w="1755"/>
        <w:gridCol w:w="1543"/>
        <w:gridCol w:w="1547"/>
        <w:gridCol w:w="396"/>
        <w:gridCol w:w="399"/>
        <w:gridCol w:w="287"/>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MBOE</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Beginning proved undeveloped reserves at December 31, 2024</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Undeveloped reserves transferred to developed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46,420 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Ending proved undeveloped reserves at December 31, 2025</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89,333 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PUD reserves was primarily attributable to positive additions of 46,420 MBOE, primarily from 1,071 new horizontal well locations attributable to extensions resulting from strategic drilling of wells to delineate the Company’s acreage position and acquisitions of 28,395 MBOE. These increases in PUD reserves were partially offset by the conversion of 11,848 MBOE of PUD reserves into proved developed reserves and downward revisions of 5,643 MBOE primarily attributable to PUD downgrades of 4,421 MBOE.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Company’s PUD drilling locations are scheduled to be drilled within five years from the date they were initially recorded. As of December 31, 2025, none of the Company’s total proved reserves were classified as proved developed non-producing.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Standardized Measure of Discounted Future Net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standardized measure of discounted future net cash flows is based on SEC Prices. The projections should not be viewed as realistic estimates of future cash flows, nor should the “standardized measure” be interpreted as representing current value to the Company. Material revisions to estimates of proved reserves may occur in the future due to development and production of the reserves not occurring in the periods assumed, as well as actual prices realized and actual costs incurred varying significantly from those used in the estimates of proved reserves.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standardized measure of discounted future net cash flows attributable to the Company’s proved oil and natural gas reserves as of December 31, 2025, 2024 and 2023:</w:t>
      </w:r>
    </w:p>
    <w:p>
      <w:pPr>
        <w:pStyle w:val="TextBody"/>
        <w:bidi w:val="0"/>
        <w:spacing w:before="0" w:after="0"/>
        <w:ind w:left="0" w:right="0" w:firstLine="720"/>
        <w:jc w:val="both"/>
        <w:rPr/>
      </w:pPr>
      <w:r>
        <w:rPr/>
      </w:r>
    </w:p>
    <w:tbl>
      <w:tblPr>
        <w:tblW w:w="8531" w:type="dxa"/>
        <w:jc w:val="left"/>
        <w:tblInd w:w="0" w:type="dxa"/>
        <w:tblLayout w:type="fixed"/>
        <w:tblCellMar>
          <w:top w:w="28" w:type="dxa"/>
          <w:left w:w="28" w:type="dxa"/>
          <w:bottom w:w="28" w:type="dxa"/>
          <w:right w:w="28" w:type="dxa"/>
        </w:tblCellMar>
      </w:tblPr>
      <w:tblGrid>
        <w:gridCol w:w="1780"/>
        <w:gridCol w:w="1561"/>
        <w:gridCol w:w="1578"/>
        <w:gridCol w:w="211"/>
        <w:gridCol w:w="721"/>
        <w:gridCol w:w="109"/>
        <w:gridCol w:w="109"/>
        <w:gridCol w:w="109"/>
        <w:gridCol w:w="109"/>
        <w:gridCol w:w="211"/>
        <w:gridCol w:w="616"/>
        <w:gridCol w:w="109"/>
        <w:gridCol w:w="109"/>
        <w:gridCol w:w="109"/>
        <w:gridCol w:w="109"/>
        <w:gridCol w:w="211"/>
        <w:gridCol w:w="616"/>
        <w:gridCol w:w="154"/>
      </w:tblGrid>
      <w:tr>
        <w:trPr/>
        <w:tc>
          <w:tcPr>
            <w:tcW w:w="178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cash inflows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production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net cash flows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 discount to reflect timing of cash flows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Standardized measure of discounted future net cash flows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 54%, 48% and 51% non-controlling interest in the Operating Company at December 31, 2025,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SEC Prices as adjusted for differentials and contractual arrangements utilized in the computation of future cash inflows:</w:t>
      </w:r>
    </w:p>
    <w:p>
      <w:pPr>
        <w:pStyle w:val="TextBody"/>
        <w:bidi w:val="0"/>
        <w:spacing w:before="0" w:after="0"/>
        <w:ind w:left="0" w:right="0" w:firstLine="720"/>
        <w:jc w:val="both"/>
        <w:rPr/>
      </w:pPr>
      <w:r>
        <w:rPr/>
      </w:r>
    </w:p>
    <w:tbl>
      <w:tblPr>
        <w:tblW w:w="5921" w:type="dxa"/>
        <w:jc w:val="left"/>
        <w:tblInd w:w="0" w:type="dxa"/>
        <w:tblLayout w:type="fixed"/>
        <w:tblCellMar>
          <w:top w:w="28" w:type="dxa"/>
          <w:left w:w="28" w:type="dxa"/>
          <w:bottom w:w="28" w:type="dxa"/>
          <w:right w:w="28" w:type="dxa"/>
        </w:tblCellMar>
      </w:tblPr>
      <w:tblGrid>
        <w:gridCol w:w="875"/>
        <w:gridCol w:w="764"/>
        <w:gridCol w:w="775"/>
        <w:gridCol w:w="211"/>
        <w:gridCol w:w="616"/>
        <w:gridCol w:w="109"/>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Principal changes in the standardized measure of discounted future net cash flows attributable to the Company’s proved reserves are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428"/>
        <w:gridCol w:w="2128"/>
        <w:gridCol w:w="2140"/>
        <w:gridCol w:w="211"/>
        <w:gridCol w:w="616"/>
        <w:gridCol w:w="109"/>
        <w:gridCol w:w="109"/>
        <w:gridCol w:w="109"/>
        <w:gridCol w:w="109"/>
        <w:gridCol w:w="211"/>
        <w:gridCol w:w="616"/>
        <w:gridCol w:w="109"/>
        <w:gridCol w:w="109"/>
        <w:gridCol w:w="109"/>
        <w:gridCol w:w="109"/>
        <w:gridCol w:w="211"/>
        <w:gridCol w:w="616"/>
        <w:gridCol w:w="156"/>
      </w:tblGrid>
      <w:tr>
        <w:trPr/>
        <w:tc>
          <w:tcPr>
            <w:tcW w:w="24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Standardized measure of discounted future net cash flows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minerals in place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oil and natural gas, net of production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prices and production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quantity estimates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timing of production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Standardized measure of discounted future net cash flows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 evaluation was performed under the supervision and with the participation of management, including our Chief Executive Officer and Chief Financial Officer, of the effectiveness of our disclosure controls and procedures pursuant to Rule 13a-15(b) under the Exchange Act. Based upon our evaluation, our Chief Executive Officer and Chief Financial Officer have concluded that, as of December 31, 2025, our disclosure controls and procedures are effective at the reasonable assurance level.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We are in the process of integrating the entities acquired in the Sitio Acquisition. As a result of these integration activities, certain controls will be evaluated and may be changed. Except as noted above, there have not been any changes in our internal control over financial reporting that occurred during the quarter ended December 31, 2025, that have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MANAGEMENT’S REPORT ON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purposes in accordance with generally accepted accounting principles.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2025. Under guidelines established by the SEC, companies are permitted to exclude acquisitions from their assessment of internal control over financial reporting during the first year of an acquisition while integrating the acquired company. Management’s assessment of, and conclusion on, the effectiveness of internal control over financial reporting did not include the internal controls of the entities acquired in the Sitio Acquisition on August 19, 2025. The total assets of Sitio represent approximately 32% of our consolidated total assets as of December 31, 2025, and the operating income of Sitio represent 12% of our total operating income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Grant Thornton LLP, the independent registered public accounting firm that audited the consolidated financial statements of the Company included in this Annual Report, has issued their report on the effectiveness of the Company’s internal control over financial reporting at December 31, 2025. The report, which expresses an unqualified opinion on the effectiveness of the Company’s internal control over financial reporting at December 31, 2025, is included in this Item under the heading “Report of Independent Registered Public Accounting Firm.”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Viper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Viper Energy, Inc. (a Delaware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of, and opinion on, the Company’s internal control over financial reporting does not include the internal control over financial reporting of the entities acquired in the Sitio Acquisition, whose financial statements reflect total assets and operating income constituting 32 and 12 percent, respectively, of the related consolidated financial statement amounts as of and for the year ended December 31, 2025. As indicated in Management’s Report, the entities acquired in the Sitio Acquisition were acquired during 2025. Management’s assertion on the effectiveness of the Company’s internal control over financial reporting excluded internal control over financial reporting of the entities acquired in the Sitio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Oklahoma City, Oklahoma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during our fiscal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10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We have also made the Code of Business Conduct and Ethics available on our website under the “Investors—Corporate Governance” section at https://www.viperenergy.com. We intend to satisfy the disclosure requirements under Item 5.05 of Form 8-K regarding an amendment to, or waiver from, a provision of the Code of Business Conduct and Ethics by posting such information on our website at the address specified above.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11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12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13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14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ind w:left="0" w:right="0" w:firstLine="720"/>
        <w:jc w:val="both"/>
        <w:rPr/>
      </w:pPr>
      <w:r>
        <w:rPr/>
      </w:r>
    </w:p>
    <w:tbl>
      <w:tblPr>
        <w:tblW w:w="5549" w:type="dxa"/>
        <w:jc w:val="left"/>
        <w:tblInd w:w="0" w:type="dxa"/>
        <w:tblLayout w:type="fixed"/>
        <w:tblCellMar>
          <w:top w:w="28" w:type="dxa"/>
          <w:left w:w="28" w:type="dxa"/>
          <w:bottom w:w="28" w:type="dxa"/>
          <w:right w:w="28" w:type="dxa"/>
        </w:tblCellMar>
      </w:tblPr>
      <w:tblGrid>
        <w:gridCol w:w="1675"/>
        <w:gridCol w:w="1477"/>
        <w:gridCol w:w="2397"/>
      </w:tblGrid>
      <w:tr>
        <w:trPr/>
        <w:tc>
          <w:tcPr>
            <w:tcW w:w="167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ind w:left="0" w:right="0" w:firstLine="45"/>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erif" w:hAnsi="Times New Roman;serif"/>
                <w:b w:val="false"/>
                <w:i/>
                <w:color w:val="000000"/>
                <w:sz w:val="20"/>
              </w:rPr>
            </w:pPr>
            <w:r>
              <w:rPr>
                <w:rFonts w:ascii="Times New Roman;serif" w:hAnsi="Times New Roman;serif"/>
                <w:b w:val="false"/>
                <w:i/>
                <w:color w:val="000000"/>
                <w:sz w:val="20"/>
              </w:rPr>
              <w:t>(a) Documents filed as a part of this Form 10-K</w:t>
            </w:r>
          </w:p>
        </w:tc>
      </w:tr>
      <w:tr>
        <w:trPr/>
        <w:tc>
          <w:tcPr>
            <w:tcW w:w="5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1 and 2. Financial Statements and Financial Statement Schedules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filed as part of this Annual Report on Form 10-K are listed in the accompanying index to financial statements and schedules under Part II, Item 8. Financial Statements and Supplementary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p>
      <w:pPr>
        <w:pStyle w:val="TextBody"/>
        <w:bidi w:val="0"/>
        <w:spacing w:before="0" w:after="0"/>
        <w:ind w:left="0" w:right="0" w:firstLine="720"/>
        <w:jc w:val="both"/>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3. Exhibits</w:t>
            </w:r>
          </w:p>
        </w:tc>
      </w:tr>
    </w:tbl>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654"/>
        <w:gridCol w:w="2617"/>
        <w:gridCol w:w="3728"/>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Equity Purchase Agreement, dated as of January 30, 2025, by and among Endeavor Energy Resources, LP, as seller, 1979 Royalties LP and 1979 Royalties GP, LLC, as companies, Viper Energy Partners LLC, as buyer, and Viper Energy, Inc., as parent (incorporated by reference to Exhibit 2.1 of the Company’s Current Report on Form 8-K (File No. 001-36505) filed on January 30, 2025).</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Agreement and Plan of Merger, dated as of June 2, 2025, by and among Former Viper, Viper Energy Partners LLC, Sitio Royalties Corp., Sitio Royalties Operating Partnership, LP, New Viper, Cobra Merger Sub, Inc. and Scorpion Merger Sub, Inc. (incorporated by reference to Exhibit 2.1 of Former Viper’s Current Report on Form 8-K (File No. 001-36505) filed on June 4, 2025).</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Omnibus Transaction Agreement, dated as of December 23, 2025, by and among Viper Energy Partners LLC, Sitio Permian, LP, Sitio Appalachia, LP, Sitio Nuevo, LP, Sitio Anadarko, LP, Moccasin Royalty LLC, Queen Snake Royalty LLC, King Snake Royalty LLC, 1979 Royalties GP, LLC, Mamba Royalty LP, 1979 Royalties, LP, VNOM Merger Sub LP and, with respect to Section 4 only, VNOM Holding Company LLC (incorporated by reference to Exhibit 2.1 of New Viper’s Current Report on Form 8-K (File No. 001-42807) filed on December 30, 2025).</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Amended and Restated Certificate of Incorporation of New Viper (incorporated by reference to Exhibit 3.1 of New Viper’s Current Report on Form 8-K12B (File No. 001-42807), filed on August 19, 2025).</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Certificate of Amendment to the Certificate of Incorporation of New Viper (incorporated by reference to Exhibit 3.2 of New Viper’s Current Report on Form 8-K12B (File No. 001-42807), filed on August 19, 2025).</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Second Amended and Restated Bylaws of New Viper (incorporated by reference to Exhibit 3.3 of New Viper’s Current Report on Form 10-Q (File No. 001-36505), filed on November 5, 2025).</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Description of Capital Stock (incorporated by reference to Exhibit 4.9 of New Viper’s Current Report on Form 8-K12B (File No. 001-42807), filed on August 19, 2025).</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Second Amended and Restated Registration Rights Agreement, dated as of November 10, 2023, effective as of November 13, 2023, by and between Viper Energy Partners LP and Diamondback Energy, Inc. (incorporated by reference to Exhibit 10.3 of Former Viper’s Current Report on form 8-K (File No. 001-36505) filed on November 13, 2023).</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Amended and Restated Registration Rights Agreement, dated as of January 30, 2025, by and among Former Viper, Tumbleweed Royalty IV, LLC and the other holders party thereto (incorporated by reference to Exhibit 4.4 of Former Viper’s Registration Statement on Form S-3 (File No. 333-286315) filed on April 1, 2025).</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Registration Rights Agreement, dated as of February 14, 2025, by and among Former Viper and certain affiliates of Morita Ranches Minerals, LLC (incorporated by reference to Exhibit 4.4 of Former Viper’s Annual Report on form 10-K (File No. 001-36505) filed on February 26, 2025).</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Registration Rights Agreement, dated August 19, 2025, between New Viper and certain holders of Sitio Opco Units (incorporated by reference to Exhibit 4.1 of New Viper’s Current Report on Form 8-K12B (File No. 001-42807), filed on August 19,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9"/>
        <w:gridCol w:w="299"/>
        <w:gridCol w:w="300"/>
        <w:gridCol w:w="109"/>
        <w:gridCol w:w="109"/>
        <w:gridCol w:w="109"/>
        <w:gridCol w:w="2837"/>
        <w:gridCol w:w="2517"/>
        <w:gridCol w:w="3586"/>
      </w:tblGrid>
      <w:tr>
        <w:trPr/>
        <w:tc>
          <w:tcPr>
            <w:tcW w:w="3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Exchange Agreement, dated as of February 14, 2025, by and among Former Viper, Viper Energy Partners LLC and certain affiliates of Morita Ranches Minerals, LLC (incorporated by reference to Exhibit 4.5 of Former Viper’s Annual Report on Form 10-K (File No. 001-36505) filed on February 26, 2025).</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Class B Common Stock Option Agreement, dated as of October 1, 2024, by and between Former Viper, Viper Energy Partners LLC and Tumbleweed Royalty IV, LLC (incorporated by reference to Exhibit 4.1 of Former Viper’s Current Report on Form 8-K (File No. 001-36505) filed on October 2, 2024).</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Second Amended and Restated Exchange Agreement, dated October 1, 2024, by and among Former Viper, Viper Energy Partners LLC, Diamondback E&amp;P LLC, Diamondback Energy, Inc. and Tumbleweed Royalty IV, LLC (incorporated by reference to Exhibit 4.2 of Former Viper’s Current Report on Form 8-K (File No. 001-36505) filed on October 2, 2024).</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Indenture, dated as of July 23, 2025, between Viper Energy Partners LLC and Computershare Trust Company, National Association, as Trustee (incorporated by reference to Exhibit 4.1 of Former Viper’s Current Report on Form 8-K (File No. 001-36505) filed on July 23, 2025).</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First Supplemental Indenture, dated as of July 23, 2025, by and among Viper Energy Partners LLC, Former Viper and Computershare Trust Company, National Association, as Trustee (including the form of the Notes) (incorporated by reference to Exhibit 4.2 of Former Viper’s Current Report on Form 8-K (File No. 001-36505) filed on July 23, 2025).</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Second Supplemental Indenture, dated as of August 19, 2025, by and among Viper Energy Partners LLC, New Viper and Computershare Trust Company, National Association (incorporated by reference to Exhibit 4.8 of New Viper’s Current Report on Form 8-K12B (File No. 001-42807), filed on August 19, 2025).</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Amended and Restated Limited Liability Company Agreement of VNOM Holding Company LLC, dated as of December 23, 2025, (incorporated by reference to Exhibit 10.1 of New Viper’s Current Report on Form 8-K (File No. 001-42807), filed on December 30, 2025).</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Services and Secondment Agreement, dated as of November 2, 2023, by and among Diamondback E&amp;P LLC, Viper Energy Partners LP, Viper Energy Partners GP LLC and Viper Energy Partners LLC (incorporated by reference to Exhibit 10.1 of Former Viper’s Current Report on Form 8-K, (File No. 001-36505) filed on November 2, 2023).</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Viper Energy, Inc. Amended and Restated 2014 Long-Term Incentive Plan (incorporated by reference to Exhibit 10.5 of Former Viper’s Current Report on Form 8-K (File No. 001-36505) filed on November 13, 2023).</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First Amendment to Amended and Restated 2014 Long-Term Incentive Plan (incorporated by reference to Exhibit 10.4 of Former Viper’s Annual Report on Form 10-K (File No. 001-36505) filed on February 22, 2024).</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"https://www.sec.gov/ix?doc=/Archives/edgar/data/1602065/000119312524113976/d796418ddef14a.htm" \l "toc796418_111"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Viper Energy, Inc. 2024 Amended and Restated Long-Term Incentive Plan (incorporated by reference to Appendix A of Former Viper’s Schedule DEF 14A (File No. 001-36505) filed on April 25, 2024).</w:t>
            </w:r>
            <w:r>
              <w:rPr>
                <w:rStyle w:val="InternetLink"/>
                <w:sz w:val="20"/>
                <w:u w:val="single"/>
                <w:b w:val="false"/>
                <w:rFonts w:ascii="Times New Roman;serif" w:hAnsi="Times New Roman;serif"/>
                <w:color w:val="0000FF"/>
              </w:rPr>
              <w:fldChar w:fldCharType="end"/>
            </w:r>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Form of Indemnification Agreement (incorporated by reference to Exhibit 10.4 of New Viper’s Current Report on Form 8-K12B (File No. 001-42807) filed on August 19, 2025).</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Form of Assignment and Assumption Agreement (incorporated by reference to Exhibit 10.3 of New Viper’s Current Report on Form 8-K12B (File No. 001-42807) filed on August 19, 2025).</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Amended and Restated Tax Sharing Agreement, dated as of November 10, 2023, effective as of November 13, 2023, by and between Former Viper and Diamondback Energy, Inc. (incorporated by reference to Exhibit 10.2 of Former Viper’s Current Report on Form 8-K (File No. 001-36505) filed on November 13, 2023).</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2024 Form of Time-based Restricted Stock Unit Agreement (incorporated by reference to Exhibit 10.7 of Former Viper’s Annual Report on Form 10-K (File No. 001-36505) filed on February 22, 2024).</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2024 Form of Performance-based Restricted Stock Unit Agreement (incorporated by reference to Exhibit 10.8 of Former Viper’s Annual Report on Form 10-K (File No. 001-36505) filed on February 22, 2024).</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2025 Form of Time-based Restricted Stock Unit Award Agreement (incorporated by reference to Exhibit 10.10 of Former Viper’s Annual Report on Form 10-K (File No. 001-36505) filed on February 26, 2025).</w:t>
              </w:r>
            </w:hyperlink>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2025 Form of Performance-based Restricted Stock Unit Agreement (incorporated by reference to Exhibit 10.11 of Former Viper’s Annual Report on Form 10-K (File No. 001-36505) filed on February 26, 2025).</w:t>
              </w:r>
            </w:hyperlink>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1013.htm">
              <w:r>
                <w:rPr>
                  <w:rStyle w:val="InternetLink"/>
                  <w:rFonts w:ascii="Times New Roman;serif" w:hAnsi="Times New Roman;serif"/>
                  <w:b w:val="false"/>
                  <w:color w:val="000080"/>
                  <w:sz w:val="20"/>
                  <w:u w:val="single"/>
                </w:rPr>
                <w:t>2026 Form of Time</w:t>
              </w:r>
            </w:hyperlink>
            <w:hyperlink w:anchor="viper202510-kxex1013.htm">
              <w:r>
                <w:rPr>
                  <w:rStyle w:val="InternetLink"/>
                  <w:rFonts w:ascii="Times New Roman;serif" w:hAnsi="Times New Roman;serif"/>
                  <w:b w:val="false"/>
                  <w:color w:val="000080"/>
                  <w:sz w:val="20"/>
                  <w:u w:val="single"/>
                </w:rPr>
                <w:t>-based</w:t>
              </w:r>
            </w:hyperlink>
            <w:hyperlink w:anchor="viper202510-kxex1013.htm">
              <w:r>
                <w:rPr>
                  <w:rStyle w:val="InternetLink"/>
                  <w:rFonts w:ascii="Times New Roman;serif" w:hAnsi="Times New Roman;serif"/>
                  <w:b w:val="false"/>
                  <w:color w:val="000080"/>
                  <w:sz w:val="20"/>
                  <w:u w:val="single"/>
                </w:rPr>
                <w:t xml:space="preserve"> Restricted Stock Unit Award Agreement.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36f90b9a2bf4a46ad5fe64678400ed7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4"/>
        <w:gridCol w:w="294"/>
        <w:gridCol w:w="295"/>
        <w:gridCol w:w="109"/>
        <w:gridCol w:w="109"/>
        <w:gridCol w:w="109"/>
        <w:gridCol w:w="2620"/>
        <w:gridCol w:w="2620"/>
        <w:gridCol w:w="3715"/>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1014.htm">
              <w:r>
                <w:rPr>
                  <w:rStyle w:val="InternetLink"/>
                  <w:rFonts w:ascii="Times New Roman;serif" w:hAnsi="Times New Roman;serif"/>
                  <w:b w:val="false"/>
                  <w:color w:val="000080"/>
                  <w:sz w:val="20"/>
                  <w:u w:val="single"/>
                </w:rPr>
                <w:t>2026 Form of Performance-</w:t>
              </w:r>
            </w:hyperlink>
            <w:hyperlink w:anchor="viper202510-kxex1014.htm">
              <w:r>
                <w:rPr>
                  <w:rStyle w:val="InternetLink"/>
                  <w:rFonts w:ascii="Times New Roman;serif" w:hAnsi="Times New Roman;serif"/>
                  <w:b w:val="false"/>
                  <w:color w:val="000080"/>
                  <w:sz w:val="20"/>
                  <w:u w:val="single"/>
                </w:rPr>
                <w:t>based</w:t>
              </w:r>
            </w:hyperlink>
            <w:hyperlink w:anchor="viper202510-kxex1014.htm">
              <w:r>
                <w:rPr>
                  <w:rStyle w:val="InternetLink"/>
                  <w:rFonts w:ascii="Times New Roman;serif" w:hAnsi="Times New Roman;serif"/>
                  <w:b w:val="false"/>
                  <w:color w:val="000080"/>
                  <w:sz w:val="20"/>
                  <w:u w:val="single"/>
                </w:rPr>
                <w:t xml:space="preserve"> Restricted Stock Unit Agreement.</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Credit Agreement, dated as of June 12, 2025, by and among Former Viper, the Borrower, the lenders and guarantors party thereto, and Wells Fargo Bank, National Association, as Administrative Agent (incorporated by reference to Exhibit 10.1 of Former Viper’s Current Report on Form 8-K (File No. 001-36505) filed on June 12, 2025).</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General Insider Trading Policy (incorporated by reference to Exhibit 19.1 of Former Viper’s Annual Report on Form 10-K (File No. 001-36505) filed on February 26, 2025).</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Sixth Amended and Restated Supplemental Policy Concerning Trading in Securities of the Company and its Subsidiaries by Certain Designated Persons (incorporated by reference to Exhibit 19.2 of Former Viper’s Annual Report on Form 10-K (File No. 001-36505) filed on February 26, 2025).</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211.htm">
              <w:r>
                <w:rPr>
                  <w:rStyle w:val="InternetLink"/>
                  <w:rFonts w:ascii="Times New Roman;serif" w:hAnsi="Times New Roman;serif"/>
                  <w:b w:val="false"/>
                  <w:color w:val="0000FF"/>
                  <w:sz w:val="20"/>
                  <w:u w:val="single"/>
                </w:rPr>
                <w:t>List of Significant Subsidiaries of Viper Energy Inc.</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221.htm">
              <w:r>
                <w:rPr>
                  <w:rStyle w:val="InternetLink"/>
                  <w:rFonts w:ascii="Times New Roman;serif" w:hAnsi="Times New Roman;serif"/>
                  <w:b w:val="false"/>
                  <w:color w:val="000080"/>
                  <w:sz w:val="20"/>
                  <w:u w:val="single"/>
                </w:rPr>
                <w:t>List of Issuers and Subsidiary Guarantors</w:t>
              </w:r>
            </w:hyperlink>
            <w:hyperlink w:anchor="viper202510-kxex221.htm">
              <w:r>
                <w:rPr>
                  <w:rStyle w:val="InternetLink"/>
                  <w:rFonts w:ascii="Times New Roman;serif" w:hAnsi="Times New Roman;serif"/>
                  <w:b w:val="false"/>
                  <w:color w:val="000080"/>
                  <w:sz w:val="20"/>
                  <w:u w:val="single"/>
                </w:rPr>
                <w:t>.</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231.htm">
              <w:r>
                <w:rPr>
                  <w:rStyle w:val="InternetLink"/>
                  <w:rFonts w:ascii="Times New Roman;serif" w:hAnsi="Times New Roman;serif"/>
                  <w:b w:val="false"/>
                  <w:color w:val="0000FF"/>
                  <w:sz w:val="20"/>
                  <w:u w:val="single"/>
                </w:rPr>
                <w:t>Consent of Grant Thornton LLP.</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232.htm">
              <w:r>
                <w:rPr>
                  <w:rStyle w:val="InternetLink"/>
                  <w:rFonts w:ascii="Times New Roman;serif" w:hAnsi="Times New Roman;serif"/>
                  <w:b w:val="false"/>
                  <w:color w:val="0000FF"/>
                  <w:sz w:val="20"/>
                  <w:u w:val="single"/>
                </w:rPr>
                <w:t>Consent of Ryder Scott Company, LP.</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311.htm">
              <w:r>
                <w:rPr>
                  <w:rStyle w:val="InternetLink"/>
                  <w:rFonts w:ascii="Times New Roman;serif" w:hAnsi="Times New Roman;serif"/>
                  <w:b w:val="false"/>
                  <w:color w:val="0000FF"/>
                  <w:sz w:val="20"/>
                  <w:u w:val="single"/>
                </w:rPr>
                <w:t>Certification of Chief Executive Officer pursuant to Rule 13a-14(a) promulgated under the Securities Exchange Act of 1934, as amended.</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312.htm">
              <w:r>
                <w:rPr>
                  <w:rStyle w:val="InternetLink"/>
                  <w:rFonts w:ascii="Times New Roman;serif" w:hAnsi="Times New Roman;serif"/>
                  <w:b w:val="false"/>
                  <w:color w:val="0000FF"/>
                  <w:sz w:val="20"/>
                  <w:u w:val="single"/>
                </w:rPr>
                <w:t>Certification of Chief Financial Officer pursuant to Rule 13a-14(a) promulgated under the Securities Exchange Act of 1934, as amended.</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321.htm">
              <w:r>
                <w:rPr>
                  <w:rStyle w:val="InternetLink"/>
                  <w:rFonts w:ascii="Times New Roman;serif" w:hAnsi="Times New Roman;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971.htm">
              <w:r>
                <w:rPr>
                  <w:rStyle w:val="InternetLink"/>
                  <w:rFonts w:ascii="Times New Roman;serif" w:hAnsi="Times New Roman;serif"/>
                  <w:b w:val="false"/>
                  <w:color w:val="000080"/>
                  <w:sz w:val="20"/>
                  <w:u w:val="single"/>
                </w:rPr>
                <w:t>Viper Energy, Inc. Clawback Policy</w:t>
              </w:r>
            </w:hyperlink>
            <w:hyperlink w:anchor="viper202510-kxex971.htm">
              <w:r>
                <w:rPr>
                  <w:rStyle w:val="InternetLink"/>
                  <w:rFonts w:ascii="Times New Roman;serif" w:hAnsi="Times New Roman;serif"/>
                  <w:b w:val="false"/>
                  <w:color w:val="000080"/>
                  <w:sz w:val="20"/>
                  <w:u w:val="single"/>
                </w:rPr>
                <w:t>.</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viper202510-kxex991.htm">
              <w:r>
                <w:rPr>
                  <w:rStyle w:val="InternetLink"/>
                  <w:rFonts w:ascii="Times New Roman;serif" w:hAnsi="Times New Roman;serif"/>
                  <w:b w:val="false"/>
                  <w:color w:val="0000FF"/>
                  <w:sz w:val="20"/>
                  <w:u w:val="single"/>
                </w:rPr>
                <w:t>Audit Report of Ryder Scott Company, L.P. dated January 13, 2026, with respect to an audit of the proved reserves, future production and income attributable to certain royalty interests of New Viper as of December 31, 2025.</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Registrant’s Annual Report on Form 10-K for the year ended December 31, 2025, formatted in Inline XBRL: (i) Consolidated Statements of Operations, (ii) Consolidated Balance Sheets, (iii) Consolidated Statement of Changes in Stockholders’ Equity, (iv) Consolidated Statements of Cash Flows, and (v) Notes to Consolidated Financial Statements.</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17"/>
        <w:gridCol w:w="2878"/>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(or similar attachments) have been omitted pursuant to Item 601(a)(5) of Regulation S-K and will be provided to the Securities and Exchange Commission upon request.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both"/>
        <w:rPr/>
      </w:pPr>
      <w:hyperlink w:anchor="i636f90b9a2bf4a46ad5fe64678400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515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315"/>
        <w:gridCol w:w="315"/>
        <w:gridCol w:w="315"/>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0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both"/>
        <w:rPr/>
      </w:pPr>
      <w:r>
        <w:rPr/>
      </w:r>
    </w:p>
    <w:tbl>
      <w:tblPr>
        <w:tblW w:w="8122" w:type="dxa"/>
        <w:jc w:val="left"/>
        <w:tblInd w:w="0" w:type="dxa"/>
        <w:tblLayout w:type="fixed"/>
        <w:tblCellMar>
          <w:top w:w="28" w:type="dxa"/>
          <w:left w:w="28" w:type="dxa"/>
          <w:bottom w:w="28" w:type="dxa"/>
          <w:right w:w="28" w:type="dxa"/>
        </w:tblCellMar>
      </w:tblPr>
      <w:tblGrid>
        <w:gridCol w:w="765"/>
        <w:gridCol w:w="672"/>
        <w:gridCol w:w="677"/>
        <w:gridCol w:w="109"/>
        <w:gridCol w:w="109"/>
        <w:gridCol w:w="109"/>
        <w:gridCol w:w="1234"/>
        <w:gridCol w:w="1234"/>
        <w:gridCol w:w="1251"/>
        <w:gridCol w:w="109"/>
        <w:gridCol w:w="109"/>
        <w:gridCol w:w="109"/>
        <w:gridCol w:w="475"/>
        <w:gridCol w:w="475"/>
        <w:gridCol w:w="68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Laurie H. Argo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Laurie H. Argo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Spencer D. Armour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Spencer D. Armour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Frank C.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Frank C.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 Wesley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 Wesley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L.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L.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10.13</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240"/>
        <w:ind w:left="0" w:right="0" w:firstLine="720"/>
        <w:jc w:val="right"/>
        <w:rPr/>
      </w:pPr>
      <w:r>
        <w:rPr/>
      </w:r>
    </w:p>
    <w:p>
      <w:pPr>
        <w:pStyle w:val="TextBody"/>
        <w:bidi w:val="0"/>
        <w:spacing w:lineRule="auto" w:line="240" w:before="0" w:after="240"/>
        <w:ind w:left="0" w:right="0" w:firstLine="720"/>
        <w:jc w:val="right"/>
        <w:rPr>
          <w:rFonts w:ascii="Times New Roman;serif" w:hAnsi="Times New Roman;serif"/>
          <w:b/>
          <w:i/>
          <w:color w:val="000000"/>
          <w:sz w:val="20"/>
        </w:rPr>
      </w:pPr>
      <w:r>
        <w:rPr>
          <w:rFonts w:ascii="Times New Roman;serif" w:hAnsi="Times New Roman;serif"/>
          <w:b/>
          <w:i/>
          <w:color w:val="000000"/>
          <w:sz w:val="20"/>
        </w:rPr>
        <w:t>Restricted Stock Unit Award (#) O-RSU26-___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VIPER ENERGY, INC.</w:t>
        <w:br/>
        <w:t>AMENDED AND RESTATED 2014 LONG TERM INCENTIVE PLAN</w:t>
        <w:br/>
        <w:t>RESTRICTED STOCK UNIT AWARD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IS TO CERTIFY that Viper Energy, Inc., a Delaware corporation (the </w:t>
      </w:r>
      <w:r>
        <w:rPr>
          <w:color w:val="000000"/>
        </w:rPr>
        <w:t>“</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granted you (</w:t>
      </w:r>
      <w:r>
        <w:rPr>
          <w:color w:val="000000"/>
        </w:rPr>
        <w:t>“</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time-based Restricted Stock Units under the Company’s 2024 Amended and Restated Long Term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846"/>
        <w:gridCol w:w="742"/>
        <w:gridCol w:w="747"/>
        <w:gridCol w:w="1369"/>
        <w:gridCol w:w="1301"/>
        <w:gridCol w:w="1239"/>
        <w:gridCol w:w="1158"/>
        <w:gridCol w:w="1158"/>
        <w:gridCol w:w="1645"/>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Name of Participant:</w:t>
            </w:r>
          </w:p>
        </w:tc>
        <w:tc>
          <w:tcPr>
            <w:tcW w:w="78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________________</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Number of Restricted </w:t>
            </w:r>
          </w:p>
          <w:p>
            <w:pPr>
              <w:pStyle w:val="TableContents"/>
              <w:bidi w:val="0"/>
              <w:spacing w:lineRule="auto" w:line="288"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Stock Units Granted:</w:t>
            </w:r>
          </w:p>
        </w:tc>
        <w:tc>
          <w:tcPr>
            <w:tcW w:w="78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_____________</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Date of Grant:</w:t>
            </w:r>
          </w:p>
        </w:tc>
        <w:tc>
          <w:tcPr>
            <w:tcW w:w="78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March 1, 2026</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Vesting Schedule and Payment/Settlement Dates:</w:t>
            </w:r>
          </w:p>
        </w:tc>
        <w:tc>
          <w:tcPr>
            <w:tcW w:w="7870" w:type="dxa"/>
            <w:gridSpan w:val="6"/>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Shares of Common Stock will vest on the Vesting Dates specified below and will be settled within 10 business days after each Vesting Date specified below (the date of such settlements, the “</w:t>
            </w:r>
            <w:r>
              <w:rPr>
                <w:rFonts w:ascii="Times New Roman;serif" w:hAnsi="Times New Roman;serif"/>
                <w:b/>
                <w:i/>
                <w:color w:val="000000"/>
                <w:sz w:val="24"/>
              </w:rPr>
              <w:t>Payment/Settlement Dates</w:t>
            </w:r>
            <w:r>
              <w:rPr>
                <w:color w:val="000000"/>
              </w:rPr>
              <w:t>”</w:t>
            </w:r>
            <w:r>
              <w:rPr>
                <w:rFonts w:ascii="Times New Roman;serif" w:hAnsi="Times New Roman;serif"/>
                <w:b w:val="false"/>
                <w:color w:val="000000"/>
                <w:sz w:val="24"/>
              </w:rPr>
              <w:t xml:space="preserve">). </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color w:val="000000"/>
                <w:sz w:val="24"/>
                <w:u w:val="single"/>
              </w:rPr>
            </w:pPr>
            <w:r>
              <w:rPr>
                <w:rFonts w:ascii="Times New Roman;serif" w:hAnsi="Times New Roman;serif"/>
                <w:b/>
                <w:color w:val="000000"/>
                <w:sz w:val="24"/>
                <w:u w:val="single"/>
              </w:rPr>
              <w:t>Vesting Date</w:t>
            </w:r>
          </w:p>
        </w:tc>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 Vested Shares</w:t>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2026</w:t>
            </w:r>
          </w:p>
        </w:tc>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w:t>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2027</w:t>
            </w:r>
          </w:p>
        </w:tc>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w:t>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2028</w:t>
            </w:r>
          </w:p>
        </w:tc>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w:t>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erif" w:hAnsi="Times New Roman;serif"/>
          <w:b w:val="false"/>
          <w:i/>
          <w:color w:val="000000"/>
          <w:sz w:val="24"/>
        </w:rPr>
        <w:t>Annex I</w:t>
      </w:r>
      <w:r>
        <w:rPr>
          <w:rFonts w:ascii="Times New Roman;serif" w:hAnsi="Times New Roman;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p>
                  </w:txbxContent>
                </v:textbox>
                <w10:wrap type="none"/>
              </v:rect>
            </w:pict>
          </mc:Fallback>
        </mc:AlternateContent>
      </w:r>
    </w:p>
    <w:p>
      <w:pPr>
        <w:pStyle w:val="TextBody"/>
        <w:bidi w:val="0"/>
        <w:spacing w:before="0" w:after="240"/>
        <w:ind w:left="0" w:right="0" w:firstLine="720"/>
        <w:jc w:val="both"/>
        <w:rPr/>
      </w:pPr>
      <w:r>
        <w:rPr/>
      </w:r>
    </w:p>
    <w:tbl>
      <w:tblPr>
        <w:tblW w:w="9720" w:type="dxa"/>
        <w:jc w:val="left"/>
        <w:tblInd w:w="0" w:type="dxa"/>
        <w:tblLayout w:type="fixed"/>
        <w:tblCellMar>
          <w:top w:w="28" w:type="dxa"/>
          <w:left w:w="28" w:type="dxa"/>
          <w:bottom w:w="28" w:type="dxa"/>
          <w:right w:w="28" w:type="dxa"/>
        </w:tblCellMar>
      </w:tblPr>
      <w:tblGrid>
        <w:gridCol w:w="1754"/>
        <w:gridCol w:w="1542"/>
        <w:gridCol w:w="1549"/>
        <w:gridCol w:w="1426"/>
        <w:gridCol w:w="1426"/>
        <w:gridCol w:w="2023"/>
      </w:tblGrid>
      <w:tr>
        <w:trPr/>
        <w:tc>
          <w:tcPr>
            <w:tcW w:w="17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4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VIPER ENERGY, INC.</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 Chief Executive Officer</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 2026</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Annex I</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2580"/>
                <wp:effectExtent l="0" t="0" r="0" b="0"/>
                <wp:wrapNone/>
                <wp:docPr id="100" name="Frame9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r>
                              <w:br w:type="page"/>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VIPER ENERGY, INC.</w:t>
        <w:br/>
        <w:t>2024 AMENDED AND RESTATED LONG TERM INCENTIVE PLAN</w:t>
        <w:br/>
        <w:t>RESTRICTED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Award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on the execution date of the Restricted Stock Unit Award Certificate to which it is attached (the “</w:t>
      </w:r>
      <w:r>
        <w:rPr>
          <w:rFonts w:ascii="Times New Roman;serif" w:hAnsi="Times New Roman;serif"/>
          <w:b/>
          <w:i/>
          <w:color w:val="000000"/>
          <w:sz w:val="24"/>
        </w:rPr>
        <w:t>Certificate</w:t>
      </w:r>
      <w:r>
        <w:rPr>
          <w:color w:val="000000"/>
        </w:rPr>
        <w:t>”</w:t>
      </w:r>
      <w:r>
        <w:rPr>
          <w:rFonts w:ascii="Times New Roman;serif" w:hAnsi="Times New Roman;serif"/>
          <w:b w:val="false"/>
          <w:color w:val="000000"/>
          <w:sz w:val="24"/>
        </w:rPr>
        <w:t>), by and between Viper Energy,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named in the Certificate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assumed the Viper Energy, Inc. 2024 Amended and Restated Long Term Incentive Plan (such plan, as it may be further amended or restated,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in connection with the merger transactions consummated with Sitio Royalties Corp. on August 19, 2025. The purpose of the Plan is to, among other things, attract, retain and motivate certain directors, employees and officers of the Company and its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Plan, the Committee has authorized the grant to Participant of the number of Restricted Stock Units set forth in the Certificate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color w:val="010000"/>
          <w:sz w:val="24"/>
        </w:rPr>
        <w:t>1.    </w:t>
      </w:r>
      <w:r>
        <w:rPr>
          <w:rFonts w:ascii="Times New Roman;serif" w:hAnsi="Times New Roman;serif"/>
          <w:b/>
          <w:color w:val="000000"/>
          <w:sz w:val="24"/>
        </w:rPr>
        <w:t>Basis for Award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Award is made pursuant to Section 6(d)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88" w:before="0" w:after="240"/>
        <w:ind w:left="0" w:right="0" w:firstLine="720"/>
        <w:jc w:val="both"/>
        <w:rPr/>
      </w:pPr>
      <w:r>
        <w:rPr>
          <w:rFonts w:ascii="Times New Roman;serif" w:hAnsi="Times New Roman;serif"/>
          <w:b/>
          <w:color w:val="010000"/>
          <w:sz w:val="24"/>
        </w:rPr>
        <w:t>2.    </w:t>
      </w:r>
      <w:r>
        <w:rPr>
          <w:rFonts w:ascii="Times New Roman;serif" w:hAnsi="Times New Roman;serif"/>
          <w:b/>
          <w:color w:val="000000"/>
          <w:sz w:val="24"/>
        </w:rPr>
        <w:t>Restricted Stock Units Awarded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2.1    </w:t>
      </w:r>
      <w:r>
        <w:rPr>
          <w:rFonts w:ascii="Times New Roman;serif" w:hAnsi="Times New Roman;serif"/>
          <w:b w:val="false"/>
          <w:color w:val="000000"/>
          <w:sz w:val="24"/>
        </w:rPr>
        <w:t>The Company hereby grants to Participant the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w:t>
      </w:r>
    </w:p>
    <w:p>
      <w:pPr>
        <w:pStyle w:val="TextBody"/>
        <w:bidi w:val="0"/>
        <w:spacing w:lineRule="auto" w:line="288" w:before="0" w:after="240"/>
        <w:ind w:left="0" w:right="0" w:firstLine="1440"/>
        <w:jc w:val="both"/>
        <w:rPr/>
      </w:pPr>
      <w:r>
        <w:rPr>
          <w:rFonts w:ascii="Times New Roman;serif" w:hAnsi="Times New Roman;serif"/>
          <w:b w:val="false"/>
          <w:color w:val="010000"/>
          <w:sz w:val="24"/>
        </w:rPr>
        <w:t>2.2    </w:t>
      </w:r>
      <w:r>
        <w:rPr>
          <w:rFonts w:ascii="Times New Roman;serif" w:hAnsi="Times New Roman;serif"/>
          <w:b w:val="false"/>
          <w:color w:val="000000"/>
          <w:sz w:val="24"/>
        </w:rPr>
        <w:t>The Company will, in accordance with the Plan, establish and maintain an account (the “</w:t>
      </w:r>
      <w:r>
        <w:rPr>
          <w:rFonts w:ascii="Times New Roman;serif" w:hAnsi="Times New Roman;serif"/>
          <w:b/>
          <w:i/>
          <w:color w:val="000000"/>
          <w:sz w:val="24"/>
        </w:rPr>
        <w:t>Restricted Stock Unit Account</w:t>
      </w:r>
      <w:r>
        <w:rPr>
          <w:color w:val="000000"/>
        </w:rPr>
        <w:t>”</w:t>
      </w:r>
      <w:r>
        <w:rPr>
          <w:rFonts w:ascii="Times New Roman;serif" w:hAnsi="Times New Roman;serif"/>
          <w:b w:val="false"/>
          <w:color w:val="000000"/>
          <w:sz w:val="24"/>
        </w:rPr>
        <w:t>) for Participant, and will credit such account for the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lineRule="auto" w:line="288" w:before="0" w:after="240"/>
        <w:ind w:left="0" w:right="0" w:firstLine="720"/>
        <w:jc w:val="both"/>
        <w:rPr/>
      </w:pPr>
      <w:r>
        <w:rPr>
          <w:rFonts w:ascii="Times New Roman;serif" w:hAnsi="Times New Roman;serif"/>
          <w:b/>
          <w:color w:val="010000"/>
          <w:sz w:val="24"/>
        </w:rPr>
        <w:t>3.    </w:t>
      </w:r>
      <w:r>
        <w:rPr>
          <w:rFonts w:ascii="Times New Roman;serif" w:hAnsi="Times New Roman;serif"/>
          <w:b/>
          <w:color w:val="000000"/>
          <w:sz w:val="24"/>
        </w:rPr>
        <w:t>Vesting</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7050"/>
                <wp:effectExtent l="0" t="0" r="0" b="0"/>
                <wp:wrapNone/>
                <wp:docPr id="101" name="Frame100"/>
                <a:graphic xmlns:a="http://schemas.openxmlformats.org/drawingml/2006/main">
                  <a:graphicData uri="http://schemas.microsoft.com/office/word/2010/wordprocessingShape">
                    <wps:wsp>
                      <wps:cNvSpPr txBox="1"/>
                      <wps:spPr>
                        <a:xfrm>
                          <a:off x="0" y="0"/>
                          <a:ext cx="6480175" cy="527050"/>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3.1    </w:t>
      </w:r>
      <w:r>
        <w:rPr>
          <w:rFonts w:ascii="Times New Roman;serif" w:hAnsi="Times New Roman;serif"/>
          <w:b w:val="false"/>
          <w:color w:val="000000"/>
          <w:sz w:val="24"/>
        </w:rPr>
        <w:t>The Restricted Stock Units will vest pursuant to the Vesting Schedule set forth in the Certificate. Except as otherwise provided in a severance plan participation agreement between Participant and the Company or an Affiliate (a “</w:t>
      </w:r>
      <w:r>
        <w:rPr>
          <w:rFonts w:ascii="Times New Roman;serif" w:hAnsi="Times New Roman;serif"/>
          <w:b/>
          <w:i/>
          <w:color w:val="000000"/>
          <w:sz w:val="24"/>
        </w:rPr>
        <w:t>Severance Agreement</w:t>
      </w:r>
      <w:r>
        <w:rPr>
          <w:color w:val="000000"/>
        </w:rPr>
        <w:t>”</w:t>
      </w:r>
      <w:r>
        <w:rPr>
          <w:rFonts w:ascii="Times New Roman;serif" w:hAnsi="Times New Roman;serif"/>
          <w:b w:val="false"/>
          <w:color w:val="000000"/>
          <w:sz w:val="24"/>
        </w:rPr>
        <w:t xml:space="preserve">)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3.2    </w:t>
      </w:r>
      <w:r>
        <w:rPr>
          <w:rFonts w:ascii="Times New Roman;serif" w:hAnsi="Times New Roman;serif"/>
          <w:b w:val="false"/>
          <w:color w:val="000000"/>
          <w:sz w:val="24"/>
        </w:rPr>
        <w:t>Except as otherwise provided in a Severance Agreement, in the event of a termination of Participant’s Continuous Service (as defined below) (a) by the Company or an Affiliate other than for Cause (as defined below) (and not as a result of Participant’s death or Disability (as defined below)) or (b) as a result of Participant’s resignation for Good Reason (as defined in the Diamondback Energy, Inc. (“</w:t>
      </w:r>
      <w:r>
        <w:rPr>
          <w:rFonts w:ascii="Times New Roman;serif" w:hAnsi="Times New Roman;serif"/>
          <w:b/>
          <w:i/>
          <w:color w:val="000000"/>
          <w:sz w:val="24"/>
        </w:rPr>
        <w:t>Diamondback</w:t>
      </w:r>
      <w:r>
        <w:rPr>
          <w:color w:val="000000"/>
        </w:rPr>
        <w:t>”</w:t>
      </w:r>
      <w:r>
        <w:rPr>
          <w:rFonts w:ascii="Times New Roman;serif" w:hAnsi="Times New Roman;serif"/>
          <w:b w:val="false"/>
          <w:color w:val="000000"/>
          <w:sz w:val="24"/>
        </w:rPr>
        <w:t>) Amended and Restated Senior Management Severance Plan, as may be further amended or otherwise modified from time to time), in either case, upon the consummation of or within 24 months after the occurrence of a Change of Control, (an “</w:t>
      </w:r>
      <w:r>
        <w:rPr>
          <w:rFonts w:ascii="Times New Roman;serif" w:hAnsi="Times New Roman;serif"/>
          <w:b/>
          <w:i/>
          <w:color w:val="000000"/>
          <w:sz w:val="24"/>
        </w:rPr>
        <w:t>Acceleration Event</w:t>
      </w:r>
      <w:r>
        <w:rPr>
          <w:color w:val="000000"/>
        </w:rPr>
        <w:t>”</w:t>
      </w:r>
      <w:r>
        <w:rPr>
          <w:rFonts w:ascii="Times New Roman;serif" w:hAnsi="Times New Roman;serif"/>
          <w:b w:val="false"/>
          <w:color w:val="000000"/>
          <w:sz w:val="24"/>
        </w:rPr>
        <w:t xml:space="preserve">), the unvested Restricted Stock Units, including any unpaid Dividend Equivalents credited to the Restricted Stock Unit Account, will vest immediately upon the occurrence of an Acceleration Event.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3.3    </w:t>
      </w:r>
      <w:r>
        <w:rPr>
          <w:rFonts w:ascii="Times New Roman;serif" w:hAnsi="Times New Roman;serif"/>
          <w:b w:val="false"/>
          <w:color w:val="000000"/>
          <w:sz w:val="24"/>
        </w:rPr>
        <w:t>Except as otherwise provided in a Severance Agreement, upon a termination of Participant’s Continuous 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pStyle w:val="TextBody"/>
        <w:bidi w:val="0"/>
        <w:spacing w:lineRule="auto" w:line="288" w:before="0" w:after="240"/>
        <w:ind w:left="0" w:right="0" w:firstLine="1440"/>
        <w:jc w:val="both"/>
        <w:rPr/>
      </w:pPr>
      <w:r>
        <w:rPr>
          <w:rFonts w:ascii="Times New Roman;serif" w:hAnsi="Times New Roman;serif"/>
          <w:b w:val="false"/>
          <w:color w:val="010000"/>
          <w:sz w:val="24"/>
        </w:rPr>
        <w:t>3.4    </w:t>
      </w:r>
      <w:r>
        <w:rPr>
          <w:rFonts w:ascii="Times New Roman;serif" w:hAnsi="Times New Roman;serif"/>
          <w:b w:val="false"/>
          <w:color w:val="000000"/>
          <w:sz w:val="24"/>
        </w:rPr>
        <w:t xml:space="preserve">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3.5    </w:t>
      </w:r>
      <w:r>
        <w:rPr>
          <w:rFonts w:ascii="Times New Roman;serif" w:hAnsi="Times New Roman;serif"/>
          <w:b w:val="false"/>
          <w:color w:val="000000"/>
          <w:sz w:val="24"/>
        </w:rPr>
        <w:t>For purposes of this Agreement, the following terms shall have the meanings set forth below:</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3.5.1    </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means (i) if Participant is a party to a severance plan participation agreement with the Company or its Affiliates and such agreement provides for a definition of Cause, as defined therein and (ii) if no such agreement exists or Cause is not otherwise defined therein: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Committee, in its absolute discretion, shall determine the effect of all matters and questions relating to whether a Participant has been discharged for Cause.</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3.5.2    </w:t>
      </w:r>
      <w:r>
        <w:rPr>
          <w:color w:val="000000"/>
        </w:rPr>
        <w:t>“</w:t>
      </w:r>
      <w:r>
        <w:rPr>
          <w:rFonts w:ascii="Times New Roman;serif" w:hAnsi="Times New Roman;serif"/>
          <w:b/>
          <w:i/>
          <w:color w:val="000000"/>
          <w:sz w:val="24"/>
        </w:rPr>
        <w:t>Continuous Service</w:t>
      </w:r>
      <w:r>
        <w:rPr>
          <w:color w:val="000000"/>
        </w:rPr>
        <w:t xml:space="preserve">” </w:t>
      </w:r>
      <w:r>
        <w:rPr>
          <w:rFonts w:ascii="Times New Roman;serif" w:hAnsi="Times New Roman;serif"/>
          <w:b w:val="false"/>
          <w:color w:val="000000"/>
          <w:sz w:val="24"/>
        </w:rPr>
        <w:t xml:space="preserve">means that Participant’s service with the Company or an Affiliate (including, without limitation, Diamondback and any of its subsidiaries), whether as an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98475"/>
                <wp:effectExtent l="0" t="0" r="0" b="0"/>
                <wp:wrapNone/>
                <wp:docPr id="102" name="Frame10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Director or Consultant, is not interrupted or terminated. Participant’s Continuous Service will not be deemed to have terminated merely because of a change in the capacity in which Participant renders service to the Company or an Affiliate as an Employee, Director or Consultant or a change in the entity for which Participant renders such service, so long as there is no interruption or termination of Participant’s Continuous Service. For example, a change in status from an Employee of the Company to a Consultant of an Affiliate or a Director will not constitute an interruption of Continuous Service. The Committee or its delegate, in its sole discretion, may determine whether Continuous Service will be considered interrupted in the case of any leave of absence approved by that party, including sick leave, military leave or any other personal or family leave of absence.</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3.5.3    </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means Participant’s inability to substantially perform Participant’s duties to the Company or any Affiliate by reason of a medically determinable physical or mental impairment that is expected to last for a period of six months or longer or to result in death. The Committee will determine whether Participant has a Disability under procedures established by the Committee, and the Committee may rely on any determination that Participant is disabled for purposes of benefits under any long-term disability plan maintained by the Company or any Affiliate in which Participant participates.</w:t>
      </w:r>
    </w:p>
    <w:p>
      <w:pPr>
        <w:pStyle w:val="TextBody"/>
        <w:bidi w:val="0"/>
        <w:spacing w:lineRule="auto" w:line="288" w:before="0" w:after="240"/>
        <w:ind w:left="0" w:right="0" w:firstLine="720"/>
        <w:jc w:val="both"/>
        <w:rPr/>
      </w:pPr>
      <w:r>
        <w:rPr>
          <w:rFonts w:ascii="Times New Roman;serif" w:hAnsi="Times New Roman;serif"/>
          <w:b/>
          <w:color w:val="010000"/>
          <w:sz w:val="24"/>
        </w:rPr>
        <w:t>4.    </w:t>
      </w:r>
      <w:r>
        <w:rPr>
          <w:rFonts w:ascii="Times New Roman;serif" w:hAnsi="Times New Roman;serif"/>
          <w:b/>
          <w:color w:val="000000"/>
          <w:sz w:val="24"/>
        </w:rPr>
        <w:t>Dividend Equivalents</w:t>
      </w:r>
      <w:r>
        <w:rPr>
          <w:rFonts w:ascii="Times New Roman;serif" w:hAnsi="Times New Roman;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Times New Roman;serif" w:hAnsi="Times New Roman;serif"/>
          <w:b/>
          <w:i/>
          <w:color w:val="000000"/>
          <w:sz w:val="24"/>
        </w:rPr>
        <w:t>Dividend Equivalents</w:t>
      </w:r>
      <w:r>
        <w:rPr>
          <w:color w:val="000000"/>
        </w:rPr>
        <w:t>”</w:t>
      </w:r>
      <w:r>
        <w:rPr>
          <w:rFonts w:ascii="Times New Roman;serif" w:hAnsi="Times New Roman;serif"/>
          <w:b w:val="false"/>
          <w:color w:val="000000"/>
          <w:sz w:val="24"/>
        </w:rPr>
        <w:t>). Except as otherwise provided in Section 3, Dividend Equivalents will vest and be paid to Participant on the dividend payment date if Participant is in Continuous Service or otherwise holds Restricted Stock Units that are vested but have not been settled on the dividend payment date declared by the Company.</w:t>
      </w:r>
    </w:p>
    <w:p>
      <w:pPr>
        <w:pStyle w:val="TextBody"/>
        <w:bidi w:val="0"/>
        <w:spacing w:lineRule="auto" w:line="288" w:before="0" w:after="240"/>
        <w:ind w:left="0" w:right="0" w:firstLine="720"/>
        <w:jc w:val="both"/>
        <w:rPr/>
      </w:pPr>
      <w:r>
        <w:rPr>
          <w:rFonts w:ascii="Times New Roman;serif" w:hAnsi="Times New Roman;serif"/>
          <w:b/>
          <w:color w:val="010000"/>
          <w:sz w:val="24"/>
        </w:rPr>
        <w:t>5.    </w:t>
      </w:r>
      <w:r>
        <w:rPr>
          <w:rFonts w:ascii="Times New Roman;serif" w:hAnsi="Times New Roman;serif"/>
          <w:b/>
          <w:color w:val="000000"/>
          <w:sz w:val="24"/>
        </w:rPr>
        <w:t>Payment/Settlement</w:t>
      </w:r>
      <w:r>
        <w:rPr>
          <w:rFonts w:ascii="Times New Roman;serif" w:hAnsi="Times New Roman;serif"/>
          <w:b w:val="false"/>
          <w:color w:val="000000"/>
          <w:sz w:val="24"/>
        </w:rPr>
        <w:t xml:space="preserve">.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Committee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98475"/>
                <wp:effectExtent l="0" t="0" r="0" b="0"/>
                <wp:wrapNone/>
                <wp:docPr id="103" name="Frame10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securities, other property or amounts nominally credited to the Restricted Stock Unit Account other than Restricted Stock Units will be paid in kind or, in the Committee’s discretion, in cash.</w:t>
      </w:r>
    </w:p>
    <w:p>
      <w:pPr>
        <w:pStyle w:val="TextBody"/>
        <w:bidi w:val="0"/>
        <w:spacing w:lineRule="auto" w:line="288" w:before="0" w:after="240"/>
        <w:ind w:left="0" w:right="0" w:firstLine="720"/>
        <w:jc w:val="both"/>
        <w:rPr/>
      </w:pPr>
      <w:r>
        <w:rPr>
          <w:rFonts w:ascii="Times New Roman;serif" w:hAnsi="Times New Roman;serif"/>
          <w:b/>
          <w:color w:val="010000"/>
          <w:sz w:val="24"/>
        </w:rPr>
        <w:t>6.    </w:t>
      </w:r>
      <w:r>
        <w:rPr>
          <w:rFonts w:ascii="Times New Roman;serif" w:hAnsi="Times New Roman;serif"/>
          <w:b/>
          <w:color w:val="000000"/>
          <w:sz w:val="24"/>
        </w:rPr>
        <w:t>Compliance with Laws and Regulations</w:t>
      </w:r>
      <w:r>
        <w:rPr>
          <w:rFonts w:ascii="Times New Roman;serif" w:hAnsi="Times New Roman;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any state securities commission, foreign securities regulatory authority, or any securities exchange to effect such compliance.</w:t>
      </w:r>
    </w:p>
    <w:p>
      <w:pPr>
        <w:pStyle w:val="TextBody"/>
        <w:bidi w:val="0"/>
        <w:spacing w:lineRule="auto" w:line="288" w:before="0" w:after="240"/>
        <w:ind w:left="0" w:right="0" w:firstLine="720"/>
        <w:jc w:val="both"/>
        <w:rPr/>
      </w:pPr>
      <w:r>
        <w:rPr>
          <w:rFonts w:ascii="Times New Roman;serif" w:hAnsi="Times New Roman;serif"/>
          <w:b/>
          <w:color w:val="010000"/>
          <w:sz w:val="24"/>
        </w:rPr>
        <w:t>7.    </w:t>
      </w:r>
      <w:r>
        <w:rPr>
          <w:rFonts w:ascii="Times New Roman;serif" w:hAnsi="Times New Roman;serif"/>
          <w:b/>
          <w:color w:val="000000"/>
          <w:sz w:val="24"/>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7.1    </w:t>
      </w:r>
      <w:r>
        <w:rPr>
          <w:rFonts w:ascii="Times New Roman;serif" w:hAnsi="Times New Roman;serif"/>
          <w:b w:val="false"/>
          <w:color w:val="000000"/>
          <w:sz w:val="24"/>
        </w:rPr>
        <w:t>As a condition to payment under Section 5 hereof, Participant agrees that on or before the Payment/Settlement Date or such other date as required by the Committee,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88" w:before="0" w:after="240"/>
        <w:ind w:left="0" w:right="0" w:firstLine="1440"/>
        <w:jc w:val="both"/>
        <w:rPr/>
      </w:pPr>
      <w:r>
        <w:rPr>
          <w:rFonts w:ascii="Times New Roman;serif" w:hAnsi="Times New Roman;serif"/>
          <w:b w:val="false"/>
          <w:color w:val="010000"/>
          <w:sz w:val="24"/>
        </w:rPr>
        <w:t>7.2    </w:t>
      </w:r>
      <w:r>
        <w:rPr>
          <w:rFonts w:ascii="Times New Roman;serif" w:hAnsi="Times New Roman;serif"/>
          <w:b w:val="false"/>
          <w:color w:val="000000"/>
          <w:sz w:val="24"/>
        </w:rPr>
        <w:t>Participant acknowledges that the amounts due under this Section 7 will be paid to the Company by the Company retaining such number of shares of Common Stock that otherwise would have been delivered to Participant upon settlement having a Fair Market Value on the applicable Payment/Settlement Date equal to such amounts due under this Section 7, or such amounts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88" w:before="0" w:after="240"/>
        <w:ind w:left="0" w:right="0" w:firstLine="720"/>
        <w:jc w:val="both"/>
        <w:rPr/>
      </w:pPr>
      <w:r>
        <w:rPr>
          <w:rFonts w:ascii="Times New Roman;serif" w:hAnsi="Times New Roman;serif"/>
          <w:b/>
          <w:color w:val="010000"/>
          <w:sz w:val="24"/>
        </w:rPr>
        <w:t>8.    </w:t>
      </w:r>
      <w:r>
        <w:rPr>
          <w:rFonts w:ascii="Times New Roman;serif" w:hAnsi="Times New Roman;serif"/>
          <w:b/>
          <w:color w:val="000000"/>
          <w:sz w:val="24"/>
        </w:rPr>
        <w:t>Not Transferrable</w:t>
      </w:r>
      <w:r>
        <w:rPr>
          <w:rFonts w:ascii="Times New Roman;serif" w:hAnsi="Times New Roman;serif"/>
          <w:b w:val="false"/>
          <w:color w:val="000000"/>
          <w:sz w:val="24"/>
        </w:rPr>
        <w:t xml:space="preserve">.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98475"/>
                <wp:effectExtent l="0" t="0" r="0" b="0"/>
                <wp:wrapNone/>
                <wp:docPr id="104" name="Frame10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Equivalents credited to the Restricted Stock Unit Account will remain subject to the terms of the Plan, the Certificate and this Agreement. </w:t>
      </w:r>
    </w:p>
    <w:p>
      <w:pPr>
        <w:pStyle w:val="TextBody"/>
        <w:bidi w:val="0"/>
        <w:spacing w:lineRule="auto" w:line="288" w:before="0" w:after="240"/>
        <w:ind w:left="0" w:right="0" w:firstLine="720"/>
        <w:jc w:val="both"/>
        <w:rPr/>
      </w:pPr>
      <w:r>
        <w:rPr>
          <w:rFonts w:ascii="Times New Roman;serif" w:hAnsi="Times New Roman;serif"/>
          <w:b/>
          <w:color w:val="010000"/>
          <w:sz w:val="24"/>
        </w:rPr>
        <w:t>9.    </w:t>
      </w:r>
      <w:r>
        <w:rPr>
          <w:rFonts w:ascii="Times New Roman;serif" w:hAnsi="Times New Roman;serif"/>
          <w:b/>
          <w:color w:val="000000"/>
          <w:sz w:val="24"/>
        </w:rPr>
        <w:t>No Right to Continued Service</w:t>
      </w:r>
      <w:r>
        <w:rPr>
          <w:rFonts w:ascii="Times New Roman;serif" w:hAnsi="Times New Roman;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88" w:before="0" w:after="240"/>
        <w:ind w:left="0" w:right="0" w:firstLine="720"/>
        <w:jc w:val="both"/>
        <w:rPr/>
      </w:pPr>
      <w:r>
        <w:rPr>
          <w:rFonts w:ascii="Times New Roman;serif" w:hAnsi="Times New Roman;serif"/>
          <w:b/>
          <w:color w:val="010000"/>
          <w:sz w:val="24"/>
        </w:rPr>
        <w:t>10.    </w:t>
      </w:r>
      <w:r>
        <w:rPr>
          <w:rFonts w:ascii="Times New Roman;serif" w:hAnsi="Times New Roman;serif"/>
          <w:b/>
          <w:color w:val="000000"/>
          <w:sz w:val="24"/>
        </w:rPr>
        <w:t>Participant’s Representations, Warranties and Acknowledgements</w:t>
      </w:r>
      <w:r>
        <w:rPr>
          <w:rFonts w:ascii="Times New Roman;serif" w:hAnsi="Times New Roman;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88" w:before="0" w:after="240"/>
        <w:ind w:left="0" w:right="0" w:firstLine="720"/>
        <w:jc w:val="both"/>
        <w:rPr/>
      </w:pPr>
      <w:r>
        <w:rPr>
          <w:rFonts w:ascii="Times New Roman;serif" w:hAnsi="Times New Roman;serif"/>
          <w:b/>
          <w:color w:val="010000"/>
          <w:sz w:val="24"/>
        </w:rPr>
        <w:t>11.    </w:t>
      </w:r>
      <w:r>
        <w:rPr>
          <w:rFonts w:ascii="Times New Roman;serif" w:hAnsi="Times New Roman;serif"/>
          <w:b/>
          <w:color w:val="000000"/>
          <w:sz w:val="24"/>
        </w:rPr>
        <w:t>No Interest in Company Assets</w:t>
      </w:r>
      <w:r>
        <w:rPr>
          <w:rFonts w:ascii="Times New Roman;serif" w:hAnsi="Times New Roman;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88" w:before="0" w:after="240"/>
        <w:ind w:left="0" w:right="0" w:firstLine="720"/>
        <w:jc w:val="both"/>
        <w:rPr/>
      </w:pPr>
      <w:r>
        <w:rPr>
          <w:rFonts w:ascii="Times New Roman;serif" w:hAnsi="Times New Roman;serif"/>
          <w:b/>
          <w:color w:val="010000"/>
          <w:sz w:val="24"/>
        </w:rPr>
        <w:t>12.    </w:t>
      </w:r>
      <w:r>
        <w:rPr>
          <w:rFonts w:ascii="Times New Roman;serif" w:hAnsi="Times New Roman;serif"/>
          <w:b/>
          <w:color w:val="000000"/>
          <w:sz w:val="24"/>
        </w:rPr>
        <w:t>No Stockholder Rights before Delivery</w:t>
      </w:r>
      <w:r>
        <w:rPr>
          <w:rFonts w:ascii="Times New Roman;serif" w:hAnsi="Times New Roman;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88" w:before="0" w:after="240"/>
        <w:ind w:left="0" w:right="0" w:firstLine="720"/>
        <w:jc w:val="both"/>
        <w:rPr/>
      </w:pPr>
      <w:r>
        <w:rPr>
          <w:rFonts w:ascii="Times New Roman;serif" w:hAnsi="Times New Roman;serif"/>
          <w:b/>
          <w:color w:val="010000"/>
          <w:sz w:val="24"/>
        </w:rPr>
        <w:t>13.    </w:t>
      </w:r>
      <w:r>
        <w:rPr>
          <w:rFonts w:ascii="Times New Roman;serif" w:hAnsi="Times New Roman;serif"/>
          <w:b/>
          <w:color w:val="000000"/>
          <w:sz w:val="24"/>
        </w:rPr>
        <w:t>Modification</w:t>
      </w:r>
      <w:r>
        <w:rPr>
          <w:rFonts w:ascii="Times New Roman;serif" w:hAnsi="Times New Roman;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88" w:before="0" w:after="240"/>
        <w:ind w:left="0" w:right="0" w:firstLine="720"/>
        <w:jc w:val="both"/>
        <w:rPr/>
      </w:pPr>
      <w:r>
        <w:rPr>
          <w:rFonts w:ascii="Times New Roman;serif" w:hAnsi="Times New Roman;serif"/>
          <w:b/>
          <w:color w:val="010000"/>
          <w:sz w:val="24"/>
        </w:rPr>
        <w:t>14.    </w:t>
      </w:r>
      <w:r>
        <w:rPr>
          <w:rFonts w:ascii="Times New Roman;serif" w:hAnsi="Times New Roman;serif"/>
          <w:b/>
          <w:color w:val="000000"/>
          <w:sz w:val="24"/>
        </w:rPr>
        <w:t>Interpretation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 dispute regarding the interpretation of this Agreement must be submitted by Participant or the Company to the Committee for review. The resolution of such a dispute by the Committee will be final and binding on the Company and Participant.</w:t>
      </w:r>
    </w:p>
    <w:p>
      <w:pPr>
        <w:pStyle w:val="TextBody"/>
        <w:bidi w:val="0"/>
        <w:spacing w:lineRule="auto" w:line="288" w:before="0" w:after="240"/>
        <w:ind w:left="0" w:right="0" w:firstLine="720"/>
        <w:jc w:val="both"/>
        <w:rPr/>
      </w:pPr>
      <w:r>
        <w:rPr>
          <w:rFonts w:ascii="Times New Roman;serif" w:hAnsi="Times New Roman;serif"/>
          <w:b/>
          <w:color w:val="010000"/>
          <w:sz w:val="24"/>
        </w:rPr>
        <w:t>15.    </w:t>
      </w:r>
      <w:r>
        <w:rPr>
          <w:rFonts w:ascii="Times New Roman;serif" w:hAnsi="Times New Roman;serif"/>
          <w:b/>
          <w:color w:val="000000"/>
          <w:sz w:val="24"/>
        </w:rPr>
        <w:t>Entire Agreement</w:t>
      </w:r>
      <w:r>
        <w:rPr>
          <w:rFonts w:ascii="Times New Roman;serif" w:hAnsi="Times New Roman;serif"/>
          <w:b w:val="false"/>
          <w:color w:val="000000"/>
          <w:sz w:val="24"/>
        </w:rPr>
        <w:t xml:space="preserve">. The Plan and the Certificate are incorporated herein by reference. This Agreement, the Certificate, and the Plan constitute the entire agreement of the parties and supersede all prior undertakings and agreements with respect to the subject matter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98475"/>
                <wp:effectExtent l="0" t="0" r="0" b="0"/>
                <wp:wrapNone/>
                <wp:docPr id="105" name="Frame10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hereof. If any inconsistency or conflict exists between the terms and conditions of this Agreement, the Certificate and the Plan, the Plan will govern.</w:t>
      </w:r>
    </w:p>
    <w:p>
      <w:pPr>
        <w:pStyle w:val="TextBody"/>
        <w:bidi w:val="0"/>
        <w:spacing w:lineRule="auto" w:line="288" w:before="0" w:after="240"/>
        <w:ind w:left="0" w:right="0" w:firstLine="720"/>
        <w:jc w:val="both"/>
        <w:rPr/>
      </w:pPr>
      <w:r>
        <w:rPr>
          <w:rFonts w:ascii="Times New Roman;serif" w:hAnsi="Times New Roman;serif"/>
          <w:b/>
          <w:color w:val="010000"/>
          <w:sz w:val="24"/>
        </w:rPr>
        <w:t>16.    </w:t>
      </w:r>
      <w:r>
        <w:rPr>
          <w:rFonts w:ascii="Times New Roman;serif" w:hAnsi="Times New Roman;serif"/>
          <w:b/>
          <w:color w:val="000000"/>
          <w:sz w:val="24"/>
        </w:rPr>
        <w:t>Successors and Assigns</w:t>
      </w:r>
      <w:r>
        <w:rPr>
          <w:rFonts w:ascii="Times New Roman;serif" w:hAnsi="Times New Roman;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88" w:before="0" w:after="240"/>
        <w:ind w:left="0" w:right="0" w:firstLine="720"/>
        <w:jc w:val="both"/>
        <w:rPr/>
      </w:pPr>
      <w:r>
        <w:rPr>
          <w:rFonts w:ascii="Times New Roman;serif" w:hAnsi="Times New Roman;serif"/>
          <w:b/>
          <w:color w:val="010000"/>
          <w:sz w:val="24"/>
        </w:rPr>
        <w:t>17.    </w:t>
      </w:r>
      <w:r>
        <w:rPr>
          <w:rFonts w:ascii="Times New Roman;serif" w:hAnsi="Times New Roman;serif"/>
          <w:b/>
          <w:color w:val="000000"/>
          <w:sz w:val="24"/>
        </w:rPr>
        <w:t>Governing Law</w:t>
      </w:r>
      <w:r>
        <w:rPr>
          <w:rFonts w:ascii="Times New Roman;serif" w:hAnsi="Times New Roman;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98475"/>
                <wp:effectExtent l="0" t="0" r="0" b="0"/>
                <wp:wrapNone/>
                <wp:docPr id="106" name="Frame10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Viper Energy, Inc. 2024 Amended and Restated Long Term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10.14</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i/>
          <w:color w:val="000000"/>
          <w:sz w:val="20"/>
        </w:rPr>
      </w:pPr>
      <w:r>
        <w:rPr>
          <w:rFonts w:ascii="Times New Roman;serif" w:hAnsi="Times New Roman;serif"/>
          <w:b/>
          <w:i/>
          <w:color w:val="000000"/>
          <w:sz w:val="20"/>
        </w:rPr>
        <w:t>Restricted Stock Unit Award (#) O-PSU26-___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VIPER ENERGY, INC.</w:t>
        <w:br/>
        <w:t>2024 AMENDED AND RESTATED LONG TERM INCENTIVE PLAN</w:t>
        <w:br/>
        <w:t>RESTRICTED STOCK UNIT AWARD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IS TO CERTIFY that Viper Energy, Inc., a Delaware corporation (the </w:t>
      </w:r>
      <w:r>
        <w:rPr>
          <w:color w:val="000000"/>
        </w:rPr>
        <w:t>“</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granted you (</w:t>
      </w:r>
      <w:r>
        <w:rPr>
          <w:color w:val="000000"/>
        </w:rPr>
        <w:t>“</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performance-based Restricted Stock Units (this “</w:t>
      </w:r>
      <w:r>
        <w:rPr>
          <w:rFonts w:ascii="Times New Roman;serif" w:hAnsi="Times New Roman;serif"/>
          <w:b/>
          <w:i/>
          <w:color w:val="000000"/>
          <w:sz w:val="24"/>
        </w:rPr>
        <w:t>Performance Award</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under the Company’s 2024 Amended and Restated Long Term Incentive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731"/>
        <w:gridCol w:w="489"/>
        <w:gridCol w:w="492"/>
        <w:gridCol w:w="2800"/>
        <w:gridCol w:w="2536"/>
        <w:gridCol w:w="3157"/>
      </w:tblGrid>
      <w:tr>
        <w:trPr/>
        <w:tc>
          <w:tcPr>
            <w:tcW w:w="73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Name of Participant:</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____________________</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Target Number of Restricted Stock Units Granted:</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of Grant:</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March 1, 2026</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Payment/Settlement Dates:</w:t>
            </w:r>
          </w:p>
          <w:p>
            <w:pPr>
              <w:pStyle w:val="TableContents"/>
              <w:bidi w:val="0"/>
              <w:spacing w:before="0" w:after="120"/>
              <w:jc w:val="both"/>
              <w:rPr/>
            </w:pPr>
            <w:r>
              <w:rPr/>
            </w:r>
          </w:p>
          <w:p>
            <w:pPr>
              <w:pStyle w:val="TableContents"/>
              <w:bidi w:val="0"/>
              <w:spacing w:before="0" w:after="120"/>
              <w:jc w:val="both"/>
              <w:rPr/>
            </w:pPr>
            <w:r>
              <w:rPr/>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Fully vested Restricted Stock Units will be settled by the payment of shares of Common Stock within 10 business days after the date on which the Committee has made the certification required under Section 6(i)(iii) of the Plan with respect to the performance goals applicable to such Restricted Stock Units (which in any event will be no later than March 15 of the calendar year following the calendar year in which the Performance Period ends). </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Performance Period:</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January 1, 2026 through December 31, 2028</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Performance Vesting Goals and Schedule:</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 xml:space="preserve">The actual number of Restricted Stock Units with respect to which Participant will be entitled to receive shares of Common Stock will equal the product of (i) the Target Grant Vesting Percentage, multiplied by (ii) the Target Number of Restricted Stock Units Granted, multiplied by (iii) the Absolute TSR Modifier (as defined in </w:t>
            </w:r>
            <w:r>
              <w:rPr>
                <w:rFonts w:ascii="Times New Roman;serif" w:hAnsi="Times New Roman;serif"/>
                <w:b w:val="false"/>
                <w:i/>
                <w:color w:val="000000"/>
                <w:sz w:val="24"/>
              </w:rPr>
              <w:t>Annex I</w:t>
            </w:r>
            <w:r>
              <w:rPr>
                <w:color w:val="000000"/>
              </w:rPr>
              <w:t xml:space="preserve"> </w:t>
            </w:r>
            <w:r>
              <w:rPr>
                <w:rFonts w:ascii="Times New Roman;serif" w:hAnsi="Times New Roman;serif"/>
                <w:b w:val="false"/>
                <w:color w:val="000000"/>
                <w:sz w:val="24"/>
              </w:rPr>
              <w:t xml:space="preserve">attached hereto). The Target Grant Vesting Percentage will be determined based on the attainment of (i) Continuous Service through the last day of the Performance Period, and (ii) achieving the Relative Total Stockholder Return Percentile (as defined in </w:t>
            </w:r>
            <w:r>
              <w:rPr>
                <w:rFonts w:ascii="Times New Roman;serif" w:hAnsi="Times New Roman;serif"/>
                <w:b w:val="false"/>
                <w:i/>
                <w:color w:val="000000"/>
                <w:sz w:val="24"/>
              </w:rPr>
              <w:t>Annex I</w:t>
            </w:r>
            <w:r>
              <w:rPr>
                <w:color w:val="000000"/>
              </w:rPr>
              <w:t xml:space="preserve"> </w:t>
            </w:r>
            <w:r>
              <w:rPr>
                <w:rFonts w:ascii="Times New Roman;serif" w:hAnsi="Times New Roman;serif"/>
                <w:b w:val="false"/>
                <w:color w:val="000000"/>
                <w:sz w:val="24"/>
              </w:rPr>
              <w:t>attached hereto) and Company’s Absolute Total Stockholder Return performance goals set forth below:</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26"/>
        <w:gridCol w:w="1693"/>
        <w:gridCol w:w="1701"/>
        <w:gridCol w:w="109"/>
        <w:gridCol w:w="109"/>
        <w:gridCol w:w="109"/>
        <w:gridCol w:w="1333"/>
        <w:gridCol w:w="1333"/>
        <w:gridCol w:w="1892"/>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Relative Total Stockholder Return 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erif" w:hAnsi="Times New Roman;serif"/>
                <w:b/>
                <w:color w:val="000000"/>
                <w:sz w:val="24"/>
              </w:rPr>
            </w:pPr>
            <w:r>
              <w:rPr>
                <w:rFonts w:ascii="Times New Roman;serif" w:hAnsi="Times New Roman;serif"/>
                <w:b/>
                <w:color w:val="000000"/>
                <w:sz w:val="24"/>
              </w:rPr>
              <w:t xml:space="preserve">Target Grant Vesting </w:t>
            </w:r>
          </w:p>
          <w:p>
            <w:pPr>
              <w:pStyle w:val="TableContents"/>
              <w:bidi w:val="0"/>
              <w:spacing w:lineRule="auto" w:line="240" w:before="0" w:after="240"/>
              <w:ind w:left="0" w:right="0" w:firstLine="720"/>
              <w:jc w:val="center"/>
              <w:rPr/>
            </w:pPr>
            <w:r>
              <w:rPr>
                <w:rFonts w:ascii="Times New Roman;serif" w:hAnsi="Times New Roman;serif"/>
                <w:b/>
                <w:color w:val="000000"/>
                <w:sz w:val="24"/>
              </w:rPr>
              <w:t>Percentage</w:t>
            </w:r>
            <w:r>
              <w:rPr>
                <w:rFonts w:ascii="Times New Roman;serif" w:hAnsi="Times New Roman;serif"/>
                <w:b/>
                <w:color w:val="000000"/>
                <w:sz w:val="16"/>
              </w:rPr>
              <w:t>1</w:t>
            </w:r>
          </w:p>
        </w:tc>
      </w:tr>
      <w:tr>
        <w:trPr/>
        <w:tc>
          <w:tcPr>
            <w:tcW w:w="5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0% of Target</w:t>
            </w:r>
          </w:p>
        </w:tc>
      </w:tr>
      <w:tr>
        <w:trPr/>
        <w:tc>
          <w:tcPr>
            <w:tcW w:w="532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4"/>
              </w:rPr>
              <w:t>Between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Peer Group and up to but less than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Straight line interpolation between 50% and 150% of Target</w:t>
            </w:r>
          </w:p>
        </w:tc>
      </w:tr>
      <w:tr>
        <w:trPr/>
        <w:tc>
          <w:tcPr>
            <w:tcW w:w="532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4"/>
              </w:rPr>
              <w:t>At or above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200% of Target</w:t>
            </w:r>
          </w:p>
        </w:tc>
      </w:tr>
      <w:tr>
        <w:trPr/>
        <w:tc>
          <w:tcPr>
            <w:tcW w:w="5320"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center"/>
              <w:rPr>
                <w:rFonts w:ascii="Times New Roman;serif" w:hAnsi="Times New Roman;serif"/>
                <w:b/>
                <w:color w:val="000000"/>
                <w:sz w:val="24"/>
              </w:rPr>
            </w:pPr>
            <w:r>
              <w:rPr>
                <w:rFonts w:ascii="Times New Roman;serif" w:hAnsi="Times New Roman;serif"/>
                <w:b/>
                <w:color w:val="000000"/>
                <w:sz w:val="24"/>
              </w:rPr>
              <w:t>Company’s Absolute Total Stockholder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center"/>
              <w:rPr>
                <w:rFonts w:ascii="Times New Roman;serif" w:hAnsi="Times New Roman;serif"/>
                <w:b/>
                <w:color w:val="000000"/>
                <w:sz w:val="24"/>
              </w:rPr>
            </w:pPr>
            <w:r>
              <w:rPr>
                <w:rFonts w:ascii="Times New Roman;serif" w:hAnsi="Times New Roman;serif"/>
                <w:b/>
                <w:color w:val="000000"/>
                <w:sz w:val="24"/>
              </w:rPr>
              <w:t>Absolute TSR Modifier</w:t>
            </w:r>
          </w:p>
        </w:tc>
      </w:tr>
      <w:tr>
        <w:trPr/>
        <w:tc>
          <w:tcPr>
            <w:tcW w:w="5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both"/>
              <w:rPr>
                <w:rFonts w:ascii="Times New Roman;serif" w:hAnsi="Times New Roman;serif"/>
                <w:b w:val="false"/>
                <w:color w:val="000000"/>
                <w:sz w:val="24"/>
              </w:rPr>
            </w:pPr>
            <w:r>
              <w:rPr>
                <w:rFonts w:ascii="Times New Roman;serif" w:hAnsi="Times New Roman;serif"/>
                <w:b w:val="false"/>
                <w:color w:val="000000"/>
                <w:sz w:val="24"/>
              </w:rPr>
              <w:t>Below 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532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rFonts w:ascii="Times New Roman;serif" w:hAnsi="Times New Roman;serif"/>
                <w:b w:val="false"/>
                <w:color w:val="000000"/>
                <w:sz w:val="24"/>
              </w:rPr>
            </w:pPr>
            <w:r>
              <w:rPr>
                <w:rFonts w:ascii="Times New Roman;serif" w:hAnsi="Times New Roman;serif"/>
                <w:b w:val="false"/>
                <w:color w:val="000000"/>
                <w:sz w:val="24"/>
              </w:rPr>
              <w:t>Between 0% to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532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rFonts w:ascii="Times New Roman;serif" w:hAnsi="Times New Roman;serif"/>
                <w:b w:val="false"/>
                <w:color w:val="000000"/>
                <w:sz w:val="24"/>
              </w:rPr>
            </w:pPr>
            <w:r>
              <w:rPr>
                <w:rFonts w:ascii="Times New Roman;serif" w:hAnsi="Times New Roman;serif"/>
                <w:b w:val="false"/>
                <w:color w:val="000000"/>
                <w:sz w:val="24"/>
              </w:rPr>
              <w:t>Above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125%</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erif" w:hAnsi="Times New Roman;serif"/>
          <w:b w:val="false"/>
          <w:i/>
          <w:color w:val="000000"/>
          <w:sz w:val="24"/>
        </w:rPr>
        <w:t>Annex II</w:t>
      </w:r>
      <w:r>
        <w:rPr>
          <w:rFonts w:ascii="Times New Roman;serif" w:hAnsi="Times New Roman;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pStyle w:val="TextBody"/>
        <w:bidi w:val="0"/>
        <w:spacing w:lineRule="auto" w:line="288" w:before="60" w:after="6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but less than the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p>
                  </w:txbxContent>
                </v:textbox>
                <w10:wrap type="none"/>
              </v:rect>
            </w:pict>
          </mc:Fallback>
        </mc:AlternateContent>
      </w:r>
    </w:p>
    <w:p>
      <w:pPr>
        <w:pStyle w:val="TextBody"/>
        <w:bidi w:val="0"/>
        <w:spacing w:before="0" w:after="240"/>
        <w:jc w:val="both"/>
        <w:rPr/>
      </w:pPr>
      <w:r>
        <w:rPr/>
      </w:r>
    </w:p>
    <w:tbl>
      <w:tblPr>
        <w:tblW w:w="9315" w:type="dxa"/>
        <w:jc w:val="left"/>
        <w:tblInd w:w="0" w:type="dxa"/>
        <w:tblLayout w:type="fixed"/>
        <w:tblCellMar>
          <w:top w:w="28" w:type="dxa"/>
          <w:left w:w="28" w:type="dxa"/>
          <w:bottom w:w="28" w:type="dxa"/>
          <w:right w:w="28" w:type="dxa"/>
        </w:tblCellMar>
      </w:tblPr>
      <w:tblGrid>
        <w:gridCol w:w="1608"/>
        <w:gridCol w:w="1414"/>
        <w:gridCol w:w="1418"/>
        <w:gridCol w:w="1426"/>
        <w:gridCol w:w="1426"/>
        <w:gridCol w:w="2023"/>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4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VIPER ENERGY, INC.</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 Chief Executive Officer</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March ___, 2026</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March ___,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Annex I</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Certificate</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Definition of “Relative Total Stockholder Return Percentile”</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Performance Award, “</w:t>
      </w:r>
      <w:r>
        <w:rPr>
          <w:rFonts w:ascii="Times New Roman;serif" w:hAnsi="Times New Roman;serif"/>
          <w:b/>
          <w:i/>
          <w:color w:val="000000"/>
          <w:sz w:val="24"/>
        </w:rPr>
        <w:t>Relative</w:t>
      </w:r>
      <w:r>
        <w:rPr>
          <w:color w:val="000000"/>
        </w:rPr>
        <w:t xml:space="preserve"> </w:t>
      </w:r>
      <w:r>
        <w:rPr>
          <w:rFonts w:ascii="Times New Roman;serif" w:hAnsi="Times New Roman;serif"/>
          <w:b/>
          <w:i/>
          <w:color w:val="000000"/>
          <w:sz w:val="24"/>
        </w:rPr>
        <w:t>Total Stockholder Return Percentile</w:t>
      </w:r>
      <w:r>
        <w:rPr>
          <w:color w:val="000000"/>
        </w:rPr>
        <w:t xml:space="preserve">” </w:t>
      </w:r>
      <w:r>
        <w:rPr>
          <w:rFonts w:ascii="Times New Roman;serif" w:hAnsi="Times New Roman;serif"/>
          <w:b w:val="false"/>
          <w:color w:val="000000"/>
          <w:sz w:val="24"/>
        </w:rPr>
        <w:t xml:space="preserve">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percentile ranking among the Peer Group Total Stockholder Return is calculated by ranking the Company’s Total Stockholder Return as part of the Total Stockholder Return for the Peer Group as a whole.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Total Stockholder Return</w:t>
      </w:r>
      <w:r>
        <w:rPr>
          <w:color w:val="000000"/>
        </w:rPr>
        <w:t xml:space="preserve">” </w:t>
      </w:r>
      <w:r>
        <w:rPr>
          <w:rFonts w:ascii="Times New Roman;serif" w:hAnsi="Times New Roman;serif"/>
          <w:b w:val="false"/>
          <w:color w:val="000000"/>
          <w:sz w:val="24"/>
        </w:rPr>
        <w:t>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month of December 2028 compared to the average share price for the month of December 2025; by (2) the average share price for the month of December 2025.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Pb = average share price for the month of December 2025;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 = average share price for the month of December 2028,</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Dividends = dividends paid over the Performance Period;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TSR = Total Stockholder Return.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Company’s “</w:t>
      </w:r>
      <w:r>
        <w:rPr>
          <w:rFonts w:ascii="Times New Roman;serif" w:hAnsi="Times New Roman;serif"/>
          <w:b/>
          <w:i/>
          <w:color w:val="000000"/>
          <w:sz w:val="24"/>
        </w:rPr>
        <w:t>Peer Group</w:t>
      </w:r>
      <w:r>
        <w:rPr>
          <w:color w:val="000000"/>
        </w:rPr>
        <w:t xml:space="preserve">” </w:t>
      </w:r>
      <w:r>
        <w:rPr>
          <w:rFonts w:ascii="Times New Roman;serif" w:hAnsi="Times New Roman;serif"/>
          <w:b w:val="false"/>
          <w:color w:val="000000"/>
          <w:sz w:val="24"/>
        </w:rPr>
        <w:t>consists of the following members: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each of the following companies: Dorchester Minerals LP (DMLP); Kimbell Royalty Partners LP (KRP); Black Stone Minerals LP (BSM); Permian Resources (PR); Ovintiv Inc. (OVV); APA Corp (APA); Chord Energy Corp. (CHRD); Matador Resources Company (MTDR); Texas Pacific Land Corp (TPL);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SPDR S&amp;P Oil &amp; Gas Exploration &amp; Production ETF Index (XOP);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S&amp;P 500 Index (SPX).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during the Performance Period a member of the Company’s Peer Group publicly announces it has entered into a definitive agreement with respect to an acquisition transaction and subsequent to the consummation of such transaction such peer ceases to be a publicly traded company, then (subject to the Committee’s right as administrator of the Plan to exercise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32765"/>
                <wp:effectExtent l="0" t="0" r="0" b="0"/>
                <wp:wrapNone/>
                <wp:docPr id="111" name="Frame110"/>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make any appropriate further adjustments taking into account all relevant information at the time) the Total Stockholder Return for such peer shall be calculated such that “Pe” in the formula above shall equal the closing share price for such peer on the date such peer first publicly announces such transaction (or the date immediately following such date if such transaction is announced after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if during the Performance Period a member of the Company’s Peer Group experiences a bankruptcy or becomes insolvent, such Peer Group member will remain a part of the Peer Group and its Total Stockholder Return will be –100%.</w: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 of “Absolute TSR Modifier”</w:t>
      </w:r>
    </w:p>
    <w:p>
      <w:pPr>
        <w:pStyle w:val="TextBody"/>
        <w:bidi w:val="0"/>
        <w:spacing w:lineRule="auto" w:line="288" w:before="0" w:after="0"/>
        <w:ind w:left="0" w:right="0" w:firstLine="720"/>
        <w:jc w:val="both"/>
        <w:rPr/>
      </w:pPr>
      <w:r>
        <w:rPr>
          <w:rFonts w:ascii="Times New Roman;serif" w:hAnsi="Times New Roman;serif"/>
          <w:b w:val="false"/>
          <w:color w:val="000000"/>
          <w:sz w:val="24"/>
        </w:rPr>
        <w:t>For purposes of this Performance Award, “</w:t>
      </w:r>
      <w:r>
        <w:rPr>
          <w:rFonts w:ascii="Times New Roman;serif" w:hAnsi="Times New Roman;serif"/>
          <w:b/>
          <w:i/>
          <w:color w:val="000000"/>
          <w:sz w:val="24"/>
        </w:rPr>
        <w:t>Absolute TSR Modifier</w:t>
      </w:r>
      <w:r>
        <w:rPr>
          <w:color w:val="000000"/>
        </w:rPr>
        <w:t xml:space="preserve">” </w:t>
      </w:r>
      <w:r>
        <w:rPr>
          <w:rFonts w:ascii="Times New Roman;serif" w:hAnsi="Times New Roman;serif"/>
          <w:b w:val="false"/>
          <w:color w:val="000000"/>
          <w:sz w:val="24"/>
        </w:rPr>
        <w:t>means the percentage determined for the Performance Period as specified in the schedule set forth above based on the Company’s absolute Total Stockholder Return for the Performance Period.</w:t>
      </w:r>
    </w:p>
    <w:p>
      <w:pPr>
        <w:pStyle w:val="TextBody"/>
        <w:bidi w:val="0"/>
        <w:spacing w:before="0" w:after="240"/>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Annex II</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32765"/>
                <wp:effectExtent l="0" t="0" r="0" b="0"/>
                <wp:wrapNone/>
                <wp:docPr id="112" name="Frame111"/>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435.85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VIPER ENERGY, INC.</w:t>
        <w:br/>
        <w:t>2024 AMENDED AND RESTATED LONG TERM INCENTIVE PLAN</w:t>
        <w:br/>
        <w:t>RESTRICTED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Award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on the execution date of the Restricted Stock Unit Award Certificate to which it is attached (the “</w:t>
      </w:r>
      <w:r>
        <w:rPr>
          <w:rFonts w:ascii="Times New Roman;serif" w:hAnsi="Times New Roman;serif"/>
          <w:b/>
          <w:i/>
          <w:color w:val="000000"/>
          <w:sz w:val="24"/>
        </w:rPr>
        <w:t>Certificate</w:t>
      </w:r>
      <w:r>
        <w:rPr>
          <w:color w:val="000000"/>
        </w:rPr>
        <w:t>”</w:t>
      </w:r>
      <w:r>
        <w:rPr>
          <w:rFonts w:ascii="Times New Roman;serif" w:hAnsi="Times New Roman;serif"/>
          <w:b w:val="false"/>
          <w:color w:val="000000"/>
          <w:sz w:val="24"/>
        </w:rPr>
        <w:t>), by and between Viper Energy,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named in the Certificate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assumed the Viper Energy, Inc. 2024 Amended and Restated Long Term Incentive Plan (such plan, as it may be further amended or restated,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in connection with the merger transactions consummated with Sitio Royalties Corp. on August 19, 2025. The purpose of the Plan is to, among other things, attract, retain and motivate certain directors, employees and officers of the Company and its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Plan, the Committee has authorized the grant to Participant of the number of Restricted Stock Units set forth in the Certificate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color w:val="010000"/>
          <w:sz w:val="24"/>
        </w:rPr>
        <w:t>1.</w:t>
      </w:r>
      <w:r>
        <w:rPr>
          <w:rFonts w:ascii="Times New Roman;serif" w:hAnsi="Times New Roman;serif"/>
          <w:b/>
          <w:color w:val="000000"/>
          <w:sz w:val="24"/>
        </w:rPr>
        <w:t>Basis for Award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Award is made pursuant to Section 6(d)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40" w:before="0" w:after="240"/>
        <w:ind w:left="0" w:right="0" w:firstLine="720"/>
        <w:jc w:val="both"/>
        <w:rPr/>
      </w:pPr>
      <w:r>
        <w:rPr>
          <w:rFonts w:ascii="Times New Roman;serif" w:hAnsi="Times New Roman;serif"/>
          <w:b/>
          <w:color w:val="010000"/>
          <w:sz w:val="24"/>
        </w:rPr>
        <w:t>2.</w:t>
      </w:r>
      <w:r>
        <w:rPr>
          <w:rFonts w:ascii="Times New Roman;serif" w:hAnsi="Times New Roman;serif"/>
          <w:b/>
          <w:color w:val="000000"/>
          <w:sz w:val="24"/>
        </w:rPr>
        <w:t>Restricted Stock Units Awarded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2.1</w:t>
      </w:r>
      <w:r>
        <w:rPr>
          <w:rFonts w:ascii="Times New Roman;serif" w:hAnsi="Times New Roman;serif"/>
          <w:b w:val="false"/>
          <w:color w:val="000000"/>
          <w:sz w:val="24"/>
        </w:rPr>
        <w:t>The Company hereby grants to Participant the target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pStyle w:val="TextBody"/>
        <w:bidi w:val="0"/>
        <w:spacing w:lineRule="auto" w:line="288" w:before="0" w:after="240"/>
        <w:ind w:left="0" w:right="0" w:firstLine="720"/>
        <w:jc w:val="both"/>
        <w:rPr/>
      </w:pPr>
      <w:r>
        <w:rPr>
          <w:rFonts w:ascii="Times New Roman;serif" w:hAnsi="Times New Roman;serif"/>
          <w:b w:val="false"/>
          <w:color w:val="010000"/>
          <w:sz w:val="24"/>
        </w:rPr>
        <w:t>2.2</w:t>
      </w:r>
      <w:r>
        <w:rPr>
          <w:rFonts w:ascii="Times New Roman;serif" w:hAnsi="Times New Roman;serif"/>
          <w:b w:val="false"/>
          <w:color w:val="000000"/>
          <w:sz w:val="24"/>
        </w:rPr>
        <w:t>The Company will, in accordance with the Plan, establish and maintain an account (the “</w:t>
      </w:r>
      <w:r>
        <w:rPr>
          <w:rFonts w:ascii="Times New Roman;serif" w:hAnsi="Times New Roman;serif"/>
          <w:b/>
          <w:i/>
          <w:color w:val="000000"/>
          <w:sz w:val="24"/>
        </w:rPr>
        <w:t>Restricted Stock Unit Account</w:t>
      </w:r>
      <w:r>
        <w:rPr>
          <w:color w:val="000000"/>
        </w:rPr>
        <w:t>”</w:t>
      </w:r>
      <w:r>
        <w:rPr>
          <w:rFonts w:ascii="Times New Roman;serif" w:hAnsi="Times New Roman;serif"/>
          <w:b w:val="false"/>
          <w:color w:val="000000"/>
          <w:sz w:val="24"/>
        </w:rPr>
        <w:t>) for Participant, and will credit such account for the target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32765"/>
                <wp:effectExtent l="0" t="0" r="0" b="0"/>
                <wp:wrapNone/>
                <wp:docPr id="113" name="Frame112"/>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10000"/>
          <w:sz w:val="24"/>
        </w:rPr>
        <w:t>3.</w:t>
      </w:r>
      <w:r>
        <w:rPr>
          <w:rFonts w:ascii="Times New Roman;serif" w:hAnsi="Times New Roman;serif"/>
          <w:b/>
          <w:color w:val="000000"/>
          <w:sz w:val="24"/>
        </w:rPr>
        <w:t>Vesting</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4"/>
        </w:rPr>
        <w:t>3.1</w:t>
      </w:r>
      <w:r>
        <w:rPr>
          <w:rFonts w:ascii="Times New Roman;serif" w:hAnsi="Times New Roman;serif"/>
          <w:b w:val="false"/>
          <w:color w:val="000000"/>
          <w:sz w:val="24"/>
        </w:rPr>
        <w:t>The Restricted Stock Units will vest based on the Target Grant Vesting Percentage as adjusted by the Absolute TSR Modifier, in each case, as determined under the Performance Vesting Goals and Schedules set forth in the Certificate. Except as otherwise provided in a severance plan participation agreement between the Participant and the Company or an Affiliate (a “</w:t>
      </w:r>
      <w:r>
        <w:rPr>
          <w:rFonts w:ascii="Times New Roman;serif" w:hAnsi="Times New Roman;serif"/>
          <w:b/>
          <w:i/>
          <w:color w:val="000000"/>
          <w:sz w:val="24"/>
        </w:rPr>
        <w:t>Severance Agreement</w:t>
      </w:r>
      <w:r>
        <w:rPr>
          <w:color w:val="000000"/>
        </w:rPr>
        <w:t>”</w:t>
      </w:r>
      <w:r>
        <w:rPr>
          <w:rFonts w:ascii="Times New Roman;serif" w:hAnsi="Times New Roman;serif"/>
          <w:b w:val="false"/>
          <w:color w:val="000000"/>
          <w:sz w:val="24"/>
        </w:rPr>
        <w:t xml:space="preserve">)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88" w:before="0" w:after="240"/>
        <w:ind w:left="0" w:right="0" w:firstLine="720"/>
        <w:jc w:val="both"/>
        <w:rPr/>
      </w:pPr>
      <w:r>
        <w:rPr>
          <w:rFonts w:ascii="Times New Roman;serif" w:hAnsi="Times New Roman;serif"/>
          <w:b w:val="false"/>
          <w:color w:val="010000"/>
          <w:sz w:val="24"/>
        </w:rPr>
        <w:t>3.2</w:t>
      </w:r>
      <w:r>
        <w:rPr>
          <w:rFonts w:ascii="Times New Roman;serif" w:hAnsi="Times New Roman;serif"/>
          <w:b w:val="false"/>
          <w:color w:val="000000"/>
          <w:sz w:val="24"/>
        </w:rPr>
        <w:t>Except as otherwise provided in a Severance Agreement, in the event of a termination of Participant’s Continuous Service (as defined below) (a) by the Company or an Affiliate other than for Cause (as defined below) (and not as a result of Participant’s death or Disability (as defined below)) or (b) Participant’s resignation for Good Reason (as defined in the Diamondback Energy, Inc. (“</w:t>
      </w:r>
      <w:r>
        <w:rPr>
          <w:rFonts w:ascii="Times New Roman;serif" w:hAnsi="Times New Roman;serif"/>
          <w:b/>
          <w:i/>
          <w:color w:val="000000"/>
          <w:sz w:val="24"/>
        </w:rPr>
        <w:t>Diamondback</w:t>
      </w:r>
      <w:r>
        <w:rPr>
          <w:color w:val="000000"/>
        </w:rPr>
        <w:t>”</w:t>
      </w:r>
      <w:r>
        <w:rPr>
          <w:rFonts w:ascii="Times New Roman;serif" w:hAnsi="Times New Roman;serif"/>
          <w:b w:val="false"/>
          <w:color w:val="000000"/>
          <w:sz w:val="24"/>
        </w:rPr>
        <w:t>) Amended and Restated Senior Management Severance Plan, as may be further amended or otherwise modified from time to time), in either case, upon the consummation of or within 24 months after the occurrence of a Change of Control, (an “</w:t>
      </w:r>
      <w:r>
        <w:rPr>
          <w:rFonts w:ascii="Times New Roman;serif" w:hAnsi="Times New Roman;serif"/>
          <w:b/>
          <w:i/>
          <w:color w:val="000000"/>
          <w:sz w:val="24"/>
        </w:rPr>
        <w:t>Acceleration Event</w:t>
      </w:r>
      <w:r>
        <w:rPr>
          <w:color w:val="000000"/>
        </w:rPr>
        <w:t>”</w:t>
      </w:r>
      <w:r>
        <w:rPr>
          <w:rFonts w:ascii="Times New Roman;serif" w:hAnsi="Times New Roman;serif"/>
          <w:b w:val="false"/>
          <w:color w:val="000000"/>
          <w:sz w:val="24"/>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of Control is consummated (the “</w:t>
      </w:r>
      <w:r>
        <w:rPr>
          <w:rFonts w:ascii="Times New Roman;serif" w:hAnsi="Times New Roman;serif"/>
          <w:b/>
          <w:i/>
          <w:color w:val="000000"/>
          <w:sz w:val="24"/>
        </w:rPr>
        <w:t>Accelerated Performance Period</w:t>
      </w:r>
      <w:r>
        <w:rPr>
          <w:color w:val="000000"/>
        </w:rPr>
        <w:t>”</w:t>
      </w:r>
      <w:r>
        <w:rPr>
          <w:rFonts w:ascii="Times New Roman;serif" w:hAnsi="Times New Roman;serif"/>
          <w:b w:val="false"/>
          <w:color w:val="000000"/>
          <w:sz w:val="24"/>
        </w:rPr>
        <w:t xml:space="preserve">). The Total Stockholder Return of each member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 </w:t>
      </w:r>
    </w:p>
    <w:p>
      <w:pPr>
        <w:pStyle w:val="TextBody"/>
        <w:bidi w:val="0"/>
        <w:spacing w:lineRule="auto" w:line="288" w:before="0" w:after="240"/>
        <w:ind w:left="0" w:right="0" w:firstLine="720"/>
        <w:jc w:val="both"/>
        <w:rPr/>
      </w:pPr>
      <w:r>
        <w:rPr>
          <w:rFonts w:ascii="Times New Roman;serif" w:hAnsi="Times New Roman;serif"/>
          <w:b w:val="false"/>
          <w:color w:val="010000"/>
          <w:sz w:val="24"/>
        </w:rPr>
        <w:t>3.3</w:t>
      </w:r>
      <w:r>
        <w:rPr>
          <w:rFonts w:ascii="Times New Roman;serif" w:hAnsi="Times New Roman;serif"/>
          <w:b w:val="false"/>
          <w:color w:val="000000"/>
          <w:sz w:val="24"/>
        </w:rPr>
        <w:t xml:space="preserve">Upon a termination of Participant’s Continuous Service as a result of Participant’s death or Disability, the Target Grant Vesting Percentage will be determined at the end of the Performance Period and the Restricted Stock Units, including any unpaid Dividend Equivalents credited to the Restricted Stock Unit Account, will be settled and paid at the same Payment/Settlement Date as if the Participant remained in Continuous Service through the end of the Performance Period. </w:t>
      </w:r>
    </w:p>
    <w:p>
      <w:pPr>
        <w:pStyle w:val="TextBody"/>
        <w:bidi w:val="0"/>
        <w:spacing w:lineRule="auto" w:line="288" w:before="0" w:after="240"/>
        <w:ind w:left="0" w:right="0" w:firstLine="720"/>
        <w:jc w:val="both"/>
        <w:rPr/>
      </w:pPr>
      <w:r>
        <w:rPr>
          <w:rFonts w:ascii="Times New Roman;serif" w:hAnsi="Times New Roman;serif"/>
          <w:b w:val="false"/>
          <w:color w:val="010000"/>
          <w:sz w:val="24"/>
        </w:rPr>
        <w:t>3.4</w:t>
      </w:r>
      <w:r>
        <w:rPr>
          <w:rFonts w:ascii="Times New Roman;serif" w:hAnsi="Times New Roman;serif"/>
          <w:b w:val="false"/>
          <w:color w:val="000000"/>
          <w:sz w:val="24"/>
        </w:rPr>
        <w:t>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32765"/>
                <wp:effectExtent l="0" t="0" r="0" b="0"/>
                <wp:wrapNone/>
                <wp:docPr id="114" name="Frame113"/>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3.5</w:t>
      </w:r>
      <w:r>
        <w:rPr>
          <w:rFonts w:ascii="Times New Roman;serif" w:hAnsi="Times New Roman;serif"/>
          <w:b w:val="false"/>
          <w:color w:val="000000"/>
          <w:sz w:val="24"/>
        </w:rPr>
        <w:t>For purposes of this Agreement, the following terms shall have the meanings set forth below:</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3.5.1</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means (i) if Participant is a party to a severance plan participation agreement with the Company or its Affiliates and such agreement provides for a definition of Cause, as defined therein and (ii) if no such agreement exists or Cause is not otherwise defined therein: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Committee, in its absolute discretion, shall determine the effect of all matters and questions relating to whether a Participant has been discharged for Cause.</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3.5.2</w:t>
      </w:r>
      <w:r>
        <w:rPr>
          <w:color w:val="000000"/>
        </w:rPr>
        <w:t>“</w:t>
      </w:r>
      <w:r>
        <w:rPr>
          <w:rFonts w:ascii="Times New Roman;serif" w:hAnsi="Times New Roman;serif"/>
          <w:b/>
          <w:i/>
          <w:color w:val="000000"/>
          <w:sz w:val="24"/>
        </w:rPr>
        <w:t>Continuous Service</w:t>
      </w:r>
      <w:r>
        <w:rPr>
          <w:color w:val="000000"/>
        </w:rPr>
        <w:t xml:space="preserve">” </w:t>
      </w:r>
      <w:r>
        <w:rPr>
          <w:rFonts w:ascii="Times New Roman;serif" w:hAnsi="Times New Roman;serif"/>
          <w:b w:val="false"/>
          <w:color w:val="000000"/>
          <w:sz w:val="24"/>
        </w:rPr>
        <w:t>means that Participant’s service with the Company or an Affiliate (including, without limitation, Diamondback and any of its subsidiaries), whether as an Employee, Director or Consultant, is not interrupted or terminated. Participant’s Continuous Service will not be deemed to have terminated merely because of a change in the capacity in which Participant renders service to the Company or an Affiliate as an Employee, Director or Consultant or a change in the entity for which Participant renders such service, so long as there is no interruption or termination of Participant’s Continuous Service. For example, a change in status from an Employee of the Company to a Consultant of an Affiliate or a Director will not constitute an interruption of Continuous Service. The Committee or its delegate, in its sole discretion, may determine whether Continuous Service will be considered interrupted in the case of any leave of absence approved by that party, including sick leave, military leave or any other personal or family leave of absence.</w:t>
      </w:r>
    </w:p>
    <w:p>
      <w:pPr>
        <w:pStyle w:val="TextBody"/>
        <w:bidi w:val="0"/>
        <w:spacing w:lineRule="auto" w:line="288" w:before="0" w:after="240"/>
        <w:ind w:left="0" w:right="0" w:firstLine="1440"/>
        <w:jc w:val="both"/>
        <w:rPr/>
      </w:pPr>
      <w:r>
        <w:rPr>
          <w:rFonts w:ascii="Times New Roman;serif" w:hAnsi="Times New Roman;serif"/>
          <w:b w:val="false"/>
          <w:color w:val="010000"/>
          <w:sz w:val="24"/>
        </w:rPr>
        <w:t>3.5.3</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means Participant’s inability to substantially perform Participant’s duties to the Company or any Affiliate by reason of a medically determinable physical or mental impairment that is expected to last for a period of six months or longer or to result in death. The Committee will determine whether Participant has a Disability under procedures established by the Committee, and the Committee may rely on any determination that Participant is disabled for purposes of benefits under any long-term disability plan maintained by the Company or any Affiliate in which Participant participates.</w:t>
      </w:r>
    </w:p>
    <w:p>
      <w:pPr>
        <w:pStyle w:val="TextBody"/>
        <w:bidi w:val="0"/>
        <w:spacing w:lineRule="auto" w:line="288" w:before="0" w:after="240"/>
        <w:ind w:left="0" w:right="0" w:firstLine="720"/>
        <w:jc w:val="both"/>
        <w:rPr/>
      </w:pPr>
      <w:r>
        <w:rPr>
          <w:rFonts w:ascii="Times New Roman;serif" w:hAnsi="Times New Roman;serif"/>
          <w:b/>
          <w:color w:val="010000"/>
          <w:sz w:val="24"/>
        </w:rPr>
        <w:t>4.</w:t>
      </w:r>
      <w:r>
        <w:rPr>
          <w:rFonts w:ascii="Times New Roman;serif" w:hAnsi="Times New Roman;serif"/>
          <w:b/>
          <w:color w:val="000000"/>
          <w:sz w:val="24"/>
        </w:rPr>
        <w:t>Dividend Equivalents</w:t>
      </w:r>
      <w:r>
        <w:rPr>
          <w:rFonts w:ascii="Times New Roman;serif" w:hAnsi="Times New Roman;serif"/>
          <w:b w:val="false"/>
          <w:color w:val="000000"/>
          <w:sz w:val="24"/>
        </w:rPr>
        <w:t>. If the Company pays any cash dividend on its outstanding Common Stock for which the record date occurs after the Date of Grant, the Committee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Times New Roman;serif" w:hAnsi="Times New Roman;serif"/>
          <w:b/>
          <w:i/>
          <w:color w:val="000000"/>
          <w:sz w:val="24"/>
        </w:rPr>
        <w:t>Dividend Equivalents</w:t>
      </w:r>
      <w:r>
        <w:rPr>
          <w:color w:val="000000"/>
        </w:rPr>
        <w:t>”</w:t>
      </w:r>
      <w:r>
        <w:rPr>
          <w:rFonts w:ascii="Times New Roman;serif" w:hAnsi="Times New Roman;serif"/>
          <w:b w:val="false"/>
          <w:color w:val="000000"/>
          <w:sz w:val="24"/>
        </w:rPr>
        <w:t xml:space="preserve">). Except as otherwise provided in Section 3, Dividend Equivalents will vest and be paid to the Participant on the dividend payment date if Participant is in Continuous Service or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32765"/>
                <wp:effectExtent l="0" t="0" r="0" b="0"/>
                <wp:wrapNone/>
                <wp:docPr id="115" name="Frame114"/>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holds Restricted Stock Units that are vested but have not been settled on the dividend payment date declared by the Company.</w:t>
      </w:r>
    </w:p>
    <w:p>
      <w:pPr>
        <w:pStyle w:val="TextBody"/>
        <w:bidi w:val="0"/>
        <w:spacing w:lineRule="auto" w:line="288" w:before="0" w:after="240"/>
        <w:ind w:left="0" w:right="0" w:firstLine="720"/>
        <w:jc w:val="both"/>
        <w:rPr/>
      </w:pPr>
      <w:r>
        <w:rPr>
          <w:rFonts w:ascii="Times New Roman;serif" w:hAnsi="Times New Roman;serif"/>
          <w:b/>
          <w:color w:val="010000"/>
          <w:sz w:val="24"/>
        </w:rPr>
        <w:t>5.</w:t>
      </w:r>
      <w:r>
        <w:rPr>
          <w:rFonts w:ascii="Times New Roman;serif" w:hAnsi="Times New Roman;serif"/>
          <w:b/>
          <w:color w:val="000000"/>
          <w:sz w:val="24"/>
        </w:rPr>
        <w:t>Payment/Settlement</w:t>
      </w:r>
      <w:r>
        <w:rPr>
          <w:rFonts w:ascii="Times New Roman;serif" w:hAnsi="Times New Roman;serif"/>
          <w:b w:val="false"/>
          <w:color w:val="000000"/>
          <w:sz w:val="24"/>
        </w:rPr>
        <w:t>.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6(i)(iii)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Committee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Committee’s discretion, in cash.</w:t>
      </w:r>
    </w:p>
    <w:p>
      <w:pPr>
        <w:pStyle w:val="TextBody"/>
        <w:bidi w:val="0"/>
        <w:spacing w:lineRule="auto" w:line="288" w:before="0" w:after="240"/>
        <w:ind w:left="0" w:right="0" w:firstLine="720"/>
        <w:jc w:val="both"/>
        <w:rPr/>
      </w:pPr>
      <w:r>
        <w:rPr>
          <w:rFonts w:ascii="Times New Roman;serif" w:hAnsi="Times New Roman;serif"/>
          <w:b/>
          <w:color w:val="010000"/>
          <w:sz w:val="24"/>
        </w:rPr>
        <w:t>6.</w:t>
      </w:r>
      <w:r>
        <w:rPr>
          <w:rFonts w:ascii="Times New Roman;serif" w:hAnsi="Times New Roman;serif"/>
          <w:b/>
          <w:color w:val="000000"/>
          <w:sz w:val="24"/>
        </w:rPr>
        <w:t>Compliance with Laws and Regulations</w:t>
      </w:r>
      <w:r>
        <w:rPr>
          <w:rFonts w:ascii="Times New Roman;serif" w:hAnsi="Times New Roman;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any state securities commission, foreign securities regulatory authority, or any securities exchange to effect such compliance.</w:t>
      </w:r>
    </w:p>
    <w:p>
      <w:pPr>
        <w:pStyle w:val="TextBody"/>
        <w:bidi w:val="0"/>
        <w:spacing w:lineRule="auto" w:line="240" w:before="0" w:after="240"/>
        <w:ind w:left="0" w:right="0" w:firstLine="720"/>
        <w:jc w:val="both"/>
        <w:rPr/>
      </w:pPr>
      <w:r>
        <w:rPr>
          <w:rFonts w:ascii="Times New Roman;serif" w:hAnsi="Times New Roman;serif"/>
          <w:b/>
          <w:color w:val="010000"/>
          <w:sz w:val="24"/>
        </w:rPr>
        <w:t>7.</w:t>
      </w:r>
      <w:r>
        <w:rPr>
          <w:rFonts w:ascii="Times New Roman;serif" w:hAnsi="Times New Roman;serif"/>
          <w:b/>
          <w:color w:val="000000"/>
          <w:sz w:val="24"/>
        </w:rPr>
        <w:t>Tax Withholding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7.1</w:t>
      </w:r>
      <w:r>
        <w:rPr>
          <w:rFonts w:ascii="Times New Roman;serif" w:hAnsi="Times New Roman;serif"/>
          <w:b w:val="false"/>
          <w:color w:val="000000"/>
          <w:sz w:val="24"/>
        </w:rPr>
        <w:t>As a condition to payment under Section 5 hereof, Participant agrees that on or before the Payment/Settlement Date or such other date as required by the Committee,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88" w:before="0" w:after="240"/>
        <w:ind w:left="0" w:right="0" w:firstLine="720"/>
        <w:jc w:val="both"/>
        <w:rPr/>
      </w:pPr>
      <w:r>
        <w:rPr>
          <w:rFonts w:ascii="Times New Roman;serif" w:hAnsi="Times New Roman;serif"/>
          <w:b w:val="false"/>
          <w:color w:val="010000"/>
          <w:sz w:val="24"/>
        </w:rPr>
        <w:t>7.2</w:t>
      </w:r>
      <w:r>
        <w:rPr>
          <w:rFonts w:ascii="Times New Roman;serif" w:hAnsi="Times New Roman;serif"/>
          <w:b w:val="false"/>
          <w:color w:val="000000"/>
          <w:sz w:val="24"/>
        </w:rPr>
        <w:t xml:space="preserve">Participant acknowledges that the amounts due under this Section 7 will be paid by the Company retaining such number of shares of Common Stock that otherwise would have been delivered to Participant upon settlement having a Fair Market Value on the applicable Payment/Settlement Date equal to such amounts due under this Section 7, or such amounts may be paid, at Participant’s election, in cash or (to the extent any applicable insider trading policy, window or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32765"/>
                <wp:effectExtent l="0" t="0" r="0" b="0"/>
                <wp:wrapNone/>
                <wp:docPr id="116" name="Frame115"/>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88" w:before="0" w:after="240"/>
        <w:ind w:left="0" w:right="0" w:firstLine="720"/>
        <w:jc w:val="both"/>
        <w:rPr/>
      </w:pPr>
      <w:r>
        <w:rPr>
          <w:rFonts w:ascii="Times New Roman;serif" w:hAnsi="Times New Roman;serif"/>
          <w:b/>
          <w:color w:val="010000"/>
          <w:sz w:val="24"/>
        </w:rPr>
        <w:t>8.</w:t>
      </w:r>
      <w:r>
        <w:rPr>
          <w:rFonts w:ascii="Times New Roman;serif" w:hAnsi="Times New Roman;serif"/>
          <w:b/>
          <w:color w:val="000000"/>
          <w:sz w:val="24"/>
        </w:rPr>
        <w:t>Not Transferrable</w:t>
      </w:r>
      <w:r>
        <w:rPr>
          <w:rFonts w:ascii="Times New Roman;serif" w:hAnsi="Times New Roman;serif"/>
          <w:b w:val="false"/>
          <w:color w:val="000000"/>
          <w:sz w:val="24"/>
        </w:rPr>
        <w:t>.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pStyle w:val="TextBody"/>
        <w:bidi w:val="0"/>
        <w:spacing w:lineRule="auto" w:line="288" w:before="0" w:after="240"/>
        <w:ind w:left="0" w:right="0" w:firstLine="720"/>
        <w:jc w:val="both"/>
        <w:rPr/>
      </w:pPr>
      <w:r>
        <w:rPr>
          <w:rFonts w:ascii="Times New Roman;serif" w:hAnsi="Times New Roman;serif"/>
          <w:b/>
          <w:color w:val="010000"/>
          <w:sz w:val="24"/>
        </w:rPr>
        <w:t>9.</w:t>
      </w:r>
      <w:r>
        <w:rPr>
          <w:rFonts w:ascii="Times New Roman;serif" w:hAnsi="Times New Roman;serif"/>
          <w:b/>
          <w:color w:val="000000"/>
          <w:sz w:val="24"/>
        </w:rPr>
        <w:t>No Right to Continued Service</w:t>
      </w:r>
      <w:r>
        <w:rPr>
          <w:rFonts w:ascii="Times New Roman;serif" w:hAnsi="Times New Roman;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88" w:before="0" w:after="240"/>
        <w:ind w:left="0" w:right="0" w:firstLine="720"/>
        <w:jc w:val="both"/>
        <w:rPr/>
      </w:pPr>
      <w:r>
        <w:rPr>
          <w:rFonts w:ascii="Times New Roman;serif" w:hAnsi="Times New Roman;serif"/>
          <w:b/>
          <w:color w:val="010000"/>
          <w:sz w:val="24"/>
        </w:rPr>
        <w:t>10.</w:t>
      </w:r>
      <w:r>
        <w:rPr>
          <w:rFonts w:ascii="Times New Roman;serif" w:hAnsi="Times New Roman;serif"/>
          <w:b/>
          <w:color w:val="000000"/>
          <w:sz w:val="24"/>
        </w:rPr>
        <w:t>Participant’s Representations, Warranties and Acknowledgements</w:t>
      </w:r>
      <w:r>
        <w:rPr>
          <w:rFonts w:ascii="Times New Roman;serif" w:hAnsi="Times New Roman;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88" w:before="0" w:after="240"/>
        <w:ind w:left="0" w:right="0" w:firstLine="720"/>
        <w:jc w:val="both"/>
        <w:rPr/>
      </w:pPr>
      <w:r>
        <w:rPr>
          <w:rFonts w:ascii="Times New Roman;serif" w:hAnsi="Times New Roman;serif"/>
          <w:b/>
          <w:color w:val="010000"/>
          <w:sz w:val="24"/>
        </w:rPr>
        <w:t>11.</w:t>
      </w:r>
      <w:r>
        <w:rPr>
          <w:rFonts w:ascii="Times New Roman;serif" w:hAnsi="Times New Roman;serif"/>
          <w:b/>
          <w:color w:val="000000"/>
          <w:sz w:val="24"/>
        </w:rPr>
        <w:t>No Interest in Company Assets</w:t>
      </w:r>
      <w:r>
        <w:rPr>
          <w:rFonts w:ascii="Times New Roman;serif" w:hAnsi="Times New Roman;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32765"/>
                <wp:effectExtent l="0" t="0" r="0" b="0"/>
                <wp:wrapNone/>
                <wp:docPr id="117" name="Frame116"/>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10000"/>
          <w:sz w:val="24"/>
        </w:rPr>
        <w:t>12.</w:t>
      </w:r>
      <w:r>
        <w:rPr>
          <w:rFonts w:ascii="Times New Roman;serif" w:hAnsi="Times New Roman;serif"/>
          <w:b/>
          <w:color w:val="000000"/>
          <w:sz w:val="24"/>
        </w:rPr>
        <w:t>No Stockholder Rights before Delivery</w:t>
      </w:r>
      <w:r>
        <w:rPr>
          <w:rFonts w:ascii="Times New Roman;serif" w:hAnsi="Times New Roman;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88" w:before="0" w:after="240"/>
        <w:ind w:left="0" w:right="0" w:firstLine="720"/>
        <w:jc w:val="both"/>
        <w:rPr/>
      </w:pPr>
      <w:r>
        <w:rPr>
          <w:rFonts w:ascii="Times New Roman;serif" w:hAnsi="Times New Roman;serif"/>
          <w:b/>
          <w:color w:val="010000"/>
          <w:sz w:val="24"/>
        </w:rPr>
        <w:t>13.</w:t>
      </w:r>
      <w:r>
        <w:rPr>
          <w:rFonts w:ascii="Times New Roman;serif" w:hAnsi="Times New Roman;serif"/>
          <w:b/>
          <w:color w:val="000000"/>
          <w:sz w:val="24"/>
        </w:rPr>
        <w:t>Modification</w:t>
      </w:r>
      <w:r>
        <w:rPr>
          <w:rFonts w:ascii="Times New Roman;serif" w:hAnsi="Times New Roman;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88" w:before="0" w:after="240"/>
        <w:ind w:left="0" w:right="0" w:firstLine="720"/>
        <w:jc w:val="both"/>
        <w:rPr/>
      </w:pPr>
      <w:r>
        <w:rPr>
          <w:rFonts w:ascii="Times New Roman;serif" w:hAnsi="Times New Roman;serif"/>
          <w:b/>
          <w:color w:val="010000"/>
          <w:sz w:val="24"/>
        </w:rPr>
        <w:t>14.</w:t>
      </w:r>
      <w:r>
        <w:rPr>
          <w:rFonts w:ascii="Times New Roman;serif" w:hAnsi="Times New Roman;serif"/>
          <w:b/>
          <w:color w:val="000000"/>
          <w:sz w:val="24"/>
        </w:rPr>
        <w:t>Interpretation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 dispute regarding the interpretation of this Agreement must be submitted by Participant or the Company to the Committee for review. The resolution of such a dispute by the Committee will be final and binding on the Company and Participant.</w:t>
      </w:r>
    </w:p>
    <w:p>
      <w:pPr>
        <w:pStyle w:val="TextBody"/>
        <w:bidi w:val="0"/>
        <w:spacing w:lineRule="auto" w:line="288" w:before="0" w:after="240"/>
        <w:ind w:left="0" w:right="0" w:firstLine="720"/>
        <w:jc w:val="both"/>
        <w:rPr/>
      </w:pPr>
      <w:r>
        <w:rPr>
          <w:rFonts w:ascii="Times New Roman;serif" w:hAnsi="Times New Roman;serif"/>
          <w:b/>
          <w:color w:val="010000"/>
          <w:sz w:val="24"/>
        </w:rPr>
        <w:t>15.</w:t>
      </w:r>
      <w:r>
        <w:rPr>
          <w:rFonts w:ascii="Times New Roman;serif" w:hAnsi="Times New Roman;serif"/>
          <w:b/>
          <w:color w:val="000000"/>
          <w:sz w:val="24"/>
        </w:rPr>
        <w:t>Entire Agreement</w:t>
      </w:r>
      <w:r>
        <w:rPr>
          <w:rFonts w:ascii="Times New Roman;serif" w:hAnsi="Times New Roman;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88" w:before="0" w:after="240"/>
        <w:ind w:left="0" w:right="0" w:firstLine="720"/>
        <w:jc w:val="both"/>
        <w:rPr/>
      </w:pPr>
      <w:r>
        <w:rPr>
          <w:rFonts w:ascii="Times New Roman;serif" w:hAnsi="Times New Roman;serif"/>
          <w:b/>
          <w:color w:val="010000"/>
          <w:sz w:val="24"/>
        </w:rPr>
        <w:t>16.</w:t>
      </w:r>
      <w:r>
        <w:rPr>
          <w:rFonts w:ascii="Times New Roman;serif" w:hAnsi="Times New Roman;serif"/>
          <w:b/>
          <w:color w:val="000000"/>
          <w:sz w:val="24"/>
        </w:rPr>
        <w:t>Successors and Assigns</w:t>
      </w:r>
      <w:r>
        <w:rPr>
          <w:rFonts w:ascii="Times New Roman;serif" w:hAnsi="Times New Roman;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88" w:before="0" w:after="240"/>
        <w:ind w:left="0" w:right="0" w:firstLine="720"/>
        <w:jc w:val="both"/>
        <w:rPr/>
      </w:pPr>
      <w:r>
        <w:rPr>
          <w:rFonts w:ascii="Times New Roman;serif" w:hAnsi="Times New Roman;serif"/>
          <w:b/>
          <w:color w:val="010000"/>
          <w:sz w:val="24"/>
        </w:rPr>
        <w:t>17.</w:t>
      </w:r>
      <w:r>
        <w:rPr>
          <w:rFonts w:ascii="Times New Roman;serif" w:hAnsi="Times New Roman;serif"/>
          <w:b/>
          <w:color w:val="000000"/>
          <w:sz w:val="24"/>
        </w:rPr>
        <w:t>Clawback</w:t>
      </w:r>
      <w:r>
        <w:rPr>
          <w:rFonts w:ascii="Times New Roman;serif" w:hAnsi="Times New Roman;serif"/>
          <w:b w:val="false"/>
          <w:color w:val="000000"/>
          <w:sz w:val="24"/>
        </w:rPr>
        <w:t>. Notwithstanding any provision in this Agreement to the contrary, if required by Listing Standard 5608 adopted by The Nasdaq Stock Market to implement Rule 10D-1 under the Securities Exchange Act of 1934, as amended, the Sarbanes-Oxley Act of 2002 or by other applicable law or any Company policy in effect from time to time, the Award shall be conditioned on repayment or forfeiture in accordance with such applicable laws and/or Company policy. By accepting the Award, Participant consents to any such clawback, repayment or forfeiture condition.</w:t>
      </w:r>
    </w:p>
    <w:p>
      <w:pPr>
        <w:pStyle w:val="TextBody"/>
        <w:bidi w:val="0"/>
        <w:spacing w:lineRule="auto" w:line="288" w:before="0" w:after="240"/>
        <w:ind w:left="0" w:right="0" w:firstLine="720"/>
        <w:jc w:val="both"/>
        <w:rPr/>
      </w:pPr>
      <w:r>
        <w:rPr>
          <w:rFonts w:ascii="Times New Roman;serif" w:hAnsi="Times New Roman;serif"/>
          <w:b/>
          <w:color w:val="010000"/>
          <w:sz w:val="24"/>
        </w:rPr>
        <w:t>18.</w:t>
      </w:r>
      <w:r>
        <w:rPr>
          <w:rFonts w:ascii="Times New Roman;serif" w:hAnsi="Times New Roman;serif"/>
          <w:b/>
          <w:color w:val="000000"/>
          <w:sz w:val="24"/>
        </w:rPr>
        <w:t>Governing Law</w:t>
      </w:r>
      <w:r>
        <w:rPr>
          <w:rFonts w:ascii="Times New Roman;serif" w:hAnsi="Times New Roman;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32765"/>
                <wp:effectExtent l="0" t="0" r="0" b="0"/>
                <wp:wrapNone/>
                <wp:docPr id="118" name="Frame117"/>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Viper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Viper Energy, Inc. 2024 Amended and Restated Long Term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Significant Subsidiaries of Registrant</w:t>
      </w:r>
    </w:p>
    <w:tbl>
      <w:tblPr>
        <w:tblW w:w="5308" w:type="dxa"/>
        <w:jc w:val="left"/>
        <w:tblInd w:w="0" w:type="dxa"/>
        <w:tblLayout w:type="fixed"/>
        <w:tblCellMar>
          <w:top w:w="28" w:type="dxa"/>
          <w:left w:w="28" w:type="dxa"/>
          <w:bottom w:w="28" w:type="dxa"/>
          <w:right w:w="28" w:type="dxa"/>
        </w:tblCellMar>
      </w:tblPr>
      <w:tblGrid>
        <w:gridCol w:w="972"/>
        <w:gridCol w:w="854"/>
        <w:gridCol w:w="858"/>
        <w:gridCol w:w="767"/>
        <w:gridCol w:w="767"/>
        <w:gridCol w:w="1090"/>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Sitio Royalties Corp.</w:t>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Partners LP</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VNOM Holding Company LLC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VNOM Sub,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Issuers and Subsidiary Guarantors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entities are the issuer and the guarantors, as specified below, of Viper Energy, Inc.’s senior notes registered under the Securities Act of 1933, as amended:</w:t>
      </w:r>
    </w:p>
    <w:p>
      <w:pPr>
        <w:pStyle w:val="TextBody"/>
        <w:bidi w:val="0"/>
        <w:spacing w:before="0" w:after="0"/>
        <w:ind w:left="0" w:right="0" w:firstLine="720"/>
        <w:jc w:val="left"/>
        <w:rPr/>
      </w:pPr>
      <w:r>
        <w:rPr/>
      </w:r>
    </w:p>
    <w:tbl>
      <w:tblPr>
        <w:tblW w:w="6294"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839"/>
        <w:gridCol w:w="839"/>
        <w:gridCol w:w="841"/>
        <w:gridCol w:w="109"/>
        <w:gridCol w:w="109"/>
        <w:gridCol w:w="109"/>
        <w:gridCol w:w="279"/>
        <w:gridCol w:w="279"/>
        <w:gridCol w:w="403"/>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Jurisdiction of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Role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Viper Energy Partners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Issuer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Guarantor</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VNOM Sub,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Guarantor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issued our reports dated February 25, 2026, with respect to the consolidated financial statements and internal control over financial reporting included in the Annual Report of Viper Energy, Inc. on Form 10-K for the year ended December 31, 2025. We consent to the incorporation by reference of said reports in the Registration Statements of Viper Energy, Inc. on Forms S-3 (File No. 333-288574-01 and File No. 333-289863) and Form S-8 (File No. 333-289712).</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Oklahoma City, Oklahoma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February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CONSENT OF RYDER SCOTT COMPANY, L.P.</w:t>
      </w:r>
    </w:p>
    <w:p>
      <w:pPr>
        <w:pStyle w:val="TextBody"/>
        <w:bidi w:val="0"/>
        <w:spacing w:before="0" w:after="0"/>
        <w:jc w:val="lef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issued our summary report dated January 13, 2026 on the audit of estimated quantities of proved reserves, future production and income attributable to certain royalty interests of Viper Energy, Inc. (the “Company”), as of December 31, 2025. As independent oil and gas consultants, we hereby consent to the inclusion of our audit report and the information contained therein and information from our prior reserve reports referenced in this Annual Report on Form 10-K of the Company (this “Annual Report”) and to all references to our firm in this Annual Report. We hereby also consent to the incorporation by reference of such reports and the information contained therein in the Registration Statements of the Company on Forms S-3 (File Nos. 333-288574-01 and 333-289863) and Form S-8 (File No. 333-289712). </w:t>
      </w:r>
    </w:p>
    <w:p>
      <w:pPr>
        <w:pStyle w:val="TextBody"/>
        <w:bidi w:val="0"/>
        <w:spacing w:before="0" w:after="0"/>
        <w:ind w:left="0" w:right="0" w:firstLine="720"/>
        <w:jc w:val="both"/>
        <w:rPr/>
      </w:pPr>
      <w:r>
        <w:rPr/>
      </w:r>
    </w:p>
    <w:tbl>
      <w:tblPr>
        <w:tblW w:w="3624" w:type="dxa"/>
        <w:jc w:val="left"/>
        <w:tblInd w:w="0" w:type="dxa"/>
        <w:tblLayout w:type="fixed"/>
        <w:tblCellMar>
          <w:top w:w="28" w:type="dxa"/>
          <w:left w:w="28" w:type="dxa"/>
          <w:bottom w:w="28" w:type="dxa"/>
          <w:right w:w="28" w:type="dxa"/>
        </w:tblCellMar>
      </w:tblPr>
      <w:tblGrid>
        <w:gridCol w:w="124"/>
        <w:gridCol w:w="109"/>
        <w:gridCol w:w="109"/>
        <w:gridCol w:w="510"/>
        <w:gridCol w:w="510"/>
        <w:gridCol w:w="510"/>
        <w:gridCol w:w="510"/>
        <w:gridCol w:w="510"/>
        <w:gridCol w:w="7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Viper Energy, Inc. (the “registrant”);</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4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Teresa L. Dick,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Viper Energy, Inc. (the “registrant”);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60"/>
        <w:jc w:val="left"/>
        <w:rPr>
          <w:color w:val="000000"/>
        </w:rPr>
      </w:pPr>
      <w:r>
        <w:rPr>
          <w:color w:val="000000"/>
        </w:rPr>
        <w:t> </w:t>
      </w:r>
    </w:p>
    <w:tbl>
      <w:tblPr>
        <w:tblW w:w="448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586"/>
        <w:gridCol w:w="586"/>
        <w:gridCol w:w="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97.1</w:t>
      </w:r>
    </w:p>
    <w:p>
      <w:pPr>
        <w:pStyle w:val="TextBody"/>
        <w:bidi w:val="0"/>
        <w:spacing w:lineRule="auto" w:line="288" w:before="79" w:after="283"/>
        <w:jc w:val="center"/>
        <w:rPr>
          <w:rFonts w:ascii="Times New Roman;serif" w:hAnsi="Times New Roman;serif"/>
          <w:b/>
          <w:color w:val="000000"/>
          <w:sz w:val="22"/>
        </w:rPr>
      </w:pPr>
      <w:r>
        <w:rPr>
          <w:rFonts w:ascii="Times New Roman;serif" w:hAnsi="Times New Roman;serif"/>
          <w:b/>
          <w:color w:val="000000"/>
          <w:sz w:val="22"/>
        </w:rPr>
        <w:t>VIPER ENERGY, INC. CLAWBACK POLICY</w:t>
      </w:r>
    </w:p>
    <w:p>
      <w:pPr>
        <w:pStyle w:val="TextBody"/>
        <w:bidi w:val="0"/>
        <w:spacing w:lineRule="auto" w:line="288" w:before="241" w:after="283"/>
        <w:jc w:val="center"/>
        <w:rPr>
          <w:rFonts w:ascii="Times New Roman;serif" w:hAnsi="Times New Roman;serif"/>
          <w:b/>
          <w:color w:val="000000"/>
          <w:sz w:val="22"/>
        </w:rPr>
      </w:pPr>
      <w:r>
        <w:rPr>
          <w:rFonts w:ascii="Times New Roman;serif" w:hAnsi="Times New Roman;serif"/>
          <w:b/>
          <w:color w:val="000000"/>
          <w:sz w:val="22"/>
        </w:rPr>
        <w:t>(Effective Date: February 18, 2026)</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Purpose</w:t>
      </w:r>
    </w:p>
    <w:p>
      <w:pPr>
        <w:pStyle w:val="TextBody"/>
        <w:bidi w:val="0"/>
        <w:spacing w:lineRule="auto" w:line="288" w:before="239" w:after="283"/>
        <w:jc w:val="both"/>
        <w:rPr/>
      </w:pPr>
      <w:r>
        <w:rPr>
          <w:rFonts w:ascii="Times New Roman;serif" w:hAnsi="Times New Roman;serif"/>
          <w:b w:val="false"/>
          <w:color w:val="000000"/>
          <w:sz w:val="22"/>
        </w:rPr>
        <w:t>Viper Energy,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 committed to conducting business with integrity, in accordance with high ethical standards and in compliance with all applicable laws, rules and regulations, including those regarding the presentation of the Company’s financial information to the public. As a result,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has adopted this Clawback Policy (as amended from time to time,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effective as of the Effective Date set forth above.</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Administration</w:t>
      </w:r>
    </w:p>
    <w:p>
      <w:pPr>
        <w:pStyle w:val="TextBody"/>
        <w:bidi w:val="0"/>
        <w:spacing w:lineRule="auto" w:line="288" w:before="239" w:after="283"/>
        <w:jc w:val="both"/>
        <w:rPr/>
      </w:pPr>
      <w:r>
        <w:rPr>
          <w:rFonts w:ascii="Times New Roman;serif" w:hAnsi="Times New Roman;serif"/>
          <w:b w:val="false"/>
          <w:color w:val="000000"/>
          <w:sz w:val="22"/>
        </w:rPr>
        <w:t>This Policy is administered by the Compensation Committee of the Board (the “</w:t>
      </w:r>
      <w:r>
        <w:rPr>
          <w:rFonts w:ascii="Times New Roman;serif" w:hAnsi="Times New Roman;serif"/>
          <w:b/>
          <w:i/>
          <w:color w:val="000000"/>
          <w:sz w:val="22"/>
        </w:rPr>
        <w:t>Committee</w:t>
      </w:r>
      <w:r>
        <w:rPr>
          <w:color w:val="000000"/>
        </w:rPr>
        <w:t>”</w:t>
      </w:r>
      <w:r>
        <w:rPr>
          <w:rFonts w:ascii="Times New Roman;serif" w:hAnsi="Times New Roman;serif"/>
          <w:b w:val="false"/>
          <w:color w:val="000000"/>
          <w:sz w:val="22"/>
        </w:rPr>
        <w:t>)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w:t>
      </w:r>
      <w:r>
        <w:rPr>
          <w:rFonts w:ascii="Times New Roman;serif" w:hAnsi="Times New Roman;serif"/>
          <w:b/>
          <w:i/>
          <w:color w:val="000000"/>
          <w:sz w:val="22"/>
        </w:rPr>
        <w:t>Rule 10D-1</w:t>
      </w:r>
      <w:r>
        <w:rPr>
          <w:color w:val="000000"/>
        </w:rPr>
        <w:t>”</w:t>
      </w:r>
      <w:r>
        <w:rPr>
          <w:rFonts w:ascii="Times New Roman;serif" w:hAnsi="Times New Roman;serif"/>
          <w:b w:val="false"/>
          <w:color w:val="000000"/>
          <w:sz w:val="22"/>
        </w:rPr>
        <w:t>). Except as limited by law, the Committee has full power, authority, and discretion to construe, interpret and apply this Policy. Any determinations made by the Committee will be made in compliance with the Nasdaq Stock Market listing rules and Rule 10D-1 and are final, conclusive and binding on all affected individuals.</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This Policy will be interpreted and applied in a manner that is consistent with the requirements of the Nasdaq Stock Market listing rules and Rule 10D-1, and to the extent this Policy is inconsistent with such rules, it shall be deemed amended to the extent necessary to ensure it is consistent therewith. The Board or Committee may amend, modify or terminate this Policy in whole or in part at any time in its sole discretion and may adopt such rules and procedures that it deems necessary or appropriate to implement this Policy or to comply with applicable laws and regulations. In addition, this Policy will terminate automatically when the Company does not have a class of securities listed on a national securities exchange or association and will be limited to the extent that any provision of the Nasdaq Stock Market listing rules and/or Rule 10D-1 is no longer in effect or applicable to the Company. The Company is authorized to take appropriate steps to implement this Policy with respect to Incentive-Based Compensation arrangements with Covered Executives.</w:t>
      </w:r>
    </w:p>
    <w:p>
      <w:pPr>
        <w:pStyle w:val="TextBody"/>
        <w:bidi w:val="0"/>
        <w:spacing w:lineRule="auto" w:line="288" w:before="239" w:after="283"/>
        <w:jc w:val="both"/>
        <w:rPr>
          <w:rFonts w:ascii="Times New Roman;serif" w:hAnsi="Times New Roman;serif"/>
          <w:b/>
          <w:color w:val="000000"/>
          <w:sz w:val="22"/>
        </w:rPr>
      </w:pPr>
      <w:r>
        <w:rPr>
          <w:rFonts w:ascii="Times New Roman;serif" w:hAnsi="Times New Roman;serif"/>
          <w:b/>
          <w:color w:val="000000"/>
          <w:sz w:val="22"/>
        </w:rPr>
        <w:t>Recoupment of Incentive-Based Compensation</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In the event the Company is required to prepare an accounting restatement of the Company’s financial statements due to material non-compliance with any financial reporting requirement under the federal securities laws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81660"/>
                <wp:effectExtent l="0" t="0" r="0" b="0"/>
                <wp:wrapNone/>
                <wp:docPr id="127" name="Frame126"/>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accounting restatement on the relevant stock price or total shareholder return. In all cases, the calculation of the excess amount of Incentive- Based Compensation to be recovered will be determined without regard to any taxes paid with respect to such compensation. The Company will maintain and will provide to the Nasdaq Stock Market documentation of all determinations and actions taken in complying with this Policy. Any determinations made by the Committee under this Policy shall be final and binding on all affected individuals.</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The Company may effect any recovery pursuant to this Policy by requiring payment of such amount(s) to the Company, by set-off, by reducing future compensation, or by such other means or combination of means as the Committee determines to be appropriate and to the extent permitted by law. The Company need not recover the excess amount of Incentive-Based Compensation if and to the extent that the Committee determines that such recovery is “impracticable,” within the meaning of,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lineRule="auto" w:line="288" w:before="239" w:after="283"/>
        <w:jc w:val="both"/>
        <w:rPr/>
      </w:pPr>
      <w:r>
        <w:rPr>
          <w:color w:val="000000"/>
        </w:rPr>
        <w:t>“</w:t>
      </w:r>
      <w:r>
        <w:rPr>
          <w:rFonts w:ascii="Times New Roman;serif" w:hAnsi="Times New Roman;serif"/>
          <w:b/>
          <w:i/>
          <w:color w:val="000000"/>
          <w:sz w:val="22"/>
        </w:rPr>
        <w:t>Covered Executives</w:t>
      </w:r>
      <w:r>
        <w:rPr>
          <w:color w:val="000000"/>
        </w:rPr>
        <w:t xml:space="preserve">” </w:t>
      </w:r>
      <w:r>
        <w:rPr>
          <w:rFonts w:ascii="Times New Roman;serif" w:hAnsi="Times New Roman;serif"/>
          <w:b w:val="false"/>
          <w:color w:val="000000"/>
          <w:sz w:val="22"/>
        </w:rPr>
        <w:t>means any “officer” of the Company as defined under Rule 16a-1(f) under the Securities Exchange Act of 1934, as amended.</w:t>
      </w:r>
    </w:p>
    <w:p>
      <w:pPr>
        <w:pStyle w:val="TextBody"/>
        <w:bidi w:val="0"/>
        <w:spacing w:lineRule="auto" w:line="288" w:before="239" w:after="283"/>
        <w:jc w:val="both"/>
        <w:rPr/>
      </w:pPr>
      <w:r>
        <w:rPr>
          <w:color w:val="000000"/>
        </w:rPr>
        <w:t>“</w:t>
      </w:r>
      <w:r>
        <w:rPr>
          <w:rFonts w:ascii="Times New Roman;serif" w:hAnsi="Times New Roman;serif"/>
          <w:b/>
          <w:i/>
          <w:color w:val="000000"/>
          <w:sz w:val="22"/>
        </w:rPr>
        <w:t>Incentive-Based Compensation</w:t>
      </w:r>
      <w:r>
        <w:rPr>
          <w:color w:val="000000"/>
        </w:rPr>
        <w:t xml:space="preserve">” </w:t>
      </w:r>
      <w:r>
        <w:rPr>
          <w:rFonts w:ascii="Times New Roman;serif" w:hAnsi="Times New Roman;serif"/>
          <w:b w:val="false"/>
          <w:color w:val="000000"/>
          <w:sz w:val="22"/>
        </w:rPr>
        <w:t>means any compensation granted, earned, or vested based in whole or in part on the Company’s attainment of a financial reporting measure that was Received by a person (i) on or after October 2, 2023 and after the person began service as a Covered Executive, (ii) who served as a Covered Executive at any time during the performance period for the Incentive-Based Compensation, and (iii) while the Company has a class of securities listed on a national securities exchange or association.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TextBody"/>
        <w:bidi w:val="0"/>
        <w:spacing w:lineRule="auto" w:line="288" w:before="239" w:after="283"/>
        <w:jc w:val="both"/>
        <w:rPr/>
      </w:pPr>
      <w:r>
        <w:rPr>
          <w:rFonts w:ascii="Times New Roman;serif" w:hAnsi="Times New Roman;serif"/>
          <w:b w:val="false"/>
          <w:color w:val="000000"/>
          <w:sz w:val="22"/>
        </w:rPr>
        <w:t>Incentive-Based Compensation is deemed to be “</w:t>
      </w:r>
      <w:r>
        <w:rPr>
          <w:rFonts w:ascii="Times New Roman;serif" w:hAnsi="Times New Roman;serif"/>
          <w:b/>
          <w:i/>
          <w:color w:val="000000"/>
          <w:sz w:val="22"/>
        </w:rPr>
        <w:t>Received</w:t>
      </w:r>
      <w:r>
        <w:rPr>
          <w:color w:val="000000"/>
        </w:rPr>
        <w:t xml:space="preserve">” </w:t>
      </w:r>
      <w:r>
        <w:rPr>
          <w:rFonts w:ascii="Times New Roman;serif" w:hAnsi="Times New Roman;serif"/>
          <w:b w:val="false"/>
          <w:color w:val="000000"/>
          <w:sz w:val="22"/>
        </w:rPr>
        <w:t>in the fiscal period during which the relevant financial reporting measure is attained, regardless of when the compensation is actually paid or awarded.</w:t>
      </w:r>
    </w:p>
    <w:p>
      <w:pPr>
        <w:pStyle w:val="TextBody"/>
        <w:bidi w:val="0"/>
        <w:spacing w:lineRule="auto" w:line="288" w:before="239" w:after="283"/>
        <w:jc w:val="both"/>
        <w:rPr/>
      </w:pPr>
      <w:r>
        <w:rPr>
          <w:color w:val="000000"/>
        </w:rPr>
        <w:t>“</w:t>
      </w:r>
      <w:r>
        <w:rPr>
          <w:rFonts w:ascii="Times New Roman;serif" w:hAnsi="Times New Roman;serif"/>
          <w:b/>
          <w:i/>
          <w:color w:val="000000"/>
          <w:sz w:val="22"/>
        </w:rPr>
        <w:t>Recovery Period</w:t>
      </w:r>
      <w:r>
        <w:rPr>
          <w:color w:val="000000"/>
        </w:rPr>
        <w:t xml:space="preserve">” </w:t>
      </w:r>
      <w:r>
        <w:rPr>
          <w:rFonts w:ascii="Times New Roman;serif" w:hAnsi="Times New Roman;serif"/>
          <w:b w:val="false"/>
          <w:color w:val="000000"/>
          <w:sz w:val="22"/>
        </w:rPr>
        <w:t>means the three completed fiscal years immediately preceding the date that the Company is required to prepare the accounting restatement described in this Policy, all as determined pursuant to the Nasdaq Stock Market listing rules and Rule 10D-1, and any transition period (that results from a change in the Company’s fiscal year) of less than nine months that is within or immediately following such three fiscal years.</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Not Exclusive; Limitation on Duplicative Recovery</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reimbursement or cancellation under this Policy is in addition to, and not in lieu of, any other remedies or rights that may be available to the Company, including (i) pursuant to the terms of any Company plan or policy or any agreement with the Covered Executive, (ii) disciplinary action up to and including termination, and (iii) institution of civil or criminal proceedings. Any right of recoupment under this Policy is in addition to, and is not in lieu of, any actions imposed by law enforcement agencies, regulators or other authorities. Notwithstanding the generality of the foregoing, to the extent that the requirements under the provisions of Section 304 of the Sarbanes- Oxley Act of 2002 are broader than the provisions in this Policy, the provisions of such law will apply to the Company’s Chief Executive Officer and Chief Financial Officer. Notwithstanding the foregoing, unless otherwise prohibited by the Nasdaq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81660"/>
                <wp:effectExtent l="0" t="0" r="0" b="0"/>
                <wp:wrapNone/>
                <wp:docPr id="128" name="Frame127"/>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Stock Market listing rules and/or Rule 10D-1, to the extent this Policy provides for recovery of erroneously awarded Incentive-Based Compensation already recovered by the Company pursuant to Section 304 of the Sarbanes-Oxley Act of 2002, the amount of erroneously awarded Incentive-Based Compensation already recovered by the Company from the recipient of such erroneously awarded Incentive-Based Compensation will be credited to the amount of erroneously awarded Incentive-Based Compensation required to be recovered pursuant to this Policy from such person.</w:t>
      </w:r>
    </w:p>
    <w:p>
      <w:pPr>
        <w:pStyle w:val="TextBody"/>
        <w:bidi w:val="0"/>
        <w:spacing w:lineRule="auto" w:line="288" w:before="239" w:after="283"/>
        <w:jc w:val="both"/>
        <w:rPr>
          <w:rFonts w:ascii="Times New Roman;serif" w:hAnsi="Times New Roman;serif"/>
          <w:b/>
          <w:color w:val="000000"/>
          <w:sz w:val="22"/>
        </w:rPr>
      </w:pPr>
      <w:r>
        <w:rPr>
          <w:rFonts w:ascii="Times New Roman;serif" w:hAnsi="Times New Roman;serif"/>
          <w:b/>
          <w:color w:val="000000"/>
          <w:sz w:val="22"/>
        </w:rPr>
        <w:t>No Indemnification; No Personal Liability</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The Company will not indemnify any Covered Executive against any loss pursuant to this Policy, nor will the Company pay, agree to pay, or reimburse any insurance premium to cover any loss hereunder.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 and contracts.</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Severability</w: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81660"/>
                <wp:effectExtent l="0" t="0" r="0" b="0"/>
                <wp:wrapNone/>
                <wp:docPr id="129" name="Frame128"/>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VIPER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326"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807"/>
        <w:gridCol w:w="807"/>
        <w:gridCol w:w="1146"/>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Raza Rizvi</w:t>
            </w:r>
          </w:p>
        </w:tc>
      </w:tr>
      <w:tr>
        <w:trPr/>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Managing Senior Vice President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54" w:type="dxa"/>
        <w:jc w:val="center"/>
        <w:tblInd w:w="0" w:type="dxa"/>
        <w:tblLayout w:type="fixed"/>
        <w:tblCellMar>
          <w:top w:w="28" w:type="dxa"/>
          <w:left w:w="28" w:type="dxa"/>
          <w:bottom w:w="28" w:type="dxa"/>
          <w:right w:w="28" w:type="dxa"/>
        </w:tblCellMar>
      </w:tblPr>
      <w:tblGrid>
        <w:gridCol w:w="124"/>
        <w:gridCol w:w="109"/>
        <w:gridCol w:w="109"/>
        <w:gridCol w:w="1278"/>
        <w:gridCol w:w="1278"/>
        <w:gridCol w:w="128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James Wells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James Wells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Petroleum Engineer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RYDER SCOTT COMPANY,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Firm Registration No. F-1580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8110"/>
                <wp:effectExtent l="0" t="0" r="0" b="0"/>
                <wp:wrapNone/>
                <wp:docPr id="130" name="Frame12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pPr>
      <w:r>
        <w:rPr/>
        <w:drawing>
          <wp:inline distT="0" distB="0" distL="0" distR="0">
            <wp:extent cx="495300" cy="571500"/>
            <wp:effectExtent l="0" t="0" r="0" b="0"/>
            <wp:docPr id="1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 descr=""/>
                    <pic:cNvPicPr>
                      <a:picLocks noChangeAspect="1" noChangeArrowheads="1"/>
                    </pic:cNvPicPr>
                  </pic:nvPicPr>
                  <pic:blipFill>
                    <a:blip r:embed="rId34"/>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 descr=""/>
                    <pic:cNvPicPr>
                      <a:picLocks noChangeAspect="1" noChangeArrowheads="1"/>
                    </pic:cNvPicPr>
                  </pic:nvPicPr>
                  <pic:blipFill>
                    <a:blip r:embed="rId35"/>
                    <a:stretch>
                      <a:fillRect/>
                    </a:stretch>
                  </pic:blipFill>
                  <pic:spPr bwMode="auto">
                    <a:xfrm>
                      <a:off x="0" y="0"/>
                      <a:ext cx="1847850" cy="457200"/>
                    </a:xfrm>
                    <a:prstGeom prst="rect">
                      <a:avLst/>
                    </a:prstGeom>
                  </pic:spPr>
                </pic:pic>
              </a:graphicData>
            </a:graphic>
          </wp:inline>
        </w:drawing>
      </w:r>
      <w:r>
        <w:rPr>
          <w:color w:val="000000"/>
        </w:rPr>
        <w:t>        </w:t>
      </w:r>
    </w:p>
    <w:tbl>
      <w:tblPr>
        <w:tblW w:w="7199" w:type="dxa"/>
        <w:jc w:val="left"/>
        <w:tblInd w:w="0" w:type="dxa"/>
        <w:tblLayout w:type="fixed"/>
        <w:tblCellMar>
          <w:top w:w="28" w:type="dxa"/>
          <w:left w:w="28" w:type="dxa"/>
          <w:bottom w:w="28" w:type="dxa"/>
          <w:right w:w="28" w:type="dxa"/>
        </w:tblCellMar>
      </w:tblPr>
      <w:tblGrid>
        <w:gridCol w:w="875"/>
        <w:gridCol w:w="770"/>
        <w:gridCol w:w="770"/>
        <w:gridCol w:w="826"/>
        <w:gridCol w:w="826"/>
        <w:gridCol w:w="838"/>
        <w:gridCol w:w="670"/>
        <w:gridCol w:w="670"/>
        <w:gridCol w:w="954"/>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49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TBPELS REGISTERED ENGINEERING FIRM F-1580</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1100 LOUISIANA SUITE 4600 </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HOUSTON, TEXAS 77002-5294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TELEPHONE (713) 651-9191</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January 13, 2026</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 Diamondback Energy, Inc.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At the request of Diamondback Energy, Inc. (Diamondback), Ryder Scott Company, L.P. (Ryder Scott) has conducted a reserves audit of the estimates of the proved reserves, future production and discounted future net income attributable to Viper Energy, Inc. (Viper), a subsidiary of Diamondback Energy, Inc., as of December 31, 2025, and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7, 2026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royalty interests in certain properties owned by Viper and the portion of those reserves and income data reviewed by Ryder Scott, as of December 31, 2025. The properties in which Viper owns an interest and reviewed by Ryder Scott are located in the states of Colorado, Montana, North Dakota, New Mexico, Texas and Wyoming.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Viper’s total net proved liquid hydrocarbon and gas reserves as of December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sans-serif" w:hAnsi="sans-serif"/>
                                <w:b w:val="false"/>
                                <w:color w:val="000000"/>
                                <w:sz w:val="15"/>
                              </w:rPr>
                              <w:t>SUITE 2800, 350 7TH AVENUE, S.W.    CALGARY, ALBERTA T2P 3N9    TEL (403) 262-2799</w:t>
                            </w:r>
                            <w:r>
                              <w:br w:type="page"/>
                            </w:r>
                          </w:p>
                          <w:p>
                            <w:pPr>
                              <w:pStyle w:val="TextBody"/>
                              <w:bidi w:val="0"/>
                              <w:spacing w:lineRule="auto" w:line="288" w:before="0" w:after="0"/>
                              <w:jc w:val="center"/>
                              <w:rPr>
                                <w:color w:val="000000"/>
                              </w:rPr>
                            </w:pPr>
                            <w:r>
                              <w:rPr>
                                <w:color w:val="000000"/>
                              </w:rPr>
                              <w:t>    </w:t>
                            </w:r>
                            <w:r>
                              <w:rPr>
                                <w:rFonts w:ascii="sans-serif" w:hAnsi="sans-serif"/>
                                <w:b w:val="false"/>
                                <w:color w:val="000000"/>
                                <w:sz w:val="15"/>
                              </w:rPr>
                              <w:t>555 17TH STREET, SUITE 985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sans-serif" w:hAnsi="sans-serif"/>
                          <w:b w:val="false"/>
                          <w:color w:val="000000"/>
                          <w:sz w:val="15"/>
                        </w:rPr>
                        <w:t>SUITE 2800, 350 7TH AVENUE, S.W.    CALGARY, ALBERTA T2P 3N9    TEL (403) 262-2799</w:t>
                      </w:r>
                    </w:p>
                    <w:p>
                      <w:pPr>
                        <w:pStyle w:val="TextBody"/>
                        <w:bidi w:val="0"/>
                        <w:spacing w:lineRule="auto" w:line="288" w:before="0" w:after="0"/>
                        <w:jc w:val="center"/>
                        <w:rPr>
                          <w:color w:val="000000"/>
                        </w:rPr>
                      </w:pPr>
                      <w:r>
                        <w:rPr>
                          <w:color w:val="000000"/>
                        </w:rPr>
                        <w:t>    </w:t>
                      </w:r>
                      <w:r>
                        <w:rPr>
                          <w:rFonts w:ascii="sans-serif" w:hAnsi="sans-serif"/>
                          <w:b w:val="false"/>
                          <w:color w:val="000000"/>
                          <w:sz w:val="15"/>
                        </w:rPr>
                        <w:t>555 17TH STREET, SUITE 985    DENVER, COLORADO 80202    TEL (303) 339-8110</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2025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2025,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Viper's interest in properties that we reviewed are summarized below:</w:t>
      </w:r>
    </w:p>
    <w:p>
      <w:pPr>
        <w:pStyle w:val="TextBody"/>
        <w:bidi w:val="0"/>
        <w:spacing w:before="0" w:after="0"/>
        <w:ind w:left="0" w:right="0" w:firstLine="720"/>
        <w:jc w:val="both"/>
        <w:rPr/>
      </w:pPr>
      <w:r>
        <w:rPr/>
      </w:r>
    </w:p>
    <w:tbl>
      <w:tblPr>
        <w:tblW w:w="4944" w:type="dxa"/>
        <w:jc w:val="center"/>
        <w:tblInd w:w="0" w:type="dxa"/>
        <w:tblLayout w:type="fixed"/>
        <w:tblCellMar>
          <w:top w:w="28" w:type="dxa"/>
          <w:left w:w="28" w:type="dxa"/>
          <w:bottom w:w="28" w:type="dxa"/>
          <w:right w:w="28" w:type="dxa"/>
        </w:tblCellMar>
      </w:tblPr>
      <w:tblGrid>
        <w:gridCol w:w="124"/>
        <w:gridCol w:w="109"/>
        <w:gridCol w:w="109"/>
        <w:gridCol w:w="1409"/>
        <w:gridCol w:w="1409"/>
        <w:gridCol w:w="14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SEC PARAMETERS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Estimated Net Reserves and Income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Certain Royalty Interests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Viper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23" w:type="dxa"/>
        <w:jc w:val="left"/>
        <w:tblInd w:w="0" w:type="dxa"/>
        <w:tblLayout w:type="fixed"/>
        <w:tblCellMar>
          <w:top w:w="28" w:type="dxa"/>
          <w:left w:w="28" w:type="dxa"/>
          <w:bottom w:w="28" w:type="dxa"/>
          <w:right w:w="28" w:type="dxa"/>
        </w:tblCellMar>
      </w:tblPr>
      <w:tblGrid>
        <w:gridCol w:w="918"/>
        <w:gridCol w:w="807"/>
        <w:gridCol w:w="809"/>
        <w:gridCol w:w="109"/>
        <w:gridCol w:w="109"/>
        <w:gridCol w:w="109"/>
        <w:gridCol w:w="403"/>
        <w:gridCol w:w="403"/>
        <w:gridCol w:w="410"/>
        <w:gridCol w:w="109"/>
        <w:gridCol w:w="109"/>
        <w:gridCol w:w="109"/>
        <w:gridCol w:w="410"/>
        <w:gridCol w:w="410"/>
        <w:gridCol w:w="411"/>
        <w:gridCol w:w="109"/>
        <w:gridCol w:w="109"/>
        <w:gridCol w:w="109"/>
        <w:gridCol w:w="365"/>
        <w:gridCol w:w="365"/>
        <w:gridCol w:w="53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Developed</w:t>
            </w:r>
          </w:p>
        </w:tc>
        <w:tc>
          <w:tcPr>
            <w:tcW w:w="1885" w:type="dxa"/>
            <w:gridSpan w:val="9"/>
            <w:tcBorders>
              <w:top w:val="single" w:sz="6" w:space="0" w:color="000000"/>
            </w:tcBorders>
            <w:tcMar>
              <w:left w:w="0" w:type="dxa"/>
              <w:bottom w:w="0" w:type="dxa"/>
              <w:right w:w="0" w:type="dxa"/>
            </w:tcMar>
            <w:vAlign w:val="center"/>
          </w:tcPr>
          <w:p>
            <w:pPr>
              <w:pStyle w:val="TableContents"/>
              <w:bidi w:val="0"/>
              <w:spacing w:before="0" w:after="0"/>
              <w:jc w:val="both"/>
              <w:rPr/>
            </w:pPr>
            <w:r>
              <w:rPr/>
            </w:r>
          </w:p>
        </w:tc>
        <w:tc>
          <w:tcPr>
            <w:tcW w:w="12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Producing</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147,036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46,170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193,206</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84,282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22,499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106,781</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512,302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123,983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636,285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316,702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89,333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406,035</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$11,168,455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$3,407,380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$14,575,835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210,809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67,668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278,477</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$10,957,646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$3,339,712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$14,297,358</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$ 5,459,102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$1,922,975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$ 7,382,078</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242424"/>
          <w:sz w:val="20"/>
          <w:shd w:fill="FFFFFF" w:val="clear"/>
        </w:rPr>
        <w:t>Values may not sum to total due to rounding</w:t>
      </w:r>
      <w:r>
        <w:rPr>
          <w:rFonts w:ascii="Arial;sans-serif" w:hAnsi="Arial;sans-serif"/>
          <w:b/>
          <w:color w:val="242424"/>
          <w:sz w:val="20"/>
          <w:shd w:fill="FFFFFF" w:val="clear"/>
        </w:rPr>
        <w:t>.</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8110"/>
                <wp:effectExtent l="0" t="0" r="0" b="0"/>
                <wp:wrapNone/>
                <wp:docPr id="134" name="Frame13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The future gross revenue is after the deduction of production taxes. Because the interests evaluated herein are royalty interests, the deductions include only ad valorem taxes, while the normal direct costs of operating the wells and development costs are used to estimate economic lives.</w:t>
      </w:r>
      <w:r>
        <w:rPr>
          <w:color w:val="000000"/>
        </w:rPr>
        <w:t xml:space="preserve"> </w:t>
      </w:r>
      <w:r>
        <w:rPr>
          <w:rFonts w:ascii="Arial;sans-serif" w:hAnsi="Arial;sans-serif"/>
          <w:b w:val="false"/>
          <w:color w:val="000000"/>
          <w:sz w:val="22"/>
        </w:rPr>
        <w:t xml:space="preserve">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 xml:space="preserve">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8110"/>
                <wp:effectExtent l="0" t="0" r="0" b="0"/>
                <wp:wrapNone/>
                <wp:docPr id="135" name="Frame13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8110"/>
                <wp:effectExtent l="0" t="0" r="0" b="0"/>
                <wp:wrapNone/>
                <wp:docPr id="136" name="Frame13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2025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2025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8110"/>
                <wp:effectExtent l="0" t="0" r="0" b="0"/>
                <wp:wrapNone/>
                <wp:docPr id="137" name="Frame13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Viper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30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44"/>
        <w:gridCol w:w="544"/>
        <w:gridCol w:w="54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both"/>
              <w:rPr/>
            </w:pPr>
            <w:r>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$65.34/Bbl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$64.80/Bbl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$65.34/Bbl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$18.95/Bbl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Henry Hub</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$3.387/MMBTU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$1.31/Mcf</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val="false"/>
          <w:color w:val="000000"/>
          <w:sz w:val="22"/>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8110"/>
                <wp:effectExtent l="0" t="0" r="0" b="0"/>
                <wp:wrapNone/>
                <wp:docPr id="138" name="Frame13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2025 or based on timing received directly from outside operators which they believe to be reasonable and accurate due to the joint operational partnerships between Diamondback and the respective operators in each of these areas.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2025, such changes were, in accordance with rules adopted by the SEC, omitted from consideration in making this evaluation.</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8110"/>
                <wp:effectExtent l="0" t="0" r="0" b="0"/>
                <wp:wrapNone/>
                <wp:docPr id="139" name="Frame13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2025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8110"/>
                <wp:effectExtent l="0" t="0" r="0" b="0"/>
                <wp:wrapNone/>
                <wp:docPr id="140" name="Frame13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Viper.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8110"/>
                <wp:effectExtent l="0" t="0" r="0" b="0"/>
                <wp:wrapNone/>
                <wp:docPr id="141" name="Frame13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2025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jc w:val="both"/>
        <w:rPr/>
      </w:pPr>
      <w:r>
        <w:rPr/>
      </w:r>
    </w:p>
    <w:tbl>
      <w:tblPr>
        <w:tblW w:w="6624" w:type="dxa"/>
        <w:jc w:val="left"/>
        <w:tblInd w:w="0" w:type="dxa"/>
        <w:tblLayout w:type="fixed"/>
        <w:tblCellMar>
          <w:top w:w="28" w:type="dxa"/>
          <w:left w:w="28" w:type="dxa"/>
          <w:bottom w:w="28" w:type="dxa"/>
          <w:right w:w="28" w:type="dxa"/>
        </w:tblCellMar>
      </w:tblPr>
      <w:tblGrid>
        <w:gridCol w:w="446"/>
        <w:gridCol w:w="392"/>
        <w:gridCol w:w="392"/>
        <w:gridCol w:w="392"/>
        <w:gridCol w:w="392"/>
        <w:gridCol w:w="399"/>
        <w:gridCol w:w="109"/>
        <w:gridCol w:w="109"/>
        <w:gridCol w:w="109"/>
        <w:gridCol w:w="1133"/>
        <w:gridCol w:w="1133"/>
        <w:gridCol w:w="1618"/>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Managing Senior Vice President</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[SEAL]</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Raza Rizvi</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Raza Rizvi</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 James Wells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James Wells</w:t>
            </w:r>
          </w:p>
        </w:tc>
      </w:tr>
      <w:tr>
        <w:trPr/>
        <w:tc>
          <w:tcPr>
            <w:tcW w:w="2413"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MEW-RR-JW (DRO)/pl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8110"/>
                <wp:effectExtent l="0" t="0" r="0" b="0"/>
                <wp:wrapNone/>
                <wp:docPr id="142" name="Frame13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2025 continuing education hours, Ms. Wellmann attended 29</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8110"/>
                <wp:effectExtent l="0" t="0" r="0" b="0"/>
                <wp:wrapNone/>
                <wp:docPr id="143" name="Frame14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8110"/>
                <wp:effectExtent l="0" t="0" r="0" b="0"/>
                <wp:wrapNone/>
                <wp:docPr id="144" name="Frame14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8110"/>
                <wp:effectExtent l="0" t="0" r="0" b="0"/>
                <wp:wrapNone/>
                <wp:docPr id="145" name="Frame14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8110"/>
                <wp:effectExtent l="0" t="0" r="0" b="0"/>
                <wp:wrapNone/>
                <wp:docPr id="146" name="Frame14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8110"/>
                <wp:effectExtent l="0" t="0" r="0" b="0"/>
                <wp:wrapNone/>
                <wp:docPr id="147" name="Frame14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    completion intervals that are open at the time of the estimate but which have not yet started producing;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    wells which were shut-in for market conditions or pipeline connections; or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    wells not capable of production for mechanical reasons.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88" w:before="0" w:after="0"/>
        <w:ind w:left="0" w:right="0" w:hanging="16"/>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88"/>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8110"/>
                <wp:effectExtent l="0" t="0" r="0" b="0"/>
                <wp:wrapNone/>
                <wp:docPr id="148" name="Frame14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2065/000160206525000003/viperex21-dropdownpsa.htm" TargetMode="External"/><Relationship Id="rId4" Type="http://schemas.openxmlformats.org/officeDocument/2006/relationships/hyperlink" Target="https://www.sec.gov/Archives/edgar/data/1602065/000119312525134303/d40523dex21.htm" TargetMode="External"/><Relationship Id="rId5" Type="http://schemas.openxmlformats.org/officeDocument/2006/relationships/hyperlink" Target="https://www.sec.gov/Archives/edgar/data/2074176/000110465925125257/tm2534458d1_ex2-1.htm" TargetMode="External"/><Relationship Id="rId6" Type="http://schemas.openxmlformats.org/officeDocument/2006/relationships/hyperlink" Target="https://www.sec.gov/Archives/edgar/data/2074176/000119312525183036/d66098dex31.htm" TargetMode="External"/><Relationship Id="rId7" Type="http://schemas.openxmlformats.org/officeDocument/2006/relationships/hyperlink" Target="https://www.sec.gov/Archives/edgar/data/2074176/000119312525183036/d66098dex32.htm" TargetMode="External"/><Relationship Id="rId8" Type="http://schemas.openxmlformats.org/officeDocument/2006/relationships/hyperlink" Target="https://www.sec.gov/Archives/edgar/data/2074176/000207417625000053/q32025viper10-qxex33.htm" TargetMode="External"/><Relationship Id="rId9" Type="http://schemas.openxmlformats.org/officeDocument/2006/relationships/hyperlink" Target="https://www.sec.gov/Archives/edgar/data/2074176/000119312525183036/d66098dex49.htm" TargetMode="External"/><Relationship Id="rId10" Type="http://schemas.openxmlformats.org/officeDocument/2006/relationships/hyperlink" Target="https://www.sec.gov/Archives/edgar/data/1602065/000110465923116606/tm2330431d1_ex10-3.htm" TargetMode="External"/><Relationship Id="rId11" Type="http://schemas.openxmlformats.org/officeDocument/2006/relationships/hyperlink" Target="https://www.sec.gov/Archives/edgar/data/1602065/000119312525070518/d915920dex44.htm" TargetMode="External"/><Relationship Id="rId12" Type="http://schemas.openxmlformats.org/officeDocument/2006/relationships/hyperlink" Target="https://www.sec.gov/Archives/edgar/data/1602065/000160206525000010/viper202410-kxex44.htm" TargetMode="External"/><Relationship Id="rId13" Type="http://schemas.openxmlformats.org/officeDocument/2006/relationships/hyperlink" Target="https://www.sec.gov/Archives/edgar/data/2074176/000119312525183036/d66098dex41.htm" TargetMode="External"/><Relationship Id="rId14" Type="http://schemas.openxmlformats.org/officeDocument/2006/relationships/hyperlink" Target="https://www.sec.gov/Archives/edgar/data/1602065/000160206525000010/viper202410-kxex45.htm" TargetMode="External"/><Relationship Id="rId15" Type="http://schemas.openxmlformats.org/officeDocument/2006/relationships/hyperlink" Target="https://www.sec.gov/Archives/edgar/data/1602065/000160206524000076/exhibit41-viperxtwrxoption.htm" TargetMode="External"/><Relationship Id="rId16" Type="http://schemas.openxmlformats.org/officeDocument/2006/relationships/hyperlink" Target="https://www.sec.gov/Archives/edgar/data/1602065/000160206524000076/exhibit42-viperenergyllcx2.htm" TargetMode="External"/><Relationship Id="rId17" Type="http://schemas.openxmlformats.org/officeDocument/2006/relationships/hyperlink" Target="https://www.sec.gov/Archives/edgar/data/1602065/000119312525163455/d901207dex41.htm" TargetMode="External"/><Relationship Id="rId18" Type="http://schemas.openxmlformats.org/officeDocument/2006/relationships/hyperlink" Target="https://www.sec.gov/Archives/edgar/data/1602065/000119312525163455/d901207dex42.htm" TargetMode="External"/><Relationship Id="rId19" Type="http://schemas.openxmlformats.org/officeDocument/2006/relationships/hyperlink" Target="https://www.sec.gov/Archives/edgar/data/2074176/000119312525183036/d66098dex48.htm" TargetMode="External"/><Relationship Id="rId20" Type="http://schemas.openxmlformats.org/officeDocument/2006/relationships/hyperlink" Target="https://www.sec.gov/Archives/edgar/data/2074176/000110465925125257/tm2534458d1_ex10-1.htm" TargetMode="External"/><Relationship Id="rId21" Type="http://schemas.openxmlformats.org/officeDocument/2006/relationships/hyperlink" Target="https://www.sec.gov/Archives/edgar/data/1602065/000160206523000080/viperex101-11x223.htm" TargetMode="External"/><Relationship Id="rId22" Type="http://schemas.openxmlformats.org/officeDocument/2006/relationships/hyperlink" Target="https://www.sec.gov/Archives/edgar/data/1602065/000110465923116606/tm2330431d1_ex10-5.htm" TargetMode="External"/><Relationship Id="rId23" Type="http://schemas.openxmlformats.org/officeDocument/2006/relationships/hyperlink" Target="https://www.sec.gov/Archives/edgar/data/1602065/000160206524000010/viper202310-kxex104x2x22x24.htm" TargetMode="External"/><Relationship Id="rId24" Type="http://schemas.openxmlformats.org/officeDocument/2006/relationships/hyperlink" Target="https://www.sec.gov/Archives/edgar/data/2074176/000119312525183036/d66098dex104.htm" TargetMode="External"/><Relationship Id="rId25" Type="http://schemas.openxmlformats.org/officeDocument/2006/relationships/hyperlink" Target="https://www.sec.gov/Archives/edgar/data/2074176/000119312525183036/d66098dex103.htm" TargetMode="External"/><Relationship Id="rId26" Type="http://schemas.openxmlformats.org/officeDocument/2006/relationships/hyperlink" Target="https://www.sec.gov/Archives/edgar/data/1602065/000110465923116606/tm2330431d1_ex10-2.htm" TargetMode="External"/><Relationship Id="rId27" Type="http://schemas.openxmlformats.org/officeDocument/2006/relationships/hyperlink" Target="https://www.sec.gov/Archives/edgar/data/1602065/000160206524000010/viper202310-kxex107x2x22x24.htm" TargetMode="External"/><Relationship Id="rId28" Type="http://schemas.openxmlformats.org/officeDocument/2006/relationships/hyperlink" Target="https://www.sec.gov/Archives/edgar/data/1602065/000160206524000010/viper202310-kxex108x2x22x24.htm" TargetMode="External"/><Relationship Id="rId29" Type="http://schemas.openxmlformats.org/officeDocument/2006/relationships/hyperlink" Target="https://www.sec.gov/Archives/edgar/data/1602065/000160206525000010/viper202410-kxex1010.htm" TargetMode="External"/><Relationship Id="rId30" Type="http://schemas.openxmlformats.org/officeDocument/2006/relationships/hyperlink" Target="https://www.sec.gov/Archives/edgar/data/1602065/000160206525000010/viper202410-kxex1011.htm" TargetMode="External"/><Relationship Id="rId31" Type="http://schemas.openxmlformats.org/officeDocument/2006/relationships/hyperlink" Target="https://www.sec.gov/Archives/edgar/data/1602065/000119312525139995/d88464dex101.htm" TargetMode="External"/><Relationship Id="rId32" Type="http://schemas.openxmlformats.org/officeDocument/2006/relationships/hyperlink" Target="https://www.sec.gov/Archives/edgar/data/1602065/000160206525000010/viper202410-kxex191.htm" TargetMode="External"/><Relationship Id="rId33" Type="http://schemas.openxmlformats.org/officeDocument/2006/relationships/hyperlink" Target="https://www.sec.gov/Archives/edgar/data/1602065/000160206525000010/viper202410-kxex192.htm" TargetMode="External"/><Relationship Id="rId34" Type="http://schemas.openxmlformats.org/officeDocument/2006/relationships/image" Target="media/image2.png"/><Relationship Id="rId35" Type="http://schemas.openxmlformats.org/officeDocument/2006/relationships/image" Target="media/image3.pn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77402</Words>
  <Characters>429572</Characters>
  <CharactersWithSpaces>503874</CharactersWithSpaces>
  <Paragraphs>4858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