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768985</wp:posOffset>
            </wp:positionH>
            <wp:positionV relativeFrom="page">
              <wp:posOffset>429260</wp:posOffset>
            </wp:positionV>
            <wp:extent cx="5339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9715" cy="8255"/>
                    </a:xfrm>
                    <a:prstGeom prst="rect">
                      <a:avLst/>
                    </a:prstGeom>
                    <a:noFill/>
                  </pic:spPr>
                </pic:pic>
              </a:graphicData>
            </a:graphic>
          </wp:anchor>
        </w:drawing>
        <w:drawing>
          <wp:anchor simplePos="0" relativeHeight="251657728" behindDoc="1" locked="0" layoutInCell="0" allowOverlap="1">
            <wp:simplePos x="0" y="0"/>
            <wp:positionH relativeFrom="page">
              <wp:posOffset>768985</wp:posOffset>
            </wp:positionH>
            <wp:positionV relativeFrom="page">
              <wp:posOffset>386715</wp:posOffset>
            </wp:positionV>
            <wp:extent cx="5339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39715" cy="1714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2266315</wp:posOffset>
            </wp:positionH>
            <wp:positionV relativeFrom="paragraph">
              <wp:posOffset>114300</wp:posOffset>
            </wp:positionV>
            <wp:extent cx="2618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8740"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2266315</wp:posOffset>
            </wp:positionH>
            <wp:positionV relativeFrom="paragraph">
              <wp:posOffset>80645</wp:posOffset>
            </wp:positionV>
            <wp:extent cx="2618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8740" cy="8255"/>
                    </a:xfrm>
                    <a:prstGeom prst="rect">
                      <a:avLst/>
                    </a:prstGeom>
                    <a:noFill/>
                  </pic:spPr>
                </pic:pic>
              </a:graphicData>
            </a:graphic>
          </wp:anchor>
        </w:drawing>
      </w:r>
    </w:p>
    <w:p>
      <w:pPr>
        <w:spacing w:after="0" w:line="263" w:lineRule="exact"/>
        <w:rPr>
          <w:sz w:val="24"/>
          <w:szCs w:val="24"/>
          <w:color w:val="auto"/>
        </w:rPr>
      </w:pPr>
    </w:p>
    <w:p>
      <w:pPr>
        <w:ind w:left="640" w:hanging="615"/>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UNDER SECTION 13 OR 15(d) OF THE SECURITIES EXCHANGE ACT OF 1934</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2022</w:t>
      </w:r>
    </w:p>
    <w:p>
      <w:pPr>
        <w:jc w:val="center"/>
        <w:spacing w:after="0"/>
        <w:rPr>
          <w:sz w:val="20"/>
          <w:szCs w:val="20"/>
          <w:color w:val="auto"/>
        </w:rPr>
      </w:pPr>
      <w:r>
        <w:rPr>
          <w:rFonts w:ascii="Arial" w:cs="Arial" w:eastAsia="Arial" w:hAnsi="Arial"/>
          <w:sz w:val="16"/>
          <w:szCs w:val="16"/>
          <w:b w:val="1"/>
          <w:bCs w:val="1"/>
          <w:color w:val="auto"/>
        </w:rPr>
        <w:t>OR</w:t>
      </w:r>
    </w:p>
    <w:p>
      <w:pPr>
        <w:spacing w:after="0" w:line="106" w:lineRule="exact"/>
        <w:rPr>
          <w:sz w:val="24"/>
          <w:szCs w:val="24"/>
          <w:color w:val="auto"/>
        </w:rPr>
      </w:pPr>
    </w:p>
    <w:p>
      <w:pPr>
        <w:ind w:left="4380" w:right="3380" w:hanging="4355"/>
        <w:spacing w:after="0" w:line="382" w:lineRule="auto"/>
        <w:tabs>
          <w:tab w:leader="none" w:pos="64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UNDER SECTION 13 OR 15(d) OF SECURITIES EXCHANGE ACT OF 1934 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2266315</wp:posOffset>
            </wp:positionH>
            <wp:positionV relativeFrom="paragraph">
              <wp:posOffset>36195</wp:posOffset>
            </wp:positionV>
            <wp:extent cx="2618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18740"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Viper Energy Partners LP</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2266315</wp:posOffset>
            </wp:positionH>
            <wp:positionV relativeFrom="paragraph">
              <wp:posOffset>78740</wp:posOffset>
            </wp:positionV>
            <wp:extent cx="2618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18740" cy="8255"/>
                    </a:xfrm>
                    <a:prstGeom prst="rect">
                      <a:avLst/>
                    </a:prstGeom>
                    <a:noFill/>
                  </pic:spPr>
                </pic:pic>
              </a:graphicData>
            </a:graphic>
          </wp:anchor>
        </w:drawing>
      </w:r>
    </w:p>
    <w:p>
      <w:pPr>
        <w:spacing w:after="0" w:line="256" w:lineRule="exact"/>
        <w:rPr>
          <w:sz w:val="24"/>
          <w:szCs w:val="24"/>
          <w:color w:val="auto"/>
        </w:rPr>
      </w:pPr>
    </w:p>
    <w:tbl>
      <w:tblPr>
        <w:tblLayout w:type="fixed"/>
        <w:tblInd w:w="2000" w:type="dxa"/>
        <w:tblCellMar>
          <w:top w:w="0" w:type="dxa"/>
          <w:left w:w="0" w:type="dxa"/>
          <w:bottom w:w="0" w:type="dxa"/>
          <w:right w:w="0" w:type="dxa"/>
        </w:tblCellMar>
      </w:tblPr>
      <w:tr>
        <w:trPr>
          <w:trHeight w:val="185"/>
        </w:trPr>
        <w:tc>
          <w:tcPr>
            <w:tcW w:w="3740" w:type="dxa"/>
            <w:vAlign w:val="bottom"/>
          </w:tcPr>
          <w:p>
            <w:pPr>
              <w:jc w:val="center"/>
              <w:ind w:right="789"/>
              <w:spacing w:after="0"/>
              <w:rPr>
                <w:sz w:val="20"/>
                <w:szCs w:val="20"/>
                <w:color w:val="auto"/>
              </w:rPr>
            </w:pPr>
            <w:r>
              <w:rPr>
                <w:rFonts w:ascii="Arial" w:cs="Arial" w:eastAsia="Arial" w:hAnsi="Arial"/>
                <w:sz w:val="14"/>
                <w:szCs w:val="14"/>
                <w:b w:val="1"/>
                <w:bCs w:val="1"/>
                <w:color w:val="auto"/>
              </w:rPr>
              <w:t>DE</w:t>
            </w:r>
          </w:p>
        </w:tc>
        <w:tc>
          <w:tcPr>
            <w:tcW w:w="3300" w:type="dxa"/>
            <w:vAlign w:val="bottom"/>
          </w:tcPr>
          <w:p>
            <w:pPr>
              <w:jc w:val="right"/>
              <w:ind w:right="829"/>
              <w:spacing w:after="0"/>
              <w:rPr>
                <w:sz w:val="20"/>
                <w:szCs w:val="20"/>
                <w:color w:val="auto"/>
              </w:rPr>
            </w:pPr>
            <w:r>
              <w:rPr>
                <w:rFonts w:ascii="Arial" w:cs="Arial" w:eastAsia="Arial" w:hAnsi="Arial"/>
                <w:sz w:val="14"/>
                <w:szCs w:val="14"/>
                <w:b w:val="1"/>
                <w:bCs w:val="1"/>
                <w:color w:val="auto"/>
              </w:rPr>
              <w:t>46-5001985</w:t>
            </w:r>
          </w:p>
        </w:tc>
      </w:tr>
      <w:tr>
        <w:trPr>
          <w:trHeight w:val="377"/>
        </w:trPr>
        <w:tc>
          <w:tcPr>
            <w:tcW w:w="3740" w:type="dxa"/>
            <w:vAlign w:val="bottom"/>
          </w:tcPr>
          <w:p>
            <w:pPr>
              <w:jc w:val="center"/>
              <w:ind w:right="769"/>
              <w:spacing w:after="0"/>
              <w:rPr>
                <w:sz w:val="20"/>
                <w:szCs w:val="20"/>
                <w:color w:val="auto"/>
              </w:rPr>
            </w:pPr>
            <w:r>
              <w:rPr>
                <w:rFonts w:ascii="Arial" w:cs="Arial" w:eastAsia="Arial" w:hAnsi="Arial"/>
                <w:sz w:val="14"/>
                <w:szCs w:val="14"/>
                <w:b w:val="1"/>
                <w:bCs w:val="1"/>
                <w:color w:val="auto"/>
                <w:w w:val="93"/>
              </w:rPr>
              <w:t>(State or Other Jurisdiction of Incorporation or</w:t>
            </w:r>
          </w:p>
        </w:tc>
        <w:tc>
          <w:tcPr>
            <w:tcW w:w="3300" w:type="dxa"/>
            <w:vAlign w:val="bottom"/>
          </w:tcPr>
          <w:p>
            <w:pPr>
              <w:jc w:val="center"/>
              <w:ind w:left="749"/>
              <w:spacing w:after="0"/>
              <w:rPr>
                <w:sz w:val="20"/>
                <w:szCs w:val="20"/>
                <w:color w:val="auto"/>
              </w:rPr>
            </w:pPr>
            <w:r>
              <w:rPr>
                <w:rFonts w:ascii="Arial" w:cs="Arial" w:eastAsia="Arial" w:hAnsi="Arial"/>
                <w:sz w:val="14"/>
                <w:szCs w:val="14"/>
                <w:b w:val="1"/>
                <w:bCs w:val="1"/>
                <w:color w:val="auto"/>
                <w:w w:val="95"/>
              </w:rPr>
              <w:t>(I.R.S. Employer Identification Number)</w:t>
            </w:r>
          </w:p>
        </w:tc>
      </w:tr>
      <w:tr>
        <w:trPr>
          <w:trHeight w:val="185"/>
        </w:trPr>
        <w:tc>
          <w:tcPr>
            <w:tcW w:w="3740" w:type="dxa"/>
            <w:vAlign w:val="bottom"/>
          </w:tcPr>
          <w:p>
            <w:pPr>
              <w:jc w:val="center"/>
              <w:ind w:right="769"/>
              <w:spacing w:after="0"/>
              <w:rPr>
                <w:sz w:val="20"/>
                <w:szCs w:val="20"/>
                <w:color w:val="auto"/>
              </w:rPr>
            </w:pPr>
            <w:r>
              <w:rPr>
                <w:rFonts w:ascii="Arial" w:cs="Arial" w:eastAsia="Arial" w:hAnsi="Arial"/>
                <w:sz w:val="14"/>
                <w:szCs w:val="14"/>
                <w:b w:val="1"/>
                <w:bCs w:val="1"/>
                <w:color w:val="auto"/>
                <w:w w:val="95"/>
              </w:rPr>
              <w:t>Organization)</w:t>
            </w:r>
          </w:p>
        </w:tc>
        <w:tc>
          <w:tcPr>
            <w:tcW w:w="3300" w:type="dxa"/>
            <w:vAlign w:val="bottom"/>
          </w:tcPr>
          <w:p>
            <w:pPr>
              <w:spacing w:after="0"/>
              <w:rPr>
                <w:sz w:val="16"/>
                <w:szCs w:val="16"/>
                <w:color w:val="auto"/>
              </w:rPr>
            </w:pPr>
          </w:p>
        </w:tc>
      </w:tr>
      <w:tr>
        <w:trPr>
          <w:trHeight w:val="375"/>
        </w:trPr>
        <w:tc>
          <w:tcPr>
            <w:tcW w:w="3740" w:type="dxa"/>
            <w:vAlign w:val="bottom"/>
          </w:tcPr>
          <w:p>
            <w:pPr>
              <w:jc w:val="center"/>
              <w:ind w:right="769"/>
              <w:spacing w:after="0"/>
              <w:rPr>
                <w:sz w:val="20"/>
                <w:szCs w:val="20"/>
                <w:color w:val="auto"/>
              </w:rPr>
            </w:pPr>
            <w:r>
              <w:rPr>
                <w:rFonts w:ascii="Arial" w:cs="Arial" w:eastAsia="Arial" w:hAnsi="Arial"/>
                <w:sz w:val="14"/>
                <w:szCs w:val="14"/>
                <w:b w:val="1"/>
                <w:bCs w:val="1"/>
                <w:color w:val="auto"/>
                <w:w w:val="90"/>
              </w:rPr>
              <w:t>500 West Texas</w:t>
            </w:r>
          </w:p>
        </w:tc>
        <w:tc>
          <w:tcPr>
            <w:tcW w:w="3300" w:type="dxa"/>
            <w:vAlign w:val="bottom"/>
          </w:tcPr>
          <w:p>
            <w:pPr>
              <w:spacing w:after="0"/>
              <w:rPr>
                <w:sz w:val="24"/>
                <w:szCs w:val="24"/>
                <w:color w:val="auto"/>
              </w:rPr>
            </w:pPr>
          </w:p>
        </w:tc>
      </w:tr>
      <w:tr>
        <w:trPr>
          <w:trHeight w:val="201"/>
        </w:trPr>
        <w:tc>
          <w:tcPr>
            <w:tcW w:w="3740" w:type="dxa"/>
            <w:vAlign w:val="bottom"/>
          </w:tcPr>
          <w:p>
            <w:pPr>
              <w:jc w:val="center"/>
              <w:ind w:right="789"/>
              <w:spacing w:after="0"/>
              <w:rPr>
                <w:sz w:val="20"/>
                <w:szCs w:val="20"/>
                <w:color w:val="auto"/>
              </w:rPr>
            </w:pPr>
            <w:r>
              <w:rPr>
                <w:rFonts w:ascii="Arial" w:cs="Arial" w:eastAsia="Arial" w:hAnsi="Arial"/>
                <w:sz w:val="14"/>
                <w:szCs w:val="14"/>
                <w:b w:val="1"/>
                <w:bCs w:val="1"/>
                <w:color w:val="auto"/>
                <w:w w:val="91"/>
              </w:rPr>
              <w:t>Suite 100</w:t>
            </w:r>
          </w:p>
        </w:tc>
        <w:tc>
          <w:tcPr>
            <w:tcW w:w="3300" w:type="dxa"/>
            <w:vAlign w:val="bottom"/>
          </w:tcPr>
          <w:p>
            <w:pPr>
              <w:spacing w:after="0"/>
              <w:rPr>
                <w:sz w:val="17"/>
                <w:szCs w:val="17"/>
                <w:color w:val="auto"/>
              </w:rPr>
            </w:pPr>
          </w:p>
        </w:tc>
      </w:tr>
      <w:tr>
        <w:trPr>
          <w:trHeight w:val="201"/>
        </w:trPr>
        <w:tc>
          <w:tcPr>
            <w:tcW w:w="3740" w:type="dxa"/>
            <w:vAlign w:val="bottom"/>
          </w:tcPr>
          <w:p>
            <w:pPr>
              <w:ind w:left="980"/>
              <w:spacing w:after="0"/>
              <w:rPr>
                <w:sz w:val="20"/>
                <w:szCs w:val="20"/>
                <w:color w:val="auto"/>
              </w:rPr>
            </w:pPr>
            <w:r>
              <w:rPr>
                <w:rFonts w:ascii="Arial" w:cs="Arial" w:eastAsia="Arial" w:hAnsi="Arial"/>
                <w:sz w:val="14"/>
                <w:szCs w:val="14"/>
                <w:b w:val="1"/>
                <w:bCs w:val="1"/>
                <w:color w:val="auto"/>
              </w:rPr>
              <w:t>Midland, TX</w:t>
            </w:r>
          </w:p>
        </w:tc>
        <w:tc>
          <w:tcPr>
            <w:tcW w:w="3300" w:type="dxa"/>
            <w:vAlign w:val="bottom"/>
          </w:tcPr>
          <w:p>
            <w:pPr>
              <w:jc w:val="right"/>
              <w:ind w:right="989"/>
              <w:spacing w:after="0"/>
              <w:rPr>
                <w:sz w:val="20"/>
                <w:szCs w:val="20"/>
                <w:color w:val="auto"/>
              </w:rPr>
            </w:pPr>
            <w:r>
              <w:rPr>
                <w:rFonts w:ascii="Arial" w:cs="Arial" w:eastAsia="Arial" w:hAnsi="Arial"/>
                <w:sz w:val="14"/>
                <w:szCs w:val="14"/>
                <w:b w:val="1"/>
                <w:bCs w:val="1"/>
                <w:color w:val="auto"/>
              </w:rPr>
              <w:t>79701</w:t>
            </w:r>
          </w:p>
        </w:tc>
      </w:tr>
      <w:tr>
        <w:trPr>
          <w:trHeight w:val="415"/>
        </w:trPr>
        <w:tc>
          <w:tcPr>
            <w:tcW w:w="3740" w:type="dxa"/>
            <w:vAlign w:val="bottom"/>
          </w:tcPr>
          <w:p>
            <w:pPr>
              <w:jc w:val="center"/>
              <w:ind w:right="789"/>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3300" w:type="dxa"/>
            <w:vAlign w:val="bottom"/>
          </w:tcPr>
          <w:p>
            <w:pPr>
              <w:jc w:val="center"/>
              <w:ind w:left="749"/>
              <w:spacing w:after="0"/>
              <w:rPr>
                <w:sz w:val="20"/>
                <w:szCs w:val="20"/>
                <w:color w:val="auto"/>
              </w:rPr>
            </w:pPr>
            <w:r>
              <w:rPr>
                <w:rFonts w:ascii="Arial" w:cs="Arial" w:eastAsia="Arial" w:hAnsi="Arial"/>
                <w:sz w:val="14"/>
                <w:szCs w:val="14"/>
                <w:b w:val="1"/>
                <w:bCs w:val="1"/>
                <w:color w:val="auto"/>
                <w:w w:val="95"/>
              </w:rPr>
              <w:t>(Zip code)</w:t>
            </w: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(Registrant's telephone number, including area code): </w:t>
      </w:r>
      <w:r>
        <w:rPr>
          <w:rFonts w:ascii="Arial" w:cs="Arial" w:eastAsia="Arial" w:hAnsi="Arial"/>
          <w:sz w:val="16"/>
          <w:szCs w:val="16"/>
          <w:b w:val="1"/>
          <w:bCs w:val="1"/>
          <w:color w:val="auto"/>
        </w:rPr>
        <w:t>(432) 221-7400</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0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7"/>
              </w:rPr>
              <w:t>Title of each class</w:t>
            </w:r>
          </w:p>
        </w:tc>
        <w:tc>
          <w:tcPr>
            <w:tcW w:w="18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Trading Symbol(s)</w:t>
            </w:r>
          </w:p>
        </w:tc>
        <w:tc>
          <w:tcPr>
            <w:tcW w:w="380" w:type="dxa"/>
            <w:vAlign w:val="bottom"/>
          </w:tcPr>
          <w:p>
            <w:pPr>
              <w:spacing w:after="0"/>
              <w:rPr>
                <w:sz w:val="14"/>
                <w:szCs w:val="14"/>
                <w:color w:val="auto"/>
              </w:rPr>
            </w:pPr>
          </w:p>
        </w:tc>
        <w:tc>
          <w:tcPr>
            <w:tcW w:w="2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9"/>
        </w:trPr>
        <w:tc>
          <w:tcPr>
            <w:tcW w:w="296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Units</w:t>
            </w:r>
          </w:p>
        </w:tc>
        <w:tc>
          <w:tcPr>
            <w:tcW w:w="10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VNOM</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jc w:val="center"/>
              <w:ind w:right="249"/>
              <w:spacing w:after="0"/>
              <w:rPr>
                <w:sz w:val="20"/>
                <w:szCs w:val="20"/>
                <w:color w:val="auto"/>
              </w:rPr>
            </w:pPr>
            <w:r>
              <w:rPr>
                <w:rFonts w:ascii="Arial" w:cs="Arial" w:eastAsia="Arial" w:hAnsi="Arial"/>
                <w:sz w:val="14"/>
                <w:szCs w:val="14"/>
                <w:color w:val="auto"/>
                <w:w w:val="92"/>
              </w:rPr>
              <w:t>The Nasdaq Stock Market LLC</w:t>
            </w:r>
          </w:p>
        </w:tc>
      </w:tr>
      <w:tr>
        <w:trPr>
          <w:trHeight w:val="201"/>
        </w:trPr>
        <w:tc>
          <w:tcPr>
            <w:tcW w:w="2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tcPr>
          <w:p>
            <w:pPr>
              <w:jc w:val="center"/>
              <w:ind w:right="249"/>
              <w:spacing w:after="0"/>
              <w:rPr>
                <w:sz w:val="20"/>
                <w:szCs w:val="20"/>
                <w:color w:val="auto"/>
              </w:rPr>
            </w:pPr>
            <w:r>
              <w:rPr>
                <w:rFonts w:ascii="Arial" w:cs="Arial" w:eastAsia="Arial" w:hAnsi="Arial"/>
                <w:sz w:val="14"/>
                <w:szCs w:val="14"/>
                <w:color w:val="auto"/>
                <w:w w:val="95"/>
              </w:rPr>
              <w:t>(NASDAQ Global Select Market)</w:t>
            </w:r>
          </w:p>
        </w:tc>
      </w:tr>
      <w:tr>
        <w:trPr>
          <w:trHeight w:val="254"/>
        </w:trPr>
        <w:tc>
          <w:tcPr>
            <w:tcW w:w="2960" w:type="dxa"/>
            <w:vAlign w:val="bottom"/>
          </w:tcPr>
          <w:p>
            <w:pPr>
              <w:spacing w:after="0"/>
              <w:rPr>
                <w:sz w:val="22"/>
                <w:szCs w:val="22"/>
                <w:color w:val="auto"/>
              </w:rPr>
            </w:pPr>
          </w:p>
        </w:tc>
        <w:tc>
          <w:tcPr>
            <w:tcW w:w="4580" w:type="dxa"/>
            <w:vAlign w:val="bottom"/>
            <w:gridSpan w:val="6"/>
          </w:tcPr>
          <w:p>
            <w:pPr>
              <w:jc w:val="center"/>
              <w:ind w:left="689"/>
              <w:spacing w:after="0"/>
              <w:rPr>
                <w:sz w:val="20"/>
                <w:szCs w:val="20"/>
                <w:color w:val="auto"/>
              </w:rPr>
            </w:pPr>
            <w:r>
              <w:rPr>
                <w:rFonts w:ascii="Arial" w:cs="Arial" w:eastAsia="Arial" w:hAnsi="Arial"/>
                <w:sz w:val="14"/>
                <w:szCs w:val="14"/>
                <w:b w:val="1"/>
                <w:bCs w:val="1"/>
                <w:color w:val="auto"/>
                <w:w w:val="90"/>
              </w:rPr>
              <w:t>Securities registered pursuant to section 12(g) of the Act:</w:t>
            </w:r>
          </w:p>
        </w:tc>
        <w:tc>
          <w:tcPr>
            <w:tcW w:w="2340" w:type="dxa"/>
            <w:vAlign w:val="bottom"/>
          </w:tcPr>
          <w:p>
            <w:pPr>
              <w:spacing w:after="0"/>
              <w:rPr>
                <w:sz w:val="22"/>
                <w:szCs w:val="22"/>
                <w:color w:val="auto"/>
              </w:rPr>
            </w:pPr>
          </w:p>
        </w:tc>
      </w:tr>
      <w:tr>
        <w:trPr>
          <w:trHeight w:val="201"/>
        </w:trPr>
        <w:tc>
          <w:tcPr>
            <w:tcW w:w="2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None.</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97"/>
        </w:trPr>
        <w:tc>
          <w:tcPr>
            <w:tcW w:w="684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380" w:type="dxa"/>
            <w:vAlign w:val="bottom"/>
          </w:tcPr>
          <w:p>
            <w:pPr>
              <w:spacing w:after="0" w:line="161" w:lineRule="exact"/>
              <w:rPr>
                <w:sz w:val="20"/>
                <w:szCs w:val="20"/>
                <w:color w:val="auto"/>
              </w:rPr>
            </w:pPr>
            <w:r>
              <w:rPr>
                <w:rFonts w:ascii="Arial" w:cs="Arial" w:eastAsia="Arial" w:hAnsi="Arial"/>
                <w:sz w:val="14"/>
                <w:szCs w:val="14"/>
                <w:color w:val="auto"/>
                <w:w w:val="85"/>
              </w:rPr>
              <w:t xml:space="preserve">Yes </w:t>
            </w:r>
            <w:r>
              <w:rPr>
                <w:rFonts w:ascii="MS PGothic" w:cs="MS PGothic" w:eastAsia="MS PGothic" w:hAnsi="MS PGothic"/>
                <w:sz w:val="14"/>
                <w:szCs w:val="14"/>
                <w:color w:val="auto"/>
                <w:w w:val="85"/>
              </w:rPr>
              <w:t>☒</w:t>
            </w:r>
          </w:p>
        </w:tc>
        <w:tc>
          <w:tcPr>
            <w:tcW w:w="320" w:type="dxa"/>
            <w:vAlign w:val="bottom"/>
          </w:tcPr>
          <w:p>
            <w:pPr>
              <w:ind w:left="140"/>
              <w:spacing w:after="0"/>
              <w:rPr>
                <w:sz w:val="20"/>
                <w:szCs w:val="20"/>
                <w:color w:val="auto"/>
              </w:rPr>
            </w:pPr>
            <w:r>
              <w:rPr>
                <w:rFonts w:ascii="Arial" w:cs="Arial" w:eastAsia="Arial" w:hAnsi="Arial"/>
                <w:sz w:val="14"/>
                <w:szCs w:val="14"/>
                <w:color w:val="auto"/>
                <w:w w:val="89"/>
              </w:rPr>
              <w:t>No</w:t>
            </w:r>
          </w:p>
        </w:tc>
        <w:tc>
          <w:tcPr>
            <w:tcW w:w="23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r>
      <w:tr>
        <w:trPr>
          <w:trHeight w:val="228"/>
        </w:trPr>
        <w:tc>
          <w:tcPr>
            <w:tcW w:w="684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380" w:type="dxa"/>
            <w:vAlign w:val="bottom"/>
          </w:tcPr>
          <w:p>
            <w:pPr>
              <w:ind w:left="140"/>
              <w:spacing w:after="0"/>
              <w:rPr>
                <w:sz w:val="20"/>
                <w:szCs w:val="20"/>
                <w:color w:val="auto"/>
              </w:rPr>
            </w:pPr>
            <w:r>
              <w:rPr>
                <w:rFonts w:ascii="Arial" w:cs="Arial" w:eastAsia="Arial" w:hAnsi="Arial"/>
                <w:sz w:val="14"/>
                <w:szCs w:val="14"/>
                <w:color w:val="auto"/>
                <w:w w:val="90"/>
              </w:rPr>
              <w:t>Yes</w:t>
            </w:r>
          </w:p>
        </w:tc>
        <w:tc>
          <w:tcPr>
            <w:tcW w:w="32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34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7" w:lineRule="exact"/>
        <w:rPr>
          <w:sz w:val="24"/>
          <w:szCs w:val="24"/>
          <w:color w:val="auto"/>
        </w:rPr>
      </w:pPr>
    </w:p>
    <w:p>
      <w:pPr>
        <w:jc w:val="both"/>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spacing w:after="0" w:line="17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2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24"/>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2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4"/>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02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4"/>
        </w:trPr>
        <w:tc>
          <w:tcPr>
            <w:tcW w:w="22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08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7" w:lineRule="exact"/>
        <w:rPr>
          <w:sz w:val="24"/>
          <w:szCs w:val="24"/>
          <w:color w:val="auto"/>
        </w:rPr>
      </w:pPr>
    </w:p>
    <w:p>
      <w:pPr>
        <w:jc w:val="both"/>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jc w:val="both"/>
        <w:ind w:right="20"/>
        <w:spacing w:after="0" w:line="17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17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8" w:lineRule="exact"/>
        <w:rPr>
          <w:sz w:val="24"/>
          <w:szCs w:val="24"/>
          <w:color w:val="auto"/>
        </w:rPr>
      </w:pPr>
    </w:p>
    <w:p>
      <w:pPr>
        <w:jc w:val="both"/>
        <w:spacing w:after="0" w:line="172"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tabs>
          <w:tab w:leader="none" w:pos="6600" w:val="left"/>
          <w:tab w:leader="none" w:pos="72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1" w:lineRule="exact"/>
        <w:rPr>
          <w:sz w:val="24"/>
          <w:szCs w:val="24"/>
          <w:color w:val="auto"/>
        </w:rPr>
      </w:pPr>
    </w:p>
    <w:p>
      <w:pPr>
        <w:jc w:val="both"/>
        <w:spacing w:after="0" w:line="236" w:lineRule="auto"/>
        <w:rPr>
          <w:sz w:val="20"/>
          <w:szCs w:val="20"/>
          <w:color w:val="auto"/>
        </w:rPr>
      </w:pPr>
      <w:r>
        <w:rPr>
          <w:rFonts w:ascii="Arial" w:cs="Arial" w:eastAsia="Arial" w:hAnsi="Arial"/>
          <w:sz w:val="14"/>
          <w:szCs w:val="14"/>
          <w:color w:val="auto"/>
        </w:rPr>
        <w:t>The aggregate market value of the common units held by non-affiliates was approximately $2.0 billion on June 30, 2022, the last business day of the registrant’s most recently completed second fiscal quarter, based on closing prices in the daily composite list for transactions on the Nasdaq Global Select Market on such date. As of February 17, 2023, 72,677,022 common units representing limited partner interests and 90,709,946 Class B units representing limited partner interests were outstanding.</w:t>
      </w:r>
    </w:p>
    <w:p>
      <w:pPr>
        <w:spacing w:after="0" w:line="47"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509270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232410</wp:posOffset>
            </wp:positionV>
            <wp:extent cx="6827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752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190500</wp:posOffset>
            </wp:positionV>
            <wp:extent cx="68275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7520" cy="1714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80" w:type="dxa"/>
            <w:vAlign w:val="bottom"/>
            <w:gridSpan w:val="5"/>
          </w:tcPr>
          <w:p>
            <w:pPr>
              <w:jc w:val="center"/>
              <w:ind w:right="2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88"/>
        </w:trPr>
        <w:tc>
          <w:tcPr>
            <w:tcW w:w="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CCEEFF"/>
            </w:tcBorders>
            <w:gridSpan w:val="13"/>
            <w:shd w:val="clear" w:color="auto" w:fill="CCEEFF"/>
          </w:tcPr>
          <w:p>
            <w:pPr>
              <w:spacing w:after="0" w:line="148" w:lineRule="exact"/>
              <w:rPr>
                <w:sz w:val="20"/>
                <w:szCs w:val="20"/>
                <w:color w:val="auto"/>
              </w:rPr>
            </w:pPr>
            <w:r>
              <w:rPr>
                <w:rFonts w:ascii="Arial" w:cs="Arial" w:eastAsia="Arial" w:hAnsi="Arial"/>
                <w:sz w:val="17"/>
                <w:szCs w:val="17"/>
                <w:color w:val="0000FF"/>
                <w:w w:val="94"/>
              </w:rPr>
              <w:t>Glossary of Oil and Natural Gas Terms</w:t>
            </w:r>
          </w:p>
        </w:tc>
        <w:tc>
          <w:tcPr>
            <w:tcW w:w="7740" w:type="dxa"/>
            <w:vAlign w:val="bottom"/>
            <w:tcBorders>
              <w:top w:val="single" w:sz="8" w:color="CCEEFF"/>
            </w:tcBorders>
            <w:gridSpan w:val="20"/>
            <w:shd w:val="clear" w:color="auto" w:fill="CCEEFF"/>
          </w:tcPr>
          <w:p>
            <w:pPr>
              <w:spacing w:after="0"/>
              <w:rPr>
                <w:sz w:val="16"/>
                <w:szCs w:val="16"/>
                <w:color w:val="auto"/>
              </w:rPr>
            </w:pPr>
          </w:p>
        </w:tc>
        <w:tc>
          <w:tcPr>
            <w:tcW w:w="280" w:type="dxa"/>
            <w:vAlign w:val="bottom"/>
            <w:tcBorders>
              <w:top w:val="single" w:sz="8" w:color="auto"/>
              <w:right w:val="single" w:sz="8" w:color="CCEEFF"/>
            </w:tcBorders>
            <w:shd w:val="clear" w:color="auto" w:fill="CCEEFF"/>
          </w:tcPr>
          <w:p>
            <w:pPr>
              <w:spacing w:after="0"/>
              <w:rPr>
                <w:sz w:val="16"/>
                <w:szCs w:val="16"/>
                <w:color w:val="auto"/>
              </w:rPr>
            </w:pPr>
          </w:p>
        </w:tc>
        <w:tc>
          <w:tcPr>
            <w:tcW w:w="380" w:type="dxa"/>
            <w:vAlign w:val="bottom"/>
            <w:tcBorders>
              <w:top w:val="single" w:sz="8" w:color="auto"/>
            </w:tcBorders>
            <w:gridSpan w:val="3"/>
            <w:shd w:val="clear" w:color="auto" w:fill="CCEEFF"/>
          </w:tcPr>
          <w:p>
            <w:pPr>
              <w:jc w:val="center"/>
              <w:ind w:right="280"/>
              <w:spacing w:after="0" w:line="154" w:lineRule="exact"/>
              <w:rPr>
                <w:sz w:val="20"/>
                <w:szCs w:val="20"/>
                <w:color w:val="auto"/>
              </w:rPr>
            </w:pPr>
            <w:r>
              <w:rPr>
                <w:rFonts w:ascii="Arial" w:cs="Arial" w:eastAsia="Arial" w:hAnsi="Arial"/>
                <w:sz w:val="17"/>
                <w:szCs w:val="17"/>
                <w:color w:val="0000FF"/>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800" w:type="dxa"/>
            <w:vAlign w:val="bottom"/>
            <w:gridSpan w:val="13"/>
          </w:tcPr>
          <w:p>
            <w:pPr>
              <w:spacing w:after="0" w:line="181" w:lineRule="exact"/>
              <w:rPr>
                <w:sz w:val="20"/>
                <w:szCs w:val="20"/>
                <w:color w:val="auto"/>
              </w:rPr>
            </w:pPr>
            <w:r>
              <w:rPr>
                <w:rFonts w:ascii="Arial" w:cs="Arial" w:eastAsia="Arial" w:hAnsi="Arial"/>
                <w:sz w:val="18"/>
                <w:szCs w:val="18"/>
                <w:color w:val="0000FF"/>
              </w:rPr>
              <w:t>Glossary of Certain Other Terms</w:t>
            </w:r>
          </w:p>
        </w:tc>
        <w:tc>
          <w:tcPr>
            <w:tcW w:w="7740" w:type="dxa"/>
            <w:vAlign w:val="bottom"/>
            <w:gridSpan w:val="20"/>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3"/>
          </w:tcPr>
          <w:p>
            <w:pPr>
              <w:jc w:val="center"/>
              <w:ind w:right="260"/>
              <w:spacing w:after="0" w:line="181" w:lineRule="exact"/>
              <w:rPr>
                <w:sz w:val="20"/>
                <w:szCs w:val="20"/>
                <w:color w:val="auto"/>
              </w:rPr>
            </w:pPr>
            <w:r>
              <w:rPr>
                <w:rFonts w:ascii="Arial" w:cs="Arial" w:eastAsia="Arial" w:hAnsi="Arial"/>
                <w:sz w:val="18"/>
                <w:szCs w:val="18"/>
                <w:color w:val="0000FF"/>
                <w:w w:val="91"/>
              </w:rPr>
              <w:t>iv</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560" w:type="dxa"/>
            <w:vAlign w:val="bottom"/>
            <w:gridSpan w:val="34"/>
            <w:shd w:val="clear" w:color="auto" w:fill="CCEEFF"/>
          </w:tcPr>
          <w:p>
            <w:pPr>
              <w:ind w:left="20"/>
              <w:spacing w:after="0" w:line="188" w:lineRule="exact"/>
              <w:rPr>
                <w:sz w:val="20"/>
                <w:szCs w:val="20"/>
                <w:color w:val="auto"/>
              </w:rPr>
            </w:pPr>
            <w:r>
              <w:rPr>
                <w:rFonts w:ascii="Arial" w:cs="Arial" w:eastAsia="Arial" w:hAnsi="Arial"/>
                <w:sz w:val="18"/>
                <w:szCs w:val="18"/>
                <w:color w:val="0000FF"/>
              </w:rPr>
              <w:t>Cautionary Statement Regarding Forward-Looking Statements</w:t>
            </w:r>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center"/>
              <w:ind w:right="280"/>
              <w:spacing w:after="0" w:line="188" w:lineRule="exact"/>
              <w:rPr>
                <w:sz w:val="20"/>
                <w:szCs w:val="20"/>
                <w:color w:val="auto"/>
              </w:rPr>
            </w:pPr>
            <w:r>
              <w:rPr>
                <w:rFonts w:ascii="Arial" w:cs="Arial" w:eastAsia="Arial" w:hAnsi="Arial"/>
                <w:sz w:val="18"/>
                <w:szCs w:val="18"/>
                <w:color w:val="0000FF"/>
              </w:rPr>
              <w:t>v</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40" w:type="dxa"/>
            <w:vAlign w:val="bottom"/>
            <w:gridSpan w:val="11"/>
            <w:shd w:val="clear" w:color="auto" w:fill="CCEEFF"/>
          </w:tcPr>
          <w:p>
            <w:pPr>
              <w:jc w:val="center"/>
              <w:ind w:right="4660"/>
              <w:spacing w:after="0" w:line="188" w:lineRule="exact"/>
              <w:rPr>
                <w:sz w:val="20"/>
                <w:szCs w:val="20"/>
                <w:color w:val="auto"/>
              </w:rPr>
            </w:pPr>
            <w:r>
              <w:rPr>
                <w:rFonts w:ascii="Arial" w:cs="Arial" w:eastAsia="Arial" w:hAnsi="Arial"/>
                <w:sz w:val="18"/>
                <w:szCs w:val="18"/>
                <w:b w:val="1"/>
                <w:bCs w:val="1"/>
                <w:color w:val="0000FF"/>
                <w:w w:val="98"/>
              </w:rPr>
              <w:t>PART I</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320" w:type="dxa"/>
            <w:vAlign w:val="bottom"/>
            <w:tcBorders>
              <w:top w:val="single" w:sz="8" w:color="CCEEFF"/>
            </w:tcBorders>
            <w:gridSpan w:val="23"/>
          </w:tcPr>
          <w:p>
            <w:pPr>
              <w:ind w:left="20"/>
              <w:spacing w:after="0" w:line="188" w:lineRule="exact"/>
              <w:rPr>
                <w:sz w:val="20"/>
                <w:szCs w:val="20"/>
                <w:color w:val="auto"/>
              </w:rPr>
            </w:pPr>
            <w:r>
              <w:rPr>
                <w:rFonts w:ascii="Arial" w:cs="Arial" w:eastAsia="Arial" w:hAnsi="Arial"/>
                <w:sz w:val="18"/>
                <w:szCs w:val="18"/>
                <w:color w:val="0000FF"/>
              </w:rPr>
              <w:t>Items 1 and 2. Business and Properties</w:t>
            </w:r>
          </w:p>
        </w:tc>
        <w:tc>
          <w:tcPr>
            <w:tcW w:w="580" w:type="dxa"/>
            <w:vAlign w:val="bottom"/>
            <w:tcBorders>
              <w:top w:val="single" w:sz="8" w:color="0000FF"/>
            </w:tcBorders>
            <w:gridSpan w:val="2"/>
          </w:tcPr>
          <w:p>
            <w:pPr>
              <w:spacing w:after="0"/>
              <w:rPr>
                <w:sz w:val="16"/>
                <w:szCs w:val="16"/>
                <w:color w:val="auto"/>
              </w:rPr>
            </w:pPr>
          </w:p>
        </w:tc>
        <w:tc>
          <w:tcPr>
            <w:tcW w:w="4660" w:type="dxa"/>
            <w:vAlign w:val="bottom"/>
            <w:tcBorders>
              <w:top w:val="single" w:sz="8" w:color="CCEEFF"/>
            </w:tcBorders>
            <w:gridSpan w:val="9"/>
          </w:tcPr>
          <w:p>
            <w:pPr>
              <w:spacing w:after="0"/>
              <w:rPr>
                <w:sz w:val="16"/>
                <w:szCs w:val="16"/>
                <w:color w:val="auto"/>
              </w:rPr>
            </w:pPr>
          </w:p>
        </w:tc>
        <w:tc>
          <w:tcPr>
            <w:tcW w:w="380" w:type="dxa"/>
            <w:vAlign w:val="bottom"/>
            <w:tcBorders>
              <w:top w:val="single" w:sz="8" w:color="CCEEFF"/>
            </w:tcBorders>
            <w:gridSpan w:val="2"/>
          </w:tcPr>
          <w:p>
            <w:pPr>
              <w:jc w:val="center"/>
              <w:ind w:left="191"/>
              <w:spacing w:after="0" w:line="188" w:lineRule="exact"/>
              <w:rPr>
                <w:sz w:val="20"/>
                <w:szCs w:val="20"/>
                <w:color w:val="auto"/>
              </w:rPr>
            </w:pPr>
            <w:r>
              <w:rPr>
                <w:rFonts w:ascii="Arial" w:cs="Arial" w:eastAsia="Arial" w:hAnsi="Arial"/>
                <w:sz w:val="18"/>
                <w:szCs w:val="18"/>
                <w:color w:val="0000FF"/>
                <w:w w:val="99"/>
              </w:rPr>
              <w:t>1</w:t>
            </w:r>
          </w:p>
        </w:tc>
        <w:tc>
          <w:tcPr>
            <w:tcW w:w="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0000FF"/>
            </w:tcBorders>
            <w:gridSpan w:val="3"/>
            <w:shd w:val="clear" w:color="auto" w:fill="CCEEFF"/>
          </w:tcPr>
          <w:p>
            <w:pPr>
              <w:spacing w:after="0" w:line="181" w:lineRule="exact"/>
              <w:rPr>
                <w:sz w:val="20"/>
                <w:szCs w:val="20"/>
                <w:color w:val="auto"/>
              </w:rPr>
            </w:pPr>
            <w:r>
              <w:rPr>
                <w:rFonts w:ascii="Arial" w:cs="Arial" w:eastAsia="Arial" w:hAnsi="Arial"/>
                <w:sz w:val="18"/>
                <w:szCs w:val="18"/>
                <w:color w:val="0000FF"/>
                <w:w w:val="90"/>
              </w:rPr>
              <w:t>Item 1A. Risk Factors</w:t>
            </w: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right w:val="single" w:sz="8" w:color="CCEEFF"/>
            </w:tcBorders>
            <w:gridSpan w:val="3"/>
            <w:shd w:val="clear" w:color="auto" w:fill="CCEEFF"/>
          </w:tcPr>
          <w:p>
            <w:pPr>
              <w:jc w:val="center"/>
              <w:ind w:left="131"/>
              <w:spacing w:after="0" w:line="195" w:lineRule="exact"/>
              <w:rPr>
                <w:sz w:val="20"/>
                <w:szCs w:val="20"/>
                <w:color w:val="auto"/>
              </w:rPr>
            </w:pPr>
            <w:r>
              <w:rPr>
                <w:rFonts w:ascii="Arial" w:cs="Arial" w:eastAsia="Arial" w:hAnsi="Arial"/>
                <w:sz w:val="18"/>
                <w:szCs w:val="18"/>
                <w:color w:val="0000FF"/>
                <w:w w:val="89"/>
              </w:rPr>
              <w:t>16</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60" w:type="dxa"/>
            <w:vAlign w:val="bottom"/>
            <w:tcBorders>
              <w:top w:val="single" w:sz="8" w:color="CCEEFF"/>
              <w:right w:val="single" w:sz="8" w:color="0000FF"/>
            </w:tcBorders>
            <w:shd w:val="clear" w:color="auto" w:fill="0000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560" w:type="dxa"/>
            <w:vAlign w:val="bottom"/>
            <w:gridSpan w:val="34"/>
          </w:tcPr>
          <w:p>
            <w:pPr>
              <w:ind w:left="20"/>
              <w:spacing w:after="0" w:line="188" w:lineRule="exact"/>
              <w:rPr>
                <w:sz w:val="20"/>
                <w:szCs w:val="20"/>
                <w:color w:val="auto"/>
              </w:rPr>
            </w:pPr>
            <w:r>
              <w:rPr>
                <w:rFonts w:ascii="Arial" w:cs="Arial" w:eastAsia="Arial" w:hAnsi="Arial"/>
                <w:sz w:val="18"/>
                <w:szCs w:val="18"/>
                <w:color w:val="0000FF"/>
              </w:rPr>
              <w:t>Item 1B. Unresolved Staff Comments</w:t>
            </w:r>
          </w:p>
        </w:tc>
        <w:tc>
          <w:tcPr>
            <w:tcW w:w="440" w:type="dxa"/>
            <w:vAlign w:val="bottom"/>
            <w:gridSpan w:val="3"/>
          </w:tcPr>
          <w:p>
            <w:pPr>
              <w:jc w:val="center"/>
              <w:ind w:left="131"/>
              <w:spacing w:after="0" w:line="188" w:lineRule="exact"/>
              <w:rPr>
                <w:sz w:val="20"/>
                <w:szCs w:val="20"/>
                <w:color w:val="auto"/>
              </w:rPr>
            </w:pPr>
            <w:r>
              <w:rPr>
                <w:rFonts w:ascii="Arial" w:cs="Arial" w:eastAsia="Arial" w:hAnsi="Arial"/>
                <w:sz w:val="18"/>
                <w:szCs w:val="18"/>
                <w:color w:val="0000FF"/>
                <w:w w:val="89"/>
              </w:rPr>
              <w:t>30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880" w:type="dxa"/>
            <w:vAlign w:val="bottom"/>
            <w:gridSpan w:val="4"/>
            <w:shd w:val="clear" w:color="auto" w:fill="CCEEFF"/>
          </w:tcPr>
          <w:p>
            <w:pPr>
              <w:spacing w:after="0" w:line="188" w:lineRule="exact"/>
              <w:rPr>
                <w:sz w:val="20"/>
                <w:szCs w:val="20"/>
                <w:color w:val="auto"/>
              </w:rPr>
            </w:pPr>
            <w:r>
              <w:rPr>
                <w:rFonts w:ascii="Arial" w:cs="Arial" w:eastAsia="Arial" w:hAnsi="Arial"/>
                <w:sz w:val="18"/>
                <w:szCs w:val="18"/>
                <w:color w:val="0000FF"/>
                <w:w w:val="88"/>
              </w:rPr>
              <w:t>Item 3. Legal Proceedings</w:t>
            </w:r>
          </w:p>
        </w:tc>
        <w:tc>
          <w:tcPr>
            <w:tcW w:w="8660" w:type="dxa"/>
            <w:vAlign w:val="bottom"/>
            <w:gridSpan w:val="29"/>
            <w:shd w:val="clear" w:color="auto" w:fill="CCEEFF"/>
          </w:tcPr>
          <w:p>
            <w:pPr>
              <w:spacing w:after="0"/>
              <w:rPr>
                <w:sz w:val="16"/>
                <w:szCs w:val="16"/>
                <w:color w:val="auto"/>
              </w:rPr>
            </w:pPr>
          </w:p>
        </w:tc>
        <w:tc>
          <w:tcPr>
            <w:tcW w:w="440" w:type="dxa"/>
            <w:vAlign w:val="bottom"/>
            <w:tcBorders>
              <w:right w:val="single" w:sz="8" w:color="CCEEFF"/>
            </w:tcBorders>
            <w:gridSpan w:val="3"/>
            <w:shd w:val="clear" w:color="auto" w:fill="CCEEFF"/>
          </w:tcPr>
          <w:p>
            <w:pPr>
              <w:jc w:val="center"/>
              <w:ind w:left="131"/>
              <w:spacing w:after="0" w:line="188" w:lineRule="exact"/>
              <w:rPr>
                <w:sz w:val="20"/>
                <w:szCs w:val="20"/>
                <w:color w:val="auto"/>
              </w:rPr>
            </w:pPr>
            <w:r>
              <w:rPr>
                <w:rFonts w:ascii="Arial" w:cs="Arial" w:eastAsia="Arial" w:hAnsi="Arial"/>
                <w:sz w:val="18"/>
                <w:szCs w:val="18"/>
                <w:color w:val="0000FF"/>
                <w:w w:val="89"/>
              </w:rPr>
              <w:t>30</w:t>
            </w:r>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540" w:type="dxa"/>
            <w:vAlign w:val="bottom"/>
            <w:gridSpan w:val="33"/>
          </w:tcPr>
          <w:p>
            <w:pPr>
              <w:spacing w:after="0" w:line="188" w:lineRule="exact"/>
              <w:rPr>
                <w:sz w:val="20"/>
                <w:szCs w:val="20"/>
                <w:color w:val="auto"/>
              </w:rPr>
            </w:pPr>
            <w:r>
              <w:rPr>
                <w:rFonts w:ascii="Arial" w:cs="Arial" w:eastAsia="Arial" w:hAnsi="Arial"/>
                <w:sz w:val="18"/>
                <w:szCs w:val="18"/>
                <w:color w:val="0000FF"/>
              </w:rPr>
              <w:t>Item 4. Mine Safety Disclosures</w:t>
            </w:r>
          </w:p>
        </w:tc>
        <w:tc>
          <w:tcPr>
            <w:tcW w:w="440" w:type="dxa"/>
            <w:vAlign w:val="bottom"/>
            <w:gridSpan w:val="3"/>
          </w:tcPr>
          <w:p>
            <w:pPr>
              <w:jc w:val="center"/>
              <w:ind w:left="131"/>
              <w:spacing w:after="0" w:line="188" w:lineRule="exact"/>
              <w:rPr>
                <w:sz w:val="20"/>
                <w:szCs w:val="20"/>
                <w:color w:val="auto"/>
              </w:rPr>
            </w:pPr>
            <w:r>
              <w:rPr>
                <w:rFonts w:ascii="Arial" w:cs="Arial" w:eastAsia="Arial" w:hAnsi="Arial"/>
                <w:sz w:val="18"/>
                <w:szCs w:val="18"/>
                <w:color w:val="0000FF"/>
                <w:w w:val="89"/>
              </w:rPr>
              <w:t>30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12"/>
          </w:tcPr>
          <w:p>
            <w:pPr>
              <w:jc w:val="center"/>
              <w:ind w:right="4620"/>
              <w:spacing w:after="0" w:line="188" w:lineRule="exact"/>
              <w:rPr>
                <w:sz w:val="20"/>
                <w:szCs w:val="20"/>
                <w:color w:val="auto"/>
              </w:rPr>
            </w:pPr>
            <w:r>
              <w:rPr>
                <w:rFonts w:ascii="Arial" w:cs="Arial" w:eastAsia="Arial" w:hAnsi="Arial"/>
                <w:sz w:val="18"/>
                <w:szCs w:val="18"/>
                <w:b w:val="1"/>
                <w:bCs w:val="1"/>
                <w:color w:val="0000FF"/>
              </w:rPr>
              <w:t>PART II</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8460" w:type="dxa"/>
            <w:vAlign w:val="bottom"/>
            <w:gridSpan w:val="32"/>
            <w:shd w:val="clear" w:color="auto" w:fill="CCEEFF"/>
          </w:tcPr>
          <w:p>
            <w:pPr>
              <w:spacing w:after="0" w:line="188" w:lineRule="exact"/>
              <w:rPr>
                <w:sz w:val="20"/>
                <w:szCs w:val="20"/>
                <w:color w:val="auto"/>
              </w:rPr>
            </w:pPr>
            <w:r>
              <w:rPr>
                <w:rFonts w:ascii="Arial" w:cs="Arial" w:eastAsia="Arial" w:hAnsi="Arial"/>
                <w:sz w:val="18"/>
                <w:szCs w:val="18"/>
                <w:color w:val="0000FF"/>
                <w:w w:val="90"/>
              </w:rPr>
              <w:t>Item 5. Market for Registrant's Common Equity, Related Unitholder Matters and Issuer Purchases of Equity Securities</w:t>
            </w:r>
          </w:p>
        </w:tc>
        <w:tc>
          <w:tcPr>
            <w:tcW w:w="2080" w:type="dxa"/>
            <w:vAlign w:val="bottom"/>
            <w:shd w:val="clear" w:color="auto" w:fill="CCEEFF"/>
          </w:tcPr>
          <w:p>
            <w:pPr>
              <w:spacing w:after="0"/>
              <w:rPr>
                <w:sz w:val="16"/>
                <w:szCs w:val="16"/>
                <w:color w:val="auto"/>
              </w:rPr>
            </w:pPr>
          </w:p>
        </w:tc>
        <w:tc>
          <w:tcPr>
            <w:tcW w:w="440" w:type="dxa"/>
            <w:vAlign w:val="bottom"/>
            <w:tcBorders>
              <w:right w:val="single" w:sz="8" w:color="CCEEFF"/>
            </w:tcBorders>
            <w:gridSpan w:val="3"/>
            <w:shd w:val="clear" w:color="auto" w:fill="CCEEFF"/>
          </w:tcPr>
          <w:p>
            <w:pPr>
              <w:jc w:val="center"/>
              <w:ind w:left="131"/>
              <w:spacing w:after="0" w:line="188" w:lineRule="exact"/>
              <w:rPr>
                <w:sz w:val="20"/>
                <w:szCs w:val="20"/>
                <w:color w:val="auto"/>
              </w:rPr>
            </w:pPr>
            <w:r>
              <w:rPr>
                <w:rFonts w:ascii="Arial" w:cs="Arial" w:eastAsia="Arial" w:hAnsi="Arial"/>
                <w:sz w:val="18"/>
                <w:szCs w:val="18"/>
                <w:color w:val="0000FF"/>
                <w:w w:val="89"/>
              </w:rPr>
              <w:t>31</w:t>
            </w:r>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460" w:type="dxa"/>
            <w:vAlign w:val="bottom"/>
            <w:gridSpan w:val="32"/>
          </w:tcPr>
          <w:p>
            <w:pPr>
              <w:spacing w:after="0" w:line="188" w:lineRule="exact"/>
              <w:rPr>
                <w:sz w:val="20"/>
                <w:szCs w:val="20"/>
                <w:color w:val="auto"/>
              </w:rPr>
            </w:pPr>
            <w:r>
              <w:rPr>
                <w:rFonts w:ascii="Arial" w:cs="Arial" w:eastAsia="Arial" w:hAnsi="Arial"/>
                <w:sz w:val="18"/>
                <w:szCs w:val="18"/>
                <w:color w:val="0000FF"/>
              </w:rPr>
              <w:t>Item 6. [Reserved]</w:t>
            </w:r>
          </w:p>
        </w:tc>
        <w:tc>
          <w:tcPr>
            <w:tcW w:w="2080" w:type="dxa"/>
            <w:vAlign w:val="bottom"/>
          </w:tcPr>
          <w:p>
            <w:pPr>
              <w:spacing w:after="0"/>
              <w:rPr>
                <w:sz w:val="16"/>
                <w:szCs w:val="16"/>
                <w:color w:val="auto"/>
              </w:rPr>
            </w:pPr>
          </w:p>
        </w:tc>
        <w:tc>
          <w:tcPr>
            <w:tcW w:w="440" w:type="dxa"/>
            <w:vAlign w:val="bottom"/>
            <w:gridSpan w:val="3"/>
          </w:tcPr>
          <w:p>
            <w:pPr>
              <w:jc w:val="center"/>
              <w:ind w:left="131"/>
              <w:spacing w:after="0" w:line="188" w:lineRule="exact"/>
              <w:rPr>
                <w:sz w:val="20"/>
                <w:szCs w:val="20"/>
                <w:color w:val="auto"/>
              </w:rPr>
            </w:pPr>
            <w:r>
              <w:rPr>
                <w:rFonts w:ascii="Arial" w:cs="Arial" w:eastAsia="Arial" w:hAnsi="Arial"/>
                <w:sz w:val="18"/>
                <w:szCs w:val="18"/>
                <w:color w:val="0000FF"/>
                <w:w w:val="89"/>
              </w:rPr>
              <w:t>31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0540" w:type="dxa"/>
            <w:vAlign w:val="bottom"/>
            <w:gridSpan w:val="33"/>
            <w:shd w:val="clear" w:color="auto" w:fill="CCEEFF"/>
          </w:tcPr>
          <w:p>
            <w:pPr>
              <w:spacing w:after="0" w:line="188" w:lineRule="exact"/>
              <w:rPr>
                <w:sz w:val="20"/>
                <w:szCs w:val="20"/>
                <w:color w:val="auto"/>
              </w:rPr>
            </w:pPr>
            <w:r>
              <w:rPr>
                <w:rFonts w:ascii="Arial" w:cs="Arial" w:eastAsia="Arial" w:hAnsi="Arial"/>
                <w:sz w:val="18"/>
                <w:szCs w:val="18"/>
                <w:color w:val="0000FF"/>
              </w:rPr>
              <w:t>Item 7. Management's Discussion and Analysis of Financial Condition and Results of Operations</w:t>
            </w:r>
          </w:p>
        </w:tc>
        <w:tc>
          <w:tcPr>
            <w:tcW w:w="440" w:type="dxa"/>
            <w:vAlign w:val="bottom"/>
            <w:tcBorders>
              <w:right w:val="single" w:sz="8" w:color="CCEEFF"/>
            </w:tcBorders>
            <w:gridSpan w:val="3"/>
            <w:shd w:val="clear" w:color="auto" w:fill="CCEEFF"/>
          </w:tcPr>
          <w:p>
            <w:pPr>
              <w:jc w:val="center"/>
              <w:ind w:left="131"/>
              <w:spacing w:after="0" w:line="188" w:lineRule="exact"/>
              <w:rPr>
                <w:sz w:val="20"/>
                <w:szCs w:val="20"/>
                <w:color w:val="auto"/>
              </w:rPr>
            </w:pPr>
            <w:r>
              <w:rPr>
                <w:rFonts w:ascii="Arial" w:cs="Arial" w:eastAsia="Arial" w:hAnsi="Arial"/>
                <w:sz w:val="18"/>
                <w:szCs w:val="18"/>
                <w:color w:val="0000FF"/>
                <w:w w:val="89"/>
              </w:rPr>
              <w:t>32</w:t>
            </w:r>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940" w:type="dxa"/>
            <w:vAlign w:val="bottom"/>
            <w:gridSpan w:val="29"/>
          </w:tcPr>
          <w:p>
            <w:pPr>
              <w:spacing w:after="0" w:line="188" w:lineRule="exact"/>
              <w:rPr>
                <w:sz w:val="20"/>
                <w:szCs w:val="20"/>
                <w:color w:val="auto"/>
              </w:rPr>
            </w:pPr>
            <w:r>
              <w:rPr>
                <w:rFonts w:ascii="Arial" w:cs="Arial" w:eastAsia="Arial" w:hAnsi="Arial"/>
                <w:sz w:val="18"/>
                <w:szCs w:val="18"/>
                <w:color w:val="0000FF"/>
              </w:rPr>
              <w:t>Item 7A. Quantitative and Qualitative Disclosures about Market Risk</w:t>
            </w:r>
          </w:p>
        </w:tc>
        <w:tc>
          <w:tcPr>
            <w:tcW w:w="3600" w:type="dxa"/>
            <w:vAlign w:val="bottom"/>
            <w:gridSpan w:val="4"/>
          </w:tcPr>
          <w:p>
            <w:pPr>
              <w:spacing w:after="0"/>
              <w:rPr>
                <w:sz w:val="16"/>
                <w:szCs w:val="16"/>
                <w:color w:val="auto"/>
              </w:rPr>
            </w:pPr>
          </w:p>
        </w:tc>
        <w:tc>
          <w:tcPr>
            <w:tcW w:w="440" w:type="dxa"/>
            <w:vAlign w:val="bottom"/>
            <w:gridSpan w:val="3"/>
          </w:tcPr>
          <w:p>
            <w:pPr>
              <w:jc w:val="center"/>
              <w:ind w:left="131"/>
              <w:spacing w:after="0" w:line="188" w:lineRule="exact"/>
              <w:rPr>
                <w:sz w:val="20"/>
                <w:szCs w:val="20"/>
                <w:color w:val="auto"/>
              </w:rPr>
            </w:pPr>
            <w:r>
              <w:rPr>
                <w:rFonts w:ascii="Arial" w:cs="Arial" w:eastAsia="Arial" w:hAnsi="Arial"/>
                <w:sz w:val="18"/>
                <w:szCs w:val="18"/>
                <w:color w:val="0000FF"/>
                <w:w w:val="89"/>
              </w:rPr>
              <w:t>43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3860" w:type="dxa"/>
            <w:vAlign w:val="bottom"/>
            <w:gridSpan w:val="16"/>
            <w:shd w:val="clear" w:color="auto" w:fill="CCEEFF"/>
          </w:tcPr>
          <w:p>
            <w:pPr>
              <w:spacing w:after="0" w:line="188" w:lineRule="exact"/>
              <w:rPr>
                <w:sz w:val="20"/>
                <w:szCs w:val="20"/>
                <w:color w:val="auto"/>
              </w:rPr>
            </w:pPr>
            <w:r>
              <w:rPr>
                <w:rFonts w:ascii="Arial" w:cs="Arial" w:eastAsia="Arial" w:hAnsi="Arial"/>
                <w:sz w:val="18"/>
                <w:szCs w:val="18"/>
                <w:color w:val="0000FF"/>
                <w:w w:val="88"/>
              </w:rPr>
              <w:t>Item 8. Financial Statements and Supplementary Data</w:t>
            </w:r>
          </w:p>
        </w:tc>
        <w:tc>
          <w:tcPr>
            <w:tcW w:w="6680" w:type="dxa"/>
            <w:vAlign w:val="bottom"/>
            <w:gridSpan w:val="17"/>
            <w:shd w:val="clear" w:color="auto" w:fill="CCEEFF"/>
          </w:tcPr>
          <w:p>
            <w:pPr>
              <w:spacing w:after="0"/>
              <w:rPr>
                <w:sz w:val="16"/>
                <w:szCs w:val="16"/>
                <w:color w:val="auto"/>
              </w:rPr>
            </w:pPr>
          </w:p>
        </w:tc>
        <w:tc>
          <w:tcPr>
            <w:tcW w:w="440" w:type="dxa"/>
            <w:vAlign w:val="bottom"/>
            <w:tcBorders>
              <w:right w:val="single" w:sz="8" w:color="CCEEFF"/>
            </w:tcBorders>
            <w:gridSpan w:val="3"/>
            <w:shd w:val="clear" w:color="auto" w:fill="CCEEFF"/>
          </w:tcPr>
          <w:p>
            <w:pPr>
              <w:jc w:val="center"/>
              <w:ind w:left="131"/>
              <w:spacing w:after="0" w:line="188" w:lineRule="exact"/>
              <w:rPr>
                <w:sz w:val="20"/>
                <w:szCs w:val="20"/>
                <w:color w:val="auto"/>
              </w:rPr>
            </w:pPr>
            <w:r>
              <w:rPr>
                <w:rFonts w:ascii="Arial" w:cs="Arial" w:eastAsia="Arial" w:hAnsi="Arial"/>
                <w:sz w:val="18"/>
                <w:szCs w:val="18"/>
                <w:color w:val="0000FF"/>
                <w:w w:val="89"/>
              </w:rPr>
              <w:t>44</w:t>
            </w:r>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540" w:type="dxa"/>
            <w:vAlign w:val="bottom"/>
            <w:gridSpan w:val="33"/>
          </w:tcPr>
          <w:p>
            <w:pPr>
              <w:spacing w:after="0" w:line="188" w:lineRule="exact"/>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440" w:type="dxa"/>
            <w:vAlign w:val="bottom"/>
            <w:gridSpan w:val="3"/>
          </w:tcPr>
          <w:p>
            <w:pPr>
              <w:jc w:val="center"/>
              <w:ind w:left="131"/>
              <w:spacing w:after="0" w:line="188" w:lineRule="exact"/>
              <w:rPr>
                <w:sz w:val="20"/>
                <w:szCs w:val="20"/>
                <w:color w:val="auto"/>
              </w:rPr>
            </w:pPr>
            <w:r>
              <w:rPr>
                <w:rFonts w:ascii="Arial" w:cs="Arial" w:eastAsia="Arial" w:hAnsi="Arial"/>
                <w:sz w:val="18"/>
                <w:szCs w:val="18"/>
                <w:color w:val="0000FF"/>
                <w:w w:val="89"/>
              </w:rPr>
              <w:t>44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2440" w:type="dxa"/>
            <w:vAlign w:val="bottom"/>
            <w:gridSpan w:val="10"/>
            <w:shd w:val="clear" w:color="auto" w:fill="CCEEFF"/>
          </w:tcPr>
          <w:p>
            <w:pPr>
              <w:spacing w:after="0" w:line="188" w:lineRule="exact"/>
              <w:rPr>
                <w:sz w:val="20"/>
                <w:szCs w:val="20"/>
                <w:color w:val="auto"/>
              </w:rPr>
            </w:pPr>
            <w:r>
              <w:rPr>
                <w:rFonts w:ascii="Arial" w:cs="Arial" w:eastAsia="Arial" w:hAnsi="Arial"/>
                <w:sz w:val="18"/>
                <w:szCs w:val="18"/>
                <w:color w:val="0000FF"/>
                <w:w w:val="89"/>
              </w:rPr>
              <w:t>Item 9A. Controls and Procedures</w:t>
            </w:r>
          </w:p>
        </w:tc>
        <w:tc>
          <w:tcPr>
            <w:tcW w:w="8100" w:type="dxa"/>
            <w:vAlign w:val="bottom"/>
            <w:gridSpan w:val="23"/>
            <w:shd w:val="clear" w:color="auto" w:fill="CCEEFF"/>
          </w:tcPr>
          <w:p>
            <w:pPr>
              <w:spacing w:after="0"/>
              <w:rPr>
                <w:sz w:val="16"/>
                <w:szCs w:val="16"/>
                <w:color w:val="auto"/>
              </w:rPr>
            </w:pPr>
          </w:p>
        </w:tc>
        <w:tc>
          <w:tcPr>
            <w:tcW w:w="440" w:type="dxa"/>
            <w:vAlign w:val="bottom"/>
            <w:tcBorders>
              <w:right w:val="single" w:sz="8" w:color="CCEEFF"/>
            </w:tcBorders>
            <w:gridSpan w:val="3"/>
            <w:shd w:val="clear" w:color="auto" w:fill="CCEEFF"/>
          </w:tcPr>
          <w:p>
            <w:pPr>
              <w:jc w:val="center"/>
              <w:ind w:left="131"/>
              <w:spacing w:after="0" w:line="188" w:lineRule="exact"/>
              <w:rPr>
                <w:sz w:val="20"/>
                <w:szCs w:val="20"/>
                <w:color w:val="auto"/>
              </w:rPr>
            </w:pPr>
            <w:r>
              <w:rPr>
                <w:rFonts w:ascii="Arial" w:cs="Arial" w:eastAsia="Arial" w:hAnsi="Arial"/>
                <w:sz w:val="18"/>
                <w:szCs w:val="18"/>
                <w:color w:val="0000FF"/>
                <w:w w:val="89"/>
              </w:rPr>
              <w:t>44</w:t>
            </w:r>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440" w:type="dxa"/>
            <w:vAlign w:val="bottom"/>
            <w:gridSpan w:val="10"/>
          </w:tcPr>
          <w:p>
            <w:pPr>
              <w:spacing w:after="0" w:line="188" w:lineRule="exact"/>
              <w:rPr>
                <w:sz w:val="20"/>
                <w:szCs w:val="20"/>
                <w:color w:val="auto"/>
              </w:rPr>
            </w:pPr>
            <w:r>
              <w:rPr>
                <w:rFonts w:ascii="Arial" w:cs="Arial" w:eastAsia="Arial" w:hAnsi="Arial"/>
                <w:sz w:val="18"/>
                <w:szCs w:val="18"/>
                <w:color w:val="0000FF"/>
              </w:rPr>
              <w:t>Item 9B. Other Information</w:t>
            </w:r>
          </w:p>
        </w:tc>
        <w:tc>
          <w:tcPr>
            <w:tcW w:w="8100" w:type="dxa"/>
            <w:vAlign w:val="bottom"/>
            <w:gridSpan w:val="23"/>
          </w:tcPr>
          <w:p>
            <w:pPr>
              <w:spacing w:after="0"/>
              <w:rPr>
                <w:sz w:val="16"/>
                <w:szCs w:val="16"/>
                <w:color w:val="auto"/>
              </w:rPr>
            </w:pPr>
          </w:p>
        </w:tc>
        <w:tc>
          <w:tcPr>
            <w:tcW w:w="440" w:type="dxa"/>
            <w:vAlign w:val="bottom"/>
            <w:gridSpan w:val="3"/>
          </w:tcPr>
          <w:p>
            <w:pPr>
              <w:jc w:val="center"/>
              <w:ind w:left="131"/>
              <w:spacing w:after="0" w:line="188" w:lineRule="exact"/>
              <w:rPr>
                <w:sz w:val="20"/>
                <w:szCs w:val="20"/>
                <w:color w:val="auto"/>
              </w:rPr>
            </w:pPr>
            <w:r>
              <w:rPr>
                <w:rFonts w:ascii="Arial" w:cs="Arial" w:eastAsia="Arial" w:hAnsi="Arial"/>
                <w:sz w:val="18"/>
                <w:szCs w:val="18"/>
                <w:color w:val="0000FF"/>
                <w:w w:val="89"/>
              </w:rPr>
              <w:t>47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560" w:type="dxa"/>
            <w:vAlign w:val="bottom"/>
            <w:gridSpan w:val="34"/>
            <w:shd w:val="clear" w:color="auto" w:fill="CCEEFF"/>
          </w:tcPr>
          <w:p>
            <w:pPr>
              <w:ind w:left="20"/>
              <w:spacing w:after="0" w:line="188" w:lineRule="exact"/>
              <w:rPr>
                <w:sz w:val="20"/>
                <w:szCs w:val="20"/>
                <w:color w:val="auto"/>
              </w:rPr>
            </w:pPr>
            <w:r>
              <w:rPr>
                <w:rFonts w:ascii="Arial" w:cs="Arial" w:eastAsia="Arial" w:hAnsi="Arial"/>
                <w:sz w:val="18"/>
                <w:szCs w:val="18"/>
                <w:color w:val="0000FF"/>
              </w:rPr>
              <w:t>Item 9C. Disclosure Regarding Foreign Jurisdictions that Prevent Inspections.</w:t>
            </w:r>
          </w:p>
        </w:tc>
        <w:tc>
          <w:tcPr>
            <w:tcW w:w="440" w:type="dxa"/>
            <w:vAlign w:val="bottom"/>
            <w:tcBorders>
              <w:right w:val="single" w:sz="8" w:color="CCEEFF"/>
            </w:tcBorders>
            <w:gridSpan w:val="3"/>
            <w:shd w:val="clear" w:color="auto" w:fill="CCEEFF"/>
          </w:tcPr>
          <w:p>
            <w:pPr>
              <w:jc w:val="center"/>
              <w:ind w:left="131"/>
              <w:spacing w:after="0" w:line="188" w:lineRule="exact"/>
              <w:rPr>
                <w:sz w:val="20"/>
                <w:szCs w:val="20"/>
                <w:color w:val="auto"/>
              </w:rPr>
            </w:pPr>
            <w:r>
              <w:rPr>
                <w:rFonts w:ascii="Arial" w:cs="Arial" w:eastAsia="Arial" w:hAnsi="Arial"/>
                <w:sz w:val="18"/>
                <w:szCs w:val="18"/>
                <w:color w:val="0000FF"/>
                <w:w w:val="89"/>
              </w:rPr>
              <w:t>47</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0000FF"/>
            </w:tcBorders>
            <w:gridSpan w:val="7"/>
            <w:shd w:val="clear" w:color="auto" w:fill="CCEEFF"/>
          </w:tcPr>
          <w:p>
            <w:pPr>
              <w:jc w:val="center"/>
              <w:spacing w:after="0" w:line="188" w:lineRule="exact"/>
              <w:rPr>
                <w:sz w:val="20"/>
                <w:szCs w:val="20"/>
                <w:color w:val="auto"/>
              </w:rPr>
            </w:pPr>
            <w:r>
              <w:rPr>
                <w:rFonts w:ascii="Arial" w:cs="Arial" w:eastAsia="Arial" w:hAnsi="Arial"/>
                <w:sz w:val="18"/>
                <w:szCs w:val="18"/>
                <w:b w:val="1"/>
                <w:bCs w:val="1"/>
                <w:color w:val="0000FF"/>
              </w:rPr>
              <w:t>PART III</w:t>
            </w:r>
          </w:p>
        </w:tc>
        <w:tc>
          <w:tcPr>
            <w:tcW w:w="4580" w:type="dxa"/>
            <w:vAlign w:val="bottom"/>
            <w:tcBorders>
              <w:bottom w:val="single" w:sz="8" w:color="CCEEFF"/>
            </w:tcBorders>
            <w:gridSpan w:val="6"/>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0560" w:type="dxa"/>
            <w:vAlign w:val="bottom"/>
            <w:gridSpan w:val="34"/>
          </w:tcPr>
          <w:p>
            <w:pPr>
              <w:ind w:left="20"/>
              <w:spacing w:after="0" w:line="188" w:lineRule="exact"/>
              <w:rPr>
                <w:sz w:val="20"/>
                <w:szCs w:val="20"/>
                <w:color w:val="auto"/>
              </w:rPr>
            </w:pPr>
            <w:r>
              <w:rPr>
                <w:rFonts w:ascii="Arial" w:cs="Arial" w:eastAsia="Arial" w:hAnsi="Arial"/>
                <w:sz w:val="18"/>
                <w:szCs w:val="18"/>
                <w:color w:val="0000FF"/>
              </w:rPr>
              <w:t>Item 10. Directors, Executive Officers and Corporate Governance</w:t>
            </w:r>
          </w:p>
        </w:tc>
        <w:tc>
          <w:tcPr>
            <w:tcW w:w="440" w:type="dxa"/>
            <w:vAlign w:val="bottom"/>
            <w:gridSpan w:val="3"/>
          </w:tcPr>
          <w:p>
            <w:pPr>
              <w:jc w:val="center"/>
              <w:ind w:left="131"/>
              <w:spacing w:after="0" w:line="188" w:lineRule="exact"/>
              <w:rPr>
                <w:sz w:val="20"/>
                <w:szCs w:val="20"/>
                <w:color w:val="auto"/>
              </w:rPr>
            </w:pPr>
            <w:r>
              <w:rPr>
                <w:rFonts w:ascii="Arial" w:cs="Arial" w:eastAsia="Arial" w:hAnsi="Arial"/>
                <w:sz w:val="18"/>
                <w:szCs w:val="18"/>
                <w:color w:val="0000FF"/>
                <w:w w:val="89"/>
              </w:rPr>
              <w:t>48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0540" w:type="dxa"/>
            <w:vAlign w:val="bottom"/>
            <w:gridSpan w:val="33"/>
            <w:shd w:val="clear" w:color="auto" w:fill="CCEEFF"/>
          </w:tcPr>
          <w:p>
            <w:pPr>
              <w:spacing w:after="0" w:line="188" w:lineRule="exact"/>
              <w:rPr>
                <w:sz w:val="20"/>
                <w:szCs w:val="20"/>
                <w:color w:val="auto"/>
              </w:rPr>
            </w:pPr>
            <w:r>
              <w:rPr>
                <w:rFonts w:ascii="Arial" w:cs="Arial" w:eastAsia="Arial" w:hAnsi="Arial"/>
                <w:sz w:val="18"/>
                <w:szCs w:val="18"/>
                <w:color w:val="0000FF"/>
              </w:rPr>
              <w:t>Item 11. Executive Compensation</w:t>
            </w:r>
          </w:p>
        </w:tc>
        <w:tc>
          <w:tcPr>
            <w:tcW w:w="440" w:type="dxa"/>
            <w:vAlign w:val="bottom"/>
            <w:tcBorders>
              <w:right w:val="single" w:sz="8" w:color="CCEEFF"/>
            </w:tcBorders>
            <w:gridSpan w:val="3"/>
            <w:shd w:val="clear" w:color="auto" w:fill="CCEEFF"/>
          </w:tcPr>
          <w:p>
            <w:pPr>
              <w:jc w:val="center"/>
              <w:ind w:left="131"/>
              <w:spacing w:after="0" w:line="188" w:lineRule="exact"/>
              <w:rPr>
                <w:sz w:val="20"/>
                <w:szCs w:val="20"/>
                <w:color w:val="auto"/>
              </w:rPr>
            </w:pPr>
            <w:r>
              <w:rPr>
                <w:rFonts w:ascii="Arial" w:cs="Arial" w:eastAsia="Arial" w:hAnsi="Arial"/>
                <w:sz w:val="18"/>
                <w:szCs w:val="18"/>
                <w:color w:val="0000FF"/>
                <w:w w:val="89"/>
              </w:rPr>
              <w:t>53</w:t>
            </w:r>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540" w:type="dxa"/>
            <w:vAlign w:val="bottom"/>
            <w:gridSpan w:val="33"/>
          </w:tcPr>
          <w:p>
            <w:pPr>
              <w:spacing w:after="0" w:line="188" w:lineRule="exact"/>
              <w:rPr>
                <w:sz w:val="20"/>
                <w:szCs w:val="20"/>
                <w:color w:val="auto"/>
              </w:rPr>
            </w:pPr>
            <w:r>
              <w:rPr>
                <w:rFonts w:ascii="Arial" w:cs="Arial" w:eastAsia="Arial" w:hAnsi="Arial"/>
                <w:sz w:val="18"/>
                <w:szCs w:val="18"/>
                <w:color w:val="0000FF"/>
              </w:rPr>
              <w:t>Item 12. Security Ownership of Certain Beneficial Owners and Management and Related Unitholder Matters</w:t>
            </w:r>
          </w:p>
        </w:tc>
        <w:tc>
          <w:tcPr>
            <w:tcW w:w="440" w:type="dxa"/>
            <w:vAlign w:val="bottom"/>
            <w:gridSpan w:val="3"/>
          </w:tcPr>
          <w:p>
            <w:pPr>
              <w:jc w:val="center"/>
              <w:ind w:left="131"/>
              <w:spacing w:after="0" w:line="188" w:lineRule="exact"/>
              <w:rPr>
                <w:sz w:val="20"/>
                <w:szCs w:val="20"/>
                <w:color w:val="auto"/>
              </w:rPr>
            </w:pPr>
            <w:r>
              <w:rPr>
                <w:rFonts w:ascii="Arial" w:cs="Arial" w:eastAsia="Arial" w:hAnsi="Arial"/>
                <w:sz w:val="18"/>
                <w:szCs w:val="18"/>
                <w:color w:val="0000FF"/>
                <w:w w:val="89"/>
              </w:rPr>
              <w:t>56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10540" w:type="dxa"/>
            <w:vAlign w:val="bottom"/>
            <w:gridSpan w:val="33"/>
            <w:shd w:val="clear" w:color="auto" w:fill="CCEEFF"/>
          </w:tcPr>
          <w:p>
            <w:pPr>
              <w:spacing w:after="0" w:line="188" w:lineRule="exact"/>
              <w:rPr>
                <w:sz w:val="20"/>
                <w:szCs w:val="20"/>
                <w:color w:val="auto"/>
              </w:rPr>
            </w:pPr>
            <w:r>
              <w:rPr>
                <w:rFonts w:ascii="Arial" w:cs="Arial" w:eastAsia="Arial" w:hAnsi="Arial"/>
                <w:sz w:val="18"/>
                <w:szCs w:val="18"/>
                <w:color w:val="0000FF"/>
              </w:rPr>
              <w:t>Item 13. Certain Relationships and Related Transactions, and Director Independence</w:t>
            </w:r>
          </w:p>
        </w:tc>
        <w:tc>
          <w:tcPr>
            <w:tcW w:w="440" w:type="dxa"/>
            <w:vAlign w:val="bottom"/>
            <w:tcBorders>
              <w:right w:val="single" w:sz="8" w:color="CCEEFF"/>
            </w:tcBorders>
            <w:gridSpan w:val="3"/>
            <w:shd w:val="clear" w:color="auto" w:fill="CCEEFF"/>
          </w:tcPr>
          <w:p>
            <w:pPr>
              <w:jc w:val="center"/>
              <w:ind w:left="131"/>
              <w:spacing w:after="0" w:line="188" w:lineRule="exact"/>
              <w:rPr>
                <w:sz w:val="20"/>
                <w:szCs w:val="20"/>
                <w:color w:val="auto"/>
              </w:rPr>
            </w:pPr>
            <w:r>
              <w:rPr>
                <w:rFonts w:ascii="Arial" w:cs="Arial" w:eastAsia="Arial" w:hAnsi="Arial"/>
                <w:sz w:val="18"/>
                <w:szCs w:val="18"/>
                <w:color w:val="0000FF"/>
                <w:w w:val="89"/>
              </w:rPr>
              <w:t>60</w:t>
            </w:r>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6040" w:type="dxa"/>
            <w:vAlign w:val="bottom"/>
            <w:gridSpan w:val="28"/>
          </w:tcPr>
          <w:p>
            <w:pPr>
              <w:spacing w:after="0" w:line="188" w:lineRule="exact"/>
              <w:rPr>
                <w:sz w:val="20"/>
                <w:szCs w:val="20"/>
                <w:color w:val="auto"/>
              </w:rPr>
            </w:pPr>
            <w:r>
              <w:rPr>
                <w:rFonts w:ascii="Arial" w:cs="Arial" w:eastAsia="Arial" w:hAnsi="Arial"/>
                <w:sz w:val="18"/>
                <w:szCs w:val="18"/>
                <w:color w:val="0000FF"/>
              </w:rPr>
              <w:t>Item 14. Principal Accountant Fees and Services</w:t>
            </w:r>
          </w:p>
        </w:tc>
        <w:tc>
          <w:tcPr>
            <w:tcW w:w="4500" w:type="dxa"/>
            <w:vAlign w:val="bottom"/>
            <w:gridSpan w:val="5"/>
          </w:tcPr>
          <w:p>
            <w:pPr>
              <w:spacing w:after="0"/>
              <w:rPr>
                <w:sz w:val="16"/>
                <w:szCs w:val="16"/>
                <w:color w:val="auto"/>
              </w:rPr>
            </w:pPr>
          </w:p>
        </w:tc>
        <w:tc>
          <w:tcPr>
            <w:tcW w:w="440" w:type="dxa"/>
            <w:vAlign w:val="bottom"/>
            <w:gridSpan w:val="3"/>
          </w:tcPr>
          <w:p>
            <w:pPr>
              <w:jc w:val="center"/>
              <w:ind w:left="131"/>
              <w:spacing w:after="0" w:line="188" w:lineRule="exact"/>
              <w:rPr>
                <w:sz w:val="20"/>
                <w:szCs w:val="20"/>
                <w:color w:val="auto"/>
              </w:rPr>
            </w:pPr>
            <w:r>
              <w:rPr>
                <w:rFonts w:ascii="Arial" w:cs="Arial" w:eastAsia="Arial" w:hAnsi="Arial"/>
                <w:sz w:val="18"/>
                <w:szCs w:val="18"/>
                <w:color w:val="0000FF"/>
                <w:w w:val="89"/>
              </w:rPr>
              <w:t>62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00" w:type="dxa"/>
            <w:vAlign w:val="bottom"/>
            <w:gridSpan w:val="13"/>
          </w:tcPr>
          <w:p>
            <w:pPr>
              <w:jc w:val="center"/>
              <w:ind w:right="4600"/>
              <w:spacing w:after="0" w:line="188" w:lineRule="exact"/>
              <w:rPr>
                <w:sz w:val="20"/>
                <w:szCs w:val="20"/>
                <w:color w:val="auto"/>
              </w:rPr>
            </w:pPr>
            <w:r>
              <w:rPr>
                <w:rFonts w:ascii="Arial" w:cs="Arial" w:eastAsia="Arial" w:hAnsi="Arial"/>
                <w:sz w:val="18"/>
                <w:szCs w:val="18"/>
                <w:b w:val="1"/>
                <w:bCs w:val="1"/>
                <w:color w:val="0000FF"/>
                <w:w w:val="98"/>
              </w:rPr>
              <w:t>PART IV</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3780" w:type="dxa"/>
            <w:vAlign w:val="bottom"/>
            <w:gridSpan w:val="15"/>
            <w:shd w:val="clear" w:color="auto" w:fill="CCEEFF"/>
          </w:tcPr>
          <w:p>
            <w:pPr>
              <w:spacing w:after="0" w:line="188" w:lineRule="exact"/>
              <w:rPr>
                <w:sz w:val="20"/>
                <w:szCs w:val="20"/>
                <w:color w:val="auto"/>
              </w:rPr>
            </w:pPr>
            <w:r>
              <w:rPr>
                <w:rFonts w:ascii="Arial" w:cs="Arial" w:eastAsia="Arial" w:hAnsi="Arial"/>
                <w:sz w:val="18"/>
                <w:szCs w:val="18"/>
                <w:color w:val="0000FF"/>
                <w:w w:val="89"/>
              </w:rPr>
              <w:t>Item 15. Exhibits and Financial Statement Schedules</w:t>
            </w:r>
          </w:p>
        </w:tc>
        <w:tc>
          <w:tcPr>
            <w:tcW w:w="6760" w:type="dxa"/>
            <w:vAlign w:val="bottom"/>
            <w:gridSpan w:val="18"/>
            <w:shd w:val="clear" w:color="auto" w:fill="CCEEFF"/>
          </w:tcPr>
          <w:p>
            <w:pPr>
              <w:spacing w:after="0"/>
              <w:rPr>
                <w:sz w:val="16"/>
                <w:szCs w:val="16"/>
                <w:color w:val="auto"/>
              </w:rPr>
            </w:pPr>
          </w:p>
        </w:tc>
        <w:tc>
          <w:tcPr>
            <w:tcW w:w="440" w:type="dxa"/>
            <w:vAlign w:val="bottom"/>
            <w:tcBorders>
              <w:right w:val="single" w:sz="8" w:color="CCEEFF"/>
            </w:tcBorders>
            <w:gridSpan w:val="3"/>
            <w:shd w:val="clear" w:color="auto" w:fill="CCEEFF"/>
          </w:tcPr>
          <w:p>
            <w:pPr>
              <w:jc w:val="center"/>
              <w:ind w:left="131"/>
              <w:spacing w:after="0" w:line="188" w:lineRule="exact"/>
              <w:rPr>
                <w:sz w:val="20"/>
                <w:szCs w:val="20"/>
                <w:color w:val="auto"/>
              </w:rPr>
            </w:pPr>
            <w:r>
              <w:rPr>
                <w:rFonts w:ascii="Arial" w:cs="Arial" w:eastAsia="Arial" w:hAnsi="Arial"/>
                <w:sz w:val="18"/>
                <w:szCs w:val="18"/>
                <w:color w:val="0000FF"/>
                <w:w w:val="89"/>
              </w:rPr>
              <w:t>63</w:t>
            </w:r>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780" w:type="dxa"/>
            <w:vAlign w:val="bottom"/>
            <w:gridSpan w:val="15"/>
          </w:tcPr>
          <w:p>
            <w:pPr>
              <w:spacing w:after="0" w:line="188" w:lineRule="exact"/>
              <w:rPr>
                <w:sz w:val="20"/>
                <w:szCs w:val="20"/>
                <w:color w:val="auto"/>
              </w:rPr>
            </w:pPr>
            <w:r>
              <w:rPr>
                <w:rFonts w:ascii="Arial" w:cs="Arial" w:eastAsia="Arial" w:hAnsi="Arial"/>
                <w:sz w:val="18"/>
                <w:szCs w:val="18"/>
                <w:color w:val="0000FF"/>
              </w:rPr>
              <w:t>Item 16. Form 10-K Summary</w:t>
            </w:r>
          </w:p>
        </w:tc>
        <w:tc>
          <w:tcPr>
            <w:tcW w:w="6760" w:type="dxa"/>
            <w:vAlign w:val="bottom"/>
            <w:gridSpan w:val="18"/>
          </w:tcPr>
          <w:p>
            <w:pPr>
              <w:spacing w:after="0"/>
              <w:rPr>
                <w:sz w:val="16"/>
                <w:szCs w:val="16"/>
                <w:color w:val="auto"/>
              </w:rPr>
            </w:pPr>
          </w:p>
        </w:tc>
        <w:tc>
          <w:tcPr>
            <w:tcW w:w="440" w:type="dxa"/>
            <w:vAlign w:val="bottom"/>
            <w:gridSpan w:val="3"/>
          </w:tcPr>
          <w:p>
            <w:pPr>
              <w:jc w:val="center"/>
              <w:ind w:left="131"/>
              <w:spacing w:after="0" w:line="188" w:lineRule="exact"/>
              <w:rPr>
                <w:sz w:val="20"/>
                <w:szCs w:val="20"/>
                <w:color w:val="auto"/>
              </w:rPr>
            </w:pPr>
            <w:r>
              <w:rPr>
                <w:rFonts w:ascii="Arial" w:cs="Arial" w:eastAsia="Arial" w:hAnsi="Arial"/>
                <w:sz w:val="18"/>
                <w:szCs w:val="18"/>
                <w:color w:val="0000FF"/>
                <w:w w:val="89"/>
              </w:rPr>
              <w:t>65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560" w:type="dxa"/>
            <w:vAlign w:val="bottom"/>
            <w:gridSpan w:val="34"/>
            <w:shd w:val="clear" w:color="auto" w:fill="CCEEFF"/>
          </w:tcPr>
          <w:p>
            <w:pPr>
              <w:ind w:left="20"/>
              <w:spacing w:after="0" w:line="188" w:lineRule="exact"/>
              <w:rPr>
                <w:sz w:val="20"/>
                <w:szCs w:val="20"/>
                <w:color w:val="auto"/>
              </w:rPr>
            </w:pPr>
            <w:r>
              <w:rPr>
                <w:rFonts w:ascii="Arial" w:cs="Arial" w:eastAsia="Arial" w:hAnsi="Arial"/>
                <w:sz w:val="18"/>
                <w:szCs w:val="18"/>
                <w:color w:val="0000FF"/>
              </w:rPr>
              <w:t>Signatures</w:t>
            </w:r>
          </w:p>
        </w:tc>
        <w:tc>
          <w:tcPr>
            <w:tcW w:w="660" w:type="dxa"/>
            <w:vAlign w:val="bottom"/>
            <w:gridSpan w:val="4"/>
            <w:shd w:val="clear" w:color="auto" w:fill="CCEEFF"/>
          </w:tcPr>
          <w:p>
            <w:pPr>
              <w:jc w:val="center"/>
              <w:spacing w:after="0" w:line="188" w:lineRule="exact"/>
              <w:rPr>
                <w:sz w:val="20"/>
                <w:szCs w:val="20"/>
                <w:color w:val="auto"/>
              </w:rPr>
            </w:pPr>
            <w:r>
              <w:rPr>
                <w:rFonts w:ascii="Arial" w:cs="Arial" w:eastAsia="Arial" w:hAnsi="Arial"/>
                <w:sz w:val="18"/>
                <w:szCs w:val="18"/>
                <w:color w:val="0000FF"/>
                <w:w w:val="92"/>
              </w:rPr>
              <w:t>S-1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12"/>
        </w:trPr>
        <w:tc>
          <w:tcPr>
            <w:tcW w:w="20" w:type="dxa"/>
            <w:vAlign w:val="bottom"/>
            <w:tcBorders>
              <w:top w:val="single" w:sz="8" w:color="CCEE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208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GLOSSARY OF OIL AND NATURAL GAS TERMS</w:t>
      </w:r>
    </w:p>
    <w:p>
      <w:pPr>
        <w:spacing w:after="0" w:line="200"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The following is a glossary of certain oil and natural gas industry terms used in this Annual Report on Form 10-K (the “Annual Report” or this “report”):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Argus WTI Midland</w:t>
            </w:r>
          </w:p>
        </w:tc>
        <w:tc>
          <w:tcPr>
            <w:tcW w:w="88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Crude oil price index at the Permian Basin.</w:t>
            </w:r>
          </w:p>
        </w:tc>
      </w:tr>
      <w:tr>
        <w:trPr>
          <w:trHeight w:val="221"/>
        </w:trPr>
        <w:tc>
          <w:tcPr>
            <w:tcW w:w="2420" w:type="dxa"/>
            <w:vAlign w:val="bottom"/>
          </w:tcPr>
          <w:p>
            <w:pPr>
              <w:ind w:left="20"/>
              <w:spacing w:after="0"/>
              <w:rPr>
                <w:sz w:val="20"/>
                <w:szCs w:val="20"/>
                <w:color w:val="auto"/>
              </w:rPr>
            </w:pPr>
            <w:r>
              <w:rPr>
                <w:rFonts w:ascii="Arial" w:cs="Arial" w:eastAsia="Arial" w:hAnsi="Arial"/>
                <w:sz w:val="17"/>
                <w:szCs w:val="17"/>
                <w:color w:val="auto"/>
              </w:rPr>
              <w:t>Basin</w:t>
            </w:r>
          </w:p>
        </w:tc>
        <w:tc>
          <w:tcPr>
            <w:tcW w:w="8800" w:type="dxa"/>
            <w:vAlign w:val="bottom"/>
          </w:tcPr>
          <w:p>
            <w:pPr>
              <w:ind w:left="300"/>
              <w:spacing w:after="0"/>
              <w:rPr>
                <w:sz w:val="20"/>
                <w:szCs w:val="20"/>
                <w:color w:val="auto"/>
              </w:rPr>
            </w:pPr>
            <w:r>
              <w:rPr>
                <w:rFonts w:ascii="Arial" w:cs="Arial" w:eastAsia="Arial" w:hAnsi="Arial"/>
                <w:sz w:val="17"/>
                <w:szCs w:val="17"/>
                <w:color w:val="auto"/>
              </w:rPr>
              <w:t>A large depression on the earth’s surface in which sediments accumulate.</w:t>
            </w: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Bbl or barrel</w:t>
            </w:r>
          </w:p>
        </w:tc>
        <w:tc>
          <w:tcPr>
            <w:tcW w:w="8800" w:type="dxa"/>
            <w:vAlign w:val="bottom"/>
            <w:shd w:val="clear" w:color="auto" w:fill="CCEEFF"/>
          </w:tcPr>
          <w:p>
            <w:pPr>
              <w:ind w:left="300"/>
              <w:spacing w:after="0" w:line="176" w:lineRule="exact"/>
              <w:rPr>
                <w:sz w:val="20"/>
                <w:szCs w:val="20"/>
                <w:color w:val="auto"/>
              </w:rPr>
            </w:pPr>
            <w:r>
              <w:rPr>
                <w:rFonts w:ascii="Arial" w:cs="Arial" w:eastAsia="Arial" w:hAnsi="Arial"/>
                <w:sz w:val="17"/>
                <w:szCs w:val="17"/>
                <w:color w:val="auto"/>
              </w:rPr>
              <w:t>One stock tank barrel, or 42 U.S. gallons liquid volume, used in this report in reference to crude oil or other liquid</w:t>
            </w:r>
          </w:p>
        </w:tc>
      </w:tr>
      <w:tr>
        <w:trPr>
          <w:trHeight w:val="219"/>
        </w:trPr>
        <w:tc>
          <w:tcPr>
            <w:tcW w:w="2420" w:type="dxa"/>
            <w:vAlign w:val="bottom"/>
            <w:shd w:val="clear" w:color="auto" w:fill="CCEEFF"/>
          </w:tcPr>
          <w:p>
            <w:pPr>
              <w:spacing w:after="0"/>
              <w:rPr>
                <w:sz w:val="19"/>
                <w:szCs w:val="19"/>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hydrocarbons.</w:t>
            </w:r>
          </w:p>
        </w:tc>
      </w:tr>
      <w:tr>
        <w:trPr>
          <w:trHeight w:val="221"/>
        </w:trPr>
        <w:tc>
          <w:tcPr>
            <w:tcW w:w="2420" w:type="dxa"/>
            <w:vAlign w:val="bottom"/>
          </w:tcPr>
          <w:p>
            <w:pPr>
              <w:ind w:left="20"/>
              <w:spacing w:after="0"/>
              <w:rPr>
                <w:sz w:val="20"/>
                <w:szCs w:val="20"/>
                <w:color w:val="auto"/>
              </w:rPr>
            </w:pPr>
            <w:r>
              <w:rPr>
                <w:rFonts w:ascii="Arial" w:cs="Arial" w:eastAsia="Arial" w:hAnsi="Arial"/>
                <w:sz w:val="17"/>
                <w:szCs w:val="17"/>
                <w:color w:val="auto"/>
              </w:rPr>
              <w:t>BO</w:t>
            </w:r>
          </w:p>
        </w:tc>
        <w:tc>
          <w:tcPr>
            <w:tcW w:w="8800" w:type="dxa"/>
            <w:vAlign w:val="bottom"/>
          </w:tcPr>
          <w:p>
            <w:pPr>
              <w:ind w:left="300"/>
              <w:spacing w:after="0"/>
              <w:rPr>
                <w:sz w:val="20"/>
                <w:szCs w:val="20"/>
                <w:color w:val="auto"/>
              </w:rPr>
            </w:pPr>
            <w:r>
              <w:rPr>
                <w:rFonts w:ascii="Arial" w:cs="Arial" w:eastAsia="Arial" w:hAnsi="Arial"/>
                <w:sz w:val="17"/>
                <w:szCs w:val="17"/>
                <w:color w:val="auto"/>
              </w:rPr>
              <w:t>One barrel of oil.</w:t>
            </w:r>
          </w:p>
        </w:tc>
      </w:tr>
      <w:tr>
        <w:trPr>
          <w:trHeight w:val="23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BO/d</w:t>
            </w: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BO per day.</w:t>
            </w:r>
          </w:p>
        </w:tc>
      </w:tr>
      <w:tr>
        <w:trPr>
          <w:trHeight w:val="221"/>
        </w:trPr>
        <w:tc>
          <w:tcPr>
            <w:tcW w:w="2420" w:type="dxa"/>
            <w:vAlign w:val="bottom"/>
          </w:tcPr>
          <w:p>
            <w:pPr>
              <w:ind w:left="20"/>
              <w:spacing w:after="0"/>
              <w:rPr>
                <w:sz w:val="20"/>
                <w:szCs w:val="20"/>
                <w:color w:val="auto"/>
              </w:rPr>
            </w:pPr>
            <w:r>
              <w:rPr>
                <w:rFonts w:ascii="Arial" w:cs="Arial" w:eastAsia="Arial" w:hAnsi="Arial"/>
                <w:sz w:val="17"/>
                <w:szCs w:val="17"/>
                <w:color w:val="auto"/>
              </w:rPr>
              <w:t>BOE</w:t>
            </w:r>
          </w:p>
        </w:tc>
        <w:tc>
          <w:tcPr>
            <w:tcW w:w="8800" w:type="dxa"/>
            <w:vAlign w:val="bottom"/>
          </w:tcPr>
          <w:p>
            <w:pPr>
              <w:ind w:left="300"/>
              <w:spacing w:after="0"/>
              <w:rPr>
                <w:sz w:val="20"/>
                <w:szCs w:val="20"/>
                <w:color w:val="auto"/>
              </w:rPr>
            </w:pPr>
            <w:r>
              <w:rPr>
                <w:rFonts w:ascii="Arial" w:cs="Arial" w:eastAsia="Arial" w:hAnsi="Arial"/>
                <w:sz w:val="17"/>
                <w:szCs w:val="17"/>
                <w:color w:val="auto"/>
              </w:rPr>
              <w:t>One barrel of oil equivalent, with six thousand cubic feet of natural gas being equivalent to one barrel of oil.</w:t>
            </w:r>
          </w:p>
        </w:tc>
      </w:tr>
      <w:tr>
        <w:trPr>
          <w:trHeight w:val="23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BOE/d</w:t>
            </w: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Barrels of oil equivalent per day.</w:t>
            </w:r>
          </w:p>
        </w:tc>
      </w:tr>
      <w:tr>
        <w:trPr>
          <w:trHeight w:val="221"/>
        </w:trPr>
        <w:tc>
          <w:tcPr>
            <w:tcW w:w="2420" w:type="dxa"/>
            <w:vAlign w:val="bottom"/>
          </w:tcPr>
          <w:p>
            <w:pPr>
              <w:ind w:left="20"/>
              <w:spacing w:after="0"/>
              <w:rPr>
                <w:sz w:val="20"/>
                <w:szCs w:val="20"/>
                <w:color w:val="auto"/>
              </w:rPr>
            </w:pPr>
            <w:r>
              <w:rPr>
                <w:rFonts w:ascii="Arial" w:cs="Arial" w:eastAsia="Arial" w:hAnsi="Arial"/>
                <w:sz w:val="17"/>
                <w:szCs w:val="17"/>
                <w:color w:val="auto"/>
              </w:rPr>
              <w:t>British Thermal Unit or Btu</w:t>
            </w:r>
          </w:p>
        </w:tc>
        <w:tc>
          <w:tcPr>
            <w:tcW w:w="8800" w:type="dxa"/>
            <w:vAlign w:val="bottom"/>
          </w:tcPr>
          <w:p>
            <w:pPr>
              <w:ind w:left="300"/>
              <w:spacing w:after="0"/>
              <w:rPr>
                <w:sz w:val="20"/>
                <w:szCs w:val="20"/>
                <w:color w:val="auto"/>
              </w:rPr>
            </w:pPr>
            <w:r>
              <w:rPr>
                <w:rFonts w:ascii="Arial" w:cs="Arial" w:eastAsia="Arial" w:hAnsi="Arial"/>
                <w:sz w:val="17"/>
                <w:szCs w:val="17"/>
                <w:color w:val="auto"/>
              </w:rPr>
              <w:t>The quantity of heat required to raise the temperature of one pound of water by one degree Fahrenheit.</w:t>
            </w: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Completion</w:t>
            </w:r>
          </w:p>
        </w:tc>
        <w:tc>
          <w:tcPr>
            <w:tcW w:w="8800" w:type="dxa"/>
            <w:vAlign w:val="bottom"/>
            <w:shd w:val="clear" w:color="auto" w:fill="CCEEFF"/>
          </w:tcPr>
          <w:p>
            <w:pPr>
              <w:ind w:left="300"/>
              <w:spacing w:after="0" w:line="176" w:lineRule="exact"/>
              <w:rPr>
                <w:sz w:val="20"/>
                <w:szCs w:val="20"/>
                <w:color w:val="auto"/>
              </w:rPr>
            </w:pPr>
            <w:r>
              <w:rPr>
                <w:rFonts w:ascii="Arial" w:cs="Arial" w:eastAsia="Arial" w:hAnsi="Arial"/>
                <w:sz w:val="17"/>
                <w:szCs w:val="17"/>
                <w:color w:val="auto"/>
                <w:w w:val="93"/>
              </w:rPr>
              <w:t>The process of treating a drilled well followed by the installation of permanent equipment for the production of natural gas</w:t>
            </w:r>
          </w:p>
        </w:tc>
      </w:tr>
      <w:tr>
        <w:trPr>
          <w:trHeight w:val="219"/>
        </w:trPr>
        <w:tc>
          <w:tcPr>
            <w:tcW w:w="2420" w:type="dxa"/>
            <w:vAlign w:val="bottom"/>
            <w:shd w:val="clear" w:color="auto" w:fill="CCEEFF"/>
          </w:tcPr>
          <w:p>
            <w:pPr>
              <w:spacing w:after="0"/>
              <w:rPr>
                <w:sz w:val="19"/>
                <w:szCs w:val="19"/>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or oil, or in the case of a dry hole, the reporting of abandonment to the appropriate agency.</w:t>
            </w:r>
          </w:p>
        </w:tc>
      </w:tr>
      <w:tr>
        <w:trPr>
          <w:trHeight w:val="221"/>
        </w:trPr>
        <w:tc>
          <w:tcPr>
            <w:tcW w:w="2420" w:type="dxa"/>
            <w:vAlign w:val="bottom"/>
          </w:tcPr>
          <w:p>
            <w:pPr>
              <w:ind w:left="20"/>
              <w:spacing w:after="0"/>
              <w:rPr>
                <w:sz w:val="20"/>
                <w:szCs w:val="20"/>
                <w:color w:val="auto"/>
              </w:rPr>
            </w:pPr>
            <w:r>
              <w:rPr>
                <w:rFonts w:ascii="Arial" w:cs="Arial" w:eastAsia="Arial" w:hAnsi="Arial"/>
                <w:sz w:val="17"/>
                <w:szCs w:val="17"/>
                <w:color w:val="auto"/>
              </w:rPr>
              <w:t>Condensate</w:t>
            </w:r>
          </w:p>
        </w:tc>
        <w:tc>
          <w:tcPr>
            <w:tcW w:w="8800" w:type="dxa"/>
            <w:vAlign w:val="bottom"/>
          </w:tcPr>
          <w:p>
            <w:pPr>
              <w:ind w:left="300"/>
              <w:spacing w:after="0"/>
              <w:rPr>
                <w:sz w:val="20"/>
                <w:szCs w:val="20"/>
                <w:color w:val="auto"/>
              </w:rPr>
            </w:pPr>
            <w:r>
              <w:rPr>
                <w:rFonts w:ascii="Arial" w:cs="Arial" w:eastAsia="Arial" w:hAnsi="Arial"/>
                <w:sz w:val="17"/>
                <w:szCs w:val="17"/>
                <w:color w:val="auto"/>
              </w:rPr>
              <w:t>Liquid hydrocarbons associated with the production that is primarily natural gas.</w:t>
            </w: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Deterministic method</w:t>
            </w:r>
          </w:p>
        </w:tc>
        <w:tc>
          <w:tcPr>
            <w:tcW w:w="8800" w:type="dxa"/>
            <w:vAlign w:val="bottom"/>
            <w:shd w:val="clear" w:color="auto" w:fill="CCEEFF"/>
          </w:tcPr>
          <w:p>
            <w:pPr>
              <w:ind w:left="300"/>
              <w:spacing w:after="0" w:line="176" w:lineRule="exact"/>
              <w:rPr>
                <w:sz w:val="20"/>
                <w:szCs w:val="20"/>
                <w:color w:val="auto"/>
              </w:rPr>
            </w:pPr>
            <w:r>
              <w:rPr>
                <w:rFonts w:ascii="Arial" w:cs="Arial" w:eastAsia="Arial" w:hAnsi="Arial"/>
                <w:sz w:val="17"/>
                <w:szCs w:val="17"/>
                <w:color w:val="auto"/>
                <w:w w:val="96"/>
              </w:rPr>
              <w:t>The method of estimating reserves or resources under which a single value for each parameter (from the geoscience,</w:t>
            </w:r>
          </w:p>
        </w:tc>
      </w:tr>
      <w:tr>
        <w:trPr>
          <w:trHeight w:val="219"/>
        </w:trPr>
        <w:tc>
          <w:tcPr>
            <w:tcW w:w="2420" w:type="dxa"/>
            <w:vAlign w:val="bottom"/>
            <w:shd w:val="clear" w:color="auto" w:fill="CCEEFF"/>
          </w:tcPr>
          <w:p>
            <w:pPr>
              <w:spacing w:after="0"/>
              <w:rPr>
                <w:sz w:val="19"/>
                <w:szCs w:val="19"/>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engineering or economic data) in the reserves calculation is used in the reserves estimation procedure.</w:t>
            </w:r>
          </w:p>
        </w:tc>
      </w:tr>
      <w:tr>
        <w:trPr>
          <w:trHeight w:val="221"/>
        </w:trPr>
        <w:tc>
          <w:tcPr>
            <w:tcW w:w="2420" w:type="dxa"/>
            <w:vAlign w:val="bottom"/>
          </w:tcPr>
          <w:p>
            <w:pPr>
              <w:ind w:left="20"/>
              <w:spacing w:after="0"/>
              <w:rPr>
                <w:sz w:val="20"/>
                <w:szCs w:val="20"/>
                <w:color w:val="auto"/>
              </w:rPr>
            </w:pPr>
            <w:r>
              <w:rPr>
                <w:rFonts w:ascii="Arial" w:cs="Arial" w:eastAsia="Arial" w:hAnsi="Arial"/>
                <w:sz w:val="17"/>
                <w:szCs w:val="17"/>
                <w:color w:val="auto"/>
              </w:rPr>
              <w:t>Developed acreage</w:t>
            </w:r>
          </w:p>
        </w:tc>
        <w:tc>
          <w:tcPr>
            <w:tcW w:w="8800" w:type="dxa"/>
            <w:vAlign w:val="bottom"/>
          </w:tcPr>
          <w:p>
            <w:pPr>
              <w:ind w:left="300"/>
              <w:spacing w:after="0"/>
              <w:rPr>
                <w:sz w:val="20"/>
                <w:szCs w:val="20"/>
                <w:color w:val="auto"/>
              </w:rPr>
            </w:pPr>
            <w:r>
              <w:rPr>
                <w:rFonts w:ascii="Arial" w:cs="Arial" w:eastAsia="Arial" w:hAnsi="Arial"/>
                <w:sz w:val="17"/>
                <w:szCs w:val="17"/>
                <w:color w:val="auto"/>
              </w:rPr>
              <w:t>Acreage allocated or assignable to productive wells.</w:t>
            </w:r>
          </w:p>
        </w:tc>
      </w:tr>
      <w:tr>
        <w:trPr>
          <w:trHeight w:val="23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 costs</w:t>
            </w: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Capital costs incurred in the acquisition, exploitation and exploration of proved oil and natural gas reserves.</w:t>
            </w:r>
          </w:p>
        </w:tc>
      </w:tr>
      <w:tr>
        <w:trPr>
          <w:trHeight w:val="170"/>
        </w:trPr>
        <w:tc>
          <w:tcPr>
            <w:tcW w:w="2420" w:type="dxa"/>
            <w:vAlign w:val="bottom"/>
          </w:tcPr>
          <w:p>
            <w:pPr>
              <w:ind w:left="20"/>
              <w:spacing w:after="0" w:line="170" w:lineRule="exact"/>
              <w:rPr>
                <w:sz w:val="20"/>
                <w:szCs w:val="20"/>
                <w:color w:val="auto"/>
              </w:rPr>
            </w:pPr>
            <w:r>
              <w:rPr>
                <w:rFonts w:ascii="Arial" w:cs="Arial" w:eastAsia="Arial" w:hAnsi="Arial"/>
                <w:sz w:val="17"/>
                <w:szCs w:val="17"/>
                <w:color w:val="auto"/>
              </w:rPr>
              <w:t>Development well</w:t>
            </w:r>
          </w:p>
        </w:tc>
        <w:tc>
          <w:tcPr>
            <w:tcW w:w="8800" w:type="dxa"/>
            <w:vAlign w:val="bottom"/>
          </w:tcPr>
          <w:p>
            <w:pPr>
              <w:ind w:left="300"/>
              <w:spacing w:after="0" w:line="170" w:lineRule="exact"/>
              <w:rPr>
                <w:sz w:val="20"/>
                <w:szCs w:val="20"/>
                <w:color w:val="auto"/>
              </w:rPr>
            </w:pPr>
            <w:r>
              <w:rPr>
                <w:rFonts w:ascii="Arial" w:cs="Arial" w:eastAsia="Arial" w:hAnsi="Arial"/>
                <w:sz w:val="17"/>
                <w:szCs w:val="17"/>
                <w:color w:val="auto"/>
                <w:w w:val="95"/>
              </w:rPr>
              <w:t>A well drilled within the proved area of a natural gas or oil reservoir to the depth of a stratigraphic horizon known to be</w:t>
            </w:r>
          </w:p>
        </w:tc>
      </w:tr>
      <w:tr>
        <w:trPr>
          <w:trHeight w:val="217"/>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productive.</w:t>
            </w:r>
          </w:p>
        </w:tc>
      </w:tr>
      <w:tr>
        <w:trPr>
          <w:trHeight w:val="171"/>
        </w:trPr>
        <w:tc>
          <w:tcPr>
            <w:tcW w:w="24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Differential</w:t>
            </w:r>
          </w:p>
        </w:tc>
        <w:tc>
          <w:tcPr>
            <w:tcW w:w="8800" w:type="dxa"/>
            <w:vAlign w:val="bottom"/>
            <w:shd w:val="clear" w:color="auto" w:fill="CCEEFF"/>
          </w:tcPr>
          <w:p>
            <w:pPr>
              <w:ind w:left="300"/>
              <w:spacing w:after="0" w:line="172" w:lineRule="exact"/>
              <w:rPr>
                <w:sz w:val="20"/>
                <w:szCs w:val="20"/>
                <w:color w:val="auto"/>
              </w:rPr>
            </w:pPr>
            <w:r>
              <w:rPr>
                <w:rFonts w:ascii="Arial" w:cs="Arial" w:eastAsia="Arial" w:hAnsi="Arial"/>
                <w:sz w:val="17"/>
                <w:szCs w:val="17"/>
                <w:color w:val="auto"/>
                <w:w w:val="94"/>
              </w:rPr>
              <w:t>An adjustment to the price of oil or natural gas from an established spot market price to reflect differences in the quality</w:t>
            </w:r>
          </w:p>
        </w:tc>
      </w:tr>
      <w:tr>
        <w:trPr>
          <w:trHeight w:val="219"/>
        </w:trPr>
        <w:tc>
          <w:tcPr>
            <w:tcW w:w="2420" w:type="dxa"/>
            <w:vAlign w:val="bottom"/>
            <w:shd w:val="clear" w:color="auto" w:fill="CCEEFF"/>
          </w:tcPr>
          <w:p>
            <w:pPr>
              <w:spacing w:after="0"/>
              <w:rPr>
                <w:sz w:val="19"/>
                <w:szCs w:val="19"/>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and/or location of oil or natural gas.</w:t>
            </w:r>
          </w:p>
        </w:tc>
      </w:tr>
      <w:tr>
        <w:trPr>
          <w:trHeight w:val="170"/>
        </w:trPr>
        <w:tc>
          <w:tcPr>
            <w:tcW w:w="2420" w:type="dxa"/>
            <w:vAlign w:val="bottom"/>
          </w:tcPr>
          <w:p>
            <w:pPr>
              <w:ind w:left="20"/>
              <w:spacing w:after="0" w:line="170" w:lineRule="exact"/>
              <w:rPr>
                <w:sz w:val="20"/>
                <w:szCs w:val="20"/>
                <w:color w:val="auto"/>
              </w:rPr>
            </w:pPr>
            <w:r>
              <w:rPr>
                <w:rFonts w:ascii="Arial" w:cs="Arial" w:eastAsia="Arial" w:hAnsi="Arial"/>
                <w:sz w:val="17"/>
                <w:szCs w:val="17"/>
                <w:color w:val="auto"/>
              </w:rPr>
              <w:t>Dry hole or dry well</w:t>
            </w:r>
          </w:p>
        </w:tc>
        <w:tc>
          <w:tcPr>
            <w:tcW w:w="8800" w:type="dxa"/>
            <w:vAlign w:val="bottom"/>
          </w:tcPr>
          <w:p>
            <w:pPr>
              <w:ind w:left="300"/>
              <w:spacing w:after="0" w:line="170" w:lineRule="exact"/>
              <w:rPr>
                <w:sz w:val="20"/>
                <w:szCs w:val="20"/>
                <w:color w:val="auto"/>
              </w:rPr>
            </w:pPr>
            <w:r>
              <w:rPr>
                <w:rFonts w:ascii="Arial" w:cs="Arial" w:eastAsia="Arial" w:hAnsi="Arial"/>
                <w:sz w:val="17"/>
                <w:szCs w:val="17"/>
                <w:color w:val="auto"/>
                <w:w w:val="94"/>
              </w:rPr>
              <w:t>A well found to be incapable of producing hydrocarbons in sufficient quantities such that proceeds from the sale of such</w:t>
            </w:r>
          </w:p>
        </w:tc>
      </w:tr>
      <w:tr>
        <w:trPr>
          <w:trHeight w:val="217"/>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production exceed production expenses and taxes.</w:t>
            </w:r>
          </w:p>
        </w:tc>
      </w:tr>
      <w:tr>
        <w:trPr>
          <w:trHeight w:val="171"/>
        </w:trPr>
        <w:tc>
          <w:tcPr>
            <w:tcW w:w="24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Exploitation</w:t>
            </w:r>
          </w:p>
        </w:tc>
        <w:tc>
          <w:tcPr>
            <w:tcW w:w="8800" w:type="dxa"/>
            <w:vAlign w:val="bottom"/>
            <w:shd w:val="clear" w:color="auto" w:fill="CCEEFF"/>
          </w:tcPr>
          <w:p>
            <w:pPr>
              <w:ind w:left="300"/>
              <w:spacing w:after="0" w:line="172" w:lineRule="exact"/>
              <w:rPr>
                <w:sz w:val="20"/>
                <w:szCs w:val="20"/>
                <w:color w:val="auto"/>
              </w:rPr>
            </w:pPr>
            <w:r>
              <w:rPr>
                <w:rFonts w:ascii="Arial" w:cs="Arial" w:eastAsia="Arial" w:hAnsi="Arial"/>
                <w:sz w:val="17"/>
                <w:szCs w:val="17"/>
                <w:color w:val="auto"/>
                <w:w w:val="91"/>
              </w:rPr>
              <w:t>A development or other project which may target proven or unproven reserves (such as probable or possible reserves), but</w:t>
            </w:r>
          </w:p>
        </w:tc>
      </w:tr>
      <w:tr>
        <w:trPr>
          <w:trHeight w:val="219"/>
        </w:trPr>
        <w:tc>
          <w:tcPr>
            <w:tcW w:w="2420" w:type="dxa"/>
            <w:vAlign w:val="bottom"/>
            <w:shd w:val="clear" w:color="auto" w:fill="CCEEFF"/>
          </w:tcPr>
          <w:p>
            <w:pPr>
              <w:spacing w:after="0"/>
              <w:rPr>
                <w:sz w:val="19"/>
                <w:szCs w:val="19"/>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which generally has a lower risk than that associated with exploration projects.</w:t>
            </w:r>
          </w:p>
        </w:tc>
      </w:tr>
      <w:tr>
        <w:trPr>
          <w:trHeight w:val="170"/>
        </w:trPr>
        <w:tc>
          <w:tcPr>
            <w:tcW w:w="2420" w:type="dxa"/>
            <w:vAlign w:val="bottom"/>
          </w:tcPr>
          <w:p>
            <w:pPr>
              <w:ind w:left="20"/>
              <w:spacing w:after="0" w:line="170" w:lineRule="exact"/>
              <w:rPr>
                <w:sz w:val="20"/>
                <w:szCs w:val="20"/>
                <w:color w:val="auto"/>
              </w:rPr>
            </w:pPr>
            <w:r>
              <w:rPr>
                <w:rFonts w:ascii="Arial" w:cs="Arial" w:eastAsia="Arial" w:hAnsi="Arial"/>
                <w:sz w:val="17"/>
                <w:szCs w:val="17"/>
                <w:color w:val="auto"/>
              </w:rPr>
              <w:t>Field</w:t>
            </w:r>
          </w:p>
        </w:tc>
        <w:tc>
          <w:tcPr>
            <w:tcW w:w="8800" w:type="dxa"/>
            <w:vAlign w:val="bottom"/>
          </w:tcPr>
          <w:p>
            <w:pPr>
              <w:ind w:left="300"/>
              <w:spacing w:after="0" w:line="170" w:lineRule="exact"/>
              <w:rPr>
                <w:sz w:val="20"/>
                <w:szCs w:val="20"/>
                <w:color w:val="auto"/>
              </w:rPr>
            </w:pPr>
            <w:r>
              <w:rPr>
                <w:rFonts w:ascii="Arial" w:cs="Arial" w:eastAsia="Arial" w:hAnsi="Arial"/>
                <w:sz w:val="17"/>
                <w:szCs w:val="17"/>
                <w:color w:val="auto"/>
                <w:w w:val="97"/>
              </w:rPr>
              <w:t>An area consisting of either a single reservoir or multiple reservoirs, all grouped on or related to the same individual</w:t>
            </w:r>
          </w:p>
        </w:tc>
      </w:tr>
      <w:tr>
        <w:trPr>
          <w:trHeight w:val="217"/>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geological structural feature and/or stratigraphic condition.</w:t>
            </w:r>
          </w:p>
        </w:tc>
      </w:tr>
      <w:tr>
        <w:trPr>
          <w:trHeight w:val="171"/>
        </w:trPr>
        <w:tc>
          <w:tcPr>
            <w:tcW w:w="24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Finding and development costs</w:t>
            </w:r>
          </w:p>
        </w:tc>
        <w:tc>
          <w:tcPr>
            <w:tcW w:w="8800" w:type="dxa"/>
            <w:vAlign w:val="bottom"/>
            <w:shd w:val="clear" w:color="auto" w:fill="CCEEFF"/>
          </w:tcPr>
          <w:p>
            <w:pPr>
              <w:ind w:left="300"/>
              <w:spacing w:after="0" w:line="172" w:lineRule="exact"/>
              <w:rPr>
                <w:sz w:val="20"/>
                <w:szCs w:val="20"/>
                <w:color w:val="auto"/>
              </w:rPr>
            </w:pPr>
            <w:r>
              <w:rPr>
                <w:rFonts w:ascii="Arial" w:cs="Arial" w:eastAsia="Arial" w:hAnsi="Arial"/>
                <w:sz w:val="17"/>
                <w:szCs w:val="17"/>
                <w:color w:val="auto"/>
                <w:w w:val="96"/>
              </w:rPr>
              <w:t>Capital costs incurred in the acquisition, exploitation and exploration of proved oil and natural gas reserves divided by</w:t>
            </w:r>
          </w:p>
        </w:tc>
      </w:tr>
      <w:tr>
        <w:trPr>
          <w:trHeight w:val="219"/>
        </w:trPr>
        <w:tc>
          <w:tcPr>
            <w:tcW w:w="2420" w:type="dxa"/>
            <w:vAlign w:val="bottom"/>
            <w:shd w:val="clear" w:color="auto" w:fill="CCEEFF"/>
          </w:tcPr>
          <w:p>
            <w:pPr>
              <w:spacing w:after="0"/>
              <w:rPr>
                <w:sz w:val="19"/>
                <w:szCs w:val="19"/>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proved reserve additions and revisions to proved reserves.</w:t>
            </w:r>
          </w:p>
        </w:tc>
      </w:tr>
      <w:tr>
        <w:trPr>
          <w:trHeight w:val="170"/>
        </w:trPr>
        <w:tc>
          <w:tcPr>
            <w:tcW w:w="2420" w:type="dxa"/>
            <w:vAlign w:val="bottom"/>
          </w:tcPr>
          <w:p>
            <w:pPr>
              <w:ind w:left="20"/>
              <w:spacing w:after="0" w:line="170" w:lineRule="exact"/>
              <w:rPr>
                <w:sz w:val="20"/>
                <w:szCs w:val="20"/>
                <w:color w:val="auto"/>
              </w:rPr>
            </w:pPr>
            <w:r>
              <w:rPr>
                <w:rFonts w:ascii="Arial" w:cs="Arial" w:eastAsia="Arial" w:hAnsi="Arial"/>
                <w:sz w:val="17"/>
                <w:szCs w:val="17"/>
                <w:color w:val="auto"/>
              </w:rPr>
              <w:t>Fracturing</w:t>
            </w:r>
          </w:p>
        </w:tc>
        <w:tc>
          <w:tcPr>
            <w:tcW w:w="8800" w:type="dxa"/>
            <w:vAlign w:val="bottom"/>
          </w:tcPr>
          <w:p>
            <w:pPr>
              <w:ind w:left="300"/>
              <w:spacing w:after="0" w:line="170" w:lineRule="exact"/>
              <w:rPr>
                <w:sz w:val="20"/>
                <w:szCs w:val="20"/>
                <w:color w:val="auto"/>
              </w:rPr>
            </w:pPr>
            <w:r>
              <w:rPr>
                <w:rFonts w:ascii="Arial" w:cs="Arial" w:eastAsia="Arial" w:hAnsi="Arial"/>
                <w:sz w:val="17"/>
                <w:szCs w:val="17"/>
                <w:color w:val="auto"/>
                <w:w w:val="95"/>
              </w:rPr>
              <w:t>The process of creating and preserving a fracture or system of fractures in a reservoir rock typically by injecting a fluid</w:t>
            </w:r>
          </w:p>
        </w:tc>
      </w:tr>
      <w:tr>
        <w:trPr>
          <w:trHeight w:val="217"/>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under pressure through a wellbore and into the targeted formation.</w:t>
            </w: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acres or gross wells</w:t>
            </w: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The total acres or wells, as the case may be, in which a working interest is owned.</w:t>
            </w:r>
          </w:p>
        </w:tc>
      </w:tr>
      <w:tr>
        <w:trPr>
          <w:trHeight w:val="170"/>
        </w:trPr>
        <w:tc>
          <w:tcPr>
            <w:tcW w:w="2420" w:type="dxa"/>
            <w:vAlign w:val="bottom"/>
          </w:tcPr>
          <w:p>
            <w:pPr>
              <w:ind w:left="20"/>
              <w:spacing w:after="0" w:line="170" w:lineRule="exact"/>
              <w:rPr>
                <w:sz w:val="20"/>
                <w:szCs w:val="20"/>
                <w:color w:val="auto"/>
              </w:rPr>
            </w:pPr>
            <w:r>
              <w:rPr>
                <w:rFonts w:ascii="Arial" w:cs="Arial" w:eastAsia="Arial" w:hAnsi="Arial"/>
                <w:sz w:val="17"/>
                <w:szCs w:val="17"/>
                <w:color w:val="auto"/>
              </w:rPr>
              <w:t>Horizontal drilling</w:t>
            </w:r>
          </w:p>
        </w:tc>
        <w:tc>
          <w:tcPr>
            <w:tcW w:w="8800" w:type="dxa"/>
            <w:vAlign w:val="bottom"/>
          </w:tcPr>
          <w:p>
            <w:pPr>
              <w:ind w:left="340"/>
              <w:spacing w:after="0" w:line="170" w:lineRule="exact"/>
              <w:rPr>
                <w:sz w:val="20"/>
                <w:szCs w:val="20"/>
                <w:color w:val="auto"/>
              </w:rPr>
            </w:pPr>
            <w:r>
              <w:rPr>
                <w:rFonts w:ascii="Arial" w:cs="Arial" w:eastAsia="Arial" w:hAnsi="Arial"/>
                <w:sz w:val="17"/>
                <w:szCs w:val="17"/>
                <w:color w:val="auto"/>
                <w:w w:val="92"/>
              </w:rPr>
              <w:t>A drilling technique used in certain formations where a well is drilled vertically to a certain depth and then drilled at a right</w:t>
            </w:r>
          </w:p>
        </w:tc>
      </w:tr>
      <w:tr>
        <w:trPr>
          <w:trHeight w:val="217"/>
        </w:trPr>
        <w:tc>
          <w:tcPr>
            <w:tcW w:w="24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angle with a specified interval.</w:t>
            </w:r>
          </w:p>
        </w:tc>
      </w:tr>
      <w:tr>
        <w:trPr>
          <w:trHeight w:val="171"/>
        </w:trPr>
        <w:tc>
          <w:tcPr>
            <w:tcW w:w="24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Horizontal wells</w:t>
            </w:r>
          </w:p>
        </w:tc>
        <w:tc>
          <w:tcPr>
            <w:tcW w:w="8800" w:type="dxa"/>
            <w:vAlign w:val="bottom"/>
            <w:shd w:val="clear" w:color="auto" w:fill="CCEEFF"/>
          </w:tcPr>
          <w:p>
            <w:pPr>
              <w:ind w:left="300"/>
              <w:spacing w:after="0" w:line="172" w:lineRule="exact"/>
              <w:rPr>
                <w:sz w:val="20"/>
                <w:szCs w:val="20"/>
                <w:color w:val="auto"/>
              </w:rPr>
            </w:pPr>
            <w:r>
              <w:rPr>
                <w:rFonts w:ascii="Arial" w:cs="Arial" w:eastAsia="Arial" w:hAnsi="Arial"/>
                <w:sz w:val="17"/>
                <w:szCs w:val="17"/>
                <w:color w:val="auto"/>
                <w:w w:val="92"/>
              </w:rPr>
              <w:t>Wells drilled directionally horizontal to allow for development of structures not reachable through traditional vertical drilling</w:t>
            </w:r>
          </w:p>
        </w:tc>
      </w:tr>
      <w:tr>
        <w:trPr>
          <w:trHeight w:val="219"/>
        </w:trPr>
        <w:tc>
          <w:tcPr>
            <w:tcW w:w="2420" w:type="dxa"/>
            <w:vAlign w:val="bottom"/>
            <w:shd w:val="clear" w:color="auto" w:fill="CCEEFF"/>
          </w:tcPr>
          <w:p>
            <w:pPr>
              <w:spacing w:after="0"/>
              <w:rPr>
                <w:sz w:val="19"/>
                <w:szCs w:val="19"/>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mechanisms.</w:t>
            </w:r>
          </w:p>
        </w:tc>
      </w:tr>
      <w:tr>
        <w:trPr>
          <w:trHeight w:val="221"/>
        </w:trPr>
        <w:tc>
          <w:tcPr>
            <w:tcW w:w="2420" w:type="dxa"/>
            <w:vAlign w:val="bottom"/>
          </w:tcPr>
          <w:p>
            <w:pPr>
              <w:ind w:left="20"/>
              <w:spacing w:after="0"/>
              <w:rPr>
                <w:sz w:val="20"/>
                <w:szCs w:val="20"/>
                <w:color w:val="auto"/>
              </w:rPr>
            </w:pPr>
            <w:r>
              <w:rPr>
                <w:rFonts w:ascii="Arial" w:cs="Arial" w:eastAsia="Arial" w:hAnsi="Arial"/>
                <w:sz w:val="17"/>
                <w:szCs w:val="17"/>
                <w:color w:val="auto"/>
              </w:rPr>
              <w:t>MBbls</w:t>
            </w:r>
          </w:p>
        </w:tc>
        <w:tc>
          <w:tcPr>
            <w:tcW w:w="8800" w:type="dxa"/>
            <w:vAlign w:val="bottom"/>
          </w:tcPr>
          <w:p>
            <w:pPr>
              <w:ind w:left="300"/>
              <w:spacing w:after="0"/>
              <w:rPr>
                <w:sz w:val="20"/>
                <w:szCs w:val="20"/>
                <w:color w:val="auto"/>
              </w:rPr>
            </w:pPr>
            <w:r>
              <w:rPr>
                <w:rFonts w:ascii="Arial" w:cs="Arial" w:eastAsia="Arial" w:hAnsi="Arial"/>
                <w:sz w:val="17"/>
                <w:szCs w:val="17"/>
                <w:color w:val="auto"/>
              </w:rPr>
              <w:t>Thousand barrels of crude oil or other liquid hydrocarbons.</w:t>
            </w: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MBOE</w:t>
            </w:r>
          </w:p>
        </w:tc>
        <w:tc>
          <w:tcPr>
            <w:tcW w:w="8800" w:type="dxa"/>
            <w:vAlign w:val="bottom"/>
            <w:shd w:val="clear" w:color="auto" w:fill="CCEEFF"/>
          </w:tcPr>
          <w:p>
            <w:pPr>
              <w:ind w:left="300"/>
              <w:spacing w:after="0" w:line="176" w:lineRule="exact"/>
              <w:rPr>
                <w:sz w:val="20"/>
                <w:szCs w:val="20"/>
                <w:color w:val="auto"/>
              </w:rPr>
            </w:pPr>
            <w:r>
              <w:rPr>
                <w:rFonts w:ascii="Arial" w:cs="Arial" w:eastAsia="Arial" w:hAnsi="Arial"/>
                <w:sz w:val="17"/>
                <w:szCs w:val="17"/>
                <w:color w:val="auto"/>
                <w:w w:val="95"/>
              </w:rPr>
              <w:t>One thousand barrels of crude oil equivalent, determined using a ratio of six Mcf of natural gas to one Bbl of crude oil,</w:t>
            </w:r>
          </w:p>
        </w:tc>
      </w:tr>
      <w:tr>
        <w:trPr>
          <w:trHeight w:val="219"/>
        </w:trPr>
        <w:tc>
          <w:tcPr>
            <w:tcW w:w="2420" w:type="dxa"/>
            <w:vAlign w:val="bottom"/>
            <w:shd w:val="clear" w:color="auto" w:fill="CCEEFF"/>
          </w:tcPr>
          <w:p>
            <w:pPr>
              <w:spacing w:after="0"/>
              <w:rPr>
                <w:sz w:val="19"/>
                <w:szCs w:val="19"/>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condensate or natural gas liquids.</w:t>
            </w:r>
          </w:p>
        </w:tc>
      </w:tr>
      <w:tr>
        <w:trPr>
          <w:trHeight w:val="221"/>
        </w:trPr>
        <w:tc>
          <w:tcPr>
            <w:tcW w:w="2420" w:type="dxa"/>
            <w:vAlign w:val="bottom"/>
          </w:tcPr>
          <w:p>
            <w:pPr>
              <w:ind w:left="20"/>
              <w:spacing w:after="0"/>
              <w:rPr>
                <w:sz w:val="20"/>
                <w:szCs w:val="20"/>
                <w:color w:val="auto"/>
              </w:rPr>
            </w:pPr>
            <w:r>
              <w:rPr>
                <w:rFonts w:ascii="Arial" w:cs="Arial" w:eastAsia="Arial" w:hAnsi="Arial"/>
                <w:sz w:val="17"/>
                <w:szCs w:val="17"/>
                <w:color w:val="auto"/>
              </w:rPr>
              <w:t>Mcf</w:t>
            </w:r>
          </w:p>
        </w:tc>
        <w:tc>
          <w:tcPr>
            <w:tcW w:w="8800" w:type="dxa"/>
            <w:vAlign w:val="bottom"/>
          </w:tcPr>
          <w:p>
            <w:pPr>
              <w:ind w:left="300"/>
              <w:spacing w:after="0"/>
              <w:rPr>
                <w:sz w:val="20"/>
                <w:szCs w:val="20"/>
                <w:color w:val="auto"/>
              </w:rPr>
            </w:pPr>
            <w:r>
              <w:rPr>
                <w:rFonts w:ascii="Arial" w:cs="Arial" w:eastAsia="Arial" w:hAnsi="Arial"/>
                <w:sz w:val="17"/>
                <w:szCs w:val="17"/>
                <w:color w:val="auto"/>
              </w:rPr>
              <w:t>One thousand cubic feet of natural gas.</w:t>
            </w: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Mineral interests</w:t>
            </w:r>
          </w:p>
        </w:tc>
        <w:tc>
          <w:tcPr>
            <w:tcW w:w="8800" w:type="dxa"/>
            <w:vAlign w:val="bottom"/>
            <w:shd w:val="clear" w:color="auto" w:fill="CCEEFF"/>
          </w:tcPr>
          <w:p>
            <w:pPr>
              <w:ind w:left="300"/>
              <w:spacing w:after="0" w:line="176" w:lineRule="exact"/>
              <w:rPr>
                <w:sz w:val="20"/>
                <w:szCs w:val="20"/>
                <w:color w:val="auto"/>
              </w:rPr>
            </w:pPr>
            <w:r>
              <w:rPr>
                <w:rFonts w:ascii="Arial" w:cs="Arial" w:eastAsia="Arial" w:hAnsi="Arial"/>
                <w:sz w:val="17"/>
                <w:szCs w:val="17"/>
                <w:color w:val="auto"/>
                <w:w w:val="99"/>
              </w:rPr>
              <w:t>The interests in ownership of the resource and mineral rights, giving an owner the right to profit from the extracted</w:t>
            </w:r>
          </w:p>
        </w:tc>
      </w:tr>
      <w:tr>
        <w:trPr>
          <w:trHeight w:val="219"/>
        </w:trPr>
        <w:tc>
          <w:tcPr>
            <w:tcW w:w="2420" w:type="dxa"/>
            <w:vAlign w:val="bottom"/>
            <w:shd w:val="clear" w:color="auto" w:fill="CCEEFF"/>
          </w:tcPr>
          <w:p>
            <w:pPr>
              <w:spacing w:after="0"/>
              <w:rPr>
                <w:sz w:val="19"/>
                <w:szCs w:val="19"/>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resources.</w:t>
            </w:r>
          </w:p>
        </w:tc>
      </w:tr>
      <w:tr>
        <w:trPr>
          <w:trHeight w:val="221"/>
        </w:trPr>
        <w:tc>
          <w:tcPr>
            <w:tcW w:w="2420" w:type="dxa"/>
            <w:vAlign w:val="bottom"/>
          </w:tcPr>
          <w:p>
            <w:pPr>
              <w:ind w:left="20"/>
              <w:spacing w:after="0"/>
              <w:rPr>
                <w:sz w:val="20"/>
                <w:szCs w:val="20"/>
                <w:color w:val="auto"/>
              </w:rPr>
            </w:pPr>
            <w:r>
              <w:rPr>
                <w:rFonts w:ascii="Arial" w:cs="Arial" w:eastAsia="Arial" w:hAnsi="Arial"/>
                <w:sz w:val="17"/>
                <w:szCs w:val="17"/>
                <w:color w:val="auto"/>
              </w:rPr>
              <w:t>MMBtu</w:t>
            </w:r>
          </w:p>
        </w:tc>
        <w:tc>
          <w:tcPr>
            <w:tcW w:w="8800" w:type="dxa"/>
            <w:vAlign w:val="bottom"/>
          </w:tcPr>
          <w:p>
            <w:pPr>
              <w:ind w:left="300"/>
              <w:spacing w:after="0"/>
              <w:rPr>
                <w:sz w:val="20"/>
                <w:szCs w:val="20"/>
                <w:color w:val="auto"/>
              </w:rPr>
            </w:pPr>
            <w:r>
              <w:rPr>
                <w:rFonts w:ascii="Arial" w:cs="Arial" w:eastAsia="Arial" w:hAnsi="Arial"/>
                <w:sz w:val="17"/>
                <w:szCs w:val="17"/>
                <w:color w:val="auto"/>
              </w:rPr>
              <w:t>One million British Thermal Units.</w:t>
            </w:r>
          </w:p>
        </w:tc>
      </w:tr>
      <w:tr>
        <w:trPr>
          <w:trHeight w:val="23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MMcf</w:t>
            </w: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Million cubic feet of natural gas.</w:t>
            </w: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Net royalty acres</w:t>
            </w:r>
          </w:p>
        </w:tc>
        <w:tc>
          <w:tcPr>
            <w:tcW w:w="884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rPr>
              <w:t>Net mineral acres multiplied by the average lease royalty interest and other burdens.</w:t>
            </w:r>
          </w:p>
        </w:tc>
      </w:tr>
      <w:tr>
        <w:trPr>
          <w:trHeight w:val="234"/>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Oil and natural gas properties</w:t>
            </w: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Tracts of land consisting of properties to be developed for oil and natural gas resource extraction.</w:t>
            </w:r>
          </w:p>
        </w:tc>
      </w:tr>
      <w:tr>
        <w:trPr>
          <w:trHeight w:val="221"/>
        </w:trPr>
        <w:tc>
          <w:tcPr>
            <w:tcW w:w="2380" w:type="dxa"/>
            <w:vAlign w:val="bottom"/>
          </w:tcPr>
          <w:p>
            <w:pPr>
              <w:ind w:left="20"/>
              <w:spacing w:after="0"/>
              <w:rPr>
                <w:sz w:val="20"/>
                <w:szCs w:val="20"/>
                <w:color w:val="auto"/>
              </w:rPr>
            </w:pPr>
            <w:r>
              <w:rPr>
                <w:rFonts w:ascii="Arial" w:cs="Arial" w:eastAsia="Arial" w:hAnsi="Arial"/>
                <w:sz w:val="17"/>
                <w:szCs w:val="17"/>
                <w:color w:val="auto"/>
              </w:rPr>
              <w:t>Operator</w:t>
            </w:r>
          </w:p>
        </w:tc>
        <w:tc>
          <w:tcPr>
            <w:tcW w:w="8840" w:type="dxa"/>
            <w:vAlign w:val="bottom"/>
          </w:tcPr>
          <w:p>
            <w:pPr>
              <w:ind w:left="340"/>
              <w:spacing w:after="0"/>
              <w:rPr>
                <w:sz w:val="20"/>
                <w:szCs w:val="20"/>
                <w:color w:val="auto"/>
              </w:rPr>
            </w:pPr>
            <w:r>
              <w:rPr>
                <w:rFonts w:ascii="Arial" w:cs="Arial" w:eastAsia="Arial" w:hAnsi="Arial"/>
                <w:sz w:val="17"/>
                <w:szCs w:val="17"/>
                <w:color w:val="auto"/>
              </w:rPr>
              <w:t>The individual or company responsible for the exploration and/or production of an oil or natural gas well or lease.</w:t>
            </w:r>
          </w:p>
        </w:tc>
      </w:tr>
      <w:tr>
        <w:trPr>
          <w:trHeight w:val="167"/>
        </w:trPr>
        <w:tc>
          <w:tcPr>
            <w:tcW w:w="23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Plugging and abandonment</w:t>
            </w:r>
          </w:p>
        </w:tc>
        <w:tc>
          <w:tcPr>
            <w:tcW w:w="8840" w:type="dxa"/>
            <w:vAlign w:val="bottom"/>
            <w:shd w:val="clear" w:color="auto" w:fill="CCEEFF"/>
          </w:tcPr>
          <w:p>
            <w:pPr>
              <w:ind w:left="340"/>
              <w:spacing w:after="0" w:line="167" w:lineRule="exact"/>
              <w:rPr>
                <w:sz w:val="20"/>
                <w:szCs w:val="20"/>
                <w:color w:val="auto"/>
              </w:rPr>
            </w:pPr>
            <w:r>
              <w:rPr>
                <w:rFonts w:ascii="Arial" w:cs="Arial" w:eastAsia="Arial" w:hAnsi="Arial"/>
                <w:sz w:val="17"/>
                <w:szCs w:val="17"/>
                <w:color w:val="auto"/>
                <w:w w:val="93"/>
              </w:rPr>
              <w:t>Refers to the sealing off of fluids in the strata penetrated by a well so that the fluids from one stratum will not escape into</w:t>
            </w:r>
          </w:p>
        </w:tc>
      </w:tr>
      <w:tr>
        <w:trPr>
          <w:trHeight w:val="228"/>
        </w:trPr>
        <w:tc>
          <w:tcPr>
            <w:tcW w:w="2380" w:type="dxa"/>
            <w:vAlign w:val="bottom"/>
            <w:shd w:val="clear" w:color="auto" w:fill="CCEEFF"/>
          </w:tcPr>
          <w:p>
            <w:pPr>
              <w:spacing w:after="0"/>
              <w:rPr>
                <w:sz w:val="19"/>
                <w:szCs w:val="19"/>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another or to the surface. Regulations of all states require plugging of abandoned wells.</w:t>
            </w:r>
          </w:p>
        </w:tc>
      </w:tr>
      <w:tr>
        <w:trPr>
          <w:trHeight w:val="221"/>
        </w:trPr>
        <w:tc>
          <w:tcPr>
            <w:tcW w:w="2380" w:type="dxa"/>
            <w:vAlign w:val="bottom"/>
          </w:tcPr>
          <w:p>
            <w:pPr>
              <w:ind w:left="20"/>
              <w:spacing w:after="0"/>
              <w:rPr>
                <w:sz w:val="20"/>
                <w:szCs w:val="20"/>
                <w:color w:val="auto"/>
              </w:rPr>
            </w:pPr>
            <w:r>
              <w:rPr>
                <w:rFonts w:ascii="Arial" w:cs="Arial" w:eastAsia="Arial" w:hAnsi="Arial"/>
                <w:sz w:val="17"/>
                <w:szCs w:val="17"/>
                <w:color w:val="auto"/>
              </w:rPr>
              <w:t>PUD</w:t>
            </w:r>
          </w:p>
        </w:tc>
        <w:tc>
          <w:tcPr>
            <w:tcW w:w="8840" w:type="dxa"/>
            <w:vAlign w:val="bottom"/>
          </w:tcPr>
          <w:p>
            <w:pPr>
              <w:ind w:left="340"/>
              <w:spacing w:after="0"/>
              <w:rPr>
                <w:sz w:val="20"/>
                <w:szCs w:val="20"/>
                <w:color w:val="auto"/>
              </w:rPr>
            </w:pPr>
            <w:r>
              <w:rPr>
                <w:rFonts w:ascii="Arial" w:cs="Arial" w:eastAsia="Arial" w:hAnsi="Arial"/>
                <w:sz w:val="17"/>
                <w:szCs w:val="17"/>
                <w:color w:val="auto"/>
              </w:rPr>
              <w:t>Proved undeveloped.</w:t>
            </w:r>
          </w:p>
        </w:tc>
      </w:tr>
      <w:tr>
        <w:trPr>
          <w:trHeight w:val="167"/>
        </w:trPr>
        <w:tc>
          <w:tcPr>
            <w:tcW w:w="23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Productive well</w:t>
            </w:r>
          </w:p>
        </w:tc>
        <w:tc>
          <w:tcPr>
            <w:tcW w:w="8840" w:type="dxa"/>
            <w:vAlign w:val="bottom"/>
            <w:shd w:val="clear" w:color="auto" w:fill="CCEEFF"/>
          </w:tcPr>
          <w:p>
            <w:pPr>
              <w:ind w:left="340"/>
              <w:spacing w:after="0" w:line="167" w:lineRule="exact"/>
              <w:rPr>
                <w:sz w:val="20"/>
                <w:szCs w:val="20"/>
                <w:color w:val="auto"/>
              </w:rPr>
            </w:pPr>
            <w:r>
              <w:rPr>
                <w:rFonts w:ascii="Arial" w:cs="Arial" w:eastAsia="Arial" w:hAnsi="Arial"/>
                <w:sz w:val="17"/>
                <w:szCs w:val="17"/>
                <w:color w:val="auto"/>
                <w:w w:val="92"/>
              </w:rPr>
              <w:t>A well that is found to be capable of producing hydrocarbons in sufficient quantities such that proceeds from the sale of the</w:t>
            </w:r>
          </w:p>
        </w:tc>
      </w:tr>
      <w:tr>
        <w:trPr>
          <w:trHeight w:val="228"/>
        </w:trPr>
        <w:tc>
          <w:tcPr>
            <w:tcW w:w="2380" w:type="dxa"/>
            <w:vAlign w:val="bottom"/>
            <w:shd w:val="clear" w:color="auto" w:fill="CCEEFF"/>
          </w:tcPr>
          <w:p>
            <w:pPr>
              <w:spacing w:after="0"/>
              <w:rPr>
                <w:sz w:val="19"/>
                <w:szCs w:val="19"/>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production exceed production expenses and taxes.</w:t>
            </w:r>
          </w:p>
        </w:tc>
      </w:tr>
      <w:tr>
        <w:trPr>
          <w:trHeight w:val="161"/>
        </w:trPr>
        <w:tc>
          <w:tcPr>
            <w:tcW w:w="2380" w:type="dxa"/>
            <w:vAlign w:val="bottom"/>
          </w:tcPr>
          <w:p>
            <w:pPr>
              <w:ind w:left="20"/>
              <w:spacing w:after="0" w:line="161" w:lineRule="exact"/>
              <w:rPr>
                <w:sz w:val="20"/>
                <w:szCs w:val="20"/>
                <w:color w:val="auto"/>
              </w:rPr>
            </w:pPr>
            <w:r>
              <w:rPr>
                <w:rFonts w:ascii="Arial" w:cs="Arial" w:eastAsia="Arial" w:hAnsi="Arial"/>
                <w:sz w:val="17"/>
                <w:szCs w:val="17"/>
                <w:color w:val="auto"/>
              </w:rPr>
              <w:t>Prospect</w:t>
            </w: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1"/>
              </w:rPr>
              <w:t>A specific geographic area which, based on supporting geological, geophysical or other data and also preliminary economic</w:t>
            </w:r>
          </w:p>
        </w:tc>
      </w:tr>
      <w:tr>
        <w:trPr>
          <w:trHeight w:val="170"/>
        </w:trPr>
        <w:tc>
          <w:tcPr>
            <w:tcW w:w="2380" w:type="dxa"/>
            <w:vAlign w:val="bottom"/>
          </w:tcPr>
          <w:p>
            <w:pPr>
              <w:spacing w:after="0"/>
              <w:rPr>
                <w:sz w:val="14"/>
                <w:szCs w:val="14"/>
                <w:color w:val="auto"/>
              </w:rPr>
            </w:pPr>
          </w:p>
        </w:tc>
        <w:tc>
          <w:tcPr>
            <w:tcW w:w="8840" w:type="dxa"/>
            <w:vAlign w:val="bottom"/>
          </w:tcPr>
          <w:p>
            <w:pPr>
              <w:ind w:left="340"/>
              <w:spacing w:after="0" w:line="170" w:lineRule="exact"/>
              <w:rPr>
                <w:sz w:val="20"/>
                <w:szCs w:val="20"/>
                <w:color w:val="auto"/>
              </w:rPr>
            </w:pPr>
            <w:r>
              <w:rPr>
                <w:rFonts w:ascii="Arial" w:cs="Arial" w:eastAsia="Arial" w:hAnsi="Arial"/>
                <w:sz w:val="17"/>
                <w:szCs w:val="17"/>
                <w:color w:val="auto"/>
                <w:w w:val="97"/>
              </w:rPr>
              <w:t>analysis using reasonably anticipated prices and costs, is deemed to have potential for the discovery of commercial</w:t>
            </w:r>
          </w:p>
        </w:tc>
      </w:tr>
      <w:tr>
        <w:trPr>
          <w:trHeight w:val="224"/>
        </w:trPr>
        <w:tc>
          <w:tcPr>
            <w:tcW w:w="2380" w:type="dxa"/>
            <w:vAlign w:val="bottom"/>
          </w:tcPr>
          <w:p>
            <w:pPr>
              <w:spacing w:after="0"/>
              <w:rPr>
                <w:sz w:val="19"/>
                <w:szCs w:val="19"/>
                <w:color w:val="auto"/>
              </w:rPr>
            </w:pPr>
          </w:p>
        </w:tc>
        <w:tc>
          <w:tcPr>
            <w:tcW w:w="8840" w:type="dxa"/>
            <w:vAlign w:val="bottom"/>
          </w:tcPr>
          <w:p>
            <w:pPr>
              <w:ind w:left="340"/>
              <w:spacing w:after="0"/>
              <w:rPr>
                <w:sz w:val="20"/>
                <w:szCs w:val="20"/>
                <w:color w:val="auto"/>
              </w:rPr>
            </w:pPr>
            <w:r>
              <w:rPr>
                <w:rFonts w:ascii="Arial" w:cs="Arial" w:eastAsia="Arial" w:hAnsi="Arial"/>
                <w:sz w:val="17"/>
                <w:szCs w:val="17"/>
                <w:color w:val="auto"/>
              </w:rPr>
              <w:t>hydrocarbons.</w:t>
            </w:r>
          </w:p>
        </w:tc>
      </w:tr>
      <w:tr>
        <w:trPr>
          <w:trHeight w:val="236"/>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Proved developed reserves</w:t>
            </w: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5"/>
              </w:rPr>
              <w:t>Reserves that can be expected to be recovered through existing wells with existing equipment and operating methods.</w:t>
            </w:r>
          </w:p>
        </w:tc>
      </w:tr>
      <w:tr>
        <w:trPr>
          <w:trHeight w:val="161"/>
        </w:trPr>
        <w:tc>
          <w:tcPr>
            <w:tcW w:w="2380" w:type="dxa"/>
            <w:vAlign w:val="bottom"/>
          </w:tcPr>
          <w:p>
            <w:pPr>
              <w:ind w:left="20"/>
              <w:spacing w:after="0" w:line="161" w:lineRule="exact"/>
              <w:rPr>
                <w:sz w:val="20"/>
                <w:szCs w:val="20"/>
                <w:color w:val="auto"/>
              </w:rPr>
            </w:pPr>
            <w:r>
              <w:rPr>
                <w:rFonts w:ascii="Arial" w:cs="Arial" w:eastAsia="Arial" w:hAnsi="Arial"/>
                <w:sz w:val="17"/>
                <w:szCs w:val="17"/>
                <w:color w:val="auto"/>
              </w:rPr>
              <w:t>Proved reserves</w:t>
            </w: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1"/>
              </w:rPr>
              <w:t>The estimated quantities of oil, natural gas and natural gas liquids which geological and engineering data demonstrate with</w:t>
            </w:r>
          </w:p>
        </w:tc>
      </w:tr>
      <w:tr>
        <w:trPr>
          <w:trHeight w:val="170"/>
        </w:trPr>
        <w:tc>
          <w:tcPr>
            <w:tcW w:w="2380" w:type="dxa"/>
            <w:vAlign w:val="bottom"/>
          </w:tcPr>
          <w:p>
            <w:pPr>
              <w:spacing w:after="0"/>
              <w:rPr>
                <w:sz w:val="14"/>
                <w:szCs w:val="14"/>
                <w:color w:val="auto"/>
              </w:rPr>
            </w:pPr>
          </w:p>
        </w:tc>
        <w:tc>
          <w:tcPr>
            <w:tcW w:w="8840" w:type="dxa"/>
            <w:vAlign w:val="bottom"/>
          </w:tcPr>
          <w:p>
            <w:pPr>
              <w:ind w:left="340"/>
              <w:spacing w:after="0" w:line="170" w:lineRule="exact"/>
              <w:rPr>
                <w:sz w:val="20"/>
                <w:szCs w:val="20"/>
                <w:color w:val="auto"/>
              </w:rPr>
            </w:pPr>
            <w:r>
              <w:rPr>
                <w:rFonts w:ascii="Arial" w:cs="Arial" w:eastAsia="Arial" w:hAnsi="Arial"/>
                <w:sz w:val="17"/>
                <w:szCs w:val="17"/>
                <w:color w:val="auto"/>
                <w:w w:val="94"/>
              </w:rPr>
              <w:t>reasonable certainty to be commercially recoverable in future years from known reservoirs under existing economic and</w:t>
            </w:r>
          </w:p>
        </w:tc>
      </w:tr>
      <w:tr>
        <w:trPr>
          <w:trHeight w:val="224"/>
        </w:trPr>
        <w:tc>
          <w:tcPr>
            <w:tcW w:w="2380" w:type="dxa"/>
            <w:vAlign w:val="bottom"/>
          </w:tcPr>
          <w:p>
            <w:pPr>
              <w:spacing w:after="0"/>
              <w:rPr>
                <w:sz w:val="19"/>
                <w:szCs w:val="19"/>
                <w:color w:val="auto"/>
              </w:rPr>
            </w:pPr>
          </w:p>
        </w:tc>
        <w:tc>
          <w:tcPr>
            <w:tcW w:w="8840" w:type="dxa"/>
            <w:vAlign w:val="bottom"/>
          </w:tcPr>
          <w:p>
            <w:pPr>
              <w:ind w:left="340"/>
              <w:spacing w:after="0"/>
              <w:rPr>
                <w:sz w:val="20"/>
                <w:szCs w:val="20"/>
                <w:color w:val="auto"/>
              </w:rPr>
            </w:pPr>
            <w:r>
              <w:rPr>
                <w:rFonts w:ascii="Arial" w:cs="Arial" w:eastAsia="Arial" w:hAnsi="Arial"/>
                <w:sz w:val="17"/>
                <w:szCs w:val="17"/>
                <w:color w:val="auto"/>
              </w:rPr>
              <w:t>operating conditions.</w:t>
            </w:r>
          </w:p>
        </w:tc>
      </w:tr>
      <w:tr>
        <w:trPr>
          <w:trHeight w:val="169"/>
        </w:trPr>
        <w:tc>
          <w:tcPr>
            <w:tcW w:w="23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Proved undeveloped reserves</w:t>
            </w:r>
          </w:p>
        </w:tc>
        <w:tc>
          <w:tcPr>
            <w:tcW w:w="8840" w:type="dxa"/>
            <w:vAlign w:val="bottom"/>
            <w:shd w:val="clear" w:color="auto" w:fill="CCEEFF"/>
          </w:tcPr>
          <w:p>
            <w:pPr>
              <w:ind w:left="340"/>
              <w:spacing w:after="0" w:line="169" w:lineRule="exact"/>
              <w:rPr>
                <w:sz w:val="20"/>
                <w:szCs w:val="20"/>
                <w:color w:val="auto"/>
              </w:rPr>
            </w:pPr>
            <w:r>
              <w:rPr>
                <w:rFonts w:ascii="Arial" w:cs="Arial" w:eastAsia="Arial" w:hAnsi="Arial"/>
                <w:sz w:val="17"/>
                <w:szCs w:val="17"/>
                <w:color w:val="auto"/>
                <w:w w:val="95"/>
              </w:rPr>
              <w:t>Proved reserves that are expected to be recovered from new wells on undrilled acreage or from existing wells where a</w:t>
            </w:r>
          </w:p>
        </w:tc>
      </w:tr>
      <w:tr>
        <w:trPr>
          <w:trHeight w:val="228"/>
        </w:trPr>
        <w:tc>
          <w:tcPr>
            <w:tcW w:w="2380" w:type="dxa"/>
            <w:vAlign w:val="bottom"/>
            <w:shd w:val="clear" w:color="auto" w:fill="CCEEFF"/>
          </w:tcPr>
          <w:p>
            <w:pPr>
              <w:spacing w:after="0"/>
              <w:rPr>
                <w:sz w:val="19"/>
                <w:szCs w:val="19"/>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relatively major expenditure is required for recompletion.</w:t>
            </w:r>
          </w:p>
        </w:tc>
      </w:tr>
      <w:tr>
        <w:trPr>
          <w:trHeight w:val="161"/>
        </w:trPr>
        <w:tc>
          <w:tcPr>
            <w:tcW w:w="2380" w:type="dxa"/>
            <w:vAlign w:val="bottom"/>
          </w:tcPr>
          <w:p>
            <w:pPr>
              <w:ind w:left="20"/>
              <w:spacing w:after="0" w:line="161" w:lineRule="exact"/>
              <w:rPr>
                <w:sz w:val="20"/>
                <w:szCs w:val="20"/>
                <w:color w:val="auto"/>
              </w:rPr>
            </w:pPr>
            <w:r>
              <w:rPr>
                <w:rFonts w:ascii="Arial" w:cs="Arial" w:eastAsia="Arial" w:hAnsi="Arial"/>
                <w:sz w:val="17"/>
                <w:szCs w:val="17"/>
                <w:color w:val="auto"/>
              </w:rPr>
              <w:t>Recompletion</w:t>
            </w: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3"/>
              </w:rPr>
              <w:t>The process of re-entering an existing wellbore that is either producing or not producing and completing new reservoirs in</w:t>
            </w:r>
          </w:p>
        </w:tc>
      </w:tr>
      <w:tr>
        <w:trPr>
          <w:trHeight w:val="221"/>
        </w:trPr>
        <w:tc>
          <w:tcPr>
            <w:tcW w:w="2380" w:type="dxa"/>
            <w:vAlign w:val="bottom"/>
          </w:tcPr>
          <w:p>
            <w:pPr>
              <w:spacing w:after="0"/>
              <w:rPr>
                <w:sz w:val="19"/>
                <w:szCs w:val="19"/>
                <w:color w:val="auto"/>
              </w:rPr>
            </w:pPr>
          </w:p>
        </w:tc>
        <w:tc>
          <w:tcPr>
            <w:tcW w:w="8840" w:type="dxa"/>
            <w:vAlign w:val="bottom"/>
          </w:tcPr>
          <w:p>
            <w:pPr>
              <w:ind w:left="340"/>
              <w:spacing w:after="0"/>
              <w:rPr>
                <w:sz w:val="20"/>
                <w:szCs w:val="20"/>
                <w:color w:val="auto"/>
              </w:rPr>
            </w:pPr>
            <w:r>
              <w:rPr>
                <w:rFonts w:ascii="Arial" w:cs="Arial" w:eastAsia="Arial" w:hAnsi="Arial"/>
                <w:sz w:val="17"/>
                <w:szCs w:val="17"/>
                <w:color w:val="auto"/>
              </w:rPr>
              <w:t>an attempt to establish or increase existing production.</w:t>
            </w:r>
          </w:p>
        </w:tc>
      </w:tr>
      <w:tr>
        <w:trPr>
          <w:trHeight w:val="167"/>
        </w:trPr>
        <w:tc>
          <w:tcPr>
            <w:tcW w:w="23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Reserves</w:t>
            </w:r>
          </w:p>
        </w:tc>
        <w:tc>
          <w:tcPr>
            <w:tcW w:w="8840" w:type="dxa"/>
            <w:vAlign w:val="bottom"/>
            <w:shd w:val="clear" w:color="auto" w:fill="CCEEFF"/>
          </w:tcPr>
          <w:p>
            <w:pPr>
              <w:ind w:left="340"/>
              <w:spacing w:after="0" w:line="167" w:lineRule="exact"/>
              <w:rPr>
                <w:sz w:val="20"/>
                <w:szCs w:val="20"/>
                <w:color w:val="auto"/>
              </w:rPr>
            </w:pPr>
            <w:r>
              <w:rPr>
                <w:rFonts w:ascii="Arial" w:cs="Arial" w:eastAsia="Arial" w:hAnsi="Arial"/>
                <w:sz w:val="17"/>
                <w:szCs w:val="17"/>
                <w:color w:val="auto"/>
                <w:w w:val="92"/>
              </w:rPr>
              <w:t>Reserves are estimated remaining quantities of oil and natural gas and related substances anticipated to be economically</w:t>
            </w:r>
          </w:p>
        </w:tc>
      </w:tr>
      <w:tr>
        <w:trPr>
          <w:trHeight w:val="170"/>
        </w:trPr>
        <w:tc>
          <w:tcPr>
            <w:tcW w:w="2380" w:type="dxa"/>
            <w:vAlign w:val="bottom"/>
            <w:shd w:val="clear" w:color="auto" w:fill="CCEEFF"/>
          </w:tcPr>
          <w:p>
            <w:pPr>
              <w:spacing w:after="0"/>
              <w:rPr>
                <w:sz w:val="14"/>
                <w:szCs w:val="14"/>
                <w:color w:val="auto"/>
              </w:rPr>
            </w:pPr>
          </w:p>
        </w:tc>
        <w:tc>
          <w:tcPr>
            <w:tcW w:w="8840" w:type="dxa"/>
            <w:vAlign w:val="bottom"/>
            <w:shd w:val="clear" w:color="auto" w:fill="CCEEFF"/>
          </w:tcPr>
          <w:p>
            <w:pPr>
              <w:ind w:left="340"/>
              <w:spacing w:after="0" w:line="170" w:lineRule="exact"/>
              <w:rPr>
                <w:sz w:val="20"/>
                <w:szCs w:val="20"/>
                <w:color w:val="auto"/>
              </w:rPr>
            </w:pPr>
            <w:r>
              <w:rPr>
                <w:rFonts w:ascii="Arial" w:cs="Arial" w:eastAsia="Arial" w:hAnsi="Arial"/>
                <w:sz w:val="17"/>
                <w:szCs w:val="17"/>
                <w:color w:val="auto"/>
                <w:w w:val="91"/>
              </w:rPr>
              <w:t>producible, as of a given date, by application of development projects to known accumulations. In addition, there must exist,</w:t>
            </w:r>
          </w:p>
        </w:tc>
      </w:tr>
      <w:tr>
        <w:trPr>
          <w:trHeight w:val="174"/>
        </w:trPr>
        <w:tc>
          <w:tcPr>
            <w:tcW w:w="2380" w:type="dxa"/>
            <w:vAlign w:val="bottom"/>
            <w:shd w:val="clear" w:color="auto" w:fill="CCEEFF"/>
          </w:tcPr>
          <w:p>
            <w:pPr>
              <w:spacing w:after="0"/>
              <w:rPr>
                <w:sz w:val="15"/>
                <w:szCs w:val="15"/>
                <w:color w:val="auto"/>
              </w:rPr>
            </w:pPr>
          </w:p>
        </w:tc>
        <w:tc>
          <w:tcPr>
            <w:tcW w:w="8840" w:type="dxa"/>
            <w:vAlign w:val="bottom"/>
            <w:shd w:val="clear" w:color="auto" w:fill="CCEEFF"/>
          </w:tcPr>
          <w:p>
            <w:pPr>
              <w:ind w:left="340"/>
              <w:spacing w:after="0" w:line="174" w:lineRule="exact"/>
              <w:rPr>
                <w:sz w:val="20"/>
                <w:szCs w:val="20"/>
                <w:color w:val="auto"/>
              </w:rPr>
            </w:pPr>
            <w:r>
              <w:rPr>
                <w:rFonts w:ascii="Arial" w:cs="Arial" w:eastAsia="Arial" w:hAnsi="Arial"/>
                <w:sz w:val="17"/>
                <w:szCs w:val="17"/>
                <w:color w:val="auto"/>
                <w:w w:val="97"/>
              </w:rPr>
              <w:t>or there must be a reasonable expectation that there will exist, the legal right to produce or a revenue interest in the</w:t>
            </w:r>
          </w:p>
        </w:tc>
      </w:tr>
      <w:tr>
        <w:trPr>
          <w:trHeight w:val="165"/>
        </w:trPr>
        <w:tc>
          <w:tcPr>
            <w:tcW w:w="2380" w:type="dxa"/>
            <w:vAlign w:val="bottom"/>
            <w:shd w:val="clear" w:color="auto" w:fill="CCEEFF"/>
          </w:tcPr>
          <w:p>
            <w:pPr>
              <w:spacing w:after="0"/>
              <w:rPr>
                <w:sz w:val="14"/>
                <w:szCs w:val="14"/>
                <w:color w:val="auto"/>
              </w:rPr>
            </w:pPr>
          </w:p>
        </w:tc>
        <w:tc>
          <w:tcPr>
            <w:tcW w:w="8840" w:type="dxa"/>
            <w:vAlign w:val="bottom"/>
            <w:shd w:val="clear" w:color="auto" w:fill="CCEEFF"/>
          </w:tcPr>
          <w:p>
            <w:pPr>
              <w:ind w:left="340"/>
              <w:spacing w:after="0" w:line="165" w:lineRule="exact"/>
              <w:rPr>
                <w:sz w:val="20"/>
                <w:szCs w:val="20"/>
                <w:color w:val="auto"/>
              </w:rPr>
            </w:pPr>
            <w:r>
              <w:rPr>
                <w:rFonts w:ascii="Arial" w:cs="Arial" w:eastAsia="Arial" w:hAnsi="Arial"/>
                <w:sz w:val="17"/>
                <w:szCs w:val="17"/>
                <w:color w:val="auto"/>
                <w:w w:val="90"/>
              </w:rPr>
              <w:t>production, installed means of delivering oil and natural gas or related substances to the market and all permits and financing</w:t>
            </w:r>
          </w:p>
        </w:tc>
      </w:tr>
      <w:tr>
        <w:trPr>
          <w:trHeight w:val="170"/>
        </w:trPr>
        <w:tc>
          <w:tcPr>
            <w:tcW w:w="2380" w:type="dxa"/>
            <w:vAlign w:val="bottom"/>
            <w:shd w:val="clear" w:color="auto" w:fill="CCEEFF"/>
          </w:tcPr>
          <w:p>
            <w:pPr>
              <w:spacing w:after="0"/>
              <w:rPr>
                <w:sz w:val="14"/>
                <w:szCs w:val="14"/>
                <w:color w:val="auto"/>
              </w:rPr>
            </w:pPr>
          </w:p>
        </w:tc>
        <w:tc>
          <w:tcPr>
            <w:tcW w:w="8840" w:type="dxa"/>
            <w:vAlign w:val="bottom"/>
            <w:shd w:val="clear" w:color="auto" w:fill="CCEEFF"/>
          </w:tcPr>
          <w:p>
            <w:pPr>
              <w:ind w:left="340"/>
              <w:spacing w:after="0" w:line="170" w:lineRule="exact"/>
              <w:rPr>
                <w:sz w:val="20"/>
                <w:szCs w:val="20"/>
                <w:color w:val="auto"/>
              </w:rPr>
            </w:pPr>
            <w:r>
              <w:rPr>
                <w:rFonts w:ascii="Arial" w:cs="Arial" w:eastAsia="Arial" w:hAnsi="Arial"/>
                <w:sz w:val="17"/>
                <w:szCs w:val="17"/>
                <w:color w:val="auto"/>
                <w:w w:val="94"/>
              </w:rPr>
              <w:t>required to implement the project. Reserves should not be assigned to adjacent reservoirs isolated by major, potentially</w:t>
            </w:r>
          </w:p>
        </w:tc>
      </w:tr>
      <w:tr>
        <w:trPr>
          <w:trHeight w:val="174"/>
        </w:trPr>
        <w:tc>
          <w:tcPr>
            <w:tcW w:w="2380" w:type="dxa"/>
            <w:vAlign w:val="bottom"/>
            <w:shd w:val="clear" w:color="auto" w:fill="CCEEFF"/>
          </w:tcPr>
          <w:p>
            <w:pPr>
              <w:spacing w:after="0"/>
              <w:rPr>
                <w:sz w:val="15"/>
                <w:szCs w:val="15"/>
                <w:color w:val="auto"/>
              </w:rPr>
            </w:pPr>
          </w:p>
        </w:tc>
        <w:tc>
          <w:tcPr>
            <w:tcW w:w="8840" w:type="dxa"/>
            <w:vAlign w:val="bottom"/>
            <w:shd w:val="clear" w:color="auto" w:fill="CCEEFF"/>
          </w:tcPr>
          <w:p>
            <w:pPr>
              <w:ind w:left="340"/>
              <w:spacing w:after="0" w:line="174" w:lineRule="exact"/>
              <w:rPr>
                <w:sz w:val="20"/>
                <w:szCs w:val="20"/>
                <w:color w:val="auto"/>
              </w:rPr>
            </w:pPr>
            <w:r>
              <w:rPr>
                <w:rFonts w:ascii="Arial" w:cs="Arial" w:eastAsia="Arial" w:hAnsi="Arial"/>
                <w:sz w:val="17"/>
                <w:szCs w:val="17"/>
                <w:color w:val="auto"/>
                <w:w w:val="95"/>
              </w:rPr>
              <w:t>sealing, faults until those reservoirs are penetrated and evaluated as economically producible. Reserves should not be</w:t>
            </w:r>
          </w:p>
        </w:tc>
      </w:tr>
      <w:tr>
        <w:trPr>
          <w:trHeight w:val="165"/>
        </w:trPr>
        <w:tc>
          <w:tcPr>
            <w:tcW w:w="2380" w:type="dxa"/>
            <w:vAlign w:val="bottom"/>
            <w:shd w:val="clear" w:color="auto" w:fill="CCEEFF"/>
          </w:tcPr>
          <w:p>
            <w:pPr>
              <w:spacing w:after="0"/>
              <w:rPr>
                <w:sz w:val="14"/>
                <w:szCs w:val="14"/>
                <w:color w:val="auto"/>
              </w:rPr>
            </w:pPr>
          </w:p>
        </w:tc>
        <w:tc>
          <w:tcPr>
            <w:tcW w:w="8840" w:type="dxa"/>
            <w:vAlign w:val="bottom"/>
            <w:shd w:val="clear" w:color="auto" w:fill="CCEEFF"/>
          </w:tcPr>
          <w:p>
            <w:pPr>
              <w:ind w:left="340"/>
              <w:spacing w:after="0" w:line="165" w:lineRule="exact"/>
              <w:rPr>
                <w:sz w:val="20"/>
                <w:szCs w:val="20"/>
                <w:color w:val="auto"/>
              </w:rPr>
            </w:pPr>
            <w:r>
              <w:rPr>
                <w:rFonts w:ascii="Arial" w:cs="Arial" w:eastAsia="Arial" w:hAnsi="Arial"/>
                <w:sz w:val="17"/>
                <w:szCs w:val="17"/>
                <w:color w:val="auto"/>
                <w:w w:val="94"/>
              </w:rPr>
              <w:t>assigned to areas that are clearly separated from a known accumulation by a non-productive reservoir (i.e., absence of</w:t>
            </w:r>
          </w:p>
        </w:tc>
      </w:tr>
      <w:tr>
        <w:trPr>
          <w:trHeight w:val="170"/>
        </w:trPr>
        <w:tc>
          <w:tcPr>
            <w:tcW w:w="2380" w:type="dxa"/>
            <w:vAlign w:val="bottom"/>
            <w:shd w:val="clear" w:color="auto" w:fill="CCEEFF"/>
          </w:tcPr>
          <w:p>
            <w:pPr>
              <w:spacing w:after="0"/>
              <w:rPr>
                <w:sz w:val="14"/>
                <w:szCs w:val="14"/>
                <w:color w:val="auto"/>
              </w:rPr>
            </w:pPr>
          </w:p>
        </w:tc>
        <w:tc>
          <w:tcPr>
            <w:tcW w:w="8840" w:type="dxa"/>
            <w:vAlign w:val="bottom"/>
            <w:shd w:val="clear" w:color="auto" w:fill="CCEEFF"/>
          </w:tcPr>
          <w:p>
            <w:pPr>
              <w:ind w:left="340"/>
              <w:spacing w:after="0" w:line="170" w:lineRule="exact"/>
              <w:rPr>
                <w:sz w:val="20"/>
                <w:szCs w:val="20"/>
                <w:color w:val="auto"/>
              </w:rPr>
            </w:pPr>
            <w:r>
              <w:rPr>
                <w:rFonts w:ascii="Arial" w:cs="Arial" w:eastAsia="Arial" w:hAnsi="Arial"/>
                <w:sz w:val="17"/>
                <w:szCs w:val="17"/>
                <w:color w:val="auto"/>
                <w:w w:val="91"/>
              </w:rPr>
              <w:t>reservoir, structurally low reservoir or negative test results). Such areas may contain prospective resources (i.e., potentially</w:t>
            </w:r>
          </w:p>
        </w:tc>
      </w:tr>
      <w:tr>
        <w:trPr>
          <w:trHeight w:val="232"/>
        </w:trPr>
        <w:tc>
          <w:tcPr>
            <w:tcW w:w="2380" w:type="dxa"/>
            <w:vAlign w:val="bottom"/>
            <w:shd w:val="clear" w:color="auto" w:fill="CCEEFF"/>
          </w:tcPr>
          <w:p>
            <w:pPr>
              <w:spacing w:after="0"/>
              <w:rPr>
                <w:sz w:val="20"/>
                <w:szCs w:val="20"/>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recoverable resources from undiscovered accumulations).</w:t>
            </w:r>
          </w:p>
        </w:tc>
      </w:tr>
      <w:tr>
        <w:trPr>
          <w:trHeight w:val="161"/>
        </w:trPr>
        <w:tc>
          <w:tcPr>
            <w:tcW w:w="2380" w:type="dxa"/>
            <w:vAlign w:val="bottom"/>
          </w:tcPr>
          <w:p>
            <w:pPr>
              <w:ind w:left="20"/>
              <w:spacing w:after="0" w:line="161" w:lineRule="exact"/>
              <w:rPr>
                <w:sz w:val="20"/>
                <w:szCs w:val="20"/>
                <w:color w:val="auto"/>
              </w:rPr>
            </w:pPr>
            <w:r>
              <w:rPr>
                <w:rFonts w:ascii="Arial" w:cs="Arial" w:eastAsia="Arial" w:hAnsi="Arial"/>
                <w:sz w:val="17"/>
                <w:szCs w:val="17"/>
                <w:color w:val="auto"/>
              </w:rPr>
              <w:t>Reservoir</w:t>
            </w: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0"/>
              </w:rPr>
              <w:t>A porous and permeable underground formation containing a natural accumulation of producible natural gas and/or crude oil</w:t>
            </w:r>
          </w:p>
        </w:tc>
      </w:tr>
      <w:tr>
        <w:trPr>
          <w:trHeight w:val="221"/>
        </w:trPr>
        <w:tc>
          <w:tcPr>
            <w:tcW w:w="2380" w:type="dxa"/>
            <w:vAlign w:val="bottom"/>
          </w:tcPr>
          <w:p>
            <w:pPr>
              <w:spacing w:after="0"/>
              <w:rPr>
                <w:sz w:val="19"/>
                <w:szCs w:val="19"/>
                <w:color w:val="auto"/>
              </w:rPr>
            </w:pPr>
          </w:p>
        </w:tc>
        <w:tc>
          <w:tcPr>
            <w:tcW w:w="8840" w:type="dxa"/>
            <w:vAlign w:val="bottom"/>
          </w:tcPr>
          <w:p>
            <w:pPr>
              <w:ind w:left="340"/>
              <w:spacing w:after="0"/>
              <w:rPr>
                <w:sz w:val="20"/>
                <w:szCs w:val="20"/>
                <w:color w:val="auto"/>
              </w:rPr>
            </w:pPr>
            <w:r>
              <w:rPr>
                <w:rFonts w:ascii="Arial" w:cs="Arial" w:eastAsia="Arial" w:hAnsi="Arial"/>
                <w:sz w:val="17"/>
                <w:szCs w:val="17"/>
                <w:color w:val="auto"/>
              </w:rPr>
              <w:t>that is confined by impermeable rock or water barriers and is separate from other reservoirs.</w:t>
            </w:r>
          </w:p>
        </w:tc>
      </w:tr>
      <w:tr>
        <w:trPr>
          <w:trHeight w:val="167"/>
        </w:trPr>
        <w:tc>
          <w:tcPr>
            <w:tcW w:w="23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Resource play</w:t>
            </w:r>
          </w:p>
        </w:tc>
        <w:tc>
          <w:tcPr>
            <w:tcW w:w="8840" w:type="dxa"/>
            <w:vAlign w:val="bottom"/>
            <w:shd w:val="clear" w:color="auto" w:fill="CCEEFF"/>
          </w:tcPr>
          <w:p>
            <w:pPr>
              <w:ind w:left="340"/>
              <w:spacing w:after="0" w:line="167" w:lineRule="exact"/>
              <w:rPr>
                <w:sz w:val="20"/>
                <w:szCs w:val="20"/>
                <w:color w:val="auto"/>
              </w:rPr>
            </w:pPr>
            <w:r>
              <w:rPr>
                <w:rFonts w:ascii="Arial" w:cs="Arial" w:eastAsia="Arial" w:hAnsi="Arial"/>
                <w:sz w:val="17"/>
                <w:szCs w:val="17"/>
                <w:color w:val="auto"/>
                <w:w w:val="92"/>
              </w:rPr>
              <w:t>A set of discovered or prospective oil and/or natural gas accumulations sharing similar geologic, geographic and temporal</w:t>
            </w:r>
          </w:p>
        </w:tc>
      </w:tr>
      <w:tr>
        <w:trPr>
          <w:trHeight w:val="228"/>
        </w:trPr>
        <w:tc>
          <w:tcPr>
            <w:tcW w:w="2380" w:type="dxa"/>
            <w:vAlign w:val="bottom"/>
            <w:shd w:val="clear" w:color="auto" w:fill="CCEEFF"/>
          </w:tcPr>
          <w:p>
            <w:pPr>
              <w:spacing w:after="0"/>
              <w:rPr>
                <w:sz w:val="19"/>
                <w:szCs w:val="19"/>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properties, such as source rock, reservoir structure, timing, trapping mechanism and hydrocarbon type.</w:t>
            </w:r>
          </w:p>
        </w:tc>
      </w:tr>
      <w:tr>
        <w:trPr>
          <w:trHeight w:val="161"/>
        </w:trPr>
        <w:tc>
          <w:tcPr>
            <w:tcW w:w="2380" w:type="dxa"/>
            <w:vAlign w:val="bottom"/>
          </w:tcPr>
          <w:p>
            <w:pPr>
              <w:ind w:left="20"/>
              <w:spacing w:after="0" w:line="161" w:lineRule="exact"/>
              <w:rPr>
                <w:sz w:val="20"/>
                <w:szCs w:val="20"/>
                <w:color w:val="auto"/>
              </w:rPr>
            </w:pPr>
            <w:r>
              <w:rPr>
                <w:rFonts w:ascii="Arial" w:cs="Arial" w:eastAsia="Arial" w:hAnsi="Arial"/>
                <w:sz w:val="17"/>
                <w:szCs w:val="17"/>
                <w:color w:val="auto"/>
              </w:rPr>
              <w:t>Royalty interest</w:t>
            </w: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2"/>
              </w:rPr>
              <w:t>An interest that gives an owner the right to receive a portion of the resources or revenues without having to carry any costs</w:t>
            </w:r>
          </w:p>
        </w:tc>
      </w:tr>
      <w:tr>
        <w:trPr>
          <w:trHeight w:val="221"/>
        </w:trPr>
        <w:tc>
          <w:tcPr>
            <w:tcW w:w="2380" w:type="dxa"/>
            <w:vAlign w:val="bottom"/>
          </w:tcPr>
          <w:p>
            <w:pPr>
              <w:spacing w:after="0"/>
              <w:rPr>
                <w:sz w:val="19"/>
                <w:szCs w:val="19"/>
                <w:color w:val="auto"/>
              </w:rPr>
            </w:pPr>
          </w:p>
        </w:tc>
        <w:tc>
          <w:tcPr>
            <w:tcW w:w="8840" w:type="dxa"/>
            <w:vAlign w:val="bottom"/>
          </w:tcPr>
          <w:p>
            <w:pPr>
              <w:ind w:left="340"/>
              <w:spacing w:after="0"/>
              <w:rPr>
                <w:sz w:val="20"/>
                <w:szCs w:val="20"/>
                <w:color w:val="auto"/>
              </w:rPr>
            </w:pPr>
            <w:r>
              <w:rPr>
                <w:rFonts w:ascii="Arial" w:cs="Arial" w:eastAsia="Arial" w:hAnsi="Arial"/>
                <w:sz w:val="17"/>
                <w:szCs w:val="17"/>
                <w:color w:val="auto"/>
              </w:rPr>
              <w:t>of development, which may be subject to expiration.</w:t>
            </w:r>
          </w:p>
        </w:tc>
      </w:tr>
      <w:tr>
        <w:trPr>
          <w:trHeight w:val="167"/>
        </w:trPr>
        <w:tc>
          <w:tcPr>
            <w:tcW w:w="23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Spacing</w:t>
            </w:r>
          </w:p>
        </w:tc>
        <w:tc>
          <w:tcPr>
            <w:tcW w:w="8840" w:type="dxa"/>
            <w:vAlign w:val="bottom"/>
            <w:shd w:val="clear" w:color="auto" w:fill="CCEEFF"/>
          </w:tcPr>
          <w:p>
            <w:pPr>
              <w:ind w:left="340"/>
              <w:spacing w:after="0" w:line="167" w:lineRule="exact"/>
              <w:rPr>
                <w:sz w:val="20"/>
                <w:szCs w:val="20"/>
                <w:color w:val="auto"/>
              </w:rPr>
            </w:pPr>
            <w:r>
              <w:rPr>
                <w:rFonts w:ascii="Arial" w:cs="Arial" w:eastAsia="Arial" w:hAnsi="Arial"/>
                <w:sz w:val="17"/>
                <w:szCs w:val="17"/>
                <w:color w:val="auto"/>
                <w:w w:val="91"/>
              </w:rPr>
              <w:t>The distance between wells producing from the same reservoir. Spacing is often expressed in terms of acres (e.g., 40-acre</w:t>
            </w:r>
          </w:p>
        </w:tc>
      </w:tr>
      <w:tr>
        <w:trPr>
          <w:trHeight w:val="228"/>
        </w:trPr>
        <w:tc>
          <w:tcPr>
            <w:tcW w:w="2380" w:type="dxa"/>
            <w:vAlign w:val="bottom"/>
            <w:shd w:val="clear" w:color="auto" w:fill="CCEEFF"/>
          </w:tcPr>
          <w:p>
            <w:pPr>
              <w:spacing w:after="0"/>
              <w:rPr>
                <w:sz w:val="19"/>
                <w:szCs w:val="19"/>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spacing) and is often established by regulatory agencies.</w:t>
            </w:r>
          </w:p>
        </w:tc>
      </w:tr>
      <w:tr>
        <w:trPr>
          <w:trHeight w:val="221"/>
        </w:trPr>
        <w:tc>
          <w:tcPr>
            <w:tcW w:w="2380" w:type="dxa"/>
            <w:vAlign w:val="bottom"/>
          </w:tcPr>
          <w:p>
            <w:pPr>
              <w:ind w:left="20"/>
              <w:spacing w:after="0"/>
              <w:rPr>
                <w:sz w:val="20"/>
                <w:szCs w:val="20"/>
                <w:color w:val="auto"/>
              </w:rPr>
            </w:pPr>
            <w:r>
              <w:rPr>
                <w:rFonts w:ascii="Arial" w:cs="Arial" w:eastAsia="Arial" w:hAnsi="Arial"/>
                <w:sz w:val="17"/>
                <w:szCs w:val="17"/>
                <w:color w:val="auto"/>
              </w:rPr>
              <w:t>Spud</w:t>
            </w:r>
          </w:p>
        </w:tc>
        <w:tc>
          <w:tcPr>
            <w:tcW w:w="8840" w:type="dxa"/>
            <w:vAlign w:val="bottom"/>
          </w:tcPr>
          <w:p>
            <w:pPr>
              <w:ind w:left="340"/>
              <w:spacing w:after="0"/>
              <w:rPr>
                <w:sz w:val="20"/>
                <w:szCs w:val="20"/>
                <w:color w:val="auto"/>
              </w:rPr>
            </w:pPr>
            <w:r>
              <w:rPr>
                <w:rFonts w:ascii="Arial" w:cs="Arial" w:eastAsia="Arial" w:hAnsi="Arial"/>
                <w:sz w:val="17"/>
                <w:szCs w:val="17"/>
                <w:color w:val="auto"/>
              </w:rPr>
              <w:t>Commencement of actual drilling operations.</w:t>
            </w:r>
          </w:p>
        </w:tc>
      </w:tr>
      <w:tr>
        <w:trPr>
          <w:trHeight w:val="167"/>
        </w:trPr>
        <w:tc>
          <w:tcPr>
            <w:tcW w:w="23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Standardized measure</w:t>
            </w:r>
          </w:p>
        </w:tc>
        <w:tc>
          <w:tcPr>
            <w:tcW w:w="8840" w:type="dxa"/>
            <w:vAlign w:val="bottom"/>
            <w:shd w:val="clear" w:color="auto" w:fill="CCEEFF"/>
          </w:tcPr>
          <w:p>
            <w:pPr>
              <w:ind w:left="340"/>
              <w:spacing w:after="0" w:line="167" w:lineRule="exact"/>
              <w:rPr>
                <w:sz w:val="20"/>
                <w:szCs w:val="20"/>
                <w:color w:val="auto"/>
              </w:rPr>
            </w:pPr>
            <w:r>
              <w:rPr>
                <w:rFonts w:ascii="Arial" w:cs="Arial" w:eastAsia="Arial" w:hAnsi="Arial"/>
                <w:sz w:val="17"/>
                <w:szCs w:val="17"/>
                <w:color w:val="auto"/>
                <w:w w:val="93"/>
              </w:rPr>
              <w:t>The present value of estimated future net revenue to be generated from the production of proved reserves, determined in</w:t>
            </w:r>
          </w:p>
        </w:tc>
      </w:tr>
      <w:tr>
        <w:trPr>
          <w:trHeight w:val="170"/>
        </w:trPr>
        <w:tc>
          <w:tcPr>
            <w:tcW w:w="2380" w:type="dxa"/>
            <w:vAlign w:val="bottom"/>
            <w:shd w:val="clear" w:color="auto" w:fill="CCEEFF"/>
          </w:tcPr>
          <w:p>
            <w:pPr>
              <w:spacing w:after="0"/>
              <w:rPr>
                <w:sz w:val="14"/>
                <w:szCs w:val="14"/>
                <w:color w:val="auto"/>
              </w:rPr>
            </w:pPr>
          </w:p>
        </w:tc>
        <w:tc>
          <w:tcPr>
            <w:tcW w:w="8840" w:type="dxa"/>
            <w:vAlign w:val="bottom"/>
            <w:shd w:val="clear" w:color="auto" w:fill="CCEEFF"/>
          </w:tcPr>
          <w:p>
            <w:pPr>
              <w:ind w:left="340"/>
              <w:spacing w:after="0" w:line="170" w:lineRule="exact"/>
              <w:rPr>
                <w:sz w:val="20"/>
                <w:szCs w:val="20"/>
                <w:color w:val="auto"/>
              </w:rPr>
            </w:pPr>
            <w:r>
              <w:rPr>
                <w:rFonts w:ascii="Arial" w:cs="Arial" w:eastAsia="Arial" w:hAnsi="Arial"/>
                <w:sz w:val="17"/>
                <w:szCs w:val="17"/>
                <w:color w:val="auto"/>
                <w:w w:val="94"/>
              </w:rPr>
              <w:t>accordance with the rules and regulations of the SEC (using prices and costs in effect as of the date of estimation), less</w:t>
            </w:r>
          </w:p>
        </w:tc>
      </w:tr>
      <w:tr>
        <w:trPr>
          <w:trHeight w:val="174"/>
        </w:trPr>
        <w:tc>
          <w:tcPr>
            <w:tcW w:w="2380" w:type="dxa"/>
            <w:vAlign w:val="bottom"/>
            <w:shd w:val="clear" w:color="auto" w:fill="CCEEFF"/>
          </w:tcPr>
          <w:p>
            <w:pPr>
              <w:spacing w:after="0"/>
              <w:rPr>
                <w:sz w:val="15"/>
                <w:szCs w:val="15"/>
                <w:color w:val="auto"/>
              </w:rPr>
            </w:pPr>
          </w:p>
        </w:tc>
        <w:tc>
          <w:tcPr>
            <w:tcW w:w="8840" w:type="dxa"/>
            <w:vAlign w:val="bottom"/>
            <w:shd w:val="clear" w:color="auto" w:fill="CCEEFF"/>
          </w:tcPr>
          <w:p>
            <w:pPr>
              <w:ind w:left="340"/>
              <w:spacing w:after="0" w:line="174" w:lineRule="exact"/>
              <w:rPr>
                <w:sz w:val="20"/>
                <w:szCs w:val="20"/>
                <w:color w:val="auto"/>
              </w:rPr>
            </w:pPr>
            <w:r>
              <w:rPr>
                <w:rFonts w:ascii="Arial" w:cs="Arial" w:eastAsia="Arial" w:hAnsi="Arial"/>
                <w:sz w:val="17"/>
                <w:szCs w:val="17"/>
                <w:color w:val="auto"/>
                <w:w w:val="92"/>
              </w:rPr>
              <w:t>future development, production and income tax expenses, and discounted at 10% per annum to reflect the timing of future</w:t>
            </w:r>
          </w:p>
        </w:tc>
      </w:tr>
      <w:tr>
        <w:trPr>
          <w:trHeight w:val="232"/>
        </w:trPr>
        <w:tc>
          <w:tcPr>
            <w:tcW w:w="2380" w:type="dxa"/>
            <w:vAlign w:val="bottom"/>
            <w:shd w:val="clear" w:color="auto" w:fill="CCEEFF"/>
          </w:tcPr>
          <w:p>
            <w:pPr>
              <w:spacing w:after="0"/>
              <w:rPr>
                <w:sz w:val="20"/>
                <w:szCs w:val="20"/>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revenue.</w:t>
            </w:r>
          </w:p>
        </w:tc>
      </w:tr>
      <w:tr>
        <w:trPr>
          <w:trHeight w:val="221"/>
        </w:trPr>
        <w:tc>
          <w:tcPr>
            <w:tcW w:w="2380" w:type="dxa"/>
            <w:vAlign w:val="bottom"/>
          </w:tcPr>
          <w:p>
            <w:pPr>
              <w:ind w:left="20"/>
              <w:spacing w:after="0"/>
              <w:rPr>
                <w:sz w:val="20"/>
                <w:szCs w:val="20"/>
                <w:color w:val="auto"/>
              </w:rPr>
            </w:pPr>
            <w:r>
              <w:rPr>
                <w:rFonts w:ascii="Arial" w:cs="Arial" w:eastAsia="Arial" w:hAnsi="Arial"/>
                <w:sz w:val="17"/>
                <w:szCs w:val="17"/>
                <w:color w:val="auto"/>
              </w:rPr>
              <w:t>Tight formation</w:t>
            </w:r>
          </w:p>
        </w:tc>
        <w:tc>
          <w:tcPr>
            <w:tcW w:w="8840" w:type="dxa"/>
            <w:vAlign w:val="bottom"/>
          </w:tcPr>
          <w:p>
            <w:pPr>
              <w:ind w:left="340"/>
              <w:spacing w:after="0"/>
              <w:rPr>
                <w:sz w:val="20"/>
                <w:szCs w:val="20"/>
                <w:color w:val="auto"/>
              </w:rPr>
            </w:pPr>
            <w:r>
              <w:rPr>
                <w:rFonts w:ascii="Arial" w:cs="Arial" w:eastAsia="Arial" w:hAnsi="Arial"/>
                <w:sz w:val="17"/>
                <w:szCs w:val="17"/>
                <w:color w:val="auto"/>
              </w:rPr>
              <w:t>A formation with low permeability that produces natural gas with very low flow rates for long periods of time.</w:t>
            </w:r>
          </w:p>
        </w:tc>
      </w:tr>
      <w:tr>
        <w:trPr>
          <w:trHeight w:val="167"/>
        </w:trPr>
        <w:tc>
          <w:tcPr>
            <w:tcW w:w="23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Undeveloped acreage</w:t>
            </w:r>
          </w:p>
        </w:tc>
        <w:tc>
          <w:tcPr>
            <w:tcW w:w="8840" w:type="dxa"/>
            <w:vAlign w:val="bottom"/>
            <w:shd w:val="clear" w:color="auto" w:fill="CCEEFF"/>
          </w:tcPr>
          <w:p>
            <w:pPr>
              <w:ind w:left="340"/>
              <w:spacing w:after="0" w:line="167" w:lineRule="exact"/>
              <w:rPr>
                <w:sz w:val="20"/>
                <w:szCs w:val="20"/>
                <w:color w:val="auto"/>
              </w:rPr>
            </w:pPr>
            <w:r>
              <w:rPr>
                <w:rFonts w:ascii="Arial" w:cs="Arial" w:eastAsia="Arial" w:hAnsi="Arial"/>
                <w:sz w:val="17"/>
                <w:szCs w:val="17"/>
                <w:color w:val="auto"/>
                <w:w w:val="93"/>
              </w:rPr>
              <w:t>Lease acreage on which wells have not been drilled or completed to a point that would permit the production of economic</w:t>
            </w:r>
          </w:p>
        </w:tc>
      </w:tr>
      <w:tr>
        <w:trPr>
          <w:trHeight w:val="228"/>
        </w:trPr>
        <w:tc>
          <w:tcPr>
            <w:tcW w:w="2380" w:type="dxa"/>
            <w:vAlign w:val="bottom"/>
            <w:shd w:val="clear" w:color="auto" w:fill="CCEEFF"/>
          </w:tcPr>
          <w:p>
            <w:pPr>
              <w:spacing w:after="0"/>
              <w:rPr>
                <w:sz w:val="19"/>
                <w:szCs w:val="19"/>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quantities of oil and natural gas regardless of whether such acreage contains proved reserves.</w:t>
            </w:r>
          </w:p>
        </w:tc>
      </w:tr>
      <w:tr>
        <w:trPr>
          <w:trHeight w:val="221"/>
        </w:trPr>
        <w:tc>
          <w:tcPr>
            <w:tcW w:w="2380" w:type="dxa"/>
            <w:vAlign w:val="bottom"/>
          </w:tcPr>
          <w:p>
            <w:pPr>
              <w:ind w:left="20"/>
              <w:spacing w:after="0"/>
              <w:rPr>
                <w:sz w:val="20"/>
                <w:szCs w:val="20"/>
                <w:color w:val="auto"/>
              </w:rPr>
            </w:pPr>
            <w:r>
              <w:rPr>
                <w:rFonts w:ascii="Arial" w:cs="Arial" w:eastAsia="Arial" w:hAnsi="Arial"/>
                <w:sz w:val="17"/>
                <w:szCs w:val="17"/>
                <w:color w:val="auto"/>
              </w:rPr>
              <w:t>Waha Hub</w:t>
            </w:r>
          </w:p>
        </w:tc>
        <w:tc>
          <w:tcPr>
            <w:tcW w:w="8840" w:type="dxa"/>
            <w:vAlign w:val="bottom"/>
          </w:tcPr>
          <w:p>
            <w:pPr>
              <w:ind w:left="340"/>
              <w:spacing w:after="0"/>
              <w:rPr>
                <w:sz w:val="20"/>
                <w:szCs w:val="20"/>
                <w:color w:val="auto"/>
              </w:rPr>
            </w:pPr>
            <w:r>
              <w:rPr>
                <w:rFonts w:ascii="Arial" w:cs="Arial" w:eastAsia="Arial" w:hAnsi="Arial"/>
                <w:sz w:val="17"/>
                <w:szCs w:val="17"/>
                <w:color w:val="auto"/>
              </w:rPr>
              <w:t>West Texas natural gas index.</w:t>
            </w:r>
          </w:p>
        </w:tc>
      </w:tr>
      <w:tr>
        <w:trPr>
          <w:trHeight w:val="234"/>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Wellbore</w:t>
            </w: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The hole drilled by the bit that is equipped for oil or natural gas production on a completed well.</w:t>
            </w:r>
          </w:p>
        </w:tc>
      </w:tr>
      <w:tr>
        <w:trPr>
          <w:trHeight w:val="161"/>
        </w:trPr>
        <w:tc>
          <w:tcPr>
            <w:tcW w:w="2380" w:type="dxa"/>
            <w:vAlign w:val="bottom"/>
          </w:tcPr>
          <w:p>
            <w:pPr>
              <w:ind w:left="20"/>
              <w:spacing w:after="0" w:line="161" w:lineRule="exact"/>
              <w:rPr>
                <w:sz w:val="20"/>
                <w:szCs w:val="20"/>
                <w:color w:val="auto"/>
              </w:rPr>
            </w:pPr>
            <w:r>
              <w:rPr>
                <w:rFonts w:ascii="Arial" w:cs="Arial" w:eastAsia="Arial" w:hAnsi="Arial"/>
                <w:sz w:val="17"/>
                <w:szCs w:val="17"/>
                <w:color w:val="auto"/>
              </w:rPr>
              <w:t>Working interest</w:t>
            </w:r>
          </w:p>
        </w:tc>
        <w:tc>
          <w:tcPr>
            <w:tcW w:w="8840" w:type="dxa"/>
            <w:vAlign w:val="bottom"/>
          </w:tcPr>
          <w:p>
            <w:pPr>
              <w:ind w:left="340"/>
              <w:spacing w:after="0" w:line="161" w:lineRule="exact"/>
              <w:rPr>
                <w:sz w:val="20"/>
                <w:szCs w:val="20"/>
                <w:color w:val="auto"/>
              </w:rPr>
            </w:pPr>
            <w:r>
              <w:rPr>
                <w:rFonts w:ascii="Arial" w:cs="Arial" w:eastAsia="Arial" w:hAnsi="Arial"/>
                <w:sz w:val="17"/>
                <w:szCs w:val="17"/>
                <w:color w:val="auto"/>
                <w:w w:val="94"/>
              </w:rPr>
              <w:t>An operating interest that gives the owner the right to drill, produce and conduct operating activities on the property and</w:t>
            </w:r>
          </w:p>
        </w:tc>
      </w:tr>
      <w:tr>
        <w:trPr>
          <w:trHeight w:val="221"/>
        </w:trPr>
        <w:tc>
          <w:tcPr>
            <w:tcW w:w="2380" w:type="dxa"/>
            <w:vAlign w:val="bottom"/>
          </w:tcPr>
          <w:p>
            <w:pPr>
              <w:spacing w:after="0"/>
              <w:rPr>
                <w:sz w:val="19"/>
                <w:szCs w:val="19"/>
                <w:color w:val="auto"/>
              </w:rPr>
            </w:pPr>
          </w:p>
        </w:tc>
        <w:tc>
          <w:tcPr>
            <w:tcW w:w="8840" w:type="dxa"/>
            <w:vAlign w:val="bottom"/>
          </w:tcPr>
          <w:p>
            <w:pPr>
              <w:ind w:left="340"/>
              <w:spacing w:after="0"/>
              <w:rPr>
                <w:sz w:val="20"/>
                <w:szCs w:val="20"/>
                <w:color w:val="auto"/>
              </w:rPr>
            </w:pPr>
            <w:r>
              <w:rPr>
                <w:rFonts w:ascii="Arial" w:cs="Arial" w:eastAsia="Arial" w:hAnsi="Arial"/>
                <w:sz w:val="17"/>
                <w:szCs w:val="17"/>
                <w:color w:val="auto"/>
                <w:w w:val="96"/>
              </w:rPr>
              <w:t>receive a share of production and requires the owner to pay a share of the costs of drilling and production operations.</w:t>
            </w:r>
          </w:p>
        </w:tc>
      </w:tr>
      <w:tr>
        <w:trPr>
          <w:trHeight w:val="234"/>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WTI</w:t>
            </w:r>
          </w:p>
        </w:tc>
        <w:tc>
          <w:tcPr>
            <w:tcW w:w="8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West Texas Intermediate.</w:t>
            </w:r>
          </w:p>
        </w:tc>
      </w:tr>
      <w:tr>
        <w:trPr>
          <w:trHeight w:val="221"/>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WTI Cushing</w:t>
            </w:r>
          </w:p>
        </w:tc>
        <w:tc>
          <w:tcPr>
            <w:tcW w:w="88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Sweet light crude oil in Cushing, Oklahoma.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right="3860" w:firstLine="3232"/>
        <w:spacing w:after="0" w:line="422" w:lineRule="auto"/>
        <w:rPr>
          <w:sz w:val="20"/>
          <w:szCs w:val="20"/>
          <w:color w:val="auto"/>
        </w:rPr>
      </w:pPr>
      <w:r>
        <w:rPr>
          <w:rFonts w:ascii="Arial" w:cs="Arial" w:eastAsia="Arial" w:hAnsi="Arial"/>
          <w:sz w:val="18"/>
          <w:szCs w:val="18"/>
          <w:b w:val="1"/>
          <w:bCs w:val="1"/>
          <w:color w:val="auto"/>
        </w:rPr>
        <w:t xml:space="preserve">GLOSSARY OF CERTAIN OTHER TERMS </w:t>
      </w:r>
      <w:r>
        <w:rPr>
          <w:rFonts w:ascii="Arial" w:cs="Arial" w:eastAsia="Arial" w:hAnsi="Arial"/>
          <w:sz w:val="18"/>
          <w:szCs w:val="18"/>
          <w:color w:val="auto"/>
        </w:rPr>
        <w:t>The following is a glossary of certain other terms used in this report:</w:t>
      </w:r>
    </w:p>
    <w:tbl>
      <w:tblPr>
        <w:tblLayout w:type="fixed"/>
        <w:tblInd w:w="0" w:type="dxa"/>
        <w:tblCellMar>
          <w:top w:w="0" w:type="dxa"/>
          <w:left w:w="0" w:type="dxa"/>
          <w:bottom w:w="0" w:type="dxa"/>
          <w:right w:w="0" w:type="dxa"/>
        </w:tblCellMar>
      </w:tblPr>
      <w:tr>
        <w:trPr>
          <w:trHeight w:val="193"/>
        </w:trPr>
        <w:tc>
          <w:tcPr>
            <w:tcW w:w="2220" w:type="dxa"/>
            <w:vAlign w:val="bottom"/>
            <w:tcBorders>
              <w:top w:val="single" w:sz="8" w:color="auto"/>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Adjusted EBITDA</w:t>
            </w:r>
          </w:p>
        </w:tc>
        <w:tc>
          <w:tcPr>
            <w:tcW w:w="9000" w:type="dxa"/>
            <w:vAlign w:val="bottom"/>
            <w:tcBorders>
              <w:top w:val="single" w:sz="8" w:color="auto"/>
            </w:tcBorders>
            <w:shd w:val="clear" w:color="auto" w:fill="CCEEFF"/>
          </w:tcPr>
          <w:p>
            <w:pPr>
              <w:ind w:left="500"/>
              <w:spacing w:after="0" w:line="194" w:lineRule="exact"/>
              <w:rPr>
                <w:sz w:val="20"/>
                <w:szCs w:val="20"/>
                <w:color w:val="auto"/>
              </w:rPr>
            </w:pPr>
            <w:r>
              <w:rPr>
                <w:rFonts w:ascii="Arial" w:cs="Arial" w:eastAsia="Arial" w:hAnsi="Arial"/>
                <w:sz w:val="18"/>
                <w:szCs w:val="18"/>
                <w:color w:val="auto"/>
                <w:w w:val="91"/>
              </w:rPr>
              <w:t>Consolidated Adjusted EBITDA, a non-GAAP measure, generally equals its net income (loss) plus net income (loss)</w:t>
            </w:r>
          </w:p>
        </w:tc>
      </w:tr>
      <w:tr>
        <w:trPr>
          <w:trHeight w:val="201"/>
        </w:trPr>
        <w:tc>
          <w:tcPr>
            <w:tcW w:w="2220" w:type="dxa"/>
            <w:vAlign w:val="bottom"/>
            <w:shd w:val="clear" w:color="auto" w:fill="CCEEFF"/>
          </w:tcPr>
          <w:p>
            <w:pPr>
              <w:spacing w:after="0"/>
              <w:rPr>
                <w:sz w:val="17"/>
                <w:szCs w:val="17"/>
                <w:color w:val="auto"/>
              </w:rPr>
            </w:pPr>
          </w:p>
        </w:tc>
        <w:tc>
          <w:tcPr>
            <w:tcW w:w="900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w w:val="95"/>
              </w:rPr>
              <w:t>attributable to non-controlling interest before interest expense, net, non-cash unit-based compensation expense,</w:t>
            </w:r>
          </w:p>
        </w:tc>
      </w:tr>
      <w:tr>
        <w:trPr>
          <w:trHeight w:val="187"/>
        </w:trPr>
        <w:tc>
          <w:tcPr>
            <w:tcW w:w="2220" w:type="dxa"/>
            <w:vAlign w:val="bottom"/>
            <w:shd w:val="clear" w:color="auto" w:fill="CCEEFF"/>
          </w:tcPr>
          <w:p>
            <w:pPr>
              <w:spacing w:after="0"/>
              <w:rPr>
                <w:sz w:val="16"/>
                <w:szCs w:val="16"/>
                <w:color w:val="auto"/>
              </w:rPr>
            </w:pPr>
          </w:p>
        </w:tc>
        <w:tc>
          <w:tcPr>
            <w:tcW w:w="9000" w:type="dxa"/>
            <w:vAlign w:val="bottom"/>
            <w:shd w:val="clear" w:color="auto" w:fill="CCEEFF"/>
          </w:tcPr>
          <w:p>
            <w:pPr>
              <w:ind w:left="500"/>
              <w:spacing w:after="0" w:line="188" w:lineRule="exact"/>
              <w:rPr>
                <w:sz w:val="20"/>
                <w:szCs w:val="20"/>
                <w:color w:val="auto"/>
              </w:rPr>
            </w:pPr>
            <w:r>
              <w:rPr>
                <w:rFonts w:ascii="Arial" w:cs="Arial" w:eastAsia="Arial" w:hAnsi="Arial"/>
                <w:sz w:val="18"/>
                <w:szCs w:val="18"/>
                <w:color w:val="auto"/>
                <w:w w:val="95"/>
              </w:rPr>
              <w:t>depletion expense, non-cash (gain) loss on derivative instruments and provision for (benefit from) income taxes,</w:t>
            </w:r>
          </w:p>
        </w:tc>
      </w:tr>
      <w:tr>
        <w:trPr>
          <w:trHeight w:val="201"/>
        </w:trPr>
        <w:tc>
          <w:tcPr>
            <w:tcW w:w="2220" w:type="dxa"/>
            <w:vAlign w:val="bottom"/>
            <w:shd w:val="clear" w:color="auto" w:fill="CCEEFF"/>
          </w:tcPr>
          <w:p>
            <w:pPr>
              <w:spacing w:after="0"/>
              <w:rPr>
                <w:sz w:val="17"/>
                <w:szCs w:val="17"/>
                <w:color w:val="auto"/>
              </w:rPr>
            </w:pPr>
          </w:p>
        </w:tc>
        <w:tc>
          <w:tcPr>
            <w:tcW w:w="900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w w:val="96"/>
              </w:rPr>
              <w:t>which measure is used by management to more effectively evaluate the operating performance and determine</w:t>
            </w:r>
          </w:p>
        </w:tc>
      </w:tr>
      <w:tr>
        <w:trPr>
          <w:trHeight w:val="249"/>
        </w:trPr>
        <w:tc>
          <w:tcPr>
            <w:tcW w:w="222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distributable amounts for purposes of the distribution policy.</w:t>
            </w:r>
          </w:p>
        </w:tc>
      </w:tr>
      <w:tr>
        <w:trPr>
          <w:trHeight w:val="221"/>
        </w:trPr>
        <w:tc>
          <w:tcPr>
            <w:tcW w:w="2220" w:type="dxa"/>
            <w:vAlign w:val="bottom"/>
          </w:tcPr>
          <w:p>
            <w:pPr>
              <w:ind w:left="20"/>
              <w:spacing w:after="0"/>
              <w:rPr>
                <w:sz w:val="20"/>
                <w:szCs w:val="20"/>
                <w:color w:val="auto"/>
              </w:rPr>
            </w:pPr>
            <w:r>
              <w:rPr>
                <w:rFonts w:ascii="Arial" w:cs="Arial" w:eastAsia="Arial" w:hAnsi="Arial"/>
                <w:sz w:val="17"/>
                <w:szCs w:val="17"/>
                <w:color w:val="auto"/>
              </w:rPr>
              <w:t>ASU</w:t>
            </w:r>
          </w:p>
        </w:tc>
        <w:tc>
          <w:tcPr>
            <w:tcW w:w="9000" w:type="dxa"/>
            <w:vAlign w:val="bottom"/>
          </w:tcPr>
          <w:p>
            <w:pPr>
              <w:ind w:left="500"/>
              <w:spacing w:after="0"/>
              <w:rPr>
                <w:sz w:val="20"/>
                <w:szCs w:val="20"/>
                <w:color w:val="auto"/>
              </w:rPr>
            </w:pPr>
            <w:r>
              <w:rPr>
                <w:rFonts w:ascii="Arial" w:cs="Arial" w:eastAsia="Arial" w:hAnsi="Arial"/>
                <w:sz w:val="17"/>
                <w:szCs w:val="17"/>
                <w:color w:val="auto"/>
              </w:rPr>
              <w:t>Accounting Standards Update.</w:t>
            </w:r>
          </w:p>
        </w:tc>
      </w:tr>
      <w:tr>
        <w:trPr>
          <w:trHeight w:val="23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Delaware Act</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Delaware Revised Uniform Limited Partnership Act.</w:t>
            </w:r>
          </w:p>
        </w:tc>
      </w:tr>
      <w:tr>
        <w:trPr>
          <w:trHeight w:val="221"/>
        </w:trPr>
        <w:tc>
          <w:tcPr>
            <w:tcW w:w="2220" w:type="dxa"/>
            <w:vAlign w:val="bottom"/>
          </w:tcPr>
          <w:p>
            <w:pPr>
              <w:ind w:left="20"/>
              <w:spacing w:after="0"/>
              <w:rPr>
                <w:sz w:val="20"/>
                <w:szCs w:val="20"/>
                <w:color w:val="auto"/>
              </w:rPr>
            </w:pPr>
            <w:r>
              <w:rPr>
                <w:rFonts w:ascii="Arial" w:cs="Arial" w:eastAsia="Arial" w:hAnsi="Arial"/>
                <w:sz w:val="17"/>
                <w:szCs w:val="17"/>
                <w:color w:val="auto"/>
              </w:rPr>
              <w:t>Diamondback</w:t>
            </w:r>
          </w:p>
        </w:tc>
        <w:tc>
          <w:tcPr>
            <w:tcW w:w="9000" w:type="dxa"/>
            <w:vAlign w:val="bottom"/>
          </w:tcPr>
          <w:p>
            <w:pPr>
              <w:ind w:left="500"/>
              <w:spacing w:after="0"/>
              <w:rPr>
                <w:sz w:val="20"/>
                <w:szCs w:val="20"/>
                <w:color w:val="auto"/>
              </w:rPr>
            </w:pPr>
            <w:r>
              <w:rPr>
                <w:rFonts w:ascii="Arial" w:cs="Arial" w:eastAsia="Arial" w:hAnsi="Arial"/>
                <w:sz w:val="17"/>
                <w:szCs w:val="17"/>
                <w:color w:val="auto"/>
              </w:rPr>
              <w:t>Diamondback Energy, Inc., a Delaware corporation.</w:t>
            </w:r>
          </w:p>
        </w:tc>
      </w:tr>
      <w:tr>
        <w:trPr>
          <w:trHeight w:val="23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Diamondback E&amp;P LLC</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 subsidiary of Diamondback.</w:t>
            </w:r>
          </w:p>
        </w:tc>
      </w:tr>
      <w:tr>
        <w:trPr>
          <w:trHeight w:val="221"/>
        </w:trPr>
        <w:tc>
          <w:tcPr>
            <w:tcW w:w="2220" w:type="dxa"/>
            <w:vAlign w:val="bottom"/>
          </w:tcPr>
          <w:p>
            <w:pPr>
              <w:ind w:left="20"/>
              <w:spacing w:after="0"/>
              <w:rPr>
                <w:sz w:val="20"/>
                <w:szCs w:val="20"/>
                <w:color w:val="auto"/>
              </w:rPr>
            </w:pPr>
            <w:r>
              <w:rPr>
                <w:rFonts w:ascii="Arial" w:cs="Arial" w:eastAsia="Arial" w:hAnsi="Arial"/>
                <w:sz w:val="17"/>
                <w:szCs w:val="17"/>
                <w:color w:val="auto"/>
              </w:rPr>
              <w:t>EPA</w:t>
            </w:r>
          </w:p>
        </w:tc>
        <w:tc>
          <w:tcPr>
            <w:tcW w:w="9000" w:type="dxa"/>
            <w:vAlign w:val="bottom"/>
          </w:tcPr>
          <w:p>
            <w:pPr>
              <w:ind w:left="500"/>
              <w:spacing w:after="0"/>
              <w:rPr>
                <w:sz w:val="20"/>
                <w:szCs w:val="20"/>
                <w:color w:val="auto"/>
              </w:rPr>
            </w:pPr>
            <w:r>
              <w:rPr>
                <w:rFonts w:ascii="Arial" w:cs="Arial" w:eastAsia="Arial" w:hAnsi="Arial"/>
                <w:sz w:val="17"/>
                <w:szCs w:val="17"/>
                <w:color w:val="auto"/>
              </w:rPr>
              <w:t>U.S. Environmental Protection Agency.</w:t>
            </w:r>
          </w:p>
        </w:tc>
      </w:tr>
      <w:tr>
        <w:trPr>
          <w:trHeight w:val="23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Exchange Act</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The Securities Exchange Act of 1934, as amended.</w:t>
            </w:r>
          </w:p>
        </w:tc>
      </w:tr>
      <w:tr>
        <w:trPr>
          <w:trHeight w:val="221"/>
        </w:trPr>
        <w:tc>
          <w:tcPr>
            <w:tcW w:w="2220" w:type="dxa"/>
            <w:vAlign w:val="bottom"/>
          </w:tcPr>
          <w:p>
            <w:pPr>
              <w:ind w:left="20"/>
              <w:spacing w:after="0"/>
              <w:rPr>
                <w:sz w:val="20"/>
                <w:szCs w:val="20"/>
                <w:color w:val="auto"/>
              </w:rPr>
            </w:pPr>
            <w:r>
              <w:rPr>
                <w:rFonts w:ascii="Arial" w:cs="Arial" w:eastAsia="Arial" w:hAnsi="Arial"/>
                <w:sz w:val="17"/>
                <w:szCs w:val="17"/>
                <w:color w:val="auto"/>
              </w:rPr>
              <w:t>FERC</w:t>
            </w:r>
          </w:p>
        </w:tc>
        <w:tc>
          <w:tcPr>
            <w:tcW w:w="9000" w:type="dxa"/>
            <w:vAlign w:val="bottom"/>
          </w:tcPr>
          <w:p>
            <w:pPr>
              <w:ind w:left="500"/>
              <w:spacing w:after="0"/>
              <w:rPr>
                <w:sz w:val="20"/>
                <w:szCs w:val="20"/>
                <w:color w:val="auto"/>
              </w:rPr>
            </w:pPr>
            <w:r>
              <w:rPr>
                <w:rFonts w:ascii="Arial" w:cs="Arial" w:eastAsia="Arial" w:hAnsi="Arial"/>
                <w:sz w:val="17"/>
                <w:szCs w:val="17"/>
                <w:color w:val="auto"/>
              </w:rPr>
              <w:t>Federal Energy Regulatory Commission.</w:t>
            </w:r>
          </w:p>
        </w:tc>
      </w:tr>
      <w:tr>
        <w:trPr>
          <w:trHeight w:val="23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Accounting principles generally accepted in the United States.</w:t>
            </w:r>
          </w:p>
        </w:tc>
      </w:tr>
      <w:tr>
        <w:trPr>
          <w:trHeight w:val="161"/>
        </w:trPr>
        <w:tc>
          <w:tcPr>
            <w:tcW w:w="2220" w:type="dxa"/>
            <w:vAlign w:val="bottom"/>
          </w:tcPr>
          <w:p>
            <w:pPr>
              <w:ind w:left="20"/>
              <w:spacing w:after="0" w:line="161" w:lineRule="exact"/>
              <w:rPr>
                <w:sz w:val="20"/>
                <w:szCs w:val="20"/>
                <w:color w:val="auto"/>
              </w:rPr>
            </w:pPr>
            <w:r>
              <w:rPr>
                <w:rFonts w:ascii="Arial" w:cs="Arial" w:eastAsia="Arial" w:hAnsi="Arial"/>
                <w:sz w:val="17"/>
                <w:szCs w:val="17"/>
                <w:color w:val="auto"/>
              </w:rPr>
              <w:t>General Partner</w:t>
            </w:r>
          </w:p>
        </w:tc>
        <w:tc>
          <w:tcPr>
            <w:tcW w:w="9000" w:type="dxa"/>
            <w:vAlign w:val="bottom"/>
          </w:tcPr>
          <w:p>
            <w:pPr>
              <w:ind w:left="500"/>
              <w:spacing w:after="0" w:line="161" w:lineRule="exact"/>
              <w:rPr>
                <w:sz w:val="20"/>
                <w:szCs w:val="20"/>
                <w:color w:val="auto"/>
              </w:rPr>
            </w:pPr>
            <w:r>
              <w:rPr>
                <w:rFonts w:ascii="Arial" w:cs="Arial" w:eastAsia="Arial" w:hAnsi="Arial"/>
                <w:sz w:val="17"/>
                <w:szCs w:val="17"/>
                <w:color w:val="auto"/>
                <w:w w:val="93"/>
              </w:rPr>
              <w:t>Viper Energy Partners GP LLC, a Delaware limited liability company; the general partner of the Partnership and a wholly-</w:t>
            </w:r>
          </w:p>
        </w:tc>
      </w:tr>
      <w:tr>
        <w:trPr>
          <w:trHeight w:val="221"/>
        </w:trPr>
        <w:tc>
          <w:tcPr>
            <w:tcW w:w="2220" w:type="dxa"/>
            <w:vAlign w:val="bottom"/>
          </w:tcPr>
          <w:p>
            <w:pPr>
              <w:spacing w:after="0"/>
              <w:rPr>
                <w:sz w:val="19"/>
                <w:szCs w:val="19"/>
                <w:color w:val="auto"/>
              </w:rPr>
            </w:pPr>
          </w:p>
        </w:tc>
        <w:tc>
          <w:tcPr>
            <w:tcW w:w="9000" w:type="dxa"/>
            <w:vAlign w:val="bottom"/>
          </w:tcPr>
          <w:p>
            <w:pPr>
              <w:ind w:left="500"/>
              <w:spacing w:after="0"/>
              <w:rPr>
                <w:sz w:val="20"/>
                <w:szCs w:val="20"/>
                <w:color w:val="auto"/>
              </w:rPr>
            </w:pPr>
            <w:r>
              <w:rPr>
                <w:rFonts w:ascii="Arial" w:cs="Arial" w:eastAsia="Arial" w:hAnsi="Arial"/>
                <w:sz w:val="17"/>
                <w:szCs w:val="17"/>
                <w:color w:val="auto"/>
              </w:rPr>
              <w:t>owned subsidiary of Diamondback.</w:t>
            </w:r>
          </w:p>
        </w:tc>
      </w:tr>
      <w:tr>
        <w:trPr>
          <w:trHeight w:val="23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IPO</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The partnership’s initial public offering of common units.</w:t>
            </w:r>
          </w:p>
        </w:tc>
      </w:tr>
      <w:tr>
        <w:trPr>
          <w:trHeight w:val="221"/>
        </w:trPr>
        <w:tc>
          <w:tcPr>
            <w:tcW w:w="2220" w:type="dxa"/>
            <w:vAlign w:val="bottom"/>
          </w:tcPr>
          <w:p>
            <w:pPr>
              <w:ind w:left="20"/>
              <w:spacing w:after="0"/>
              <w:rPr>
                <w:sz w:val="20"/>
                <w:szCs w:val="20"/>
                <w:color w:val="auto"/>
              </w:rPr>
            </w:pPr>
            <w:r>
              <w:rPr>
                <w:rFonts w:ascii="Arial" w:cs="Arial" w:eastAsia="Arial" w:hAnsi="Arial"/>
                <w:sz w:val="17"/>
                <w:szCs w:val="17"/>
                <w:color w:val="auto"/>
              </w:rPr>
              <w:t>LTIP</w:t>
            </w:r>
          </w:p>
        </w:tc>
        <w:tc>
          <w:tcPr>
            <w:tcW w:w="9000" w:type="dxa"/>
            <w:vAlign w:val="bottom"/>
          </w:tcPr>
          <w:p>
            <w:pPr>
              <w:ind w:left="500"/>
              <w:spacing w:after="0"/>
              <w:rPr>
                <w:sz w:val="20"/>
                <w:szCs w:val="20"/>
                <w:color w:val="auto"/>
              </w:rPr>
            </w:pPr>
            <w:r>
              <w:rPr>
                <w:rFonts w:ascii="Arial" w:cs="Arial" w:eastAsia="Arial" w:hAnsi="Arial"/>
                <w:sz w:val="17"/>
                <w:szCs w:val="17"/>
                <w:color w:val="auto"/>
              </w:rPr>
              <w:t>Viper Energy Partners LP Long Term Incentive Plan.</w:t>
            </w:r>
          </w:p>
        </w:tc>
      </w:tr>
      <w:tr>
        <w:trPr>
          <w:trHeight w:val="23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OPEC</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Organization of the Petroleum Exporting Countries.</w:t>
            </w:r>
          </w:p>
        </w:tc>
      </w:tr>
      <w:tr>
        <w:trPr>
          <w:trHeight w:val="161"/>
        </w:trPr>
        <w:tc>
          <w:tcPr>
            <w:tcW w:w="2220" w:type="dxa"/>
            <w:vAlign w:val="bottom"/>
          </w:tcPr>
          <w:p>
            <w:pPr>
              <w:ind w:left="20"/>
              <w:spacing w:after="0" w:line="161" w:lineRule="exact"/>
              <w:rPr>
                <w:sz w:val="20"/>
                <w:szCs w:val="20"/>
                <w:color w:val="auto"/>
              </w:rPr>
            </w:pPr>
            <w:r>
              <w:rPr>
                <w:rFonts w:ascii="Arial" w:cs="Arial" w:eastAsia="Arial" w:hAnsi="Arial"/>
                <w:sz w:val="17"/>
                <w:szCs w:val="17"/>
                <w:color w:val="auto"/>
              </w:rPr>
              <w:t>Operating Company</w:t>
            </w:r>
          </w:p>
        </w:tc>
        <w:tc>
          <w:tcPr>
            <w:tcW w:w="9000" w:type="dxa"/>
            <w:vAlign w:val="bottom"/>
          </w:tcPr>
          <w:p>
            <w:pPr>
              <w:ind w:left="500"/>
              <w:spacing w:after="0" w:line="161" w:lineRule="exact"/>
              <w:rPr>
                <w:sz w:val="20"/>
                <w:szCs w:val="20"/>
                <w:color w:val="auto"/>
              </w:rPr>
            </w:pPr>
            <w:r>
              <w:rPr>
                <w:rFonts w:ascii="Arial" w:cs="Arial" w:eastAsia="Arial" w:hAnsi="Arial"/>
                <w:sz w:val="17"/>
                <w:szCs w:val="17"/>
                <w:color w:val="auto"/>
                <w:w w:val="94"/>
              </w:rPr>
              <w:t>Viper Energy Partners LLC, a Delaware limited liability company and a consolidated subsidiary of Viper Energy Partners</w:t>
            </w:r>
          </w:p>
        </w:tc>
      </w:tr>
      <w:tr>
        <w:trPr>
          <w:trHeight w:val="221"/>
        </w:trPr>
        <w:tc>
          <w:tcPr>
            <w:tcW w:w="2220" w:type="dxa"/>
            <w:vAlign w:val="bottom"/>
          </w:tcPr>
          <w:p>
            <w:pPr>
              <w:spacing w:after="0"/>
              <w:rPr>
                <w:sz w:val="19"/>
                <w:szCs w:val="19"/>
                <w:color w:val="auto"/>
              </w:rPr>
            </w:pPr>
          </w:p>
        </w:tc>
        <w:tc>
          <w:tcPr>
            <w:tcW w:w="9000" w:type="dxa"/>
            <w:vAlign w:val="bottom"/>
          </w:tcPr>
          <w:p>
            <w:pPr>
              <w:ind w:left="500"/>
              <w:spacing w:after="0"/>
              <w:rPr>
                <w:sz w:val="20"/>
                <w:szCs w:val="20"/>
                <w:color w:val="auto"/>
              </w:rPr>
            </w:pPr>
            <w:r>
              <w:rPr>
                <w:rFonts w:ascii="Arial" w:cs="Arial" w:eastAsia="Arial" w:hAnsi="Arial"/>
                <w:sz w:val="17"/>
                <w:szCs w:val="17"/>
                <w:color w:val="auto"/>
              </w:rPr>
              <w:t>LP.</w:t>
            </w:r>
          </w:p>
        </w:tc>
      </w:tr>
      <w:tr>
        <w:trPr>
          <w:trHeight w:val="23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Partnership</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Viper Energy Partners LP, a Delaware limited partnership.</w:t>
            </w:r>
          </w:p>
        </w:tc>
      </w:tr>
      <w:tr>
        <w:trPr>
          <w:trHeight w:val="161"/>
        </w:trPr>
        <w:tc>
          <w:tcPr>
            <w:tcW w:w="2220" w:type="dxa"/>
            <w:vAlign w:val="bottom"/>
          </w:tcPr>
          <w:p>
            <w:pPr>
              <w:ind w:left="20"/>
              <w:spacing w:after="0" w:line="161" w:lineRule="exact"/>
              <w:rPr>
                <w:sz w:val="20"/>
                <w:szCs w:val="20"/>
                <w:color w:val="auto"/>
              </w:rPr>
            </w:pPr>
            <w:r>
              <w:rPr>
                <w:rFonts w:ascii="Arial" w:cs="Arial" w:eastAsia="Arial" w:hAnsi="Arial"/>
                <w:sz w:val="17"/>
                <w:szCs w:val="17"/>
                <w:color w:val="auto"/>
              </w:rPr>
              <w:t>Partnership agreement</w:t>
            </w:r>
          </w:p>
        </w:tc>
        <w:tc>
          <w:tcPr>
            <w:tcW w:w="9000" w:type="dxa"/>
            <w:vAlign w:val="bottom"/>
          </w:tcPr>
          <w:p>
            <w:pPr>
              <w:ind w:left="500"/>
              <w:spacing w:after="0" w:line="161" w:lineRule="exact"/>
              <w:rPr>
                <w:sz w:val="20"/>
                <w:szCs w:val="20"/>
                <w:color w:val="auto"/>
              </w:rPr>
            </w:pPr>
            <w:r>
              <w:rPr>
                <w:rFonts w:ascii="Arial" w:cs="Arial" w:eastAsia="Arial" w:hAnsi="Arial"/>
                <w:sz w:val="17"/>
                <w:szCs w:val="17"/>
                <w:color w:val="auto"/>
                <w:w w:val="92"/>
              </w:rPr>
              <w:t>The second amended and restated agreement of limited partnership, dated as of May 9, 2018, as amended as of May 10,</w:t>
            </w:r>
          </w:p>
        </w:tc>
      </w:tr>
      <w:tr>
        <w:trPr>
          <w:trHeight w:val="221"/>
        </w:trPr>
        <w:tc>
          <w:tcPr>
            <w:tcW w:w="2220" w:type="dxa"/>
            <w:vAlign w:val="bottom"/>
          </w:tcPr>
          <w:p>
            <w:pPr>
              <w:spacing w:after="0"/>
              <w:rPr>
                <w:sz w:val="19"/>
                <w:szCs w:val="19"/>
                <w:color w:val="auto"/>
              </w:rPr>
            </w:pPr>
          </w:p>
        </w:tc>
        <w:tc>
          <w:tcPr>
            <w:tcW w:w="9000" w:type="dxa"/>
            <w:vAlign w:val="bottom"/>
          </w:tcPr>
          <w:p>
            <w:pPr>
              <w:ind w:left="500"/>
              <w:spacing w:after="0"/>
              <w:rPr>
                <w:sz w:val="20"/>
                <w:szCs w:val="20"/>
                <w:color w:val="auto"/>
              </w:rPr>
            </w:pPr>
            <w:r>
              <w:rPr>
                <w:rFonts w:ascii="Arial" w:cs="Arial" w:eastAsia="Arial" w:hAnsi="Arial"/>
                <w:sz w:val="17"/>
                <w:szCs w:val="17"/>
                <w:color w:val="auto"/>
              </w:rPr>
              <w:t>2018.</w:t>
            </w:r>
          </w:p>
        </w:tc>
      </w:tr>
      <w:tr>
        <w:trPr>
          <w:trHeight w:val="23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Ryder Scott</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Ryder Scott Company, L.P.</w:t>
            </w:r>
          </w:p>
        </w:tc>
      </w:tr>
      <w:tr>
        <w:trPr>
          <w:trHeight w:val="221"/>
        </w:trPr>
        <w:tc>
          <w:tcPr>
            <w:tcW w:w="2220" w:type="dxa"/>
            <w:vAlign w:val="bottom"/>
          </w:tcPr>
          <w:p>
            <w:pPr>
              <w:ind w:left="20"/>
              <w:spacing w:after="0"/>
              <w:rPr>
                <w:sz w:val="20"/>
                <w:szCs w:val="20"/>
                <w:color w:val="auto"/>
              </w:rPr>
            </w:pPr>
            <w:r>
              <w:rPr>
                <w:rFonts w:ascii="Arial" w:cs="Arial" w:eastAsia="Arial" w:hAnsi="Arial"/>
                <w:sz w:val="17"/>
                <w:szCs w:val="17"/>
                <w:color w:val="auto"/>
              </w:rPr>
              <w:t>SEC</w:t>
            </w:r>
          </w:p>
        </w:tc>
        <w:tc>
          <w:tcPr>
            <w:tcW w:w="9000" w:type="dxa"/>
            <w:vAlign w:val="bottom"/>
          </w:tcPr>
          <w:p>
            <w:pPr>
              <w:ind w:left="500"/>
              <w:spacing w:after="0"/>
              <w:rPr>
                <w:sz w:val="20"/>
                <w:szCs w:val="20"/>
                <w:color w:val="auto"/>
              </w:rPr>
            </w:pPr>
            <w:r>
              <w:rPr>
                <w:rFonts w:ascii="Arial" w:cs="Arial" w:eastAsia="Arial" w:hAnsi="Arial"/>
                <w:sz w:val="17"/>
                <w:szCs w:val="17"/>
                <w:color w:val="auto"/>
              </w:rPr>
              <w:t>Securities and Exchange Commission.</w:t>
            </w:r>
          </w:p>
        </w:tc>
      </w:tr>
      <w:tr>
        <w:trPr>
          <w:trHeight w:val="234"/>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Securities Act</w:t>
            </w:r>
          </w:p>
        </w:tc>
        <w:tc>
          <w:tcPr>
            <w:tcW w:w="90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The Securities Act of 1933, as amended.</w:t>
            </w:r>
          </w:p>
        </w:tc>
      </w:tr>
      <w:tr>
        <w:trPr>
          <w:trHeight w:val="221"/>
        </w:trPr>
        <w:tc>
          <w:tcPr>
            <w:tcW w:w="2220" w:type="dxa"/>
            <w:vAlign w:val="bottom"/>
          </w:tcPr>
          <w:p>
            <w:pPr>
              <w:ind w:left="20"/>
              <w:spacing w:after="0"/>
              <w:rPr>
                <w:sz w:val="20"/>
                <w:szCs w:val="20"/>
                <w:color w:val="auto"/>
              </w:rPr>
            </w:pPr>
            <w:r>
              <w:rPr>
                <w:rFonts w:ascii="Arial" w:cs="Arial" w:eastAsia="Arial" w:hAnsi="Arial"/>
                <w:sz w:val="17"/>
                <w:szCs w:val="17"/>
                <w:color w:val="auto"/>
              </w:rPr>
              <w:t>SOFR</w:t>
            </w:r>
          </w:p>
        </w:tc>
        <w:tc>
          <w:tcPr>
            <w:tcW w:w="9000" w:type="dxa"/>
            <w:vAlign w:val="bottom"/>
          </w:tcPr>
          <w:p>
            <w:pPr>
              <w:ind w:left="500"/>
              <w:spacing w:after="0"/>
              <w:rPr>
                <w:sz w:val="20"/>
                <w:szCs w:val="20"/>
                <w:color w:val="auto"/>
              </w:rPr>
            </w:pPr>
            <w:r>
              <w:rPr>
                <w:rFonts w:ascii="Arial" w:cs="Arial" w:eastAsia="Arial" w:hAnsi="Arial"/>
                <w:sz w:val="17"/>
                <w:szCs w:val="17"/>
                <w:color w:val="auto"/>
              </w:rPr>
              <w:t>The secured overnight financing rate</w:t>
            </w:r>
          </w:p>
        </w:tc>
      </w:tr>
      <w:tr>
        <w:trPr>
          <w:trHeight w:val="228"/>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90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The 5.375% Senior Notes due 2027 issued on October 16,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CAUTIONARY STATEMENT REGARDING FORWARD-LOOKING STATEMENTS</w:t>
      </w:r>
    </w:p>
    <w:p>
      <w:pPr>
        <w:spacing w:after="0" w:line="240" w:lineRule="exact"/>
        <w:rPr>
          <w:sz w:val="20"/>
          <w:szCs w:val="20"/>
          <w:color w:val="auto"/>
        </w:rPr>
      </w:pPr>
    </w:p>
    <w:p>
      <w:pPr>
        <w:jc w:val="both"/>
        <w:ind w:firstLine="643"/>
        <w:spacing w:after="0" w:line="248"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of strategic transactions (including acquisitions and divestitures); and plans and objectives of management (including Diamondback’s plans for developing our acreage and our cash distribution policy and repurchases of our common units and/or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our future performance and the actual outcomes could differ materially from what we expressed in our forward-looking statements.</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Factors that could cause the outcomes to differ materially include (but are not limited to) the following:</w:t>
      </w:r>
    </w:p>
    <w:p>
      <w:pPr>
        <w:spacing w:after="0" w:line="288" w:lineRule="exact"/>
        <w:rPr>
          <w:sz w:val="20"/>
          <w:szCs w:val="20"/>
          <w:color w:val="auto"/>
        </w:rPr>
      </w:pPr>
    </w:p>
    <w:p>
      <w:pPr>
        <w:ind w:left="1220" w:hanging="329"/>
        <w:spacing w:after="0" w:line="25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and demand levels for oil, natural gas, and natural gas liquids, and the resulting impact on the price for those commodities;</w:t>
      </w:r>
    </w:p>
    <w:p>
      <w:pPr>
        <w:spacing w:after="0" w:line="53" w:lineRule="exact"/>
        <w:rPr>
          <w:rFonts w:ascii="Arial" w:cs="Arial" w:eastAsia="Arial" w:hAnsi="Arial"/>
          <w:sz w:val="18"/>
          <w:szCs w:val="18"/>
          <w:color w:val="auto"/>
        </w:rPr>
      </w:pPr>
    </w:p>
    <w:p>
      <w:pPr>
        <w:ind w:left="1220" w:hanging="329"/>
        <w:spacing w:after="0" w:line="25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public health crises, including epidemic or pandemic diseases such as the COVID-19 pandemic, and any related company or government policies or actions;</w:t>
      </w:r>
    </w:p>
    <w:p>
      <w:pPr>
        <w:spacing w:after="0" w:line="67" w:lineRule="exact"/>
        <w:rPr>
          <w:rFonts w:ascii="Arial" w:cs="Arial" w:eastAsia="Arial" w:hAnsi="Arial"/>
          <w:sz w:val="18"/>
          <w:szCs w:val="18"/>
          <w:color w:val="auto"/>
        </w:rPr>
      </w:pPr>
    </w:p>
    <w:p>
      <w:pPr>
        <w:ind w:left="1220" w:hanging="329"/>
        <w:spacing w:after="0"/>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w:t>
      </w:r>
    </w:p>
    <w:p>
      <w:pPr>
        <w:spacing w:after="0" w:line="81" w:lineRule="exact"/>
        <w:rPr>
          <w:rFonts w:ascii="Arial" w:cs="Arial" w:eastAsia="Arial" w:hAnsi="Arial"/>
          <w:sz w:val="18"/>
          <w:szCs w:val="18"/>
          <w:color w:val="auto"/>
        </w:rPr>
      </w:pPr>
    </w:p>
    <w:p>
      <w:pPr>
        <w:ind w:left="1220" w:hanging="329"/>
        <w:spacing w:after="0" w:line="25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changes in foreign currency exchange rates, interest rates, inflation rates and concerns over a potential economic downturn or recession;</w:t>
      </w:r>
    </w:p>
    <w:p>
      <w:pPr>
        <w:spacing w:after="0" w:line="53" w:lineRule="exact"/>
        <w:rPr>
          <w:rFonts w:ascii="Arial" w:cs="Arial" w:eastAsia="Arial" w:hAnsi="Arial"/>
          <w:sz w:val="18"/>
          <w:szCs w:val="18"/>
          <w:color w:val="auto"/>
        </w:rPr>
      </w:pPr>
    </w:p>
    <w:p>
      <w:pPr>
        <w:ind w:left="1220" w:hanging="329"/>
        <w:spacing w:after="0" w:line="25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on our mineral and royalty acreage, or governmental orders, rules or regulations that impose production limits on such acreage;</w:t>
      </w:r>
    </w:p>
    <w:p>
      <w:pPr>
        <w:spacing w:after="0" w:line="67" w:lineRule="exact"/>
        <w:rPr>
          <w:rFonts w:ascii="Arial" w:cs="Arial" w:eastAsia="Arial" w:hAnsi="Arial"/>
          <w:sz w:val="18"/>
          <w:szCs w:val="18"/>
          <w:color w:val="auto"/>
        </w:rPr>
      </w:pPr>
    </w:p>
    <w:p>
      <w:pPr>
        <w:ind w:left="1220" w:right="20" w:hanging="329"/>
        <w:spacing w:after="0"/>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spacing w:after="0" w:line="81" w:lineRule="exact"/>
        <w:rPr>
          <w:rFonts w:ascii="Arial" w:cs="Arial" w:eastAsia="Arial" w:hAnsi="Arial"/>
          <w:sz w:val="18"/>
          <w:szCs w:val="18"/>
          <w:color w:val="auto"/>
        </w:rPr>
      </w:pPr>
    </w:p>
    <w:p>
      <w:pPr>
        <w:ind w:left="1200" w:hanging="309"/>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physical and transition risks relating to climate change;</w:t>
      </w:r>
    </w:p>
    <w:p>
      <w:pPr>
        <w:spacing w:after="0" w:line="100" w:lineRule="exact"/>
        <w:rPr>
          <w:rFonts w:ascii="Arial" w:cs="Arial" w:eastAsia="Arial" w:hAnsi="Arial"/>
          <w:sz w:val="18"/>
          <w:szCs w:val="18"/>
          <w:color w:val="auto"/>
        </w:rPr>
      </w:pPr>
    </w:p>
    <w:p>
      <w:pPr>
        <w:ind w:left="1220" w:hanging="329"/>
        <w:spacing w:after="0" w:line="300" w:lineRule="auto"/>
        <w:tabs>
          <w:tab w:leader="none" w:pos="1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spacing w:after="0" w:line="35" w:lineRule="exact"/>
        <w:rPr>
          <w:rFonts w:ascii="Arial" w:cs="Arial" w:eastAsia="Arial" w:hAnsi="Arial"/>
          <w:sz w:val="16"/>
          <w:szCs w:val="16"/>
          <w:color w:val="auto"/>
        </w:rPr>
      </w:pPr>
    </w:p>
    <w:p>
      <w:pPr>
        <w:ind w:left="1200" w:hanging="309"/>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declines in prices for oil, natural gas, or natural gas liquids, which could require recognition of significant impairment charges;</w:t>
      </w:r>
    </w:p>
    <w:p>
      <w:pPr>
        <w:spacing w:after="0" w:line="123" w:lineRule="exact"/>
        <w:rPr>
          <w:rFonts w:ascii="Arial" w:cs="Arial" w:eastAsia="Arial" w:hAnsi="Arial"/>
          <w:sz w:val="16"/>
          <w:szCs w:val="16"/>
          <w:color w:val="auto"/>
        </w:rPr>
      </w:pPr>
    </w:p>
    <w:p>
      <w:pPr>
        <w:ind w:left="1200" w:hanging="309"/>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energy, environmental, monetary and trade policies;</w:t>
      </w:r>
    </w:p>
    <w:p>
      <w:pPr>
        <w:spacing w:after="0" w:line="87" w:lineRule="exact"/>
        <w:rPr>
          <w:rFonts w:ascii="Arial" w:cs="Arial" w:eastAsia="Arial" w:hAnsi="Arial"/>
          <w:sz w:val="18"/>
          <w:szCs w:val="18"/>
          <w:color w:val="auto"/>
        </w:rPr>
      </w:pPr>
    </w:p>
    <w:p>
      <w:pPr>
        <w:ind w:left="1220" w:hanging="329"/>
        <w:spacing w:after="0" w:line="285" w:lineRule="auto"/>
        <w:tabs>
          <w:tab w:leader="none" w:pos="1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conditions in the capital, financial and credit markets, including the availability and pricing of capital for drilling and development by our operators and environmental and social responsibility projects undertaken by Diamondback and our other operators;</w:t>
      </w:r>
    </w:p>
    <w:p>
      <w:pPr>
        <w:spacing w:after="0" w:line="44" w:lineRule="exact"/>
        <w:rPr>
          <w:rFonts w:ascii="Arial" w:cs="Arial" w:eastAsia="Arial" w:hAnsi="Arial"/>
          <w:sz w:val="17"/>
          <w:szCs w:val="17"/>
          <w:color w:val="auto"/>
        </w:rPr>
      </w:pPr>
    </w:p>
    <w:p>
      <w:pPr>
        <w:ind w:left="1200" w:hanging="309"/>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availability or cost of rigs, equipment, raw materials, supplies and oilfield services impacting our operators;</w:t>
      </w:r>
    </w:p>
    <w:p>
      <w:pPr>
        <w:spacing w:after="0" w:line="87" w:lineRule="exact"/>
        <w:rPr>
          <w:rFonts w:ascii="Arial" w:cs="Arial" w:eastAsia="Arial" w:hAnsi="Arial"/>
          <w:sz w:val="18"/>
          <w:szCs w:val="18"/>
          <w:color w:val="auto"/>
        </w:rPr>
      </w:pPr>
    </w:p>
    <w:p>
      <w:pPr>
        <w:ind w:left="1220" w:hanging="329"/>
        <w:spacing w:after="0" w:line="25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impacting us or our operators (including those addressing air emissions, water management, or the impact of global climate change);</w:t>
      </w:r>
    </w:p>
    <w:p>
      <w:pPr>
        <w:spacing w:after="0" w:line="67" w:lineRule="exact"/>
        <w:rPr>
          <w:rFonts w:ascii="Arial" w:cs="Arial" w:eastAsia="Arial" w:hAnsi="Arial"/>
          <w:sz w:val="18"/>
          <w:szCs w:val="18"/>
          <w:color w:val="auto"/>
        </w:rPr>
      </w:pPr>
    </w:p>
    <w:p>
      <w:pPr>
        <w:ind w:left="1220" w:hanging="329"/>
        <w:spacing w:after="0" w:line="268" w:lineRule="auto"/>
        <w:tabs>
          <w:tab w:leader="none" w:pos="1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security threats, including cybersecurity threats and disruptions to our business from breaches of our information technology systems, or from breaches of information technology systems of our operators or third parties with whom we transact business;</w:t>
      </w:r>
    </w:p>
    <w:p>
      <w:pPr>
        <w:spacing w:after="0" w:line="58" w:lineRule="exact"/>
        <w:rPr>
          <w:rFonts w:ascii="Arial" w:cs="Arial" w:eastAsia="Arial" w:hAnsi="Arial"/>
          <w:sz w:val="17"/>
          <w:szCs w:val="17"/>
          <w:color w:val="auto"/>
        </w:rPr>
      </w:pPr>
    </w:p>
    <w:p>
      <w:pPr>
        <w:ind w:left="1200" w:hanging="309"/>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lack of, or disruption in, access to adequate and reliable transportation, processing, storage, and other facilities impacting our operators;</w:t>
      </w:r>
    </w:p>
    <w:p>
      <w:pPr>
        <w:spacing w:after="0" w:line="123" w:lineRule="exact"/>
        <w:rPr>
          <w:rFonts w:ascii="Arial" w:cs="Arial" w:eastAsia="Arial" w:hAnsi="Arial"/>
          <w:sz w:val="16"/>
          <w:szCs w:val="16"/>
          <w:color w:val="auto"/>
        </w:rPr>
      </w:pPr>
    </w:p>
    <w:p>
      <w:pPr>
        <w:ind w:left="1200" w:hanging="309"/>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weather conditions;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ind w:left="1200" w:hanging="309"/>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terrorist acts and the governmental or military response thereto;</w:t>
      </w:r>
    </w:p>
    <w:p>
      <w:pPr>
        <w:spacing w:after="0" w:line="100" w:lineRule="exact"/>
        <w:rPr>
          <w:rFonts w:ascii="Arial" w:cs="Arial" w:eastAsia="Arial" w:hAnsi="Arial"/>
          <w:sz w:val="18"/>
          <w:szCs w:val="18"/>
          <w:color w:val="auto"/>
        </w:rPr>
      </w:pPr>
    </w:p>
    <w:p>
      <w:pPr>
        <w:ind w:left="1200" w:hanging="309"/>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financial strength of counterparties to the credit agreement and hedging contracts of our operating subsidiary;</w:t>
      </w:r>
    </w:p>
    <w:p>
      <w:pPr>
        <w:spacing w:after="0" w:line="87" w:lineRule="exact"/>
        <w:rPr>
          <w:rFonts w:ascii="Arial" w:cs="Arial" w:eastAsia="Arial" w:hAnsi="Arial"/>
          <w:sz w:val="18"/>
          <w:szCs w:val="18"/>
          <w:color w:val="auto"/>
        </w:rPr>
      </w:pPr>
    </w:p>
    <w:p>
      <w:pPr>
        <w:ind w:left="1200" w:hanging="309"/>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w:t>
      </w:r>
    </w:p>
    <w:p>
      <w:pPr>
        <w:spacing w:after="0" w:line="100" w:lineRule="exact"/>
        <w:rPr>
          <w:rFonts w:ascii="Arial" w:cs="Arial" w:eastAsia="Arial" w:hAnsi="Arial"/>
          <w:sz w:val="18"/>
          <w:szCs w:val="18"/>
          <w:color w:val="auto"/>
        </w:rPr>
      </w:pPr>
    </w:p>
    <w:p>
      <w:pPr>
        <w:ind w:left="1200" w:hanging="309"/>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disclosed in this report.</w:t>
      </w:r>
    </w:p>
    <w:p>
      <w:pPr>
        <w:spacing w:after="0" w:line="248"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i w:val="1"/>
          <w:iCs w:val="1"/>
          <w:color w:val="auto"/>
        </w:rPr>
        <w:t>References in this Annual Report to (i) “Viper Energy Partners,” “Viper,” “the Partnership,” “our partnership,” “we,” “our,” “us” or like terms refer to Viper Energy Partners LP individually and collectively with its subsidiary, Viper Energy Partners LLC, as the context requires; (ii) “our General Partner” refers to Viper Energy Partners GP LLC, our General Partner and a wholly owned subsidiary of Diamondback Energy, Inc.; and (iii) the “Operating Company” or “OpCo” refers to Viper Energy Partners LLC, and (iv) “Diamondback” refers collectively to Diamondback Energy, Inc. and its subsidiaries other than the Partnership and its subsidiary.</w:t>
      </w:r>
    </w:p>
    <w:p>
      <w:pPr>
        <w:spacing w:after="0" w:line="21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ITEMS 1 and 2.</w:t>
      </w:r>
      <w:r>
        <w:rPr>
          <w:sz w:val="20"/>
          <w:szCs w:val="20"/>
          <w:color w:val="auto"/>
        </w:rPr>
        <w:tab/>
      </w:r>
      <w:r>
        <w:rPr>
          <w:rFonts w:ascii="Arial" w:cs="Arial" w:eastAsia="Arial" w:hAnsi="Arial"/>
          <w:sz w:val="17"/>
          <w:szCs w:val="17"/>
          <w:b w:val="1"/>
          <w:bCs w:val="1"/>
          <w:color w:val="auto"/>
        </w:rPr>
        <w:t>BUSINESS AND PROPERTIES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We are a publicly traded Delaware limited partnership formed by Diamondback to own and acquire mineral and royalty interests in oil and natural gas properties primarily in the Permian Basin. We are treated as a corporation for U.S. federal income tax purposes.</w:t>
      </w:r>
    </w:p>
    <w:p>
      <w:pPr>
        <w:spacing w:after="0" w:line="21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Our primary business objective is to provide an attractive return to our unitholders by focusing on business results, generating robust free cash flow, reducing debt and protecting our balance sheet, while maintaining a best-in-class cost structure. Our initial assets consisted of mineral and royalty interests in oil and natural gas properties in the Permian Basin in West Texas, substantially all of which are leased to working interest owners who bear the costs of operation and development.</w:t>
      </w:r>
    </w:p>
    <w:p>
      <w:pPr>
        <w:spacing w:after="0" w:line="215"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We are currently focused primarily on oil and natural gas properties in the Permian Basin, which is one of the oldest and most prolific producing basins in North America. The Permian Basin, which consists of approximately 75,000 square miles centered around Midland, Texas, has been a significant source of oil production since the 1920s. The Permian Basin is known to have a number of zones of oil and natural gas bearing rock throughout.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2022 Acquisitions and Divestitures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Acquisitions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During the year ended December 31, 2022, in individually insignificant transactions, we acquired from unrelated third-party sellers, mineral and royalty interests representing 375 net royalty acres in the Permian Basin for an aggregate net purchase price of approximately $65.9 million, including certain customary closing adjustments. We funded these acquisitions with cash on hand and borrowings under the Operating Company’s revolving credit facility.</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Divestitures</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the first quarter of 2022, we divested 325 net royalty acres of third party operated acreage located entirely in Upton and Reagan counties in the Midland Basin for an aggregate net sales price of $29.3 million, including customary closing adjustments.</w:t>
      </w:r>
    </w:p>
    <w:p>
      <w:pPr>
        <w:spacing w:after="0" w:line="20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the third quarter of 2022, we divested 93 net royalty acres of third party operated acreage located entirely in Loving county in the Delaware Basin for an aggregate net sales price of $29.9 million, including customary closing adjustments.</w:t>
      </w:r>
    </w:p>
    <w:p>
      <w:pPr>
        <w:spacing w:after="0" w:line="20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the fourth quarter of 2022, we divested our entire position in the Eagle Ford Shale, consisting of 681 net royalty acres of third party operated acreage for an aggregate net sales price of $53.8 million, including certain customary closing adjustments.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239"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6"/>
          <w:szCs w:val="16"/>
          <w:color w:val="auto"/>
        </w:rPr>
        <w:t>As of December 31, 2022, our assets consisted of mineral and royalty interests underlying 775,180 gross acres and 26,315 net royalty acres in the Permian Basin. Diamondback is the operator of approximately 57% of our net royalty acreage. As of December 31, 2022, there were 8,260 wells producing on this acreage, of which Diamondback was the operator of 2,558 wells. Net production during the fourth quarter of 2022 was approximately 34,935 BOE/d and net production for the year ended December 31, 2022 averaged 33,649 BOE/d. For the years ended December 31, 2022, 2021 and 2020, royalty income generated from these mineral and royalty interests was $838.0 million, $501.5 million and $247.0 million, respectively.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The estimated proved oil and natural gas reserves of our assets, as of December 31, 2022, were 148,900 MBOE based on reserve estimates prepared by our internal reservoir engineers and audited by Ryder Scott, an independent petroleum engineering firm. Of these reserves, approximately 72% were classified as proved developed producing reserves. Proved undeveloped, or PUD, reserves included in this estimate were from 525 gross horizontal well locations. As of December 31, 2022, our proved reserves were approximately 53% oil, 23% natural gas liquids and 24% natural gas.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Diamondback</w:t>
      </w:r>
    </w:p>
    <w:p>
      <w:pPr>
        <w:spacing w:after="0" w:line="252"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As of December 31, 2022, our General Partner had a 100% general partner interest in us, and Diamondback owned 731,500 common units and beneficially owned all of our 90,709,946 outstanding Class B units, collectively, representing approximately 56% of our total units outstanding. Diamondback also owns and controls our General Partner. We believe that the properties held by Diamondback include properties that have, or with additional development will have, production and reserves characteristics that could make them attractive for inclusion in our partnership. We believe Diamondback’s significant ownership in us will motivate it to offer additional mineral and other interests in oil and natural gas properties to us in the future, although Diamondback has no obligation to do so and may elect to dispose of mineral and other interests in such properties without offering us the opportunities to acquire them.</w:t>
      </w:r>
    </w:p>
    <w:p>
      <w:pPr>
        <w:spacing w:after="0" w:line="219"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We believe Diamondback views our partnership as part of its business strategy and that Diamondback will be incentivized to pursue acquisitions jointly with us in the future. However, Diamondback will regularly evaluate acquisitions and may elect to acquire properties without offering us the opportunity to participate in such transactions. Moreover, Diamondback may not be successful in identifying potential acquisitions. Diamondback is free to act in a manner that is beneficial to its interests without regard to ours, which may include electing not to present us with acquisition or disposition opportunities.</w:t>
      </w:r>
    </w:p>
    <w:p>
      <w:pPr>
        <w:spacing w:after="0" w:line="217"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In addition, neither we, the Operating Company nor our General Partner has any employees. Diamondback provides management, operating and administrative services to us and our General Partner. Please read “</w:t>
      </w:r>
      <w:r>
        <w:rPr>
          <w:rFonts w:ascii="Arial" w:cs="Arial" w:eastAsia="Arial" w:hAnsi="Arial"/>
          <w:sz w:val="17"/>
          <w:szCs w:val="17"/>
          <w:u w:val="single" w:color="auto"/>
          <w:color w:val="0000FF"/>
        </w:rPr>
        <w:t>Item 7. 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Operations</w:t>
      </w:r>
      <w:r>
        <w:rPr>
          <w:rFonts w:ascii="Arial" w:cs="Arial" w:eastAsia="Arial" w:hAnsi="Arial"/>
          <w:sz w:val="17"/>
          <w:szCs w:val="17"/>
          <w:color w:val="000000"/>
        </w:rPr>
        <w:t>” and the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consolidated financial statements</w:t>
      </w:r>
      <w:r>
        <w:rPr>
          <w:rFonts w:ascii="Arial" w:cs="Arial" w:eastAsia="Arial" w:hAnsi="Arial"/>
          <w:sz w:val="17"/>
          <w:szCs w:val="17"/>
          <w:color w:val="0000FF"/>
        </w:rPr>
        <w:t xml:space="preserve"> </w:t>
      </w:r>
      <w:r>
        <w:rPr>
          <w:rFonts w:ascii="Arial" w:cs="Arial" w:eastAsia="Arial" w:hAnsi="Arial"/>
          <w:sz w:val="17"/>
          <w:szCs w:val="17"/>
          <w:color w:val="000000"/>
        </w:rPr>
        <w:t>and related notes, each of which is included elsewhere in this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5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Our primary business objective is to generate the highest value proposition for our unitholders through a focus on increasing long-term per unit growth and returns by generating robust free cash flow, reducing debt and protecting our balance sheet. We intend to accomplish this objective by executing the following strategies:</w:t>
      </w:r>
    </w:p>
    <w:p>
      <w:pPr>
        <w:spacing w:after="0" w:line="211" w:lineRule="exact"/>
        <w:rPr>
          <w:sz w:val="20"/>
          <w:szCs w:val="20"/>
          <w:color w:val="auto"/>
        </w:rPr>
      </w:pPr>
    </w:p>
    <w:p>
      <w:pPr>
        <w:jc w:val="both"/>
        <w:ind w:left="640" w:hanging="312"/>
        <w:spacing w:after="0" w:line="256"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Capitalize on the development of the properties underlying our mineral interests to grow our cash flow</w:t>
      </w:r>
      <w:r>
        <w:rPr>
          <w:rFonts w:ascii="Arial" w:cs="Arial" w:eastAsia="Arial" w:hAnsi="Arial"/>
          <w:sz w:val="18"/>
          <w:szCs w:val="18"/>
          <w:color w:val="auto"/>
        </w:rPr>
        <w:t>. We expect the production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mineral interests will increase as Diamondback and our other operators continue to drill, complete and develop our acreage. We expect to capitalize on this development, which requires no capital expenditure funding from us, and believe the anticipated increase in our aggregate royalty payment receipts will enable us to grow our cash flows.</w:t>
      </w:r>
    </w:p>
    <w:p>
      <w:pPr>
        <w:spacing w:after="0" w:line="201" w:lineRule="exact"/>
        <w:rPr>
          <w:rFonts w:ascii="Arial" w:cs="Arial" w:eastAsia="Arial" w:hAnsi="Arial"/>
          <w:sz w:val="18"/>
          <w:szCs w:val="18"/>
          <w:color w:val="auto"/>
        </w:rPr>
      </w:pPr>
    </w:p>
    <w:p>
      <w:pPr>
        <w:jc w:val="both"/>
        <w:ind w:left="640" w:hanging="312"/>
        <w:spacing w:after="0" w:line="266"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Leverage our relationship with Diamondback to participate with it in acquisitions of mineral or other interests in producing properties from third parties and to increase the size and scope of our potential third party acquisition targets</w:t>
      </w:r>
      <w:r>
        <w:rPr>
          <w:rFonts w:ascii="Arial" w:cs="Arial" w:eastAsia="Arial" w:hAnsi="Arial"/>
          <w:sz w:val="16"/>
          <w:szCs w:val="16"/>
          <w:color w:val="auto"/>
        </w:rPr>
        <w:t>. We have in the past and intend to continue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opportunistic acquisitions of mineral and other interests that have substantial oil-weighted resource potential and organic growth potential. Through our relationships with Diamondback and its affiliates, we have access to their significant pool of management talent and industry relationships, which we believe provide us with a competitive advantage in pursuing potential third party acquisition opportunities. For example, we and Diamondback may pursue an acquisition where Diamondback would acquire working and revenue interests in properties and we would acquire mineral or royalty interests in such properties either in the same or subsequent transactions, similar to Diamondback’s acquisition of certain assets from Guidon Operating LLC and our acquisition of certain mineral and royalty interests from Swallowtail Royalties LLC and Swallowtail Royalties II LLC in October 2021, which we refer to in this report as the Swallowtail Acquisition.</w:t>
      </w:r>
    </w:p>
    <w:p>
      <w:pPr>
        <w:spacing w:after="0" w:line="213" w:lineRule="exact"/>
        <w:rPr>
          <w:rFonts w:ascii="Arial" w:cs="Arial" w:eastAsia="Arial" w:hAnsi="Arial"/>
          <w:sz w:val="16"/>
          <w:szCs w:val="16"/>
          <w:color w:val="auto"/>
        </w:rPr>
      </w:pPr>
    </w:p>
    <w:p>
      <w:pPr>
        <w:jc w:val="both"/>
        <w:ind w:left="640" w:hanging="312"/>
        <w:spacing w:after="0" w:line="293" w:lineRule="auto"/>
        <w:tabs>
          <w:tab w:leader="none" w:pos="635"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Seek to acquire from Diamondback, from time to time, mineral or other interests in producing oil and natural gas properties that meet our acquisition criteria</w:t>
      </w:r>
      <w:r>
        <w:rPr>
          <w:rFonts w:ascii="Arial" w:cs="Arial" w:eastAsia="Arial" w:hAnsi="Arial"/>
          <w:sz w:val="16"/>
          <w:szCs w:val="16"/>
          <w:color w:val="auto"/>
        </w:rPr>
        <w:t>. Since our formation, we have acquired, and may have additional opportunities from time to time in the future to acquire,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mineral or other interests in producing oil and natural gas properties directly from Diamondback. We believe Diamondback may be incentivized to sell properties to us, as doing so may enhance Diamondback’s economic returns by monetizing long-lived producing properties while potentially retaining a portion of the resulting cash flow through distributions on Diamondback’s limited partner interests in us.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However, neither Diamondback nor any of its affiliates are contractually obligated to offer or sell any interests in properties to us.</w:t>
      </w:r>
    </w:p>
    <w:p>
      <w:pPr>
        <w:spacing w:after="0" w:line="248" w:lineRule="exact"/>
        <w:rPr>
          <w:sz w:val="20"/>
          <w:szCs w:val="20"/>
          <w:color w:val="auto"/>
        </w:rPr>
      </w:pPr>
    </w:p>
    <w:p>
      <w:pPr>
        <w:ind w:left="640" w:hanging="312"/>
        <w:spacing w:after="0" w:line="301" w:lineRule="auto"/>
        <w:tabs>
          <w:tab w:leader="none" w:pos="635"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High-grade our asset base. </w:t>
      </w:r>
      <w:r>
        <w:rPr>
          <w:rFonts w:ascii="Arial" w:cs="Arial" w:eastAsia="Arial" w:hAnsi="Arial"/>
          <w:sz w:val="17"/>
          <w:szCs w:val="17"/>
          <w:color w:val="auto"/>
        </w:rPr>
        <w:t>We intend to continue to high-grade our asset base and selectively divest non-core minerals with limited optionality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the amount negotiated exceeds our projected total value and then redeploy proceeds into our core areas of focus.</w:t>
      </w:r>
    </w:p>
    <w:p>
      <w:pPr>
        <w:spacing w:after="0" w:line="165" w:lineRule="exact"/>
        <w:rPr>
          <w:rFonts w:ascii="Arial" w:cs="Arial" w:eastAsia="Arial" w:hAnsi="Arial"/>
          <w:sz w:val="17"/>
          <w:szCs w:val="17"/>
          <w:b w:val="1"/>
          <w:bCs w:val="1"/>
          <w:i w:val="1"/>
          <w:iCs w:val="1"/>
          <w:color w:val="auto"/>
        </w:rPr>
      </w:pPr>
    </w:p>
    <w:p>
      <w:pPr>
        <w:jc w:val="both"/>
        <w:ind w:left="640" w:hanging="312"/>
        <w:spacing w:after="0" w:line="238"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 conservative capital structure to allow financial flexibility. </w:t>
      </w:r>
      <w:r>
        <w:rPr>
          <w:rFonts w:ascii="Arial" w:cs="Arial" w:eastAsia="Arial" w:hAnsi="Arial"/>
          <w:sz w:val="18"/>
          <w:szCs w:val="18"/>
          <w:color w:val="auto"/>
        </w:rPr>
        <w:t>Since our formation, we have maintained a conservative capital 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has allowed us to opportunistically purchase accretive mineral and other interests. We are committed to maintaining a conservative leverage profile, and will continue to seek to opportunistically fund accretive acquisitions. In addition to making distributions in accordance with our distribution policy, we intend to continue to repay debt using free cash flow to ensure our ability to successfully operate in challenging business and commodity price environments.</w:t>
      </w:r>
    </w:p>
    <w:p>
      <w:pPr>
        <w:spacing w:after="0" w:line="232" w:lineRule="exact"/>
        <w:rPr>
          <w:rFonts w:ascii="Arial" w:cs="Arial" w:eastAsia="Arial" w:hAnsi="Arial"/>
          <w:sz w:val="18"/>
          <w:szCs w:val="18"/>
          <w:color w:val="auto"/>
        </w:rPr>
      </w:pPr>
    </w:p>
    <w:p>
      <w:pPr>
        <w:ind w:left="640" w:hanging="312"/>
        <w:spacing w:after="0" w:line="27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Hedge to manage commodity price risk and to protect our balance sheet and cash flow</w:t>
      </w:r>
      <w:r>
        <w:rPr>
          <w:rFonts w:ascii="Arial" w:cs="Arial" w:eastAsia="Arial" w:hAnsi="Arial"/>
          <w:sz w:val="18"/>
          <w:szCs w:val="18"/>
          <w:color w:val="auto"/>
        </w:rPr>
        <w:t>. We use a combination of derivative instruments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economically hedge exposure to changes in commodity prices and maintain financial and balance sheet flexibility.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52" w:lineRule="exact"/>
        <w:rPr>
          <w:sz w:val="20"/>
          <w:szCs w:val="20"/>
          <w:color w:val="auto"/>
        </w:rPr>
      </w:pPr>
    </w:p>
    <w:p>
      <w:pPr>
        <w:ind w:right="20" w:firstLine="643"/>
        <w:spacing w:after="0" w:line="271" w:lineRule="auto"/>
        <w:rPr>
          <w:sz w:val="20"/>
          <w:szCs w:val="20"/>
          <w:color w:val="auto"/>
        </w:rPr>
      </w:pPr>
      <w:r>
        <w:rPr>
          <w:rFonts w:ascii="Arial" w:cs="Arial" w:eastAsia="Arial" w:hAnsi="Arial"/>
          <w:sz w:val="18"/>
          <w:szCs w:val="18"/>
          <w:color w:val="auto"/>
        </w:rPr>
        <w:t>We believe the following competitive strengths will allow us to successfully execute our business strategies and achieve our primary business objective:</w:t>
      </w:r>
    </w:p>
    <w:p>
      <w:pPr>
        <w:spacing w:after="0" w:line="189" w:lineRule="exact"/>
        <w:rPr>
          <w:sz w:val="20"/>
          <w:szCs w:val="20"/>
          <w:color w:val="auto"/>
        </w:rPr>
      </w:pPr>
    </w:p>
    <w:p>
      <w:pPr>
        <w:jc w:val="both"/>
        <w:ind w:left="640" w:hanging="312"/>
        <w:spacing w:after="0" w:line="23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Oil rich resource base in one of North America’s leading resource plays</w:t>
      </w:r>
      <w:r>
        <w:rPr>
          <w:rFonts w:ascii="Arial" w:cs="Arial" w:eastAsia="Arial" w:hAnsi="Arial"/>
          <w:sz w:val="18"/>
          <w:szCs w:val="18"/>
          <w:color w:val="auto"/>
        </w:rPr>
        <w:t>. As of December 31, 2022, 340 horizontal drilling rigs were operating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Permian Basin, representing 45% of the total U.S. onshore horizontal rig activity. The majority of our current properties is well positioned in the core of both the Midland and Delaware Basins in the Permian Basin. Production on our properties for the year ended December 31, 2022 and our estimated net proved reserves are heavily oil-weighted.</w:t>
      </w:r>
    </w:p>
    <w:p>
      <w:pPr>
        <w:spacing w:after="0" w:line="230" w:lineRule="exact"/>
        <w:rPr>
          <w:rFonts w:ascii="Arial" w:cs="Arial" w:eastAsia="Arial" w:hAnsi="Arial"/>
          <w:sz w:val="18"/>
          <w:szCs w:val="18"/>
          <w:color w:val="auto"/>
        </w:rPr>
      </w:pPr>
    </w:p>
    <w:p>
      <w:pPr>
        <w:jc w:val="both"/>
        <w:ind w:left="640" w:hanging="312"/>
        <w:spacing w:after="0" w:line="25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Sustainable, high margin business unburdened by capital expenses with minimal operating expenses. </w:t>
      </w:r>
      <w:r>
        <w:rPr>
          <w:rFonts w:ascii="Arial" w:cs="Arial" w:eastAsia="Arial" w:hAnsi="Arial"/>
          <w:sz w:val="18"/>
          <w:szCs w:val="18"/>
          <w:color w:val="auto"/>
        </w:rPr>
        <w:t>Our mineral and royalty interests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us cash flows without the requirement to fund drilling and completion costs or lease operating expenses. Our operating costs consist of certain royalty taxes, gathering, processing, marketing and transportation costs and general and administrative expenses, providing us with a low cost structure and high operating margins that generate increasing free cash flow growth in a stable or rising price environment as the </w:t>
      </w:r>
      <w:r>
        <w:rPr>
          <w:rFonts w:ascii="Arial" w:cs="Arial" w:eastAsia="Arial" w:hAnsi="Arial"/>
          <w:sz w:val="18"/>
          <w:szCs w:val="18"/>
          <w:color w:val="231F20"/>
        </w:rPr>
        <w:t>underlying</w:t>
      </w:r>
      <w:r>
        <w:rPr>
          <w:rFonts w:ascii="Arial" w:cs="Arial" w:eastAsia="Arial" w:hAnsi="Arial"/>
          <w:sz w:val="18"/>
          <w:szCs w:val="18"/>
          <w:color w:val="auto"/>
        </w:rPr>
        <w:t xml:space="preserve"> </w:t>
      </w:r>
      <w:r>
        <w:rPr>
          <w:rFonts w:ascii="Arial" w:cs="Arial" w:eastAsia="Arial" w:hAnsi="Arial"/>
          <w:sz w:val="18"/>
          <w:szCs w:val="18"/>
          <w:color w:val="231F20"/>
        </w:rPr>
        <w:t>production associated with our royalty interests continues to grow.</w:t>
      </w:r>
    </w:p>
    <w:p>
      <w:pPr>
        <w:spacing w:after="0" w:line="230" w:lineRule="exact"/>
        <w:rPr>
          <w:rFonts w:ascii="Arial" w:cs="Arial" w:eastAsia="Arial" w:hAnsi="Arial"/>
          <w:sz w:val="18"/>
          <w:szCs w:val="18"/>
          <w:color w:val="auto"/>
        </w:rPr>
      </w:pPr>
    </w:p>
    <w:p>
      <w:pPr>
        <w:jc w:val="both"/>
        <w:ind w:left="640" w:hanging="312"/>
        <w:spacing w:after="0" w:line="25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231F20"/>
        </w:rPr>
        <w:t>Experienced and proven management team</w:t>
      </w:r>
      <w:r>
        <w:rPr>
          <w:rFonts w:ascii="Arial" w:cs="Arial" w:eastAsia="Arial" w:hAnsi="Arial"/>
          <w:sz w:val="18"/>
          <w:szCs w:val="18"/>
          <w:color w:val="231F20"/>
        </w:rPr>
        <w:t>. The members of our executive team have significant industry experience, most of which has been</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focused on resource play development in the Permian Basin. This team has a proven track record of executing on multi-rig development drilling programs and extensive experience in the Permian Basin. In addition, our executive team has significant experience with property acquisition. We expect to benefit from the industry relationships of the management team. We believe the experience of our management team is essential for the execution of our business strategy.</w:t>
      </w:r>
    </w:p>
    <w:p>
      <w:pPr>
        <w:spacing w:after="0" w:line="216" w:lineRule="exact"/>
        <w:rPr>
          <w:rFonts w:ascii="Arial" w:cs="Arial" w:eastAsia="Arial" w:hAnsi="Arial"/>
          <w:sz w:val="18"/>
          <w:szCs w:val="18"/>
          <w:color w:val="auto"/>
        </w:rPr>
      </w:pPr>
    </w:p>
    <w:p>
      <w:pPr>
        <w:jc w:val="both"/>
        <w:ind w:left="640" w:hanging="312"/>
        <w:spacing w:after="0" w:line="290" w:lineRule="auto"/>
        <w:tabs>
          <w:tab w:leader="none" w:pos="63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231F20"/>
        </w:rPr>
        <w:t xml:space="preserve">Favorable and stable operating environment. </w:t>
      </w:r>
      <w:r>
        <w:rPr>
          <w:rFonts w:ascii="Arial" w:cs="Arial" w:eastAsia="Arial" w:hAnsi="Arial"/>
          <w:sz w:val="16"/>
          <w:szCs w:val="16"/>
          <w:color w:val="231F20"/>
        </w:rPr>
        <w:t>We primarily focus our growth in the Permian Basin, one of the oldest, most prolific hydrocarbon</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basins in the United States, with a long and well-established production history and developed infrastructure. With over 350,000 wells drilled in the Permian Basin since the 1940s, we believe that the geological and regulatory environment is more stable and predictable, and that we are faced with fewer operational risks, in the Permian Basin as compared to emerging hydrocarbon basins. We believe that the impact of the proven application of new technology, combined with the substantial geological information available about the Permian Basin, also reduces the risk of development and exploration activities on our mineral and royalty acreage as compared to emerging hydrocarbon basins.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Data</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Proved Reserves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Evaluation and Review of Reserves</w:t>
      </w:r>
    </w:p>
    <w:p>
      <w:pPr>
        <w:spacing w:after="0" w:line="235"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6"/>
          <w:szCs w:val="16"/>
          <w:color w:val="auto"/>
        </w:rPr>
        <w:t>The estimated reserves as of December 31, 2022 are based on reserve estimates prepared by our internal reservoir engineers and audited by Ryder Scott, an independent petroleum engineering firm. Our historical reserve estimates as of December 31, 2021 and 2020 were prepared by Ryder Scott. The internal and external technical persons responsible for preparing or auditing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 party engineering firm and does not own an interest in any of our properties and is not employed by us on a contingent basis. The purpose of Ryder Scott’s audit was to provide additional assurance on the reasonableness of internally prepared reserve estimates for 2022. The proved reserve audit performed by Ryder Scott for 2022 covered 100% of our total proved reserves. A copy of the summary audit report prepared by Ryder Scott is included as Exhibit 99.1 to this Annual Report.</w:t>
      </w:r>
    </w:p>
    <w:p>
      <w:pPr>
        <w:spacing w:after="0" w:line="210"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Under SEC rules, proved reserves are those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2022 were estimated using a deterministic method.</w:t>
      </w:r>
    </w:p>
    <w:p>
      <w:pPr>
        <w:spacing w:after="0" w:line="207" w:lineRule="exact"/>
        <w:rPr>
          <w:sz w:val="20"/>
          <w:szCs w:val="20"/>
          <w:color w:val="auto"/>
        </w:rPr>
      </w:pPr>
    </w:p>
    <w:p>
      <w:pPr>
        <w:jc w:val="both"/>
        <w:ind w:firstLine="643"/>
        <w:spacing w:after="0" w:line="283" w:lineRule="auto"/>
        <w:rPr>
          <w:sz w:val="20"/>
          <w:szCs w:val="20"/>
          <w:color w:val="auto"/>
        </w:rPr>
      </w:pPr>
      <w:r>
        <w:rPr>
          <w:rFonts w:ascii="Arial" w:cs="Arial" w:eastAsia="Arial" w:hAnsi="Arial"/>
          <w:sz w:val="16"/>
          <w:szCs w:val="16"/>
          <w:color w:val="auto"/>
        </w:rPr>
        <w:t>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 quantities of recoverable oil and natural gas reserves relies on the use of certain generally accepted analytical procedures. These analytical procedures fall into three broad categories or methods: (1) performance-based methods,</w:t>
      </w:r>
    </w:p>
    <w:p>
      <w:pPr>
        <w:spacing w:after="0" w:line="2" w:lineRule="exact"/>
        <w:rPr>
          <w:sz w:val="20"/>
          <w:szCs w:val="20"/>
          <w:color w:val="auto"/>
        </w:rPr>
      </w:pPr>
    </w:p>
    <w:p>
      <w:pPr>
        <w:jc w:val="both"/>
        <w:ind w:firstLine="7"/>
        <w:spacing w:after="0" w:line="266" w:lineRule="auto"/>
        <w:tabs>
          <w:tab w:leader="none" w:pos="253" w:val="left"/>
        </w:tabs>
        <w:numPr>
          <w:ilvl w:val="0"/>
          <w:numId w:val="8"/>
        </w:numPr>
        <w:rPr>
          <w:rFonts w:ascii="Arial" w:cs="Arial" w:eastAsia="Arial" w:hAnsi="Arial"/>
          <w:sz w:val="17"/>
          <w:szCs w:val="17"/>
          <w:color w:val="auto"/>
        </w:rPr>
      </w:pPr>
      <w:r>
        <w:rPr>
          <w:rFonts w:ascii="Arial" w:cs="Arial" w:eastAsia="Arial" w:hAnsi="Arial"/>
          <w:sz w:val="17"/>
          <w:szCs w:val="17"/>
          <w:color w:val="auto"/>
        </w:rPr>
        <w:t>volumetric-based methods and (3) analogy. These methods may be used singularly or in combination by the reserve evaluator in the process of estimating the quantities of reserves. In general, our proved producing reserves attributable to producing wells were estimated by performance methods. These performance methods include, but may not be limited to, decline curve analysis, which utilized extrapolations of available historical production and pressure data. In certain cases where there was inadequate historical performance data to establish a definitive trend and where the use of production performance data as a basis for the estimates was considered to be inappropriate,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spacing w:after="0" w:line="209"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To estimate economically recoverable proved reserves and related future net cash flows, we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spacing w:after="0" w:line="204"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6"/>
          <w:szCs w:val="16"/>
          <w:color w:val="auto"/>
        </w:rPr>
        <w:t>The process of estimating oil, natural gas and natural gas liquids reserves is complex and requires significant judgment, as discussed in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Risk Factors</w:t>
      </w:r>
      <w:r>
        <w:rPr>
          <w:rFonts w:ascii="Arial" w:cs="Arial" w:eastAsia="Arial" w:hAnsi="Arial"/>
          <w:sz w:val="16"/>
          <w:szCs w:val="16"/>
          <w:color w:val="000000"/>
        </w:rPr>
        <w:t>” of this report. As a result, our petroleum engineers and geoscience professionals that have an internal controls process to ensure the integrity,</w:t>
      </w:r>
      <w:r>
        <w:rPr>
          <w:rFonts w:ascii="Arial" w:cs="Arial" w:eastAsia="Arial" w:hAnsi="Arial"/>
          <w:sz w:val="16"/>
          <w:szCs w:val="16"/>
          <w:color w:val="0000FF"/>
        </w:rPr>
        <w:t xml:space="preserve"> </w:t>
      </w:r>
      <w:r>
        <w:rPr>
          <w:rFonts w:ascii="Arial" w:cs="Arial" w:eastAsia="Arial" w:hAnsi="Arial"/>
          <w:sz w:val="16"/>
          <w:szCs w:val="16"/>
          <w:color w:val="000000"/>
        </w:rPr>
        <w:t>accuracy and timeliness of the data used to calculate our proved reserves relating to our assets in the Permian Basin. Our internal technical staff met with our independent reserve auditors periodically during their audit of the period covered by the reserve report to discuss the assumptions and methods used in our proved reserve estimation process. As part of the audit process, we provide historical information to the independent reserve auditors for our properties such as ownership interest, oil and gas production, well test data, commodity prices and operating and development costs. The Senior Vice President of Reservoir Engineering of our General Partner is primarily responsible for overseeing the preparation of all of our reserve estimates and overseeing communications with our independent reserve auditor. The Senior Vice President of Reservoir Engineering is a petroleum engineer with over 19 years of reservoir and operations experience and our geoscience staff has an average of approximately 14 years of industry experience per person. Our technical staff uses historical information for our properties such as ownership interest, oil and natural gas production, well test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data, commodity prices and operating and development costs used to estimate economic lives of our properties. Ryder Scott performed an independent analysis during its audit of our estimated reserves for 2022 and any differences were reviewed with our Senior Vice President of Reservoir Engineering. For 2022, our reserve auditor’s estimates of our proved reserves did not differ materially from our estimates by more than the established audit tolerance guidelines of ten percent.</w:t>
      </w:r>
    </w:p>
    <w:p>
      <w:pPr>
        <w:spacing w:after="0" w:line="230"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internal control procedures utilized in the preparation of our proved reserve estimates are intended to ensure reliability of reserve estimations, and include, but are not limited to the following:</w:t>
      </w:r>
    </w:p>
    <w:p>
      <w:pPr>
        <w:spacing w:after="0" w:line="202" w:lineRule="exact"/>
        <w:rPr>
          <w:sz w:val="20"/>
          <w:szCs w:val="20"/>
          <w:color w:val="auto"/>
        </w:rPr>
      </w:pPr>
    </w:p>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and verification of historical production data, which is based on actual production as reported by our operators;</w:t>
      </w:r>
    </w:p>
    <w:p>
      <w:pPr>
        <w:spacing w:after="0" w:line="60" w:lineRule="exact"/>
        <w:rPr>
          <w:rFonts w:ascii="Arial" w:cs="Arial" w:eastAsia="Arial" w:hAnsi="Arial"/>
          <w:sz w:val="18"/>
          <w:szCs w:val="18"/>
          <w:color w:val="auto"/>
        </w:rPr>
      </w:pPr>
    </w:p>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preparation of reserve estimates by the primary reserve engineers of our General Partner or under their direct supervision;</w:t>
      </w:r>
    </w:p>
    <w:p>
      <w:pPr>
        <w:spacing w:after="0" w:line="60" w:lineRule="exact"/>
        <w:rPr>
          <w:rFonts w:ascii="Arial" w:cs="Arial" w:eastAsia="Arial" w:hAnsi="Arial"/>
          <w:sz w:val="18"/>
          <w:szCs w:val="18"/>
          <w:color w:val="auto"/>
        </w:rPr>
      </w:pPr>
    </w:p>
    <w:p>
      <w:pPr>
        <w:ind w:left="640" w:hanging="312"/>
        <w:spacing w:after="0" w:line="27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by the primary reserve engineers of all of our reported proved reserves at the close of each quarter, including the review of all significant reserve changes and all new proved undeveloped reserves additions;</w:t>
      </w:r>
    </w:p>
    <w:p>
      <w:pPr>
        <w:spacing w:after="0" w:line="14" w:lineRule="exact"/>
        <w:rPr>
          <w:rFonts w:ascii="Arial" w:cs="Arial" w:eastAsia="Arial" w:hAnsi="Arial"/>
          <w:sz w:val="18"/>
          <w:szCs w:val="18"/>
          <w:color w:val="auto"/>
        </w:rPr>
      </w:pPr>
    </w:p>
    <w:p>
      <w:pPr>
        <w:ind w:left="640" w:hanging="312"/>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 of historical realized commodity prices and differentials from index prices compared to the differentials used in the reserves database;</w:t>
      </w:r>
    </w:p>
    <w:p>
      <w:pPr>
        <w:spacing w:after="0" w:line="72" w:lineRule="exact"/>
        <w:rPr>
          <w:rFonts w:ascii="Arial" w:cs="Arial" w:eastAsia="Arial" w:hAnsi="Arial"/>
          <w:sz w:val="17"/>
          <w:szCs w:val="17"/>
          <w:color w:val="auto"/>
        </w:rPr>
      </w:pPr>
    </w:p>
    <w:p>
      <w:pPr>
        <w:ind w:left="640" w:hanging="312"/>
        <w:spacing w:after="0" w:line="27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reporting responsibilities by the Senior Vice President of Reservoir Engineering to the Chief Executive Officer of our General Partner and by the current primary reserve engineer to the President of our General Partner;</w:t>
      </w:r>
    </w:p>
    <w:p>
      <w:pPr>
        <w:spacing w:after="0" w:line="14" w:lineRule="exact"/>
        <w:rPr>
          <w:rFonts w:ascii="Arial" w:cs="Arial" w:eastAsia="Arial" w:hAnsi="Arial"/>
          <w:sz w:val="18"/>
          <w:szCs w:val="18"/>
          <w:color w:val="auto"/>
        </w:rPr>
      </w:pPr>
    </w:p>
    <w:p>
      <w:pPr>
        <w:jc w:val="both"/>
        <w:ind w:left="640" w:hanging="312"/>
        <w:spacing w:after="0" w:line="260"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finalizing the reserve report, a review of our preliminary proved reserve estimates by our President and Chief Financial Officer, Executive Vice President and Chief Operating Officer, Senior Vice President of Reservoir Engineering and our primary reserves engineers takes place on an annual basis;</w:t>
      </w:r>
    </w:p>
    <w:p>
      <w:pPr>
        <w:spacing w:after="0" w:line="10" w:lineRule="exact"/>
        <w:rPr>
          <w:rFonts w:ascii="Arial" w:cs="Arial" w:eastAsia="Arial" w:hAnsi="Arial"/>
          <w:sz w:val="18"/>
          <w:szCs w:val="18"/>
          <w:color w:val="auto"/>
        </w:rPr>
      </w:pPr>
    </w:p>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of our proved reserve estimates by our Audit Committee with our executive team and Ryder Scott on an annual basis;</w:t>
      </w:r>
    </w:p>
    <w:p>
      <w:pPr>
        <w:spacing w:after="0" w:line="34" w:lineRule="exact"/>
        <w:rPr>
          <w:rFonts w:ascii="Arial" w:cs="Arial" w:eastAsia="Arial" w:hAnsi="Arial"/>
          <w:sz w:val="18"/>
          <w:szCs w:val="18"/>
          <w:color w:val="auto"/>
        </w:rPr>
      </w:pPr>
    </w:p>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verification of property ownership by our land department; and</w:t>
      </w:r>
    </w:p>
    <w:p>
      <w:pPr>
        <w:spacing w:after="0" w:line="60" w:lineRule="exact"/>
        <w:rPr>
          <w:rFonts w:ascii="Arial" w:cs="Arial" w:eastAsia="Arial" w:hAnsi="Arial"/>
          <w:sz w:val="18"/>
          <w:szCs w:val="18"/>
          <w:color w:val="auto"/>
        </w:rPr>
      </w:pPr>
    </w:p>
    <w:p>
      <w:pPr>
        <w:ind w:left="640" w:hanging="31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employee’s compensation is tied to the amount of reserves booked.</w:t>
      </w:r>
    </w:p>
    <w:p>
      <w:pPr>
        <w:spacing w:after="0" w:line="248" w:lineRule="exact"/>
        <w:rPr>
          <w:sz w:val="20"/>
          <w:szCs w:val="20"/>
          <w:color w:val="auto"/>
        </w:rPr>
      </w:pPr>
    </w:p>
    <w:p>
      <w:pPr>
        <w:ind w:firstLine="643"/>
        <w:spacing w:after="0" w:line="300" w:lineRule="auto"/>
        <w:rPr>
          <w:sz w:val="20"/>
          <w:szCs w:val="20"/>
          <w:color w:val="auto"/>
        </w:rPr>
      </w:pPr>
      <w:r>
        <w:rPr>
          <w:rFonts w:ascii="Arial" w:cs="Arial" w:eastAsia="Arial" w:hAnsi="Arial"/>
          <w:sz w:val="16"/>
          <w:szCs w:val="16"/>
          <w:color w:val="auto"/>
        </w:rPr>
        <w:t>The following table presents our estimated net proved oil and natural gas reserves as of December 31, 2022, 2021 and 2020, which were prepared in accordance with the rules and regulations of the SEC. All of our proved reserves included in the reserve reports are located in the continental United States.</w:t>
      </w:r>
    </w:p>
    <w:tbl>
      <w:tblPr>
        <w:tblLayout w:type="fixed"/>
        <w:tblInd w:w="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Pr>
          <w:p>
            <w:pPr>
              <w:spacing w:after="0"/>
              <w:rPr>
                <w:sz w:val="16"/>
                <w:szCs w:val="16"/>
                <w:color w:val="auto"/>
              </w:rPr>
            </w:pPr>
          </w:p>
        </w:tc>
      </w:tr>
      <w:tr>
        <w:trPr>
          <w:trHeight w:val="25"/>
        </w:trPr>
        <w:tc>
          <w:tcPr>
            <w:tcW w:w="64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01"/>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Estimated proved developed reserves: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54,817</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49,280</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40,220</w:t>
            </w:r>
          </w:p>
        </w:tc>
      </w:tr>
      <w:tr>
        <w:trPr>
          <w:trHeight w:val="228"/>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161,119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134,485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93,617</w:t>
            </w: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25,621</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19,476</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16,724</w:t>
            </w:r>
          </w:p>
        </w:tc>
      </w:tr>
      <w:tr>
        <w:trPr>
          <w:trHeight w:val="228"/>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107,291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91,170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72,547</w:t>
            </w:r>
          </w:p>
        </w:tc>
      </w:tr>
      <w:tr>
        <w:trPr>
          <w:trHeight w:val="212"/>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Estimated proved undeveloped reserves: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24,187</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19,960</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17,310</w:t>
            </w: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48,845</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49,205</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25,833</w:t>
            </w:r>
          </w:p>
        </w:tc>
      </w:tr>
      <w:tr>
        <w:trPr>
          <w:trHeight w:val="228"/>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9,281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8,557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5,229</w:t>
            </w: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Total (MBOE)</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41,609</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36,718</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26,845</w:t>
            </w:r>
          </w:p>
        </w:tc>
      </w:tr>
      <w:tr>
        <w:trPr>
          <w:trHeight w:val="215"/>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Estimated net proved reserves: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79,004</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69,240</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57,530</w:t>
            </w:r>
          </w:p>
        </w:tc>
      </w:tr>
      <w:tr>
        <w:trPr>
          <w:trHeight w:val="228"/>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209,964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183,690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119,450</w:t>
            </w: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34,902</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Arial" w:cs="Arial" w:eastAsia="Arial" w:hAnsi="Arial"/>
                <w:sz w:val="18"/>
                <w:szCs w:val="18"/>
                <w:color w:val="auto"/>
              </w:rPr>
              <w:t>28,033</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21,953</w:t>
            </w:r>
          </w:p>
        </w:tc>
      </w:tr>
      <w:tr>
        <w:trPr>
          <w:trHeight w:val="228"/>
        </w:trPr>
        <w:tc>
          <w:tcPr>
            <w:tcW w:w="64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Total (MBOE)</w:t>
            </w:r>
            <w:r>
              <w:rPr>
                <w:rFonts w:ascii="Arial" w:cs="Arial" w:eastAsia="Arial" w:hAnsi="Arial"/>
                <w:sz w:val="23"/>
                <w:szCs w:val="23"/>
                <w:color w:val="auto"/>
                <w:vertAlign w:val="superscript"/>
              </w:rPr>
              <w:t>(1)</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148,900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127,888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99,392</w:t>
            </w:r>
          </w:p>
        </w:tc>
      </w:tr>
      <w:tr>
        <w:trPr>
          <w:trHeight w:val="227"/>
        </w:trPr>
        <w:tc>
          <w:tcPr>
            <w:tcW w:w="6440" w:type="dxa"/>
            <w:vAlign w:val="bottom"/>
          </w:tcPr>
          <w:p>
            <w:pPr>
              <w:ind w:left="20"/>
              <w:spacing w:after="0"/>
              <w:rPr>
                <w:sz w:val="20"/>
                <w:szCs w:val="20"/>
                <w:color w:val="auto"/>
              </w:rPr>
            </w:pPr>
            <w:r>
              <w:rPr>
                <w:rFonts w:ascii="Arial" w:cs="Arial" w:eastAsia="Arial" w:hAnsi="Arial"/>
                <w:sz w:val="18"/>
                <w:szCs w:val="18"/>
                <w:color w:val="auto"/>
              </w:rPr>
              <w:t>Percent proved developed</w:t>
            </w:r>
          </w:p>
        </w:tc>
        <w:tc>
          <w:tcPr>
            <w:tcW w:w="1540" w:type="dxa"/>
            <w:vAlign w:val="bottom"/>
          </w:tcPr>
          <w:p>
            <w:pPr>
              <w:jc w:val="right"/>
              <w:spacing w:after="0"/>
              <w:rPr>
                <w:sz w:val="20"/>
                <w:szCs w:val="20"/>
                <w:color w:val="auto"/>
              </w:rPr>
            </w:pPr>
            <w:r>
              <w:rPr>
                <w:rFonts w:ascii="Arial" w:cs="Arial" w:eastAsia="Arial" w:hAnsi="Arial"/>
                <w:sz w:val="18"/>
                <w:szCs w:val="18"/>
                <w:color w:val="auto"/>
              </w:rPr>
              <w:t>72 %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73 %</w:t>
            </w:r>
          </w:p>
        </w:tc>
      </w:tr>
    </w:tbl>
    <w:p>
      <w:pPr>
        <w:spacing w:after="0" w:line="80" w:lineRule="exact"/>
        <w:rPr>
          <w:sz w:val="20"/>
          <w:szCs w:val="20"/>
          <w:color w:val="auto"/>
        </w:rPr>
      </w:pPr>
    </w:p>
    <w:p>
      <w:pPr>
        <w:jc w:val="both"/>
        <w:ind w:left="320" w:hanging="313"/>
        <w:spacing w:after="0" w:line="258" w:lineRule="auto"/>
        <w:tabs>
          <w:tab w:leader="none" w:pos="314"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Estimates of reserves as of December 31, 2022, 2021 and 2020 were prepared using the unweighted arithmetic average of hydrocarbon prices received on a field-by-field basis on the first day of each month within the 12-month periods ended December 31, 2022, 2021 and 2020, respectively, in accordance with SEC guidelines. Reserve estimates do not include any 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 See “</w:t>
      </w:r>
      <w:r>
        <w:rPr>
          <w:rFonts w:ascii="Arial" w:cs="Arial" w:eastAsia="Arial" w:hAnsi="Arial"/>
          <w:sz w:val="17"/>
          <w:szCs w:val="17"/>
          <w:u w:val="single" w:color="auto"/>
          <w:color w:val="0000FF"/>
        </w:rPr>
        <w:t>Item 1A. Risk Factors</w:t>
      </w:r>
      <w:r>
        <w:rPr>
          <w:rFonts w:ascii="Arial" w:cs="Arial" w:eastAsia="Arial" w:hAnsi="Arial"/>
          <w:sz w:val="17"/>
          <w:szCs w:val="17"/>
          <w:color w:val="auto"/>
        </w:rPr>
        <w:t>” for a discussion of risks and uncertainties associated with our estimates of proved reserves and related factors, and see Note 14—</w:t>
      </w:r>
      <w:r>
        <w:rPr>
          <w:rFonts w:ascii="Arial" w:cs="Arial" w:eastAsia="Arial" w:hAnsi="Arial"/>
          <w:sz w:val="17"/>
          <w:szCs w:val="17"/>
          <w:u w:val="single" w:color="auto"/>
          <w:color w:val="0000FF"/>
        </w:rPr>
        <w:t>Supplemental</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0000FF"/>
        </w:rPr>
        <w:t>Information on Oil and Natural Gas Operations</w:t>
      </w:r>
      <w:r>
        <w:rPr>
          <w:rFonts w:ascii="Arial" w:cs="Arial" w:eastAsia="Arial" w:hAnsi="Arial"/>
          <w:sz w:val="17"/>
          <w:szCs w:val="17"/>
          <w:color w:val="0000FF"/>
        </w:rPr>
        <w:t xml:space="preserve"> </w:t>
      </w:r>
      <w:r>
        <w:rPr>
          <w:rFonts w:ascii="Arial" w:cs="Arial" w:eastAsia="Arial" w:hAnsi="Arial"/>
          <w:sz w:val="17"/>
          <w:szCs w:val="17"/>
          <w:color w:val="000000"/>
        </w:rPr>
        <w:t>and “</w:t>
      </w:r>
      <w:r>
        <w:rPr>
          <w:rFonts w:ascii="Arial" w:cs="Arial" w:eastAsia="Arial" w:hAnsi="Arial"/>
          <w:sz w:val="17"/>
          <w:szCs w:val="17"/>
          <w:u w:val="single" w:color="auto"/>
          <w:color w:val="0000FF"/>
        </w:rPr>
        <w:t>Critical Accounting Estimates</w:t>
      </w:r>
      <w:r>
        <w:rPr>
          <w:rFonts w:ascii="Arial" w:cs="Arial" w:eastAsia="Arial" w:hAnsi="Arial"/>
          <w:sz w:val="17"/>
          <w:szCs w:val="17"/>
          <w:color w:val="000000"/>
        </w:rPr>
        <w:t>” for further discussion of our reserve estimates and pricing.</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Proved Undeveloped Reserves</w:t>
      </w:r>
    </w:p>
    <w:p>
      <w:pPr>
        <w:spacing w:after="0" w:line="248"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As of December 31, 2022, our PUD reserves totaled 24,187 MBbls of oil, 48,845 MMcf of natural gas and 9,281 MBbls of natural gas liquids, for a total of 41,609 MBOE. PUDs will be converted from undeveloped to developed as the applicable wells begin production. Our PUD reserves were from 525 horizontal wells, of which Diamondback is the operator of 510 wells with ConocoPhillips operating the remaining wells. Of the horizontal locations, 166 are Wolfcamp A wells, 141 are Lower Spraberry wells, 37 are Wolfcamp B wells, 153 are Middle Spraberry/Jo Mill wells and 28 are Bone Spring wells.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includes the changes in PUD reserves for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00" w:type="dxa"/>
            <w:vAlign w:val="bottom"/>
          </w:tcPr>
          <w:p>
            <w:pPr>
              <w:spacing w:after="0"/>
              <w:rPr>
                <w:sz w:val="16"/>
                <w:szCs w:val="16"/>
                <w:color w:val="auto"/>
              </w:rPr>
            </w:pPr>
          </w:p>
        </w:tc>
        <w:tc>
          <w:tcPr>
            <w:tcW w:w="1640" w:type="dxa"/>
            <w:vAlign w:val="bottom"/>
          </w:tcPr>
          <w:p>
            <w:pPr>
              <w:jc w:val="right"/>
              <w:ind w:right="473"/>
              <w:spacing w:after="0"/>
              <w:rPr>
                <w:sz w:val="20"/>
                <w:szCs w:val="20"/>
                <w:color w:val="auto"/>
              </w:rPr>
            </w:pPr>
            <w:r>
              <w:rPr>
                <w:rFonts w:ascii="Arial" w:cs="Arial" w:eastAsia="Arial" w:hAnsi="Arial"/>
                <w:sz w:val="14"/>
                <w:szCs w:val="14"/>
                <w:b w:val="1"/>
                <w:bCs w:val="1"/>
                <w:color w:val="auto"/>
              </w:rPr>
              <w:t>(MBOE)</w:t>
            </w:r>
          </w:p>
        </w:tc>
      </w:tr>
      <w:tr>
        <w:trPr>
          <w:trHeight w:val="25"/>
        </w:trPr>
        <w:tc>
          <w:tcPr>
            <w:tcW w:w="96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1"/>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proved undeveloped reserves at December 31, 2021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36,718</w:t>
            </w:r>
          </w:p>
        </w:tc>
      </w:tr>
      <w:tr>
        <w:trPr>
          <w:trHeight w:val="227"/>
        </w:trPr>
        <w:tc>
          <w:tcPr>
            <w:tcW w:w="9600" w:type="dxa"/>
            <w:vAlign w:val="bottom"/>
          </w:tcPr>
          <w:p>
            <w:pPr>
              <w:ind w:left="20"/>
              <w:spacing w:after="0"/>
              <w:rPr>
                <w:sz w:val="20"/>
                <w:szCs w:val="20"/>
                <w:color w:val="auto"/>
              </w:rPr>
            </w:pPr>
            <w:r>
              <w:rPr>
                <w:rFonts w:ascii="Arial" w:cs="Arial" w:eastAsia="Arial" w:hAnsi="Arial"/>
                <w:sz w:val="18"/>
                <w:szCs w:val="18"/>
                <w:color w:val="auto"/>
              </w:rPr>
              <w:t>Undeveloped reserves transferred to developed</w:t>
            </w:r>
          </w:p>
        </w:tc>
        <w:tc>
          <w:tcPr>
            <w:tcW w:w="1640" w:type="dxa"/>
            <w:vAlign w:val="bottom"/>
          </w:tcPr>
          <w:p>
            <w:pPr>
              <w:jc w:val="right"/>
              <w:spacing w:after="0"/>
              <w:rPr>
                <w:sz w:val="20"/>
                <w:szCs w:val="20"/>
                <w:color w:val="auto"/>
              </w:rPr>
            </w:pPr>
            <w:r>
              <w:rPr>
                <w:rFonts w:ascii="Arial" w:cs="Arial" w:eastAsia="Arial" w:hAnsi="Arial"/>
                <w:sz w:val="18"/>
                <w:szCs w:val="18"/>
                <w:color w:val="auto"/>
              </w:rPr>
              <w:t>(6,758)</w:t>
            </w:r>
          </w:p>
        </w:tc>
      </w:tr>
      <w:tr>
        <w:trPr>
          <w:trHeight w:val="228"/>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r>
      <w:tr>
        <w:trPr>
          <w:trHeight w:val="227"/>
        </w:trPr>
        <w:tc>
          <w:tcPr>
            <w:tcW w:w="96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64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28"/>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Extensions and discoveries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14,957</w:t>
            </w:r>
          </w:p>
        </w:tc>
      </w:tr>
      <w:tr>
        <w:trPr>
          <w:trHeight w:val="221"/>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Ending proved undeveloped reserves at December 31, 2022</w:t>
            </w:r>
          </w:p>
        </w:tc>
        <w:tc>
          <w:tcPr>
            <w:tcW w:w="1640" w:type="dxa"/>
            <w:vAlign w:val="bottom"/>
          </w:tcPr>
          <w:p>
            <w:pPr>
              <w:jc w:val="right"/>
              <w:spacing w:after="0"/>
              <w:rPr>
                <w:sz w:val="20"/>
                <w:szCs w:val="20"/>
                <w:color w:val="auto"/>
              </w:rPr>
            </w:pPr>
            <w:r>
              <w:rPr>
                <w:rFonts w:ascii="Arial" w:cs="Arial" w:eastAsia="Arial" w:hAnsi="Arial"/>
                <w:sz w:val="18"/>
                <w:szCs w:val="18"/>
                <w:color w:val="auto"/>
              </w:rPr>
              <w:t>41,609</w:t>
            </w:r>
          </w:p>
        </w:tc>
      </w:tr>
    </w:tbl>
    <w:p>
      <w:pPr>
        <w:spacing w:after="0" w:line="321"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increase in proved undeveloped reserves was primarily attributable to additions of 14,957 MBOE, primarily from 199 horizontal well locations attributable to extensions resulting from strategic drilling of wells to delineate our acreage position and acquisitions of 367 MBOE, partially offset by the conversion of PUD reserves into proved developed reserves of 6,758 MBOE. Downward revisions of 3,675 MBOE were primarily attributable to PUD downgrades of 7,007 MBOE, which were partially offset by other positive revisions.</w:t>
      </w:r>
    </w:p>
    <w:p>
      <w:pPr>
        <w:spacing w:after="0" w:line="21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All of our PUD drilling locations are scheduled to be drilled within five years from the date they were initially recorded. As of December 31, 2022, none of our total proved reserves were classified as proved developed non-producing.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Production Prices and Production Costs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Production and Price History</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operate primarily in the Midland and Delaware Basins of the Permian Basin in Texas. At December 31, 2022, 2021 and 2020, the Midland Basin and the Delaware Basin each contained 15% or more of our total proved reserves.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firstLine="643"/>
        <w:spacing w:after="0" w:line="265" w:lineRule="auto"/>
        <w:rPr>
          <w:sz w:val="20"/>
          <w:szCs w:val="20"/>
          <w:color w:val="auto"/>
        </w:rPr>
      </w:pPr>
      <w:r>
        <w:rPr>
          <w:rFonts w:ascii="Arial" w:cs="Arial" w:eastAsia="Arial" w:hAnsi="Arial"/>
          <w:sz w:val="18"/>
          <w:szCs w:val="18"/>
          <w:color w:val="auto"/>
        </w:rPr>
        <w:t>The following table sets forth information regarding our share of our operators’ net production of oil, natural gas and natural gas liquids for these fields along with our share of our operators’ net production from fields containing less than 15% of our total proved reserves:</w:t>
      </w: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1620" w:type="dxa"/>
            <w:vAlign w:val="bottom"/>
            <w:gridSpan w:val="2"/>
          </w:tcPr>
          <w:p>
            <w:pPr>
              <w:ind w:left="500"/>
              <w:spacing w:after="0"/>
              <w:rPr>
                <w:sz w:val="20"/>
                <w:szCs w:val="20"/>
                <w:color w:val="auto"/>
              </w:rPr>
            </w:pPr>
            <w:r>
              <w:rPr>
                <w:rFonts w:ascii="Arial" w:cs="Arial" w:eastAsia="Arial" w:hAnsi="Arial"/>
                <w:sz w:val="14"/>
                <w:szCs w:val="14"/>
                <w:b w:val="1"/>
                <w:bCs w:val="1"/>
                <w:color w:val="auto"/>
              </w:rPr>
              <w:t>Midland</w:t>
            </w:r>
          </w:p>
        </w:tc>
        <w:tc>
          <w:tcPr>
            <w:tcW w:w="1620" w:type="dxa"/>
            <w:vAlign w:val="bottom"/>
            <w:gridSpan w:val="2"/>
          </w:tcPr>
          <w:p>
            <w:pPr>
              <w:ind w:left="460"/>
              <w:spacing w:after="0"/>
              <w:rPr>
                <w:sz w:val="20"/>
                <w:szCs w:val="20"/>
                <w:color w:val="auto"/>
              </w:rPr>
            </w:pPr>
            <w:r>
              <w:rPr>
                <w:rFonts w:ascii="Arial" w:cs="Arial" w:eastAsia="Arial" w:hAnsi="Arial"/>
                <w:sz w:val="14"/>
                <w:szCs w:val="14"/>
                <w:b w:val="1"/>
                <w:bCs w:val="1"/>
                <w:color w:val="auto"/>
              </w:rPr>
              <w:t>Delaware</w:t>
            </w:r>
          </w:p>
        </w:tc>
        <w:tc>
          <w:tcPr>
            <w:tcW w:w="1620" w:type="dxa"/>
            <w:vAlign w:val="bottom"/>
            <w:gridSpan w:val="2"/>
          </w:tcPr>
          <w:p>
            <w:pPr>
              <w:ind w:left="52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(1)</w:t>
            </w:r>
          </w:p>
        </w:tc>
        <w:tc>
          <w:tcPr>
            <w:tcW w:w="1520" w:type="dxa"/>
            <w:vAlign w:val="bottom"/>
          </w:tcPr>
          <w:p>
            <w:pPr>
              <w:jc w:val="right"/>
              <w:ind w:right="512"/>
              <w:spacing w:after="0"/>
              <w:rPr>
                <w:sz w:val="20"/>
                <w:szCs w:val="20"/>
                <w:color w:val="auto"/>
              </w:rPr>
            </w:pPr>
            <w:r>
              <w:rPr>
                <w:rFonts w:ascii="Arial" w:cs="Arial" w:eastAsia="Arial" w:hAnsi="Arial"/>
                <w:sz w:val="14"/>
                <w:szCs w:val="14"/>
                <w:b w:val="1"/>
                <w:bCs w:val="1"/>
                <w:color w:val="auto"/>
              </w:rPr>
              <w:t>Total</w:t>
            </w:r>
          </w:p>
        </w:tc>
      </w:tr>
      <w:tr>
        <w:trPr>
          <w:trHeight w:val="194"/>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(MBbls)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w:t>
            </w:r>
          </w:p>
        </w:tc>
      </w:tr>
      <w:tr>
        <w:trPr>
          <w:trHeight w:val="227"/>
        </w:trPr>
        <w:tc>
          <w:tcPr>
            <w:tcW w:w="4860" w:type="dxa"/>
            <w:vAlign w:val="bottom"/>
          </w:tcPr>
          <w:p>
            <w:pPr>
              <w:ind w:left="240"/>
              <w:spacing w:after="0"/>
              <w:rPr>
                <w:sz w:val="20"/>
                <w:szCs w:val="20"/>
                <w:color w:val="auto"/>
              </w:rPr>
            </w:pPr>
            <w:r>
              <w:rPr>
                <w:rFonts w:ascii="Arial" w:cs="Arial" w:eastAsia="Arial" w:hAnsi="Arial"/>
                <w:sz w:val="18"/>
                <w:szCs w:val="18"/>
                <w:color w:val="auto"/>
              </w:rPr>
              <w:t>Natural gas (MMcf)</w:t>
            </w:r>
          </w:p>
        </w:tc>
        <w:tc>
          <w:tcPr>
            <w:tcW w:w="1520" w:type="dxa"/>
            <w:vAlign w:val="bottom"/>
          </w:tcPr>
          <w:p>
            <w:pPr>
              <w:jc w:val="right"/>
              <w:spacing w:after="0"/>
              <w:rPr>
                <w:sz w:val="20"/>
                <w:szCs w:val="20"/>
                <w:color w:val="auto"/>
              </w:rPr>
            </w:pPr>
            <w:r>
              <w:rPr>
                <w:rFonts w:ascii="Arial" w:cs="Arial" w:eastAsia="Arial" w:hAnsi="Arial"/>
                <w:sz w:val="18"/>
                <w:szCs w:val="18"/>
                <w:color w:val="auto"/>
              </w:rPr>
              <w:t>10,648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4,864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15,868</w:t>
            </w:r>
          </w:p>
        </w:tc>
      </w:tr>
      <w:tr>
        <w:trPr>
          <w:trHeight w:val="228"/>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liquids (MBbl)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r>
      <w:tr>
        <w:trPr>
          <w:trHeight w:val="227"/>
        </w:trPr>
        <w:tc>
          <w:tcPr>
            <w:tcW w:w="4860" w:type="dxa"/>
            <w:vAlign w:val="bottom"/>
          </w:tcPr>
          <w:p>
            <w:pPr>
              <w:ind w:left="240"/>
              <w:spacing w:after="0"/>
              <w:rPr>
                <w:sz w:val="20"/>
                <w:szCs w:val="20"/>
                <w:color w:val="auto"/>
              </w:rPr>
            </w:pPr>
            <w:r>
              <w:rPr>
                <w:rFonts w:ascii="Arial" w:cs="Arial" w:eastAsia="Arial" w:hAnsi="Arial"/>
                <w:sz w:val="18"/>
                <w:szCs w:val="18"/>
                <w:color w:val="auto"/>
              </w:rPr>
              <w:t>Combined volumes (MBOE)</w:t>
            </w:r>
          </w:p>
        </w:tc>
        <w:tc>
          <w:tcPr>
            <w:tcW w:w="1520" w:type="dxa"/>
            <w:vAlign w:val="bottom"/>
          </w:tcPr>
          <w:p>
            <w:pPr>
              <w:jc w:val="right"/>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12,282</w:t>
            </w:r>
          </w:p>
        </w:tc>
      </w:tr>
      <w:tr>
        <w:trPr>
          <w:trHeight w:val="215"/>
        </w:trPr>
        <w:tc>
          <w:tcPr>
            <w:tcW w:w="48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(MBbls)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r>
      <w:tr>
        <w:trPr>
          <w:trHeight w:val="227"/>
        </w:trPr>
        <w:tc>
          <w:tcPr>
            <w:tcW w:w="4860" w:type="dxa"/>
            <w:vAlign w:val="bottom"/>
          </w:tcPr>
          <w:p>
            <w:pPr>
              <w:ind w:left="240"/>
              <w:spacing w:after="0"/>
              <w:rPr>
                <w:sz w:val="20"/>
                <w:szCs w:val="20"/>
                <w:color w:val="auto"/>
              </w:rPr>
            </w:pPr>
            <w:r>
              <w:rPr>
                <w:rFonts w:ascii="Arial" w:cs="Arial" w:eastAsia="Arial" w:hAnsi="Arial"/>
                <w:sz w:val="18"/>
                <w:szCs w:val="18"/>
                <w:color w:val="auto"/>
              </w:rPr>
              <w:t>Natural gas (MMcf)</w:t>
            </w:r>
          </w:p>
        </w:tc>
        <w:tc>
          <w:tcPr>
            <w:tcW w:w="1520" w:type="dxa"/>
            <w:vAlign w:val="bottom"/>
          </w:tcPr>
          <w:p>
            <w:pPr>
              <w:jc w:val="right"/>
              <w:spacing w:after="0"/>
              <w:rPr>
                <w:sz w:val="20"/>
                <w:szCs w:val="20"/>
                <w:color w:val="auto"/>
              </w:rPr>
            </w:pPr>
            <w:r>
              <w:rPr>
                <w:rFonts w:ascii="Arial" w:cs="Arial" w:eastAsia="Arial" w:hAnsi="Arial"/>
                <w:sz w:val="18"/>
                <w:szCs w:val="18"/>
                <w:color w:val="auto"/>
              </w:rPr>
              <w:t>8,756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13,672</w:t>
            </w:r>
          </w:p>
        </w:tc>
      </w:tr>
      <w:tr>
        <w:trPr>
          <w:trHeight w:val="228"/>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liquids (MBbl)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r>
      <w:tr>
        <w:trPr>
          <w:trHeight w:val="227"/>
        </w:trPr>
        <w:tc>
          <w:tcPr>
            <w:tcW w:w="4860" w:type="dxa"/>
            <w:vAlign w:val="bottom"/>
          </w:tcPr>
          <w:p>
            <w:pPr>
              <w:ind w:left="240"/>
              <w:spacing w:after="0"/>
              <w:rPr>
                <w:sz w:val="20"/>
                <w:szCs w:val="20"/>
                <w:color w:val="auto"/>
              </w:rPr>
            </w:pPr>
            <w:r>
              <w:rPr>
                <w:rFonts w:ascii="Arial" w:cs="Arial" w:eastAsia="Arial" w:hAnsi="Arial"/>
                <w:sz w:val="18"/>
                <w:szCs w:val="18"/>
                <w:color w:val="auto"/>
              </w:rPr>
              <w:t>Combined volumes (MBOE)</w:t>
            </w:r>
          </w:p>
        </w:tc>
        <w:tc>
          <w:tcPr>
            <w:tcW w:w="1520" w:type="dxa"/>
            <w:vAlign w:val="bottom"/>
          </w:tcPr>
          <w:p>
            <w:pPr>
              <w:jc w:val="right"/>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10,260</w:t>
            </w:r>
          </w:p>
        </w:tc>
      </w:tr>
      <w:tr>
        <w:trPr>
          <w:trHeight w:val="255"/>
        </w:trPr>
        <w:tc>
          <w:tcPr>
            <w:tcW w:w="48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(MBbls)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r>
      <w:tr>
        <w:trPr>
          <w:trHeight w:val="227"/>
        </w:trPr>
        <w:tc>
          <w:tcPr>
            <w:tcW w:w="4860" w:type="dxa"/>
            <w:vAlign w:val="bottom"/>
          </w:tcPr>
          <w:p>
            <w:pPr>
              <w:ind w:left="240"/>
              <w:spacing w:after="0"/>
              <w:rPr>
                <w:sz w:val="20"/>
                <w:szCs w:val="20"/>
                <w:color w:val="auto"/>
              </w:rPr>
            </w:pPr>
            <w:r>
              <w:rPr>
                <w:rFonts w:ascii="Arial" w:cs="Arial" w:eastAsia="Arial" w:hAnsi="Arial"/>
                <w:sz w:val="18"/>
                <w:szCs w:val="18"/>
                <w:color w:val="auto"/>
              </w:rPr>
              <w:t>Natural gas (MMcf)</w:t>
            </w:r>
          </w:p>
        </w:tc>
        <w:tc>
          <w:tcPr>
            <w:tcW w:w="1520" w:type="dxa"/>
            <w:vAlign w:val="bottom"/>
          </w:tcPr>
          <w:p>
            <w:pPr>
              <w:jc w:val="right"/>
              <w:spacing w:after="0"/>
              <w:rPr>
                <w:sz w:val="20"/>
                <w:szCs w:val="20"/>
                <w:color w:val="auto"/>
              </w:rPr>
            </w:pPr>
            <w:r>
              <w:rPr>
                <w:rFonts w:ascii="Arial" w:cs="Arial" w:eastAsia="Arial" w:hAnsi="Arial"/>
                <w:sz w:val="18"/>
                <w:szCs w:val="18"/>
                <w:color w:val="auto"/>
              </w:rPr>
              <w:t>7,136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11,486</w:t>
            </w:r>
          </w:p>
        </w:tc>
      </w:tr>
      <w:tr>
        <w:trPr>
          <w:trHeight w:val="228"/>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liquids (MBbl)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27"/>
        </w:trPr>
        <w:tc>
          <w:tcPr>
            <w:tcW w:w="4860" w:type="dxa"/>
            <w:vAlign w:val="bottom"/>
          </w:tcPr>
          <w:p>
            <w:pPr>
              <w:ind w:left="240"/>
              <w:spacing w:after="0"/>
              <w:rPr>
                <w:sz w:val="20"/>
                <w:szCs w:val="20"/>
                <w:color w:val="auto"/>
              </w:rPr>
            </w:pPr>
            <w:r>
              <w:rPr>
                <w:rFonts w:ascii="Arial" w:cs="Arial" w:eastAsia="Arial" w:hAnsi="Arial"/>
                <w:sz w:val="18"/>
                <w:szCs w:val="18"/>
                <w:color w:val="auto"/>
              </w:rPr>
              <w:t>Combined volumes (MBOE)</w:t>
            </w:r>
          </w:p>
        </w:tc>
        <w:tc>
          <w:tcPr>
            <w:tcW w:w="1520" w:type="dxa"/>
            <w:vAlign w:val="bottom"/>
          </w:tcPr>
          <w:p>
            <w:pPr>
              <w:jc w:val="right"/>
              <w:spacing w:after="0"/>
              <w:rPr>
                <w:sz w:val="20"/>
                <w:szCs w:val="20"/>
                <w:color w:val="auto"/>
              </w:rPr>
            </w:pPr>
            <w:r>
              <w:rPr>
                <w:rFonts w:ascii="Arial" w:cs="Arial" w:eastAsia="Arial" w:hAnsi="Arial"/>
                <w:sz w:val="18"/>
                <w:szCs w:val="18"/>
                <w:color w:val="auto"/>
              </w:rPr>
              <w:t>6,481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2,931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9,718</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(1) Production data includes the Eagle Ford Shale through October 1, 2022, the effective date on which the properties were divested.</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certain price and cost information for each of the periods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8"/>
        </w:trPr>
        <w:tc>
          <w:tcPr>
            <w:tcW w:w="64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01"/>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Prices: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7"/>
        </w:trPr>
        <w:tc>
          <w:tcPr>
            <w:tcW w:w="6400" w:type="dxa"/>
            <w:vAlign w:val="bottom"/>
          </w:tcPr>
          <w:p>
            <w:pPr>
              <w:ind w:left="340"/>
              <w:spacing w:after="0"/>
              <w:rPr>
                <w:sz w:val="20"/>
                <w:szCs w:val="20"/>
                <w:color w:val="auto"/>
              </w:rPr>
            </w:pPr>
            <w:r>
              <w:rPr>
                <w:rFonts w:ascii="Arial" w:cs="Arial" w:eastAsia="Arial" w:hAnsi="Arial"/>
                <w:sz w:val="18"/>
                <w:szCs w:val="18"/>
                <w:color w:val="auto"/>
              </w:rPr>
              <w:t>Oil (per Bbl)</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94.02</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65.51</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36.58</w:t>
            </w:r>
          </w:p>
        </w:tc>
      </w:tr>
      <w:tr>
        <w:trPr>
          <w:trHeight w:val="228"/>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Natural gas (per Mcf)</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r>
      <w:tr>
        <w:trPr>
          <w:trHeight w:val="227"/>
        </w:trPr>
        <w:tc>
          <w:tcPr>
            <w:tcW w:w="6400" w:type="dxa"/>
            <w:vAlign w:val="bottom"/>
          </w:tcPr>
          <w:p>
            <w:pPr>
              <w:ind w:left="340"/>
              <w:spacing w:after="0"/>
              <w:rPr>
                <w:sz w:val="20"/>
                <w:szCs w:val="20"/>
                <w:color w:val="auto"/>
              </w:rPr>
            </w:pPr>
            <w:r>
              <w:rPr>
                <w:rFonts w:ascii="Arial" w:cs="Arial" w:eastAsia="Arial" w:hAnsi="Arial"/>
                <w:sz w:val="18"/>
                <w:szCs w:val="18"/>
                <w:color w:val="auto"/>
              </w:rPr>
              <w:t>Natural gas liquids (per Bbl)</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34.47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28"/>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Combined (per BOE)</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68.23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r>
      <w:tr>
        <w:trPr>
          <w:trHeight w:val="214"/>
        </w:trPr>
        <w:tc>
          <w:tcPr>
            <w:tcW w:w="6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8"/>
        </w:trPr>
        <w:tc>
          <w:tcPr>
            <w:tcW w:w="6400" w:type="dxa"/>
            <w:vAlign w:val="bottom"/>
            <w:shd w:val="clear" w:color="auto" w:fill="CCEEFF"/>
          </w:tcPr>
          <w:p>
            <w:pPr>
              <w:ind w:left="340"/>
              <w:spacing w:after="0" w:line="228"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92.85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28"/>
        </w:trPr>
        <w:tc>
          <w:tcPr>
            <w:tcW w:w="6400" w:type="dxa"/>
            <w:vAlign w:val="bottom"/>
          </w:tcPr>
          <w:p>
            <w:pPr>
              <w:ind w:left="340"/>
              <w:spacing w:after="0" w:line="228"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(1)</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28"/>
        </w:trPr>
        <w:tc>
          <w:tcPr>
            <w:tcW w:w="6400" w:type="dxa"/>
            <w:vAlign w:val="bottom"/>
            <w:shd w:val="clear" w:color="auto" w:fill="CCEEFF"/>
          </w:tcPr>
          <w:p>
            <w:pPr>
              <w:ind w:left="340"/>
              <w:spacing w:after="0" w:line="228"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34.47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302"/>
        </w:trPr>
        <w:tc>
          <w:tcPr>
            <w:tcW w:w="6400" w:type="dxa"/>
            <w:vAlign w:val="bottom"/>
          </w:tcPr>
          <w:p>
            <w:pPr>
              <w:ind w:left="340"/>
              <w:spacing w:after="0"/>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(1)</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66.21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4"/>
                <w:szCs w:val="24"/>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21.71</w:t>
            </w:r>
          </w:p>
        </w:tc>
      </w:tr>
    </w:tbl>
    <w:p>
      <w:pPr>
        <w:spacing w:after="0" w:line="72" w:lineRule="exact"/>
        <w:rPr>
          <w:sz w:val="20"/>
          <w:szCs w:val="20"/>
          <w:color w:val="auto"/>
        </w:rPr>
      </w:pPr>
    </w:p>
    <w:p>
      <w:pPr>
        <w:ind w:right="20" w:firstLine="7"/>
        <w:spacing w:after="0" w:line="271" w:lineRule="auto"/>
        <w:tabs>
          <w:tab w:leader="none" w:pos="2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realized gains and losses on cash settlements for matured commodity derivatives, which we do not designate for hedge accounting.</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7"/>
          <w:szCs w:val="17"/>
          <w:color w:val="auto"/>
        </w:rPr>
        <w:t>As of December 31, 2022, we owned an average 3.8% net revenue interest in 8,260 gross productive wells, including an average 3.8% net revenue interest in 7,985 gross oil productive wells and an average 2.1% net revenue interest in 275 gross natural gas productive wells. As of December 31, 2022, we had 34 gross wells with an average 7.5% net revenue interest in process of being drilled by Diamondback. The expected timing of these wells is based primarily on permitting by third party operators or Diamondback’s current expected completion schedule. Productive wells consist of producing wells capable of production, including natural gas awaiting pipeline connections to commence deliveries and oil wells awaiting connection to production facilities. Gross wells are the total number of producing wells in which we have an interest.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Acreage</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as of December 31, 2022 relating to the gross and net royalty acreage of our mineral interests: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Basin</w:t>
            </w:r>
          </w:p>
        </w:tc>
        <w:tc>
          <w:tcPr>
            <w:tcW w:w="1960" w:type="dxa"/>
            <w:vAlign w:val="bottom"/>
            <w:gridSpan w:val="2"/>
          </w:tcPr>
          <w:p>
            <w:pPr>
              <w:ind w:left="220"/>
              <w:spacing w:after="0"/>
              <w:rPr>
                <w:sz w:val="20"/>
                <w:szCs w:val="20"/>
                <w:color w:val="auto"/>
              </w:rPr>
            </w:pPr>
            <w:r>
              <w:rPr>
                <w:rFonts w:ascii="Arial" w:cs="Arial" w:eastAsia="Arial" w:hAnsi="Arial"/>
                <w:sz w:val="14"/>
                <w:szCs w:val="14"/>
                <w:b w:val="1"/>
                <w:bCs w:val="1"/>
                <w:color w:val="auto"/>
              </w:rPr>
              <w:t>Gross Royalty Acreage</w:t>
            </w:r>
          </w:p>
        </w:tc>
        <w:tc>
          <w:tcPr>
            <w:tcW w:w="1760" w:type="dxa"/>
            <w:vAlign w:val="bottom"/>
          </w:tcPr>
          <w:p>
            <w:pPr>
              <w:jc w:val="right"/>
              <w:ind w:right="175"/>
              <w:spacing w:after="0"/>
              <w:rPr>
                <w:sz w:val="20"/>
                <w:szCs w:val="20"/>
                <w:color w:val="auto"/>
              </w:rPr>
            </w:pPr>
            <w:r>
              <w:rPr>
                <w:rFonts w:ascii="Arial" w:cs="Arial" w:eastAsia="Arial" w:hAnsi="Arial"/>
                <w:sz w:val="14"/>
                <w:szCs w:val="14"/>
                <w:b w:val="1"/>
                <w:bCs w:val="1"/>
                <w:color w:val="auto"/>
              </w:rPr>
              <w:t>Net Royalty Acreage</w:t>
            </w:r>
          </w:p>
        </w:tc>
      </w:tr>
      <w:tr>
        <w:trPr>
          <w:trHeight w:val="224"/>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502,003</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14,944</w:t>
            </w:r>
          </w:p>
        </w:tc>
      </w:tr>
      <w:tr>
        <w:trPr>
          <w:trHeight w:val="227"/>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Midland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273,177</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11,371</w:t>
            </w:r>
          </w:p>
        </w:tc>
      </w:tr>
      <w:tr>
        <w:trPr>
          <w:trHeight w:val="246"/>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acreage</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775,180</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Our net interest in production from our mineral interests is based on lease royalty terms which vary from property to property. Our interest in the majority of these properties is perpetual in nature, however an insignificant portion of our net royalty acreage consists of overriding royalty interests which may be subject to expiration. Net royalty acres are defined as net mineral acres multiplied by the average lease royalty interest and other burdens.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w:t>
      </w:r>
    </w:p>
    <w:p>
      <w:pPr>
        <w:spacing w:after="0" w:line="252"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Prior to the drilling of an oil or natural gas well,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operators’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the assignment of leasehold rights in properties in which we hold an interest, our business and cash available for distribution may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2"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The oil and natural gas industry is intensely competitive, and we compete with other companies that may have greater resources. Many of these companies explore for and produce oil and natural gas, carry on midstream and refining operations and market petroleum and other products on a regional, national or worldwide basis. These companies may be able to pay more for productive oil and natural gas properties, mineral interests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than operators of our mineral and royalty acreage. Our larger or more integrated competitors may be able to absorb the burden of existing, and any changes to, federal, state and local laws and regulations more easily than we can, which would adversely affect our competitive position.</w:t>
      </w:r>
    </w:p>
    <w:p>
      <w:pPr>
        <w:spacing w:after="0" w:line="195"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Our ability to acquire additional mineral, royalty, overriding royalty, net profits and similar interests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these and other oil and natural gas properties. Further, oil and natural gas compete with other forms of energy available to customers, primarily based on price.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52" w:lineRule="exact"/>
        <w:rPr>
          <w:sz w:val="20"/>
          <w:szCs w:val="20"/>
          <w:color w:val="auto"/>
        </w:rPr>
      </w:pPr>
    </w:p>
    <w:p>
      <w:pPr>
        <w:jc w:val="both"/>
        <w:ind w:firstLine="643"/>
        <w:spacing w:after="0" w:line="280" w:lineRule="auto"/>
        <w:rPr>
          <w:sz w:val="20"/>
          <w:szCs w:val="20"/>
          <w:color w:val="auto"/>
        </w:rPr>
      </w:pPr>
      <w:r>
        <w:rPr>
          <w:rFonts w:ascii="Arial" w:cs="Arial" w:eastAsia="Arial" w:hAnsi="Arial"/>
          <w:sz w:val="16"/>
          <w:szCs w:val="16"/>
          <w:color w:val="auto"/>
        </w:rPr>
        <w:t>Generally, demand for oil increases during the summer months and decreases during the winter months while natural gas decreases during the summer months and increases during the winter months. Certain natural gas users utilize natural gas storage facilities and purchase some of their anticipated winter requirements during the summer, which can lessen seasonal demand fluctuations. Seasonal weather conditions such as the severe winter storms in the Permian Basin in early 2021, and lease stipulations, can limit drilling and producing activities and other oil and natural gas operations in a portion of our operating areas. These seasonal anomalies can pose challenges for our operators in meeting well drilling objectives and can increase competition for equipment, supplies and personnel during the spring and summer months, which could lead to shortages and increase costs or delay operations.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i w:val="1"/>
          <w:iCs w:val="1"/>
          <w:color w:val="auto"/>
        </w:rPr>
        <w:t>The following disclosure describes regulation more directly associated with operators of oil and natural gas properties, including our current operators, and other owners of working interests in oil and natural gas properties. To the extent we elect in the future to engage in the exploration, development and production of oil and natural gas properties, we would be directly subject to the same regulations described below. For purposes of this section, where applicable, references to “we,” “us,” and “our” refer to Viper Energy Partners LP to the extent the partnership were to acquire working interests in the future as well as to any operators of our properties, including our current operators.</w:t>
      </w:r>
    </w:p>
    <w:p>
      <w:pPr>
        <w:spacing w:after="0" w:line="137"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Oil and natural gas operations are subject to various types of legislation, regulation and other legal requirements enacted by governmental authorities. This legislation and regulation affecting the oil and natural gas industry is under constant review for amendment or expansion. Some of these requirements carry substantial penalties for failure to comply. The regulatory burden on the oil and natural gas industry increases the cost of doing business.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48" w:lineRule="exact"/>
        <w:rPr>
          <w:sz w:val="20"/>
          <w:szCs w:val="20"/>
          <w:color w:val="auto"/>
        </w:rPr>
      </w:pPr>
    </w:p>
    <w:p>
      <w:pPr>
        <w:jc w:val="both"/>
        <w:ind w:firstLine="562"/>
        <w:spacing w:after="0" w:line="267" w:lineRule="auto"/>
        <w:rPr>
          <w:sz w:val="20"/>
          <w:szCs w:val="20"/>
          <w:color w:val="auto"/>
        </w:rPr>
      </w:pPr>
      <w:r>
        <w:rPr>
          <w:rFonts w:ascii="Arial" w:cs="Arial" w:eastAsia="Arial" w:hAnsi="Arial"/>
          <w:sz w:val="17"/>
          <w:szCs w:val="17"/>
          <w:color w:val="auto"/>
        </w:rPr>
        <w:t>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operations.</w:t>
      </w:r>
    </w:p>
    <w:p>
      <w:pPr>
        <w:spacing w:after="0" w:line="212"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and adversely affect our business and prospects.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Waste Handling</w:t>
      </w:r>
    </w:p>
    <w:p>
      <w:pPr>
        <w:spacing w:after="0" w:line="248"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The Resource Conservation and Recovery Act, or the RCRA, as amended, and comparable state statutes and regulations 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the U.S. Congress to re-categorize certain oil and natural gas exploration, development and production wastes as “hazardous wastes.” Also, in December 2016, the EPA agreed in a consent decree to review its regulation of oil and natural gas waste. However, in April 2019, the EPA concluded that revisions to the federal regulations for the management of oil and natural gas waste are not necessary at this time. Any changes in such laws and regulations could have a material adverse effect on our capital expenditures and operating expenses.</w:t>
      </w:r>
    </w:p>
    <w:p>
      <w:pPr>
        <w:spacing w:after="0" w:line="194" w:lineRule="exact"/>
        <w:rPr>
          <w:sz w:val="20"/>
          <w:szCs w:val="20"/>
          <w:color w:val="auto"/>
        </w:rPr>
      </w:pPr>
    </w:p>
    <w:p>
      <w:pPr>
        <w:jc w:val="both"/>
        <w:ind w:firstLine="643"/>
        <w:spacing w:after="0" w:line="301" w:lineRule="auto"/>
        <w:rPr>
          <w:sz w:val="20"/>
          <w:szCs w:val="20"/>
          <w:color w:val="auto"/>
        </w:rPr>
      </w:pPr>
      <w:r>
        <w:rPr>
          <w:rFonts w:ascii="Arial" w:cs="Arial" w:eastAsia="Arial" w:hAnsi="Arial"/>
          <w:sz w:val="17"/>
          <w:szCs w:val="17"/>
          <w:color w:val="auto"/>
        </w:rPr>
        <w:t>Administrative, civil and criminal penalties can be imposed for failure to comply with waste handling requirements. Any legislative or regulatory reclassification of oil and natural gas exploration and production wastes could increase the costs to manage and dispose of wastes.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Remediation of Hazardous Substances</w:t>
      </w:r>
    </w:p>
    <w:p>
      <w:pPr>
        <w:spacing w:after="0" w:line="248"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The Comprehensive Environmental Response, Compensation and Liability 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Water Discharges</w:t>
      </w:r>
    </w:p>
    <w:p>
      <w:pPr>
        <w:spacing w:after="0" w:line="248"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The Federal Water Pollution Control Act of 1972, as amended, also known as the “Clean Water Act,” or the CWA, the Safe Drinking Water Act, the Oil Pollution Act,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spacing w:after="0" w:line="223"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The scope of waters regulated under the CWA has fluctuated in recent years. On June 29, 2015, the EPA and the U.S. Army Corps of Engineers, or the Corps, jointly promulgated final rules redefining the scope of waters protected under the CWA. However, on October 22, 2019, the agencies published a final rule to repeal the 2015 rules, and then, on April 21, 2020, the EPA and the Corps published a final rule replacing the 2015 rule, and significantly reducing the waters subject to federal regulation under the CWA. On August 30, 2021, a federal court struck down the replacement rule and, on December 30, 2022, the EPA and the Corps published a final rule that would restore water protections that were in place prior to 2015. Meanwhile, in October 2022, the Supreme Court heard oral arguments in a case addressing the proper test for determining whether wetlands are “waters of the United States.” As a result of such recent developments, substantial uncertainty exists regarding the scope of waters protected under the CWA. To the extent the rules expand the range of properties subject to the CWA’s jurisdiction, we or third-party operators could face increased costs and delays with respect to obtaining permits for dredge and fill activities in wetland areas.</w:t>
      </w:r>
    </w:p>
    <w:p>
      <w:pPr>
        <w:spacing w:after="0" w:line="212"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219"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Non-compliance with the CWA or the OPA may result in substantial administrative, civil and criminal penalties, as well as injunctive obligations.</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Air Emissions</w:t>
      </w:r>
    </w:p>
    <w:p>
      <w:pPr>
        <w:spacing w:after="0" w:line="248"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The federal Clean Air Act, or the CAA, as amended, and comparable state laws and regulations, 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“—Regulation of Hydraulic Fracturing.” Also, on May 12, 2016, the EPA issued a final rule regarding the criteria for aggregating multiple small surface sites into a single source for air-quality permitting purposes applicable to the oil and natural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Obtaining or renewing permits has the potential to delay the development of oil and natural gas projects.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Climate Change</w:t>
      </w:r>
    </w:p>
    <w:p>
      <w:pPr>
        <w:spacing w:after="0" w:line="248"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color w:val="auto"/>
        </w:rPr>
        <w:t>In recent years, federal, state and local governments have taken steps to reduce emissions of greenhouse gases. On August 16, 2022, President Biden signed into law the Inflation Reduction Act of 2022, or the IRA, which includes billions of dollars in incentives for the development of renewable energy, clean hydrogen, clean fuels, electric vehicles, investments in advanced biofuels and supporting infrastructure and carbon capture and sequestration. These incentives could accelerate the transition of the economy away from the use of fossil fuels towards lower- or zero-carbon emissions alternatives, which could decrease demand for, and in turn the prices of, the oil and natural gas that we produce and sell, which could decrease demand for, and in turn the prices of, the oil and natural gas that we produce and sell and adversely impact our business. In addition, the IRA imposes the first ever federal fee on the emission of greenhouse gases through a methane emissions charge. The IRA amends the CAA to impose a fee on the emission of methane that exceeds an applicable waste emissions threshold from sources required to report their greenhouse gas emissions to the EPA, including those sources in the offshore and onshore petroleum and natural gas production and gathering and boosting source categories. The methane emissions charge would start in calendar year 2024 at $900 per ton of methane, increase to $1,200 in 2025 and be set at $1,500 for 2026 and each year after. Calculation of the fee is based on certain thresholds established in the IRA. The methane emissions charge could increase our operating costs, which could adversely impact our business, financial condition and cash flows.</w:t>
      </w:r>
    </w:p>
    <w:p>
      <w:pPr>
        <w:spacing w:after="0" w:line="199" w:lineRule="exact"/>
        <w:rPr>
          <w:sz w:val="20"/>
          <w:szCs w:val="20"/>
          <w:color w:val="auto"/>
        </w:rPr>
      </w:pPr>
    </w:p>
    <w:p>
      <w:pPr>
        <w:jc w:val="both"/>
        <w:ind w:firstLine="643"/>
        <w:spacing w:after="0" w:line="276" w:lineRule="auto"/>
        <w:rPr>
          <w:sz w:val="20"/>
          <w:szCs w:val="20"/>
          <w:color w:val="auto"/>
        </w:rPr>
      </w:pPr>
      <w:r>
        <w:rPr>
          <w:rFonts w:ascii="Arial" w:cs="Arial" w:eastAsia="Arial" w:hAnsi="Arial"/>
          <w:sz w:val="16"/>
          <w:szCs w:val="16"/>
          <w:color w:val="auto"/>
        </w:rPr>
        <w:t>The EPA has also finalized a series of greenhouse gas monitoring, reporting and emissions control rules for the oil and natural gas industry, and almost one-half of the states have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spacing w:after="0" w:line="201"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 to cooperate and report actions to reduce greenhouse gas emissions. Although the United States withdrew from the Paris Agreement effective November 4, 2020, President Biden issued an Executive Order on January 20, 2021 to rejoin the Paris Agreement, which went into effect on February 19, 2021. On April 21, 2021, the United States announced that it was setting an economy-wide target of reducing its greenhouse gas emissions by 50-52 percent below 2005 levels in 2030. In November 2021, in connection with the 26th Conference of the Parties in Glasgow, Scotland, the United States and other world leaders made further commitments to reduce greenhouse gas emissions, including reducing global methane emissions by at least 30% by 2030. Furthermore, many state and local leaders have stated their intent to intensify efforts to support the international climate commitments.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215"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In addition, there have been efforts in recent years to influence the investment community, including investment advisors and certain sovereign wealth, pension and endowment funds, by promoting divestment of fossil fuel equities and pressuring lenders to limit funding and insurance underwriters to limit coverages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greenhouse gas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195"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Moreover,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such as the severe winter storms in the Permian Basin in February 2021,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Regulation of Hydraulic Fracturing</w:t>
      </w:r>
    </w:p>
    <w:p>
      <w:pPr>
        <w:spacing w:after="0" w:line="248"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the U.S.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262"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204"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color w:val="auto"/>
        </w:rPr>
        <w:t>On August 16, 2012, the EPA published final regulations under the federal CAA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on August 13, 2020, in response to an executive order by former President Trump to review and revise unduly burdensome regulations, the EPA amended the 2012 and 2016 New Source Performance standards to ease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regulatory burdens, including rescinding standards applicable to transmission or storage segments and eliminating methane requirements altogether. On June 30, 2021, President Biden signed into law a joint resolution of the U.S. Congress disapproving the 2020 amendments (with the exception of some technical changes) thereby reinstating the 2012 and 2016 New Source Performance standards. The EPA expects owners and operators of regulated sources to take “immediate steps” to comply with these standards. Additionally, on November 15, 2021, the EPA published a proposed rule that would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On December 6, 2022, the EPA published a supplemental proposal to strengthen the emission reduction requirements, which would, among other things, expand leak detection requirements and tighten flaring restrictions. These new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 We cannot predict the final regulatory requirements or the cost to comply with such requirements with any certainty.</w:t>
      </w:r>
    </w:p>
    <w:p>
      <w:pPr>
        <w:spacing w:after="0" w:line="234" w:lineRule="exact"/>
        <w:rPr>
          <w:sz w:val="20"/>
          <w:szCs w:val="20"/>
          <w:color w:val="auto"/>
        </w:rPr>
      </w:pPr>
    </w:p>
    <w:p>
      <w:pPr>
        <w:jc w:val="both"/>
        <w:ind w:firstLine="643"/>
        <w:spacing w:after="0" w:line="249" w:lineRule="auto"/>
        <w:rPr>
          <w:sz w:val="20"/>
          <w:szCs w:val="20"/>
          <w:color w:val="auto"/>
        </w:rPr>
      </w:pPr>
      <w:r>
        <w:rPr>
          <w:rFonts w:ascii="Arial" w:cs="Arial" w:eastAsia="Arial" w:hAnsi="Arial"/>
          <w:sz w:val="17"/>
          <w:szCs w:val="17"/>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and the Department of the Interior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212" w:lineRule="exact"/>
        <w:rPr>
          <w:sz w:val="20"/>
          <w:szCs w:val="20"/>
          <w:color w:val="auto"/>
        </w:rPr>
      </w:pPr>
    </w:p>
    <w:p>
      <w:pPr>
        <w:jc w:val="both"/>
        <w:ind w:firstLine="643"/>
        <w:spacing w:after="0" w:line="263" w:lineRule="auto"/>
        <w:rPr>
          <w:sz w:val="20"/>
          <w:szCs w:val="20"/>
          <w:color w:val="auto"/>
        </w:rPr>
      </w:pPr>
      <w:r>
        <w:rPr>
          <w:rFonts w:ascii="Arial" w:cs="Arial" w:eastAsia="Arial" w:hAnsi="Arial"/>
          <w:sz w:val="16"/>
          <w:szCs w:val="16"/>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Federal Occupational Safety and Health Act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and temporarily suspend operations for waste disposal wells. For example, in September 2021, the Texas Railroad Commission curtailed the amount of water companies were permitted to inject into some wells near Midland and Odessa in the Permian Basin, and has subsequently suspended some permits there and expanded the restrictions to other areas. In addition, the Texas Railroad Commission has imposed daily monitoring and reporting requirements for any new disposal well permitted in the Permian Basin. These restrictions on the disposal of produced water, a moratorium on new produced water wells, and additional monitoring and reporting requirements could result in increased operating costs, forcing our operators or their vendors to truck produced water, recycle it or pump it through the pipeline network or other means, all of which could be costly. Our operators or their vendors may also limit disposal well volumes, disposal rates and pressures or locations, or require them to shut down or curtail the injection of produced water into disposal wells. These factors may make drilling activity in the affected parts of the Permian Basin less economical and adversely impact our business.</w:t>
      </w:r>
    </w:p>
    <w:p>
      <w:pPr>
        <w:spacing w:after="0" w:line="223"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Regulation of the Oil and Natural Gas Industry</w:t>
      </w:r>
    </w:p>
    <w:p>
      <w:pPr>
        <w:spacing w:after="0" w:line="248"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the cost of doing business, these burdens generally do not affect us any differently or to any greater or lesser extent than they affect other companies in the industry with similar types, quantities and locations of production. 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209"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Although oil and natural gas prices are currently unregulated, the U.S. Congress historically has been active in the area of oil and natural gas regulation. We cannot predict whether new legislation to regulate oil and natural gas might be proposed, what proposals, if any, might actually be enacted by the U.S. Congress or the various state legislatures, and what effect, if any, the proposals might have on our operations. Sales of condensate and oil and natural gas liquids are not currently regulated and are made at market prices.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Drilling and Production</w:t>
      </w:r>
    </w:p>
    <w:p>
      <w:pPr>
        <w:spacing w:after="0" w:line="248"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The operations of our operators are subject to various types of regulation at the federal, state and local level. These types of regulation include requiring permits for the drilling of wells, drilling bonds and reports concerning operations. The states, and some counties and municipalities, in which our operators conduct business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w:t>
      </w:r>
    </w:p>
    <w:p>
      <w:pPr>
        <w:spacing w:after="0" w:line="189"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that our operators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our unitholders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209" w:lineRule="exact"/>
        <w:rPr>
          <w:sz w:val="20"/>
          <w:szCs w:val="20"/>
          <w:color w:val="auto"/>
        </w:rPr>
      </w:pPr>
    </w:p>
    <w:p>
      <w:pPr>
        <w:jc w:val="both"/>
        <w:ind w:right="20" w:firstLine="643"/>
        <w:spacing w:after="0" w:line="260" w:lineRule="auto"/>
        <w:rPr>
          <w:sz w:val="20"/>
          <w:szCs w:val="20"/>
          <w:color w:val="auto"/>
        </w:rPr>
      </w:pPr>
      <w:r>
        <w:rPr>
          <w:rFonts w:ascii="Arial" w:cs="Arial" w:eastAsia="Arial" w:hAnsi="Arial"/>
          <w:sz w:val="18"/>
          <w:szCs w:val="18"/>
          <w:color w:val="auto"/>
        </w:rPr>
        <w:t>Federal, state and local regulations provide detailed requirements for the plugging and abandonment of wells, closure or decommissioning of production facilities and pipelines and for site restoration in areas. Although the Corps does not require bonds or other financial assurances, some state agencies and municipalities do have such requirements.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Natural Gas Sales</w:t>
      </w:r>
    </w:p>
    <w:p>
      <w:pPr>
        <w:spacing w:after="0" w:line="248"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Historically, federal legislation and regulatory controls have affected the price and marketing of natural gas.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Under the Energy Policy Act of 2005, FERC has substantial enforcement authority to prohibit the manipulation of natural gas markets and enforce its rules and orders, including the ability to assess substantial civil penalties.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Oil Sales and Transportation</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Sales of crude oil, condensate and natural gas liquids are not currently regulated and are made at negotiated prices. Nevertheless, the U.S. Congress could reenact price controls in the future.</w:t>
      </w:r>
    </w:p>
    <w:p>
      <w:pPr>
        <w:spacing w:after="0" w:line="202"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Crude oil sales are affected by the availability, terms and cost of transportation. The transportation of oil in common carrier pipelines is also subject to rate regulation. FERC regulates interstate oil pipeline transportation rates under the Interstate Commerce Act, and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137"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Further, interstate and intrastate common carrier oil pipelines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our operators to the same extent as to our or their competitors.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State Regulation</w:t>
      </w:r>
    </w:p>
    <w:p>
      <w:pPr>
        <w:spacing w:after="0" w:line="248"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Texas regulates the drilling for, and the production, gathering and sale of, oil and natural gas, including imposing severance taxes 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our unitholders that they will not do so in the future. The effect of these regulations may be to limit the amount of oil and natural gas that may be produced from our wells and to limit the number of wells or locations our operators can drill.</w:t>
      </w:r>
    </w:p>
    <w:p>
      <w:pPr>
        <w:spacing w:after="0" w:line="207"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do not have any employees. We are managed and operated by the board of directors and executive officers of our General Partner. All of the individuals that conduct our business, including our executive officers, are employed by Diamondback.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5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Our principal executive offices are located in Midland, Texas and are owned by Diamondback. We believe that these facilities are adequate for our current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Partnership Reports</w:t>
      </w:r>
    </w:p>
    <w:p>
      <w:pPr>
        <w:spacing w:after="0" w:line="25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Our annual reports on Form 10-K, quarterly reports on Form 10-Q, current reports on Form 8-K and all amendments to those reports are available free of charge on the Investor Relations page of our website at www.viperenergy.com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 Reports filed or furnished with the SEC are also made available on its website at www.sec.gov.</w:t>
      </w:r>
    </w:p>
    <w:p>
      <w:pPr>
        <w:spacing w:after="0" w:line="2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6"/>
          <w:szCs w:val="16"/>
          <w:i w:val="1"/>
          <w:iCs w:val="1"/>
          <w:color w:val="auto"/>
        </w:rPr>
        <w:t>Limited partner interests are inherently different from the capital stock of a corporation, although many of the business risks to which we are subject are similar to those that would be faced by a corporation engaged in a similar business. If any of the following risks were to occur, our business, financial condition, results of operations and cash available for distribution could be materially adversely affected. In that case, we might not be able to make distributions on our common units, the trading price of our common units could decline, and unitholders could lose all or part of their investment. Other risks are also described in “</w:t>
      </w:r>
      <w:r>
        <w:rPr>
          <w:rFonts w:ascii="Arial" w:cs="Arial" w:eastAsia="Arial" w:hAnsi="Arial"/>
          <w:sz w:val="16"/>
          <w:szCs w:val="16"/>
          <w:i w:val="1"/>
          <w:iCs w:val="1"/>
          <w:u w:val="single" w:color="auto"/>
          <w:color w:val="0000FF"/>
        </w:rPr>
        <w:t>Items 1 and 2. Business and Properties</w:t>
      </w:r>
      <w:r>
        <w:rPr>
          <w:rFonts w:ascii="Arial" w:cs="Arial" w:eastAsia="Arial" w:hAnsi="Arial"/>
          <w:sz w:val="16"/>
          <w:szCs w:val="16"/>
          <w:i w:val="1"/>
          <w:iCs w:val="1"/>
          <w:color w:val="auto"/>
        </w:rPr>
        <w:t>,” “</w:t>
      </w:r>
      <w:r>
        <w:rPr>
          <w:rFonts w:ascii="Arial" w:cs="Arial" w:eastAsia="Arial" w:hAnsi="Arial"/>
          <w:sz w:val="16"/>
          <w:szCs w:val="16"/>
          <w:i w:val="1"/>
          <w:iCs w:val="1"/>
          <w:u w:val="single" w:color="auto"/>
          <w:color w:val="0000FF"/>
        </w:rPr>
        <w:t>Item 7. Management’s Discussion and Analysis of Financial Condition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00FF"/>
        </w:rPr>
        <w:t>Results of Operations</w:t>
      </w:r>
      <w:r>
        <w:rPr>
          <w:rFonts w:ascii="Arial" w:cs="Arial" w:eastAsia="Arial" w:hAnsi="Arial"/>
          <w:sz w:val="18"/>
          <w:szCs w:val="18"/>
          <w:i w:val="1"/>
          <w:iCs w:val="1"/>
          <w:color w:val="000000"/>
        </w:rPr>
        <w:t>” and “</w:t>
      </w:r>
      <w:r>
        <w:rPr>
          <w:rFonts w:ascii="Arial" w:cs="Arial" w:eastAsia="Arial" w:hAnsi="Arial"/>
          <w:sz w:val="18"/>
          <w:szCs w:val="18"/>
          <w:i w:val="1"/>
          <w:iCs w:val="1"/>
          <w:u w:val="single" w:color="auto"/>
          <w:color w:val="0000FF"/>
        </w:rPr>
        <w:t>Item 7A. Quantitative and Qualitative Disclosures About Market Risk</w:t>
      </w:r>
      <w:r>
        <w:rPr>
          <w:rFonts w:ascii="Arial" w:cs="Arial" w:eastAsia="Arial" w:hAnsi="Arial"/>
          <w:sz w:val="18"/>
          <w:szCs w:val="18"/>
          <w:i w:val="1"/>
          <w:iCs w:val="1"/>
          <w:color w:val="000000"/>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In prior periods, our business was adversely affected by the COVID-19 pandemic and volatility in the oil and natural gas markets, compounded by the global effects of the war in Ukraine. We could continue to experience such adverse effects in future periods.</w:t>
      </w:r>
    </w:p>
    <w:p>
      <w:pPr>
        <w:spacing w:after="0" w:line="189"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18"/>
          <w:szCs w:val="18"/>
          <w:color w:val="auto"/>
        </w:rPr>
        <w:t>During 2022, 2021, and 2020 NYMEX WTI has ranged from $(37.63) to $123.70 per Bbl, and the NYMEX Henry Hub price of natural gas has ranged from $1.48 to $9.68 per MMBtu, with seven-year highs reached in 2022 and historic lows for oil reached in 2020. The war in Ukraine, the COVID-19 pandemic, rising interest rates, global supply chain disruptions, concerns about a potential economic downturn or recession, recent measures to combat persistent inflation, and actions taken by OPEC and its non-OPEC allies, collectively OPEC+, continued to contribute to economic and pricing volatility during 2022.</w:t>
      </w:r>
    </w:p>
    <w:p>
      <w:pPr>
        <w:spacing w:after="0" w:line="232"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18"/>
          <w:szCs w:val="18"/>
          <w:color w:val="auto"/>
        </w:rPr>
        <w:t>Despite the recovery in crude oil prices and strong demand, Diamondback and certain of our other operators kept production on our acreage relatively flat during 2022, using their excess cash flow for debt repayment and/or return to their stockholders rather than expanding their drilling programs. We cannot reasonably predict whether production levels will remain at current levels or the impact the full extent of the events above may have on our industry and our business.</w:t>
      </w:r>
    </w:p>
    <w:p>
      <w:pPr>
        <w:spacing w:after="0" w:line="199" w:lineRule="exact"/>
        <w:rPr>
          <w:sz w:val="20"/>
          <w:szCs w:val="20"/>
          <w:color w:val="auto"/>
        </w:rPr>
      </w:pPr>
    </w:p>
    <w:p>
      <w:pPr>
        <w:jc w:val="both"/>
        <w:ind w:firstLine="643"/>
        <w:spacing w:after="0" w:line="280" w:lineRule="auto"/>
        <w:rPr>
          <w:sz w:val="20"/>
          <w:szCs w:val="20"/>
          <w:color w:val="auto"/>
        </w:rPr>
      </w:pPr>
      <w:r>
        <w:rPr>
          <w:rFonts w:ascii="Arial" w:cs="Arial" w:eastAsia="Arial" w:hAnsi="Arial"/>
          <w:sz w:val="16"/>
          <w:szCs w:val="16"/>
          <w:color w:val="auto"/>
        </w:rPr>
        <w:t>Due to the improvement in commodity pricing environment and industry conditions, we did not record any impairments in 2022. However, if commodity prices fall below current levels, we may be required to record impairments in future periods and such impairments could be material. Further, if commodity prices decrease, our production, proved reserves and cash flows will be adversely impacted. Lower oil and natural gas prices may also result in a reduction in the borrowing base under the Operating Company’s revolving credit facility, which may be determined at the discretion of our lenders.</w:t>
      </w:r>
    </w:p>
    <w:p>
      <w:pPr>
        <w:spacing w:after="0" w:line="186" w:lineRule="exact"/>
        <w:rPr>
          <w:sz w:val="20"/>
          <w:szCs w:val="20"/>
          <w:color w:val="auto"/>
        </w:rPr>
      </w:pPr>
    </w:p>
    <w:p>
      <w:pPr>
        <w:jc w:val="both"/>
        <w:ind w:firstLine="643"/>
        <w:spacing w:after="0" w:line="235" w:lineRule="auto"/>
        <w:rPr>
          <w:sz w:val="20"/>
          <w:szCs w:val="20"/>
          <w:color w:val="auto"/>
        </w:rPr>
      </w:pPr>
      <w:r>
        <w:rPr>
          <w:rFonts w:ascii="Arial" w:cs="Arial" w:eastAsia="Arial" w:hAnsi="Arial"/>
          <w:sz w:val="18"/>
          <w:szCs w:val="18"/>
          <w:color w:val="auto"/>
        </w:rPr>
        <w:t>Other significant factors that are likely to continue to affect commodity prices in future periods include, but are not limited to, the effect of U.S. energy, monetary and trade policies, U.S. and global economic conditions, U.S. and global political and economic developments, including the Biden Administration’s energy and environmental policies, all of which are beyond our control. Our business may be also adversely impacted by any future government rule, regulation or order that may impose production limits, as well as pipeline capacity and storage constraints, in the Permian Basin where we have mineral and royalty interests. We cannot predict the ultimate impact of these factors on our business, financial condition and cash available for distribution to our unitholders.</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COVID-19 pandemic continues to present operational, health, labor, logistics and other challenges, and it is difficult to assess the ultimate impact of the COVID-19 pandemic on our business, financial condition and cash flows.</w:t>
      </w:r>
    </w:p>
    <w:p>
      <w:pPr>
        <w:spacing w:after="0" w:line="202"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There continue to be many variables and uncertainties regarding the COVID-19 pandemic, including the emergence, contagiousness and threat of new strains of the virus and their severity; the effectiveness of current treatments and vaccines against the virus or its new strains; any travel restrictions, business closures and other measures that are or may be imposed in affected areas or countries by governmental authorities; disruptions in the supply chain; a competitive labor market, logistics costs; remote working arrangements, social distancing guidelines and other COVID-19-related challenges. Further, there remain increased risks of cyberattacks on information technology systems used in remote working environments; increased privacy-related risks due to processing health-related personal information; absence of workforce due to illness; the impact of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pandemic on any of our contractual counterparties; and other factors that are currently unknown or considered immaterial. It is difficult to assess the ultimate impact of the COVID-19 pandemic on our business, financial condition and cash flows.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cannot predict the impact of the ongoing war in the Ukraine and the related humanitarian crisis on the global economy, energy markets, geopolitical stability and our business.</w:t>
      </w:r>
    </w:p>
    <w:p>
      <w:pPr>
        <w:spacing w:after="0" w:line="20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7"/>
          <w:szCs w:val="17"/>
          <w:color w:val="auto"/>
        </w:rPr>
        <w:t>Our mineral and royalty acreage is located primarily in the Permian Basin in West Texas. However, the broader consequences of the war in the Ukraine, which may include further sanctions, embargoes, supply chain disruptions, regional instability and geopolitical shifts, may have adverse effects on global macroeconomic conditions, increase volatility in the price of and demand for oil and natural gas, increase exposure to cyberattacks, cause disruptions in global supply chains, increase foreign currency fluctuations, cause constraints or disruption in the capital markets and limit sources of liquidity. We cannot predict the extent of the conflict’s effect on our business, results of operations, the global economy or energy markets.</w:t>
      </w:r>
    </w:p>
    <w:p>
      <w:pPr>
        <w:spacing w:after="0" w:line="21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commodity price derivatives could result in financial losses, may fail to protect us from declines in commodity prices, prevent us from fully benefiting from commodity price increases and may expose us to other risks, including counterparty credit risk.</w:t>
      </w:r>
    </w:p>
    <w:p>
      <w:pPr>
        <w:spacing w:after="0" w:line="189" w:lineRule="exact"/>
        <w:rPr>
          <w:sz w:val="20"/>
          <w:szCs w:val="20"/>
          <w:color w:val="auto"/>
        </w:rPr>
      </w:pPr>
    </w:p>
    <w:p>
      <w:pPr>
        <w:jc w:val="both"/>
        <w:ind w:firstLine="643"/>
        <w:spacing w:after="0" w:line="249" w:lineRule="auto"/>
        <w:rPr>
          <w:sz w:val="20"/>
          <w:szCs w:val="20"/>
          <w:color w:val="auto"/>
        </w:rPr>
      </w:pPr>
      <w:r>
        <w:rPr>
          <w:rFonts w:ascii="Arial" w:cs="Arial" w:eastAsia="Arial" w:hAnsi="Arial"/>
          <w:sz w:val="17"/>
          <w:szCs w:val="17"/>
          <w:color w:val="auto"/>
        </w:rPr>
        <w:t>We use fixed price swap contracts, fixed price basis swap contracts and costless collar contracts with corresponding put and call options to reduce price volatility associated with certain of our royalty income. Our derivative contracts are based upon reported settlement prices on commodity exchanges, with crude oil derivative settlements based on NYMEX WTI pricing (Cushing and Midland-Cushing) and with natural gas derivative settlements based on the NYMEX Henry Hub and Waha Hub pricing. By using derivative instruments to economically hedge exposure to changes in commodity prices, we expose ourselves to credit risk and market risk. At settlement, market prices for commodities may exceed the contract prices in our commodity price derivatives agreements, resulting in our need to make significant cash payments to our counterparties. Further, by using commodity derivative instruments, we expose ourselves to credit risk if we are in a positive position at contract settlement and the counterparty fails to perform under the terms of the derivative contract. Our counterparties have been determined to have an acceptable credit risk; therefore, we do not require collateral from our counterparties. By using derivative instruments, we may be prevented from fully realizing the benefits of increases in the prices of oil, natural gas liquids and natural gas above the price levels of the commodity price derivatives used to manage price risk.</w:t>
      </w:r>
    </w:p>
    <w:p>
      <w:pPr>
        <w:spacing w:after="0" w:line="208" w:lineRule="exact"/>
        <w:rPr>
          <w:sz w:val="20"/>
          <w:szCs w:val="20"/>
          <w:color w:val="auto"/>
        </w:rPr>
      </w:pPr>
    </w:p>
    <w:p>
      <w:pPr>
        <w:jc w:val="both"/>
        <w:ind w:firstLine="643"/>
        <w:spacing w:after="0"/>
        <w:rPr>
          <w:sz w:val="20"/>
          <w:szCs w:val="20"/>
          <w:color w:val="auto"/>
        </w:rPr>
      </w:pPr>
      <w:r>
        <w:rPr>
          <w:rFonts w:ascii="Arial" w:cs="Arial" w:eastAsia="Arial" w:hAnsi="Arial"/>
          <w:sz w:val="18"/>
          <w:szCs w:val="18"/>
          <w:color w:val="auto"/>
        </w:rPr>
        <w:t>For additional information regarding our use of commodity price derivatives and our outstanding derivative contracts as of December 31, 2022, see Note 10—</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of the notes to the consolidated financial statements included elsewhere in this Annual report, </w:t>
      </w:r>
      <w:r>
        <w:rPr>
          <w:rFonts w:ascii="Arial" w:cs="Arial" w:eastAsia="Arial" w:hAnsi="Arial"/>
          <w:sz w:val="18"/>
          <w:szCs w:val="18"/>
          <w:u w:val="single" w:color="auto"/>
          <w:color w:val="0000FF"/>
        </w:rPr>
        <w:t>Item 7. Management’s Discussion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Analysis of Financial Condition and Results of Operations</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Item 7A. Quantitative and Qualitative Disclosures About Market Risk</w:t>
      </w:r>
      <w:r>
        <w:rPr>
          <w:rFonts w:ascii="Arial" w:cs="Arial" w:eastAsia="Arial" w:hAnsi="Arial"/>
          <w:sz w:val="18"/>
          <w:szCs w:val="18"/>
          <w:color w:val="000000"/>
        </w:rPr>
        <w:t>—Commodity Price</w:t>
      </w:r>
      <w:r>
        <w:rPr>
          <w:rFonts w:ascii="Arial" w:cs="Arial" w:eastAsia="Arial" w:hAnsi="Arial"/>
          <w:sz w:val="18"/>
          <w:szCs w:val="18"/>
          <w:color w:val="0000FF"/>
        </w:rPr>
        <w:t xml:space="preserve"> </w:t>
      </w:r>
      <w:r>
        <w:rPr>
          <w:rFonts w:ascii="Arial" w:cs="Arial" w:eastAsia="Arial" w:hAnsi="Arial"/>
          <w:sz w:val="18"/>
          <w:szCs w:val="18"/>
          <w:color w:val="000000"/>
        </w:rPr>
        <w:t>Risk.</w:t>
      </w:r>
    </w:p>
    <w:p>
      <w:pPr>
        <w:spacing w:after="0" w:line="23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The Inflation Reduction Act of 2022, or the IRA, and other risks relating to climate change could accelerate the transition to a low carbon economy and could impose new costs on our operations that may have a material and adverse effect on us.</w:t>
      </w:r>
    </w:p>
    <w:p>
      <w:pPr>
        <w:spacing w:after="0" w:line="202"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Governmental and regulatory bodies, investors, consumers, industry and other stakeholders have been increasingly focused on climate change matters in recent years. This focus, together with changes in consumer and industrial/commercial behavior, preferences and attitudes with respect to the generation and consumption of energy, the use of hydrocarbons, and the use of products manufactured with, or powered by, hydrocarbons, may result in:</w:t>
      </w:r>
    </w:p>
    <w:p>
      <w:pPr>
        <w:spacing w:after="0" w:line="44" w:lineRule="exact"/>
        <w:rPr>
          <w:sz w:val="20"/>
          <w:szCs w:val="20"/>
          <w:color w:val="auto"/>
        </w:rPr>
      </w:pPr>
    </w:p>
    <w:p>
      <w:pPr>
        <w:ind w:left="640" w:right="20" w:hanging="312"/>
        <w:spacing w:after="0" w:line="27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enactment of climate change-related regulations, policies and initiatives by governments, investors, and other companies, including alternative energy or “zero carbon” requirements and fuel or energy conservation measures;</w:t>
      </w:r>
    </w:p>
    <w:p>
      <w:pPr>
        <w:spacing w:after="0" w:line="14" w:lineRule="exact"/>
        <w:rPr>
          <w:rFonts w:ascii="Arial" w:cs="Arial" w:eastAsia="Arial" w:hAnsi="Arial"/>
          <w:sz w:val="18"/>
          <w:szCs w:val="18"/>
          <w:color w:val="auto"/>
        </w:rPr>
      </w:pPr>
    </w:p>
    <w:p>
      <w:pPr>
        <w:ind w:left="640" w:hanging="312"/>
        <w:spacing w:after="0" w:line="27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advances with respect to the generation, transmission, storage and consumption of energy (including advances in wind, solar and hydrogen power, as well as battery technology);</w:t>
      </w:r>
    </w:p>
    <w:p>
      <w:pPr>
        <w:spacing w:after="0" w:line="14" w:lineRule="exact"/>
        <w:rPr>
          <w:rFonts w:ascii="Arial" w:cs="Arial" w:eastAsia="Arial" w:hAnsi="Arial"/>
          <w:sz w:val="18"/>
          <w:szCs w:val="18"/>
          <w:color w:val="auto"/>
        </w:rPr>
      </w:pPr>
    </w:p>
    <w:p>
      <w:pPr>
        <w:ind w:left="640" w:right="20" w:hanging="312"/>
        <w:spacing w:after="0" w:line="27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availability of, and increased demand from consumers and industry for, energy sources other than oil and natural gas (including wind, solar, nuclear, and geothermal sources as well as electric vehicles); and</w:t>
      </w:r>
    </w:p>
    <w:p>
      <w:pPr>
        <w:spacing w:after="0" w:line="14" w:lineRule="exact"/>
        <w:rPr>
          <w:rFonts w:ascii="Arial" w:cs="Arial" w:eastAsia="Arial" w:hAnsi="Arial"/>
          <w:sz w:val="18"/>
          <w:szCs w:val="18"/>
          <w:color w:val="auto"/>
        </w:rPr>
      </w:pPr>
    </w:p>
    <w:p>
      <w:pPr>
        <w:ind w:left="640" w:hanging="312"/>
        <w:spacing w:after="0" w:line="27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 of, and increased demand from consumers and industry for, lower-emission products and services (including electric vehicles and renewable residential and commercial power supplies) as well as more efficient products and services.</w:t>
      </w:r>
    </w:p>
    <w:p>
      <w:pPr>
        <w:spacing w:after="0" w:line="189" w:lineRule="exact"/>
        <w:rPr>
          <w:sz w:val="20"/>
          <w:szCs w:val="20"/>
          <w:color w:val="auto"/>
        </w:rPr>
      </w:pPr>
    </w:p>
    <w:p>
      <w:pPr>
        <w:jc w:val="both"/>
        <w:ind w:firstLine="643"/>
        <w:spacing w:after="0" w:line="236" w:lineRule="auto"/>
        <w:rPr>
          <w:sz w:val="20"/>
          <w:szCs w:val="20"/>
          <w:color w:val="auto"/>
        </w:rPr>
      </w:pPr>
      <w:r>
        <w:rPr>
          <w:rFonts w:ascii="Arial" w:cs="Arial" w:eastAsia="Arial" w:hAnsi="Arial"/>
          <w:sz w:val="18"/>
          <w:szCs w:val="18"/>
          <w:color w:val="auto"/>
        </w:rPr>
        <w:t>Any of these developments may reduce the demand for products manufactured with (or powered by) hydrocarbons and the demand for, and in turn the prices of, the oil and natural gas that we produce and sell, which would likely have a material adverse impact on us. The enactment of climate change-related regulations, policies and initiatives may also result in increases in our compliance costs and other operating costs and have other adverse effects, such as a greater potential for governmental investigations or litigation.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8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ind w:left="80" w:firstLine="643"/>
        <w:spacing w:after="0" w:line="270" w:lineRule="auto"/>
        <w:rPr>
          <w:sz w:val="20"/>
          <w:szCs w:val="20"/>
          <w:color w:val="auto"/>
        </w:rPr>
      </w:pPr>
      <w:r>
        <w:rPr>
          <w:rFonts w:ascii="Arial" w:cs="Arial" w:eastAsia="Arial" w:hAnsi="Arial"/>
          <w:sz w:val="17"/>
          <w:szCs w:val="17"/>
          <w:color w:val="auto"/>
        </w:rPr>
        <w:t>On August 16, 2022, President Biden signed into law the IRA, which includes billions of dollars in incentives for the development of renewable energy, clean hydrogen, clean fuels, electric vehicles, investments in advanced biofuels and supporting infrastructure and carbon capture and sequestration. These incentives could accelerate the transition of the economy away from the use of fossil fuels towards lower- or zero-carbon emissions alternatives, which could decrease demand for, and in turn the prices of, the oil and natural gas that we produce and sell and adversely impact our business. Additionally, the IRA imposes the first ever federal fee on greenhouse gas emissions through a methane emissions charge, which could increase our operating costs and thereby adversely impact our business, financial condition and cash flows.</w:t>
      </w:r>
    </w:p>
    <w:p>
      <w:pPr>
        <w:spacing w:after="0" w:line="194" w:lineRule="exact"/>
        <w:rPr>
          <w:sz w:val="20"/>
          <w:szCs w:val="20"/>
          <w:color w:val="auto"/>
        </w:rPr>
      </w:pPr>
    </w:p>
    <w:p>
      <w:pPr>
        <w:jc w:val="both"/>
        <w:ind w:left="80" w:firstLine="643"/>
        <w:spacing w:after="0" w:line="273" w:lineRule="auto"/>
        <w:rPr>
          <w:sz w:val="20"/>
          <w:szCs w:val="20"/>
          <w:color w:val="auto"/>
        </w:rPr>
      </w:pPr>
      <w:r>
        <w:rPr>
          <w:rFonts w:ascii="Arial" w:cs="Arial" w:eastAsia="Arial" w:hAnsi="Arial"/>
          <w:sz w:val="16"/>
          <w:szCs w:val="16"/>
          <w:color w:val="auto"/>
        </w:rPr>
        <w:t>In addition to potentially reducing (i) demand for our oil and natural gas and (ii) the availability of oilfield services and midstream and downstream customers, any of these developments may also create reputational risks associated with the exploration for, and production of, hydrocarbons, which may adversely affect the availability and cost to us of capital. For example, a number of prominent investors have publicly announced their intention to no longer invest in the oil and gas sector in response to concerns related to climate change, and other financial institutions and investors may decide to do likewise in the future. If financial institutions and other investors refuse to invest in or provide capital to the oil and gas sector in the future because of these reputational risks, that could result in capital being unavailable to us, or only at significantly increased cost.</w:t>
      </w:r>
    </w:p>
    <w:p>
      <w:pPr>
        <w:spacing w:after="0" w:line="190" w:lineRule="exact"/>
        <w:rPr>
          <w:sz w:val="20"/>
          <w:szCs w:val="20"/>
          <w:color w:val="auto"/>
        </w:rPr>
      </w:pPr>
    </w:p>
    <w:p>
      <w:pPr>
        <w:ind w:left="80" w:right="80" w:firstLine="643"/>
        <w:spacing w:after="0"/>
        <w:rPr>
          <w:sz w:val="20"/>
          <w:szCs w:val="20"/>
          <w:color w:val="auto"/>
        </w:rPr>
      </w:pPr>
      <w:r>
        <w:rPr>
          <w:rFonts w:ascii="Arial" w:cs="Arial" w:eastAsia="Arial" w:hAnsi="Arial"/>
          <w:sz w:val="18"/>
          <w:szCs w:val="18"/>
          <w:color w:val="auto"/>
        </w:rPr>
        <w:t xml:space="preserve">For further discussion regarding the risks to us of climate change-related regulations, policies and initiatives, please see the section entitled </w:t>
      </w:r>
      <w:r>
        <w:rPr>
          <w:rFonts w:ascii="Arial" w:cs="Arial" w:eastAsia="Arial" w:hAnsi="Arial"/>
          <w:sz w:val="18"/>
          <w:szCs w:val="18"/>
          <w:u w:val="single" w:color="auto"/>
          <w:color w:val="0000FF"/>
        </w:rPr>
        <w:t>“Item 1</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and 2. Business and Properties—Regulation—Climate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political and social concerns relating to climate change may result in significant litigation and related expenses.</w:t>
      </w:r>
    </w:p>
    <w:p>
      <w:pPr>
        <w:spacing w:after="0" w:line="248" w:lineRule="exact"/>
        <w:rPr>
          <w:sz w:val="20"/>
          <w:szCs w:val="20"/>
          <w:color w:val="auto"/>
        </w:rPr>
      </w:pPr>
    </w:p>
    <w:p>
      <w:pPr>
        <w:jc w:val="both"/>
        <w:ind w:left="80" w:firstLine="643"/>
        <w:spacing w:after="0" w:line="293" w:lineRule="auto"/>
        <w:rPr>
          <w:sz w:val="20"/>
          <w:szCs w:val="20"/>
          <w:color w:val="auto"/>
        </w:rPr>
      </w:pPr>
      <w:r>
        <w:rPr>
          <w:rFonts w:ascii="Arial" w:cs="Arial" w:eastAsia="Arial" w:hAnsi="Arial"/>
          <w:sz w:val="16"/>
          <w:szCs w:val="16"/>
          <w:color w:val="auto"/>
        </w:rPr>
        <w:t>Increasing attention to global climate change has resulted in increased investor attention and an increased risk of public and private litigation, which could increase our costs or otherwise adversely affect us. For example, shareholder activism has recently been increasing in our industry. Because of our structure as a limited partnership, we do not hold annual meetings or file proxy statements and our unitholders have limited voting rights. They may, however, attempt to effect changes to our business or governance to deal with climate change-related issues by public campaigns, investor communications, regulatory lobbying efforts or otherwise, which may result in significant management distraction and potentially significant expense.</w:t>
      </w:r>
    </w:p>
    <w:p>
      <w:pPr>
        <w:spacing w:after="0" w:line="189" w:lineRule="exact"/>
        <w:rPr>
          <w:sz w:val="20"/>
          <w:szCs w:val="20"/>
          <w:color w:val="auto"/>
        </w:rPr>
      </w:pPr>
    </w:p>
    <w:p>
      <w:pPr>
        <w:jc w:val="both"/>
        <w:ind w:left="80" w:firstLine="643"/>
        <w:spacing w:after="0" w:line="272" w:lineRule="auto"/>
        <w:rPr>
          <w:sz w:val="20"/>
          <w:szCs w:val="20"/>
          <w:color w:val="auto"/>
        </w:rPr>
      </w:pPr>
      <w:r>
        <w:rPr>
          <w:rFonts w:ascii="Arial" w:cs="Arial" w:eastAsia="Arial" w:hAnsi="Arial"/>
          <w:sz w:val="17"/>
          <w:szCs w:val="17"/>
          <w:color w:val="auto"/>
        </w:rPr>
        <w:t>Additionally, cities, counties, and other governmental entities in several states in the U.S. have filed lawsuits against energy companies seeking damages allegedly associated with climate change. Similar lawsuits may be filed in other jurisdictions. If any such lawsuits were to be filed against us, we could incur substantial legal defense costs and, if any such litigation were adversely determined, we could incur substantial damages. Any of these climate change-related litigation risks could result in unexpected costs, negative sentiments about our company, disruptions to our business, and increases to our operating expenses, which in turn could have an adverse effect on our business, financial condition and cash flow.</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248" w:lineRule="exact"/>
        <w:rPr>
          <w:sz w:val="20"/>
          <w:szCs w:val="20"/>
          <w:color w:val="auto"/>
        </w:rPr>
      </w:pPr>
    </w:p>
    <w:p>
      <w:pPr>
        <w:jc w:val="both"/>
        <w:ind w:left="80" w:firstLine="643"/>
        <w:spacing w:after="0" w:line="256" w:lineRule="auto"/>
        <w:rPr>
          <w:sz w:val="20"/>
          <w:szCs w:val="20"/>
          <w:color w:val="auto"/>
        </w:rPr>
      </w:pPr>
      <w:r>
        <w:rPr>
          <w:rFonts w:ascii="Arial" w:cs="Arial" w:eastAsia="Arial" w:hAnsi="Arial"/>
          <w:sz w:val="18"/>
          <w:szCs w:val="18"/>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available for distribution.</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Increased costs of capital could adversely affect our business</w:t>
      </w:r>
    </w:p>
    <w:p>
      <w:pPr>
        <w:spacing w:after="0" w:line="248" w:lineRule="exact"/>
        <w:rPr>
          <w:sz w:val="20"/>
          <w:szCs w:val="20"/>
          <w:color w:val="auto"/>
        </w:rPr>
      </w:pPr>
    </w:p>
    <w:p>
      <w:pPr>
        <w:jc w:val="both"/>
        <w:ind w:left="80" w:firstLine="643"/>
        <w:spacing w:after="0" w:line="293" w:lineRule="auto"/>
        <w:rPr>
          <w:sz w:val="20"/>
          <w:szCs w:val="20"/>
          <w:color w:val="auto"/>
        </w:rPr>
      </w:pPr>
      <w:r>
        <w:rPr>
          <w:rFonts w:ascii="Arial" w:cs="Arial" w:eastAsia="Arial" w:hAnsi="Arial"/>
          <w:sz w:val="16"/>
          <w:szCs w:val="16"/>
          <w:color w:val="auto"/>
        </w:rPr>
        <w:t>Our business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and place us at a competitive disadvantage. Continuing disruptions and volatility in the global financial markets may lead to an increase in interest rates or a contraction in credit availability impacting our ability to finance our activities. A significant reduction in the availability of credit could materially and adversely affect our ability to achieve our business strategy and cash flows.</w:t>
      </w:r>
    </w:p>
    <w:p>
      <w:pPr>
        <w:spacing w:after="0" w:line="189" w:lineRule="exact"/>
        <w:rPr>
          <w:sz w:val="20"/>
          <w:szCs w:val="20"/>
          <w:color w:val="auto"/>
        </w:rPr>
      </w:pPr>
    </w:p>
    <w:p>
      <w:pPr>
        <w:jc w:val="both"/>
        <w:ind w:left="80"/>
        <w:spacing w:after="0" w:line="307" w:lineRule="auto"/>
        <w:rPr>
          <w:sz w:val="20"/>
          <w:szCs w:val="20"/>
          <w:color w:val="auto"/>
        </w:rPr>
      </w:pPr>
      <w:r>
        <w:rPr>
          <w:rFonts w:ascii="Arial" w:cs="Arial" w:eastAsia="Arial" w:hAnsi="Arial"/>
          <w:sz w:val="16"/>
          <w:szCs w:val="16"/>
          <w:b w:val="1"/>
          <w:bCs w:val="1"/>
          <w:i w:val="1"/>
          <w:iCs w:val="1"/>
          <w:color w:val="auto"/>
        </w:rPr>
        <w:t>We may not have sufficient available cash to pay any quarterly distribution on our common units, our cash available for distribution may vary significantly from quarter to quarter and the board of directors of our General Partner has recently modified, and may in the future further modify or revoke, our cash distribution policy at any time at its discretion. Our distribution policy could limit our ability to grow and make acquisitions.</w:t>
      </w:r>
    </w:p>
    <w:p>
      <w:pPr>
        <w:spacing w:after="0" w:line="178" w:lineRule="exact"/>
        <w:rPr>
          <w:sz w:val="20"/>
          <w:szCs w:val="20"/>
          <w:color w:val="auto"/>
        </w:rPr>
      </w:pPr>
    </w:p>
    <w:p>
      <w:pPr>
        <w:jc w:val="both"/>
        <w:ind w:left="80" w:firstLine="643"/>
        <w:spacing w:after="0" w:line="245" w:lineRule="auto"/>
        <w:rPr>
          <w:sz w:val="20"/>
          <w:szCs w:val="20"/>
          <w:color w:val="auto"/>
        </w:rPr>
      </w:pPr>
      <w:r>
        <w:rPr>
          <w:rFonts w:ascii="Arial" w:cs="Arial" w:eastAsia="Arial" w:hAnsi="Arial"/>
          <w:sz w:val="18"/>
          <w:szCs w:val="18"/>
          <w:color w:val="auto"/>
        </w:rPr>
        <w:t>We may not have sufficient available cash each quarter to enable us to pay any distributions to our common unitholders. Furthermore, our partnership agreement does not require us to pay distributions on a quarterly basis or otherwise. The amount of cash we have to distribute each quarter principally depends primarily upon the amount of royalty income we generate, which is dependent upon the volumes of production sold and the prices that our operators realize from the sale of such</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69215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production. In addition, the actual amount of cash we will have to distribute each quarter under our cash distribution policy will be reduced by payments in respect of income taxes, debt service and other contractual obligations and fixed charges, increases in reserves for future operating or capital needs that the board of directors may determine is appropriate, lease bonus income, distribution equivalent rights payments and preferred distributions, if any, and any common unit repurchases. Our General Partner may further modify or revoke our distribution policy at any time in the future at its discretion. During 2022, the board of directors of the General Partner approved a distribution policy, effective beginning with the Partnership’s distribution payable for the third quarter of 2022, consisting of a base and variable distribution, that takes into account capital returned to unitholders via our common unit repurchase program. For information regarding our distribution policy and the recent modifications, see </w:t>
      </w:r>
      <w:r>
        <w:rPr>
          <w:rFonts w:ascii="Arial" w:cs="Arial" w:eastAsia="Arial" w:hAnsi="Arial"/>
          <w:sz w:val="17"/>
          <w:szCs w:val="17"/>
          <w:u w:val="single" w:color="auto"/>
          <w:color w:val="0000FF"/>
        </w:rPr>
        <w:t>“Item 5. Market for Registrant’s Common Equity, Related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Unitholder Matters and Issuer Purchases of Equity Securities—Cash Distribution Policy”</w:t>
      </w:r>
      <w:r>
        <w:rPr>
          <w:rFonts w:ascii="Arial" w:cs="Arial" w:eastAsia="Arial" w:hAnsi="Arial"/>
          <w:sz w:val="17"/>
          <w:szCs w:val="17"/>
          <w:color w:val="0000FF"/>
        </w:rPr>
        <w:t xml:space="preserve"> </w:t>
      </w:r>
      <w:r>
        <w:rPr>
          <w:rFonts w:ascii="Arial" w:cs="Arial" w:eastAsia="Arial" w:hAnsi="Arial"/>
          <w:sz w:val="17"/>
          <w:szCs w:val="17"/>
          <w:color w:val="000000"/>
        </w:rPr>
        <w:t>and “</w:t>
      </w:r>
      <w:r>
        <w:rPr>
          <w:rFonts w:ascii="Arial" w:cs="Arial" w:eastAsia="Arial" w:hAnsi="Arial"/>
          <w:sz w:val="17"/>
          <w:szCs w:val="17"/>
          <w:u w:val="single" w:color="auto"/>
          <w:color w:val="0000FF"/>
        </w:rPr>
        <w:t>Item 7. Management’s Discussion and Analysis of Financial</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Condition and Results of Operations.</w:t>
      </w:r>
      <w:r>
        <w:rPr>
          <w:rFonts w:ascii="Arial" w:cs="Arial" w:eastAsia="Arial" w:hAnsi="Arial"/>
          <w:sz w:val="17"/>
          <w:szCs w:val="17"/>
          <w:color w:val="000000"/>
        </w:rPr>
        <w:t>” As a result, quarterly distributions paid to our unitholders may vary significantly from quarter to quarter and may be</w:t>
      </w:r>
      <w:r>
        <w:rPr>
          <w:rFonts w:ascii="Arial" w:cs="Arial" w:eastAsia="Arial" w:hAnsi="Arial"/>
          <w:sz w:val="17"/>
          <w:szCs w:val="17"/>
          <w:color w:val="0000FF"/>
        </w:rPr>
        <w:t xml:space="preserve"> </w:t>
      </w:r>
      <w:r>
        <w:rPr>
          <w:rFonts w:ascii="Arial" w:cs="Arial" w:eastAsia="Arial" w:hAnsi="Arial"/>
          <w:sz w:val="17"/>
          <w:szCs w:val="17"/>
          <w:color w:val="000000"/>
        </w:rPr>
        <w:t>zero.</w:t>
      </w:r>
    </w:p>
    <w:p>
      <w:pPr>
        <w:spacing w:after="0" w:line="205"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18"/>
          <w:szCs w:val="18"/>
          <w:color w:val="auto"/>
        </w:rPr>
        <w:t>As a result of our cash distribution policy, we will have limited cash available to reinvest in our business or to fund acquisitions, and we will rely primarily upon external financing sources, including commercial bank borrowings and the issuance of debt and equity securities, to fund our acquisitions and growth capital expenditures. As such, to the extent we are unable to finance growth externally, our distribution policy will significantly impair our ability to grow.</w:t>
      </w:r>
    </w:p>
    <w:p>
      <w:pPr>
        <w:spacing w:after="0" w:line="226"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7"/>
          <w:szCs w:val="17"/>
          <w:color w:val="auto"/>
        </w:rPr>
        <w:t>To the extent we issue additional units in connection with any acquisitions or growth capital expenditures or as in-kind distributions,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w:t>
      </w:r>
    </w:p>
    <w:p>
      <w:pPr>
        <w:spacing w:after="0" w:line="20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b w:val="1"/>
          <w:bCs w:val="1"/>
          <w:i w:val="1"/>
          <w:iCs w:val="1"/>
          <w:color w:val="auto"/>
        </w:rPr>
        <w:t>We depend on a small number of operators for a substantial portion of the development and production on the properties underlying our mineral interests. A reduction in the expected number of wells to be drilled on our acreage by these operators or the failure of an operator to adequately and efficiently develop and operate our acreage could have an adverse effect on our expected growth and our results of operations.</w:t>
      </w:r>
    </w:p>
    <w:p>
      <w:pPr>
        <w:spacing w:after="0" w:line="164"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6"/>
          <w:szCs w:val="16"/>
          <w:color w:val="auto"/>
        </w:rPr>
        <w:t>The failure of our operators to adequately or efficiently perform operations or an operator’s failure to act in ways that are in our best interests could reduce production and revenues. Any development and production activities on our properties are subject to our operators’ reasonable discretion. The level, success and timing of drilling and development activities on our properties, and whether the operators elect to drill any additional wells on our acreage, depends on a number of factors that will be largely outside of our control, including: commodity prices; the timing and amount of capital expenditures by our operators, which could be significantly more than anticipated; the ability of our operators to access capital; the availability, high cost or shortages of rigs and other suitable drilling equipment, raw materials, supplies and oilfield services; the availability of production and transportation infrastructure and qualified operating personnel; regulatory restrictions; the operators’ expertise, operating efficiency and financial resources; approval of other participants in drilling wells; the operators’ expected return on investment in wells drilled on our acreage as compared to opportunities in other areas; the selection of technology; the selection of counterparties for the sale of production; and the rate of production of the reserves.</w:t>
      </w:r>
    </w:p>
    <w:p>
      <w:pPr>
        <w:spacing w:after="0" w:line="213"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The operators may elect not to undertake development activities, or may undertake such activities in an unanticipated fashion, which may result in significant fluctuations in our royalty income and cash available for distribution to our unitholders. If reductions in production by the operators are implemented on our properties and sustained, our revenues may also be substantially affected. Additionally, if an operator were to experience financial difficulty, the operator might not be able to pay its royalty payments or continue its operations, which could have a material adverse impact on us.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development of our proved undeveloped reserves may take longer and may require higher levels of capital expenditures by operators than we currently anticipate.</w:t>
      </w:r>
    </w:p>
    <w:p>
      <w:pPr>
        <w:spacing w:after="0" w:line="189" w:lineRule="exact"/>
        <w:rPr>
          <w:sz w:val="20"/>
          <w:szCs w:val="20"/>
          <w:color w:val="auto"/>
        </w:rPr>
      </w:pPr>
    </w:p>
    <w:p>
      <w:pPr>
        <w:jc w:val="both"/>
        <w:ind w:firstLine="643"/>
        <w:spacing w:after="0" w:line="249" w:lineRule="auto"/>
        <w:rPr>
          <w:sz w:val="20"/>
          <w:szCs w:val="20"/>
          <w:color w:val="auto"/>
        </w:rPr>
      </w:pPr>
      <w:r>
        <w:rPr>
          <w:rFonts w:ascii="Arial" w:cs="Arial" w:eastAsia="Arial" w:hAnsi="Arial"/>
          <w:sz w:val="17"/>
          <w:szCs w:val="17"/>
          <w:color w:val="auto"/>
        </w:rPr>
        <w:t>Approximately 28% of our total estimated proved reserves as of December 31, 2022 were proved undeveloped reserves and may not be ultimately developed or produced. Recovery of proved undeveloped reserves requires significant capital expenditures and successful drilling operations by the operators on our mineral and royalty acreage.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complete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finding, developing or acquiring additional reserves.</w:t>
      </w:r>
    </w:p>
    <w:p>
      <w:pPr>
        <w:spacing w:after="0" w:line="248"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Our future success depends upon our ability to find, develop or acquire additional oil and natural gas reserves that are economically recoverable, as our proved reserves will generally decline as reserves are depleted. To increase reserves and production, we would need to undertake replacement activities or use third party operators to undertake development, exploration and other replacement activities, requiring substantial capital expenditures. Neither we nor our third party operators may have sufficient resources to acquire additional reserves or to undertake exploration, development, production or other replacement activities. Such activities by our third party operators may not result in significant additional reserves and efforts to drill productive wells at low finding and development costs may be unsuccessful. In addition, we do not expect to retain cash from our operations for replacement capital expenditures. Furthermore, although our revenues and cash available for distribution may increase if prevailing oil and natural gas prices increase significantly, finding costs for additional reserves could also increase.</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not be able to terminate our leases if any of our operators declare bankruptcy, and we may experience delays and be unable to replace operators that do not make royalty payments.</w:t>
      </w:r>
    </w:p>
    <w:p>
      <w:pPr>
        <w:spacing w:after="0" w:line="202"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A failure on the part of the operators to make royalty payments gives us the right to terminate the lease, repossess the property and enforce payment obligations under the lease. If we repossessed any of our properties, we would seek a replacement operator. However, we might not be able to find a replacement operator and, if we did, we might not be able to enter into a new lease on favorable terms within a reasonable period of time. In addition, the outgoing operator could be subject to bankruptcy proceedings that could prevent the execution of a new lease or the assignment of the existing lease to another operator. In addition, if we enter into a new lease, the replacement operator may not achieve the same levels of production or sell oil or natural gas at the same price as the operator it replaced.</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The producing properties in which we have mineral and royalty interests are concentrated in the Permian Basin of West Texas, making us vulnerable to risks (including weather-related risks) associated with a single geographic area. In addition, a large amount of our proved reserves is attributable to a small number of producing horizons within this area.</w:t>
      </w:r>
    </w:p>
    <w:p>
      <w:pPr>
        <w:spacing w:after="0" w:line="211"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The producing properties in which we have mineral and royalty interests are currently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faced by our operators or their customers, availability of equipment, facilities, personnel or services market limitations or interruption of the processing or transportation of crude oil, natural gas or natural gas liquids on our mineral and royalty acreage, and extreme weather conditions, such as the severe winter storms in the Permian Basin in February 2021, and their adverse impact on production volumes, availability of electrical power, road accessibility and transportation facilities on our mineral and royalty acreage.</w:t>
      </w:r>
    </w:p>
    <w:p>
      <w:pPr>
        <w:spacing w:after="0" w:line="219"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Extreme regional weather events may occur that can affect our operators’ suppliers or customers, which could adversely affect us. For example, a significant hurricane or similar weather event could damage refining and other oil and natural gas-related facilities on the Gulf Coast of Texas and Louisiana, which (if significant enough) could limit the availability of gathering and transportation facilities across Texas and could then cause production in the Permian Basin (including potentially production on our mineral and royalty acreage) to be curtailed or shut in or (in the case of natural gas) flared. Further, any increase in flaring of natural gas production on our mineral and royalty acreage due to weather-related events or otherwise could expose us to reputational risks and adversely impact our or our operators’ contractual and other business relationships. Any of the above-referenced events could have a material adverse effect on us. Likewise, a weather event like the severe winter storms in the Permian Basin in February 2021 could reduce the availability of electrical power, road accessibility, and transportation facilities, which could have an adverse impact on production volumes on our mineral and royalty acreage (and therefore on our financial condition and results of operations).</w:t>
      </w:r>
    </w:p>
    <w:p>
      <w:pPr>
        <w:spacing w:after="0" w:line="21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mineral and royalty acreage, we could experience any of these conditions at the same time, resulting in a relatively greater impact on us than they might have on other companies that have a more diversified portfolio of assets. Such delays or interruptions could have a material adverse effect on our business, financial condition and cash flow.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In addition to the geographic concentration of our mineral and royalty acreage, as of December 31, 2022, most of our proved reserves are concentrated in the Wolfberry resource play in the Midland Basin. This concentration of assets within a small number of producing horizons exposes us to additional risks, such as changes in field-wide rules and regulations that could cause our operators to permanently or temporarily shut-in all of wells on our mineral and royalty acreage.</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failure to successfully identify, complete and integrate acquisitions of properties or businesses could slow our growth and adversely affect our results of operations and cash available for distribution.</w:t>
      </w:r>
    </w:p>
    <w:p>
      <w:pPr>
        <w:spacing w:after="0" w:line="202"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 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including title or environmental issues,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 Unless our operators further develop our existing properties, we will depend on acquisitions to grow our reserves, production and cash flow.</w:t>
      </w:r>
    </w:p>
    <w:p>
      <w:pPr>
        <w:spacing w:after="0" w:line="209"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Competition for acquisitions may increase the cost of, or cause us to refrain from, completing acquisitions. Our ability to complete acquisitions is dependent upon, among other things, our ability to obtain debt and equity financing and, in some cases, regulatory approvals. Further, these acquisitions may be in geographic regions in which we do not currently hold properties. If we enter into new geographic markets, we may be subject to additional and unfamiliar legal and regulatory requirements and other unforeseen difficulties.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effectively integrate the acquired business into our existing operations, the process of which may involve unforeseen difficulties and may require a disproportionate amount of our managerial and financial resources. In addition, possible future acquisitions may be larger and for purchase prices significantly higher than those paid for earlier acquisitions. Any of the unfavorable circumstances mentioned above could have a material adverse effect on our financial condition, results of operations and cash available for distribution. The inability to effectively manage the integration of acquisitions could reduce our focus on subsequent acquisitions and current operations, which, in turn, could negatively impact our growth, results of operations and cash available for distribution.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as a result of title defects in the properties in which we have an interest.</w:t>
      </w:r>
    </w:p>
    <w:p>
      <w:pPr>
        <w:spacing w:after="0" w:line="248"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When acquiring oil and natural gas leases, we may not elect to incur the expense of retaining lawyers to examine the title to the mineral interest. Rather, we may rely upon the judgment of oil and gas lease brokers or landmen who perform the fieldwork in examining records in the appropriate governmental office before attempting to acquire a lease in a specific mineral interest. The existence of a material title deficiency can render an interest worthless and can adversely affect our results of operations, financial condition and cash available for distribution.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Project areas on our properties, which are in various stages of development, may not yield oil or natural gas in commercially viable quantities.</w:t>
      </w:r>
    </w:p>
    <w:p>
      <w:pPr>
        <w:spacing w:after="0" w:line="271"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Project areas on our properties are in various stages of development, ranging from project areas with current drilling or production activity to project areas that have limited drilling or production history. If the wells in the process of being completed are on our property and do not produce sufficient revenues or if dry holes are drilled, our financial condition, results of operations and cash available for distribution may be materially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method of accounting for investments in oil and natural gas properties may result in impairments in future periods.</w:t>
      </w:r>
    </w:p>
    <w:p>
      <w:pPr>
        <w:spacing w:after="0" w:line="248"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properties, net of accumulated depreciation, depletion, amortization and impairment, exceed the discounted future net revenues of proved oil and natural gas reserves, the excess capitalized costs are charged to expense. We use the unweighted arithmetic average first day of the month price for oil and natural gas for the 12-month period preceding the calculation date in estimating discounted future net revenues.</w:t>
      </w:r>
    </w:p>
    <w:p>
      <w:pPr>
        <w:spacing w:after="0" w:line="198" w:lineRule="exact"/>
        <w:rPr>
          <w:sz w:val="20"/>
          <w:szCs w:val="20"/>
          <w:color w:val="auto"/>
        </w:rPr>
      </w:pPr>
    </w:p>
    <w:p>
      <w:pPr>
        <w:jc w:val="both"/>
        <w:ind w:firstLine="643"/>
        <w:spacing w:after="0" w:line="280" w:lineRule="auto"/>
        <w:rPr>
          <w:sz w:val="20"/>
          <w:szCs w:val="20"/>
          <w:color w:val="auto"/>
        </w:rPr>
      </w:pPr>
      <w:r>
        <w:rPr>
          <w:rFonts w:ascii="Arial" w:cs="Arial" w:eastAsia="Arial" w:hAnsi="Arial"/>
          <w:sz w:val="16"/>
          <w:szCs w:val="16"/>
          <w:color w:val="auto"/>
        </w:rPr>
        <w:t>No impairments of proved oil and natural gas properties were recorded for the years ended December 31, 2022 and 2021. We recorded impairment expense of $69.2 million for the year ended December 31, 2020. See “</w:t>
      </w:r>
      <w:r>
        <w:rPr>
          <w:rFonts w:ascii="Arial" w:cs="Arial" w:eastAsia="Arial" w:hAnsi="Arial"/>
          <w:sz w:val="16"/>
          <w:szCs w:val="16"/>
          <w:u w:val="single" w:color="auto"/>
          <w:color w:val="0000FF"/>
        </w:rPr>
        <w:t>Item 7.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Operations—Critical Accounting Estimates</w:t>
      </w:r>
      <w:r>
        <w:rPr>
          <w:rFonts w:ascii="Arial" w:cs="Arial" w:eastAsia="Arial" w:hAnsi="Arial"/>
          <w:sz w:val="16"/>
          <w:szCs w:val="16"/>
          <w:color w:val="000000"/>
        </w:rPr>
        <w:t>—Method of Accounting for Oil and Natural Gas Properties.” If the prices of oil and natural gas decline, we may</w:t>
      </w:r>
      <w:r>
        <w:rPr>
          <w:rFonts w:ascii="Arial" w:cs="Arial" w:eastAsia="Arial" w:hAnsi="Arial"/>
          <w:sz w:val="16"/>
          <w:szCs w:val="16"/>
          <w:color w:val="0000FF"/>
        </w:rPr>
        <w:t xml:space="preserve"> </w:t>
      </w:r>
      <w:r>
        <w:rPr>
          <w:rFonts w:ascii="Arial" w:cs="Arial" w:eastAsia="Arial" w:hAnsi="Arial"/>
          <w:sz w:val="16"/>
          <w:szCs w:val="16"/>
          <w:color w:val="000000"/>
        </w:rPr>
        <w:t>be required to further write-down the value of our oil and natural gas properties in the future, which could negatively affect our results of operations.</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estimated reserves are based on many assumptions that may turn out to be inaccurate. Any material inaccuracies in these reserve estimates or underlying assumptions will materially affect the quantities and present value of our reserves.</w:t>
      </w:r>
    </w:p>
    <w:p>
      <w:pPr>
        <w:spacing w:after="0" w:line="202"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if any. As a result, estimated quantities of proved reserves, projections of future production rates and the timing of development expenditures may be incorrect. Over time, we may make material changes to reserve estimates taking into account the results of actual drilling, testing and production. Also, certain assumptions regarding future oil and natural gas prices, production levels and operating and development costs, if any,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dependent on electrical power, internet and telecommunication infrastructure and information and computer systems. If any of these systems are compromised or unavailable, our business could be adversely affected.</w:t>
      </w:r>
    </w:p>
    <w:p>
      <w:pPr>
        <w:spacing w:after="0" w:line="202"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18"/>
          <w:szCs w:val="18"/>
          <w:color w:val="auto"/>
        </w:rPr>
        <w:t>We are dependent on electric power, internet and telecommunication infrastructure and our information systems and computer based programs. If any of such infrastructure, systems or programs were to fail or become unavailable or compromised, or create erroneous information in our hardware or software network infrastructure, our ability to safely and effectively conduct our business will be limited and any such consequence could have a material adverse effect on our business.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subject to cybersecurity risks. A cyber incident could occur and result in information theft, data corruption, operational disruption and/or financial loss.</w:t>
      </w:r>
    </w:p>
    <w:p>
      <w:pPr>
        <w:spacing w:after="0" w:line="202" w:lineRule="exact"/>
        <w:rPr>
          <w:sz w:val="20"/>
          <w:szCs w:val="20"/>
          <w:color w:val="auto"/>
        </w:rPr>
      </w:pPr>
    </w:p>
    <w:p>
      <w:pPr>
        <w:jc w:val="both"/>
        <w:ind w:firstLine="643"/>
        <w:spacing w:after="0" w:line="257" w:lineRule="auto"/>
        <w:rPr>
          <w:sz w:val="20"/>
          <w:szCs w:val="20"/>
          <w:color w:val="auto"/>
        </w:rPr>
      </w:pPr>
      <w:r>
        <w:rPr>
          <w:rFonts w:ascii="Arial" w:cs="Arial" w:eastAsia="Arial" w:hAnsi="Arial"/>
          <w:sz w:val="17"/>
          <w:szCs w:val="17"/>
          <w:color w:val="auto"/>
        </w:rPr>
        <w:t>We rely extensively on information technology systems, including internally developed software, data hosting platforms, real-time data acquisition systems, third-party software, cloud services and other internally or externally hosted hardware and software platforms, to (i) estimate our oil and natural gas reserves, (ii) process and record financial and operating data and (iii) communicate with our employees and vendors, suppliers and other third parties. Further, our reliance on technology has increased due to the increased use of personal devices, remote communications and work-from-home or hybrid work practices that evolved in response to the COVID-19 pandemic. Our systems and networks, and those of our vendors, service providers and other third party providers, may become the target of cybersecurity attacks, including, without limitation, denial-of-service attacks; malicious software; data privacy breaches by insiders or others with authorized access; cyber or phishing-attacks; ransomware; attempts to gain unauthorized access to our data and systems; and other electronic security breaches. If any of these security breaches were to occur, we could suffer disruptions to our operations, normal business functions and other aspects of our business.</w:t>
      </w:r>
    </w:p>
    <w:p>
      <w:pPr>
        <w:spacing w:after="0" w:line="191"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7"/>
          <w:szCs w:val="17"/>
          <w:color w:val="auto"/>
        </w:rPr>
        <w:t>We have implemented and invested in, and will continue to implement and invest in, controls, procedures and protections (including internal and external personnel) that are designed to protect our systems, identify and remediate on a regular basis vulnerabilities in our systems and related infrastructure and monitor and mitigate the risk of data loss and other cybersecurity threat. Such measures, however, cannot entirely eliminate cybersecurity threats and the controls, procedures and protections we have implemented and invested in may prove to be ineffective. As cyber incidents continue to evolve, we may be required to expend additional resources to continue to modify or enhance our protective measures or to investigate and remediate any vulnerability to cyber incidents. We maintain specialized insurance for possible liability resulting from a cyberattack on our assets, however, we cannot assure you that the insurance coverage will be adequate to cover claims that may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arise, or that we will be able to maintain adequate insurance at rates we consider reasonable. A loss not fully covered by insurance could have a material adverse effect on our business, financial condition and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Implementing our capital programs may, under certain circumstances, require an increase in our total leverage through additional debt issuances. In addition, a significant reduction in availability under the revolving credit facility and the inability to otherwise obtain financing for our capital programs could require us to curtail our capital expenditures.</w:t>
      </w:r>
    </w:p>
    <w:p>
      <w:pPr>
        <w:spacing w:after="0" w:line="211"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As a result of our cash distribution policy, we have limited cash available to reinvest in our business or to fund acquisitions and have historically relied on availability under the Operating Company’s revolving credit facility to fund a portion of our capital expenditures and for other purposes. We expect that we will continue to fund a portion of our capital expenditures and other needs with borrowings under the revolving credit facility and from the proceeds of debt and equity offerings. In the past, we have created availability under the revolving credit facility by repaying outstanding borrowings with the proceeds from equity and debt offerings. We cannot assure you that we will choose to or be able to access the capital markets to repay any such future borrowings. If the availability under the revolving credit facility were reduced, and we were otherwise unable to secure other sources of financing, we may be required to curtail our capital expenditures, which could result in an inability to complete acquisitions or finance the capital expenditures necessary to replace our reserves.</w:t>
      </w:r>
    </w:p>
    <w:p>
      <w:pPr>
        <w:spacing w:after="0" w:line="22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Restrictive covenants in the Operating Company’s revolving credit facility, the indenture governing the Notes and future debt instruments may limit our ability to respond to changes in market conditions or pursue business opportunities.</w:t>
      </w:r>
    </w:p>
    <w:p>
      <w:pPr>
        <w:spacing w:after="0" w:line="202"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The Operating Company’s revolving credit facility and the indenture governing the Notes outstanding contain, and the terms of any future indebtedness may contain, restrictive covenants that limit our and the Operating Company’s ability to, among other things: incur or guarantee additional indebtedness; make certain investments; create additional liens; sell or transfer assets; lease property as a lessee; issue redeemable or preferred equity; voluntarily redeem or prepay debt (including the Notes); merge or consolidate with another entity; pay dividends or make distributions; designate certain of our subsidiaries as unrestricted subsidiaries; create unrestricted subsidiaries; engage in transactions with affiliates; enter into gas imbalance, take-or-pay and similar agreements; and enter into certain swap agreements.</w:t>
      </w:r>
    </w:p>
    <w:p>
      <w:pPr>
        <w:spacing w:after="0" w:line="217"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We may be prevented from taking advantage of business opportunities that arise because of the limitations imposed on us and the Operating Company by the restrictive covenants contained in the revolving credit facility and the indenture that governs the Notes. In addition, the revolving credit facility requires us to maintain certain financial ratios and tests. The 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204"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Our and the Operating Company’s future ability to comply with these restrictions and covenants is uncertain and will be affected by the levels of cash flow from our operations and other events or circumstances beyond our control. If market or other economic conditions deteriorate, our ability to comply with these covenants may be impaired. A breach of any of these restrictive covenants could result in default under the revolving credit facility. If a default occurs, the lenders under the revolving credit facility may elect to declare all borrowings outstanding, together with accrued interest and other fees, to be immediately due and payable, which would result in an event of default under the indenture governing the Notes. The lenders will also have the right in these circumstances to terminate any commitments they have to provide further borrowings. If we and the Operating Company are unable to repay outstanding borrowings when due, the lenders under the revolving credit facility will also have the right to proceed against the collateral granted to them to secure the indebtedness. If the indebtedness under the revolving credit facility and the Notes were to be accelerated, we cannot assure you that our assets would be sufficient to repay in full that indebtedness.</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Any significant reduction in the borrowing base under the Operating Company’s revolving credit facility as a result of the periodic borrowing base redeterminations or otherwise may negatively impact our ability to fund our operations, and we may not have sufficient funds to repay borrowings under the revolving credit facility if required as a result of a borrowing base redetermination.</w:t>
      </w:r>
    </w:p>
    <w:p>
      <w:pPr>
        <w:spacing w:after="0" w:line="211"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A decline in commodity prices could result in a redetermination that lowers the borrowing base. Any significant reduction in the borrowing base as a result of such borrowing base redeterminations or otherwise may negatively impact our liquidity and our ability to fund our operations and, as a result, may have a material adverse effect on our financial position, results of operation and cash flow. Further, if the outstanding borrowings under the revolving credit facility were to exceed the borrowing base as a result of any such redetermination, we and the Operating Company would be required to repay the excess.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may not have sufficient funds to make such repayments. If we do not have sufficient funds and we are otherwise unable to negotiate renewals of the borrowings or arrange new financing, we may have to sell significant assets. Any such sale could have a material adverse effect on our business and financial results.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pay our substantial indebtedness.</w:t>
      </w:r>
    </w:p>
    <w:p>
      <w:pPr>
        <w:spacing w:after="0" w:line="202" w:lineRule="exact"/>
        <w:rPr>
          <w:sz w:val="20"/>
          <w:szCs w:val="20"/>
          <w:color w:val="auto"/>
        </w:rPr>
      </w:pPr>
    </w:p>
    <w:p>
      <w:pPr>
        <w:jc w:val="both"/>
        <w:ind w:firstLine="643"/>
        <w:spacing w:after="0" w:line="284"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depends on our future performance, which is subject to economic, financial, competitive and other factors beyond our control. We are dependent on cash flow generated by the Operating Company to repay the Notes. The Operating Company’s business may not generate cash flow from operations in the future sufficient to service our debt and make necessary capital expenditures. If the Operating Company is unable to generate such cash flow, we may be required to adopt one or more alternatives, such as reducing or delaying capital expenditures, selling assets, restructuring debt or obtaining additional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to attempt to meet our debt service and other obligations. The Operating Company’s revolving credit facility and the indenture governing the Notes outstanding restrict our ability to use the proceeds from asset sales. We may not be able to consummate those asset sales to raise capital or sell assets at prices that we believe are fair, and proceeds that we do receive may not be adequate to meet any debt service obligations then due. 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experience liquidity concerns, we could face a downgrade in our debt ratings which could restrict our access to, and negatively impact the terms of, current or future financings or trade credit.</w:t>
      </w:r>
    </w:p>
    <w:p>
      <w:pPr>
        <w:spacing w:after="0" w:line="202"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or the Operating Company’s borrowing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borrowings under the Operating Company’s revolving credit facility expose us to interest rate risk.</w:t>
      </w:r>
    </w:p>
    <w:p>
      <w:pPr>
        <w:spacing w:after="0" w:line="235" w:lineRule="exact"/>
        <w:rPr>
          <w:sz w:val="20"/>
          <w:szCs w:val="20"/>
          <w:color w:val="auto"/>
        </w:rPr>
      </w:pPr>
    </w:p>
    <w:p>
      <w:pPr>
        <w:jc w:val="both"/>
        <w:ind w:firstLine="643"/>
        <w:spacing w:after="0" w:line="237" w:lineRule="auto"/>
        <w:rPr>
          <w:sz w:val="20"/>
          <w:szCs w:val="20"/>
          <w:color w:val="auto"/>
        </w:rPr>
      </w:pPr>
      <w:r>
        <w:rPr>
          <w:rFonts w:ascii="Arial" w:cs="Arial" w:eastAsia="Arial" w:hAnsi="Arial"/>
          <w:sz w:val="18"/>
          <w:szCs w:val="18"/>
          <w:color w:val="auto"/>
        </w:rPr>
        <w:t>Our earnings are exposed to interest rate risk associated with borrowings under the Operating Company’s revolving credit facility. The terms of the Operating Company’s revolving credit facility provide for interest on borrowings at a floating rate equal to an alternative base rate that, since November 2022 has been tied to SOFR. SOFR tends to fluctuate based on multiple facts, including general short-term interest rates, rates set by the U.S. Federal Reserve, which may increase further in 2023, and other central banks and general economic conditions. We have not hedged our interest rate exposure with respect to our floating rate debt. The Operating Company’s weighted average interest rate on borrowings under its revolving credit facility was 4.22% during the year ended December 31, 2022. If interest rates increase, so will our interest costs, which may have a material adverse effect on our results of operations and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Diamondback owns and controls our General Partner, which has sole responsibility for conducting our business and managing our operations. Our General Partner and its affiliates, including Diamondback, have conflicts of interest with us and limited duties, and they may favor their own interests to the detriment of us and our unitholders.</w:t>
      </w:r>
    </w:p>
    <w:p>
      <w:pPr>
        <w:spacing w:after="0" w:line="211"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Diamondback owns and controls our General Partner and appoints all of the directors of our General Partner. All of the executive officers and certain of the directors of our General Partner are also officers and/or directors of Diamondback. Although our General Partner has a duty to manage us in a manner that it believes is not adverse to our interest, the executive officers and directors of our General Partner have a fiduciary duty to manage our General Partner in a manner beneficial to Diamondback. Therefore, conflicts of interest may arise between Diamondback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For instance, our General Partner is allowed to take into account the interests of parties other than us, such as Diamondback, in exercising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certain rights under our partnership agreement. Neither our partnership agreement nor any other agreement requires Diamondback to pursue a business strategy that favors us. 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 Except in limited circumstances, our General Partner has the power and authority to (i) conduct our business without unitholder approval (ii) determine the amount and timing of asset purchases and sales, borrowings, issuances of additional partnership securities and the level of cash reserves, each of which can affect the amount of cash that is distributed to our unitholders, (iii) determine which costs incurred by it and its affiliates are reimbursable by us, (iv) exercise its right to call and purchase common units if it and its affiliates own more than 80% of the common units, (v) control the enforcement of obligations that it and its affiliates owe to us, and (vi) decide whether to retain separate counsel, accountants or others to perform services for us. Our partnership agreement does not restrict our General Partner from causing us to pay it or its affiliates for any services rendered to us or entering into additional contractual arrangements with its affiliates on our behalf. Our General Partner intends to limit its liability regarding our contractual and other obligations.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Neither we nor our General Partner have any employees, and we rely solely on the employees of Diamondback to manage our business. The management team of Diamondback, which includes the individuals who manage us, also perform similar services for Diamondback and certain of its affiliates, and thus are not solely focused on our business.</w:t>
      </w:r>
    </w:p>
    <w:p>
      <w:pPr>
        <w:spacing w:after="0" w:line="211" w:lineRule="exact"/>
        <w:rPr>
          <w:sz w:val="20"/>
          <w:szCs w:val="20"/>
          <w:color w:val="auto"/>
        </w:rPr>
      </w:pPr>
    </w:p>
    <w:p>
      <w:pPr>
        <w:jc w:val="both"/>
        <w:ind w:firstLine="643"/>
        <w:spacing w:after="0" w:line="273" w:lineRule="auto"/>
        <w:rPr>
          <w:sz w:val="20"/>
          <w:szCs w:val="20"/>
          <w:color w:val="auto"/>
        </w:rPr>
      </w:pPr>
      <w:r>
        <w:rPr>
          <w:rFonts w:ascii="Arial" w:cs="Arial" w:eastAsia="Arial" w:hAnsi="Arial"/>
          <w:sz w:val="16"/>
          <w:szCs w:val="16"/>
          <w:color w:val="auto"/>
        </w:rPr>
        <w:t>Neither we nor our General Partner have any employees and we rely solely on Diamondback to operate our assets and perform other management, administrative and operating services for us and our General Partner. Diamondback provides similar activities with respect to its own assets and operations and those of certain of its affiliates. Because Diamondback provides services to us that are similar to those performed for itself and its affiliates, it may not have sufficient human, technical and other resources to provide those services at a level that it would be able to provide to us if it were solely focused on our business and operations. Diamondback may make internal decisions on how to allocate its available resources and expertise that may not always be in our best interest compared to Diamondback’s interests. There is no requirement that Diamondback favor us over itself or others in providing its services. If the employees of Diamondback and their affiliates do not devote sufficient attention to the management and operation of our business, our financial results may suffer and our ability to make distributions to our unitholders may be reduced. Many key responsibilities within our business have been assigned to a small number of individuals. The loss of their services could adversely affect our business. In particular, the loss of the services of one or more members of the executive team of our General Partner, including the Chief Executive Officer, President and Chief Financial Officer of our General Partner, Travis D. Stice, Kaes Van’t Hof and Teresa L. Dick, respectively, could disrupt our business. Further, we do not maintain “key person” life insurance policies on any of our executive team or other key personnel. As a result, we are not insured against any losses resulting from the death of these key individuals.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replaces our General Partner’s fiduciary duties to our unitholders.</w:t>
      </w:r>
    </w:p>
    <w:p>
      <w:pPr>
        <w:spacing w:after="0" w:line="248"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Our partnership agreement contains provisions that eliminate and replace the fiduciary standards to which our General Partner would otherwise be held by state fiduciary duty law, such as permitting it to make a number of decisions in its individual capacity, as opposed to in its capacity as our General Partner, which are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 how to allocate business opportunities among us and its affiliates, whether to exercise its call right, how to exercise its voting rights with respect to the units it owns, whether to exercise its registration rights and whether or not to consent to any merger or consolidation of the partnership or any amendment to the partnership agreement.</w:t>
      </w:r>
    </w:p>
    <w:p>
      <w:pPr>
        <w:spacing w:after="0" w:line="19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By purchasing a common unit, a unitholder is treated as having consented to the provisions in the partnership agreement, including the provisions discussed above.</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202"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 (i) whenever our General Partner makes a determination or takes, or declines to take, any other action in its capacity as our General Partner, it is generally required to make such determination, or take or decline to take such other action, in good faith, and will not be subject to any higher standard imposed by our partnership agreement, Delaware law, or any other law, rule or regulation, or at equity, (ii) our General Partner and its executive officers and directors will not be liable for monetary damages or otherwise to us or our limited partners resulting from any act or omission unless there has been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final and non-appealable judgment entered by a court of competent jurisdiction determining that such losses or liabilities were the result of conduct in which our General Partner, its executive officers or directors engaged in bad faith, willful misconduct or fraud or, with respect to any criminal conduct, with knowledge that such conduct was unlawful; and (iii) our General Partner will not be in breach of its obligations under the partnership agreement or its duties to us or our limited partners if a transaction, even with an affiliate or the resolution of a conflict of interest, is (a) approved by the conflicts committee of the board of directors of our General Partner, although our General Partner is not obligated to seek such approval or (b) approved by the vote of a majority of the outstanding common units, excluding any common units owned by our General Partner and its affiliates.</w:t>
      </w:r>
    </w:p>
    <w:p>
      <w:pPr>
        <w:spacing w:after="0" w:line="207"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If an affiliate transaction or the resolution of a conflict of interest is approved by our unitholders or the conflicts committee then it will be presumed that, in making its decision, taking any action or failing to act, the board of directors of our General Partner acted in good faith, and in any proceeding brought by or on behalf of any limited partner or the partnership, the person bringing or prosecuting such proceeding will have the burden of overcoming such presumption.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Diamondback and other affiliates of our General Partner may compete with us.</w:t>
      </w:r>
    </w:p>
    <w:p>
      <w:pPr>
        <w:spacing w:after="0" w:line="248"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Our partnership agreement provides that our General Partner is restricted from engaging in any business activities other than acting as our General Partner, engaging in activities incidental to its ownership interest in us and providing management, advisory and administrative services to its affiliates or to other persons. However, affiliates of our General Partner, including Diamondback, are not prohibited from the following; engaging in other businesses or activities, including those that might be in direct competition with us; competing with us for investment opportunities; owning an interest in entities that compete with us, and; acquiring, developing or disposing of additional oil and natural gas properties or other assets in the future, without any obligation to offer us the opportunity to purchase or develop any of those assets.</w:t>
      </w:r>
    </w:p>
    <w:p>
      <w:pPr>
        <w:spacing w:after="0" w:line="207"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Diamondback is an established participant in the oil and natural gas industry and has resources greater than ours, which may make it more difficult for us to compete with Diamondback with respect to commercial activities as well as for potential acquisitions. As a result, competition from Diamondback and its affiliates could adversely impact our results of operations and cash available for distribution to our common unitholders.</w:t>
      </w:r>
    </w:p>
    <w:p>
      <w:pPr>
        <w:spacing w:after="0" w:line="195"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Pursuant to the terms of our partnership agreement, the doctrine of corporate opportunity, or any analogous doctrine, does not apply to our General Partner or any of its affiliates, including its executive officers and directors, and Diamondback.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Holders of our units have limited voting rights and are not entitled to elect our General Partner or its directors, which could reduce the price at which our common units will trade.</w:t>
      </w:r>
    </w:p>
    <w:p>
      <w:pPr>
        <w:spacing w:after="0" w:line="202"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Unlike the holders of common stock in a corporation, unitholders have only limited voting rights on matters affecting our business and, therefore, limited ability to influence management’s decisions regarding our business. Unitholders have no right on an annual or ongoing basis to elect our General Partner or its board of directors. The board of directors of our General Partner, including the independent directors, is chosen entirely by Diamondback, as a result of it owning our General Partner, and not by our unitholders. Unlike publicly traded corporations, we do not conduct annual meetings of our unitholders to elect directors or conduct other matters routinely conducted at annual meetings of stockholders of corporations. As a result of these limitations, the price at which the common units will trade could be diminished because of the absence or reduction of a takeover premium in the trading price.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holders of our units are dissatisfied, they cannot remove our General Partner without its consent.</w:t>
      </w:r>
    </w:p>
    <w:p>
      <w:pPr>
        <w:spacing w:after="0" w:line="248" w:lineRule="exact"/>
        <w:rPr>
          <w:sz w:val="20"/>
          <w:szCs w:val="20"/>
          <w:color w:val="auto"/>
        </w:rPr>
      </w:pPr>
    </w:p>
    <w:p>
      <w:pPr>
        <w:jc w:val="both"/>
        <w:ind w:firstLine="643"/>
        <w:spacing w:after="0" w:line="235" w:lineRule="auto"/>
        <w:rPr>
          <w:sz w:val="20"/>
          <w:szCs w:val="20"/>
          <w:color w:val="auto"/>
        </w:rPr>
      </w:pPr>
      <w:r>
        <w:rPr>
          <w:rFonts w:ascii="Arial" w:cs="Arial" w:eastAsia="Arial" w:hAnsi="Arial"/>
          <w:sz w:val="18"/>
          <w:szCs w:val="18"/>
          <w:color w:val="auto"/>
        </w:rPr>
        <w:t xml:space="preserve">If our unitholders are dissatisfied with the performance of our General Partner, they have limited ability to remove our General Partner. Unitholders will be unable to remove our General Partner without its consent because affiliates of our General Partner own sufficient units to be able to prevent its removal. The vote of the holders of at least 66 </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all outstanding units, voting as a single class, is required to remove our General Partner, and as of December 31, 2022, Diamondback owned approximately 56% of all outstanding units.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partnership agreement restricts the voting rights of unitholders owning 20% or more of our units (other than our General Partner and its affiliates and permitted transferees).</w:t>
      </w:r>
    </w:p>
    <w:p>
      <w:pPr>
        <w:spacing w:after="0" w:line="20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Our partnership agreement restricts unitholders’ voting rights by providing that any units held by a person or group that owns 20% or more of any class of units then outstanding, other than our General Partner, its affiliates, their transferees and persons who acquired such units with the prior approval of the board of directors of our General Partner, may not vote on any matter. Our partnership agreement also contains provisions limiting the ability of unitholders to call meetings or to acquire information about our operations, as well as other provisions limiting the ability of our unitholders to influence the manner or direction of management.</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Cost reimbursements due to our General Partner and its affiliates for services provided to us or on our behalf will reduce cash available for distribution to our common unitholders. There is no limit on the amount of expenses for which our General Partner and its affiliates may be reimbursed, and it determines the amount and timing of such reimbursements.</w:t>
      </w:r>
    </w:p>
    <w:p>
      <w:pPr>
        <w:spacing w:after="0" w:line="211"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Prior to making any distribution to its unitholders, including us, the Operating Company will reimburse our General Partner and its affiliates for all expenses they incur and payments they make on our behalf. There is no limit on the amount of expenses for which our General Partner and its affiliates may be reimbursed, and the amounts may be substantial. These expenses include salary, bonus, incentive compensation and other amounts paid to persons who perform services for us or on our behalf and expenses allocated to our General Partner by its affiliates. Our General Partner will determine the expenses that are allocable to us. The reimbursement of expenses and payment of fees, if any, to our General Partner and its affiliates will reduce the amount of cash available for distribution from the Operating Company to us and from us to our common unitholders.</w:t>
      </w:r>
    </w:p>
    <w:p>
      <w:pPr>
        <w:spacing w:after="0" w:line="207"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In addition, we have entered into a tax sharing agreement with Diamondback pursuant to which we are required to reimburse Diamondback for our share of state and local income and other taxes borne by Diamondback as a result of our results being included in a combined or consolidated tax return filed by Diamondback.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interest or the control of our General Partner may be transferred to a third party without unitholder consent.</w:t>
      </w:r>
    </w:p>
    <w:p>
      <w:pPr>
        <w:spacing w:after="0" w:line="248"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Our General Partner may transfer its General Partner interest to a third party without the consent of our unitholders. Furthermore, our partnership agreement does not restrict the ability of the owner of our General Partner to transfer its membership interests in our General Partner to a third party. After any such transfer, the new member or members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Common unitholders may have liability to repay distributions and in certain circumstances may be personally liable for the obligations of the partnership.</w:t>
      </w:r>
    </w:p>
    <w:p>
      <w:pPr>
        <w:spacing w:after="0" w:line="202"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Under certain circumstances, common unitholders may have to repay amounts wrongfully returned or distributed to them. Under Section 17-607 of the Revised Uniform Limited Partnership Act, or the Delaware Act,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207"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A limited partner that participates in the control of our business within the meaning of the Delaware Act may be held personally liable for our obligations under the laws of Delaware, to the same extent as our General Partner. This liability would extend to persons who transact business with us under the reasonable belief that the limited partner is a general partner. Neither our partnership agreement nor the Delaware Act specifically provides for legal recourse against our General Partner if a limited partner were to lose limited liability through any fault of our General Partner.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unitholders to sell their common units at an undesirable time or price.</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If at any time our General Partner and its affiliates (including Diamondback) own more than 80% of the units, our General Partner will have the right, which it may assign to any of its affiliates or to us, but not the obligation, to acquire all, but not less than all, of the common units held by unaffiliated persons at a price equal to the greater of (i) the average of the daily closing price of the common units over the 20 trading days preceding the date three days before notice of exercise of the call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right is first mailed and (ii)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Exchange Act. The common units and Class B units are considered limited partner interests of a single class for these provisions. As of December 31, 2022, Diamondback owned approximately 56% of our total units outstanding.</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issue additional common units and other equity interests without unitholder approval, which would dilute existing unitholder ownership interests.</w:t>
      </w:r>
    </w:p>
    <w:p>
      <w:pPr>
        <w:spacing w:after="0" w:line="20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Under our partnership agreement, we are authorized to issue an unlimited number of additional interests, including common units, without a vote of the unitholders. The issuance by us of additional common units or other equity interests of equal or senior rank will have the following effects; the proportionate ownership interest of unitholders in us immediately prior to the issuance will decrease, the amount of cash distributions on each common unit may decrease, the ratio of our taxable income to distributions may increase, the relative voting strength of each previously outstanding common unit may be diminished, and the market price of the common units may decline.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no limitations in our partnership agreement on our ability to issue units ranking senior to the common units.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In accordance with Delaware law and the provisions of our partnership agreement, we may issue additional partnership interests that are senior to the common units in right of distribution, liquidation and voting. The issuance by us of units of senior rank may (i) reduce or eliminate the amount of cash available for distribution to our common unitholders; (ii) diminish the relative voting strength of the total common units outstanding as a class; or (iii) subordinate the claims of the common unitholders to our assets in the event of our liquidation.</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common units could be adversely affected by sales of substantial amounts of our common units in the public or private markets.</w:t>
      </w:r>
    </w:p>
    <w:p>
      <w:pPr>
        <w:spacing w:after="0" w:line="283"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Sales by holders of a substantial number of our common units in the public markets, or the perception that such sales might occur, could have a material adverse effect on the price of our common units or could impair our ability to obtain capital through an offering of equity securities. In addition, we have provided registration rights to Diamondback. Pursuant to these registration rights, we have registered, under the Securities Act, all of the common units owned by Diamondback for resale (including common units issuable in respect of the Class B units and the OpCo units). Under our partnership agreement, our General Partner and its affiliates have registration rights relating to the offer and sale of any common units that they hold.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Nasdaq does not require a publicly traded limited partnership like us to comply with certain of its corporate governance requirements.</w:t>
      </w:r>
    </w:p>
    <w:p>
      <w:pPr>
        <w:spacing w:after="0" w:line="260"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Our common units are listed on the Nasdaq Global Select Market. Because we are a publicly traded partnership, Nasdaq does not require us to have a majority of independent directors on our General Partner’s board of directors or to establish a compensation committee or a nominating and corporate governance committee. Accordingly, unitholders do not have the same protections afforded to stockholders of certain corporations that are subject to all of Nasdaq’s corporate governance requirements.</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partnership agreement includes exclusive forum, venue and jurisdiction provisions. By purchasing a common unit, a limited partner is irrevocably consenting to these provisions regarding claims, suits, actions or proceedings and submitting to the exclusive jurisdiction of Delaware courts. Our partnership agreement also provides that any unitholder bringing an unsuccessful action will be obligated to reimburse any costs we have incurred in connection with such unsuccessful action.</w:t>
      </w:r>
    </w:p>
    <w:p>
      <w:pPr>
        <w:spacing w:after="0" w:line="215"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Our partnership agreement is governed by Delaware law. Our partnership agreement includes exclusive forum, venue and jurisdiction provisions designating Delaware courts as the exclusive venue for most claims, suits, actions and proceedings involving us or our officers, directors and employees. In addition, if any person brings any of the aforementioned claims, suits, actions or proceedings and such person does not obtain a judgment on the merits that substantially achieves, in substance and amount, the full remedy sought, then such person shall be obligated to reimburse us and our affiliates for all fees, costs and expenses of every kind and description, including but not limited to all reasonable attorneys’ fees and other litigation expenses,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ind w:right="20"/>
        <w:spacing w:after="0" w:line="335" w:lineRule="auto"/>
        <w:rPr>
          <w:sz w:val="20"/>
          <w:szCs w:val="20"/>
          <w:color w:val="auto"/>
        </w:rPr>
      </w:pPr>
      <w:r>
        <w:rPr>
          <w:rFonts w:ascii="Arial" w:cs="Arial" w:eastAsia="Arial" w:hAnsi="Arial"/>
          <w:sz w:val="16"/>
          <w:szCs w:val="16"/>
          <w:color w:val="auto"/>
        </w:rPr>
        <w:t>that the parties may incur in connection with such claim, suit, action or proceeding. By purchasing a common unit, a limited partner is irrevocably consenting to these limitations and provisions regarding claims, suits, actions or proceedings and submitting to the exclusive jurisdiction of Delaware courts.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General Partner may amend our partnership agreement, as it determines necessary or advisable, to permit the General Partner to redeem the units of certain unitholders.</w:t>
      </w:r>
    </w:p>
    <w:p>
      <w:pPr>
        <w:spacing w:after="0" w:line="202"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Our General Partner may amend our partnership agreement, as it determines necessary or advisable, to obtain proof of the U.S. federal income tax status and/or the nationality, citizenship or other related status of our limited partners (and their owners, to the extent relevant) and to permit our General Partner to redeem the units held by any person (i) whose tax status has or is reasonably likely to have a material adverse effect on the maximum applicable rates chargeable to our customers, (ii) whose nationality, citizenship or related status creates substantial risk of cancellation or forfeiture of any of our property and/or (iii) who fails to comply with the procedures established to obtain such proof. The redemption price in the case of such a redemption will be the average of the daily closing prices per unit for the 20 consecutive trading days immediately prior to the date set for redemption.</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treated as a corporation for U.S. federal income tax purposes and our cash available for distribution to our common unitholders may be substantially reduced.</w:t>
      </w:r>
    </w:p>
    <w:p>
      <w:pPr>
        <w:spacing w:after="0" w:line="189"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7"/>
          <w:szCs w:val="17"/>
          <w:color w:val="auto"/>
        </w:rPr>
        <w:t>We are a Delaware limited partnership that since May 10, 2018, has elected to be treated as a corporation for U.S. federal income tax purposes. As a result, we are subject to tax at the corporate tax rate of 21%. As of December 31, 2022, the Operating Company’s special allocation to Diamondback of priority allocations of the Operating Company’s income and gains over losses and deductions (but before depletion) expired. As such, our taxable income for subsequent years is expected to include our share of allocations of the Operating Company’s income, gains, losses and deductions, as a result of our equity interests in the Operating Company. Because an entity-level tax is imposed on us due to our status as a corporation for U.S. federal income tax purposes, our distributable cash flow may be substantially reduced by our tax liabilities.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common unitholders may be taxable as dividends.</w:t>
      </w:r>
    </w:p>
    <w:p>
      <w:pPr>
        <w:spacing w:after="0" w:line="235"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6"/>
          <w:szCs w:val="16"/>
          <w:color w:val="auto"/>
        </w:rPr>
        <w:t>Because we are treated as a corporation for U.S. federal income tax purposes, if we make distributions to our common unitholders from current or accumulated earnings and profits as computed for U.S. federal income tax purposes, such distributions will be treated as distributions on corporate stock for U.S. federal income tax purposes, and generally be taxable to our common unitholders as ordinary dividend income for U.S. federal income tax purposes (to the extent of our current and accumulated earnings and profits). Such dividend distributions paid to non-corporate U.S. unitholders will be subject to U.S. federal income tax at preferential rates, provided that certain holding period and other requirements are satisfied. Any portion of our distributions to common unitholders that exceeds our current and accumulated earnings and profits as computed for U.S. federal income tax purposes will constitute a non-taxable return of capital distribution to the extent of a unitholder’s basis in its common units, and thereafter as gain on the sale or exchange of such common units. Subsequent to the expiration of the Operating Company’s special allocation to Diamondback of priority allocations of the Operating Company’s income and gains over losses and deductions (but before depletion) as of December 31, 2022, a greater proportion of our distributions may be made from current or accumulated earnings and profits and thus generally would be taxable to our common unitholders as dividends.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legislations may adversely affect our business, results of operations, financial condition and cash flow.</w:t>
      </w:r>
    </w:p>
    <w:p>
      <w:pPr>
        <w:spacing w:after="0" w:line="248"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From time to time, legislation has been proposed that, if enacted into law, would make significant changes to U.S. federal and state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w:t>
      </w:r>
    </w:p>
    <w:p>
      <w:pPr>
        <w:spacing w:after="0" w:line="182" w:lineRule="exact"/>
        <w:rPr>
          <w:sz w:val="20"/>
          <w:szCs w:val="20"/>
          <w:color w:val="auto"/>
        </w:rPr>
      </w:pPr>
    </w:p>
    <w:p>
      <w:pPr>
        <w:jc w:val="both"/>
        <w:ind w:firstLine="643"/>
        <w:spacing w:after="0" w:line="235" w:lineRule="auto"/>
        <w:rPr>
          <w:sz w:val="20"/>
          <w:szCs w:val="20"/>
          <w:color w:val="auto"/>
        </w:rPr>
      </w:pPr>
      <w:r>
        <w:rPr>
          <w:rFonts w:ascii="Arial" w:cs="Arial" w:eastAsia="Arial" w:hAnsi="Arial"/>
          <w:sz w:val="18"/>
          <w:szCs w:val="18"/>
          <w:color w:val="auto"/>
        </w:rPr>
        <w:t>On August 16, 2022, President Biden signed into law the IRA, which, among other changes, imposes a 15% corporate alternative minimum tax (“CAMT”) on the “adjusted financial statement income” of certain large corporations (generally, corporations reporting at least $1 billion average adjusted pre-tax net income on their consolidated financial statements) as well as an excise tax of 1% on the fair market value of certain public company stock/unit repurchases for tax years beginning after December 31, 2022. If we are or become subject to the CAMT, our cash tax obligations for U.S. federal income taxes could be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significantly accelerated. To the extent the 1% excise tax applies to our repurchases of units under our common unit repurchase program, the number of units we repurchase and our cash flow may be affected.</w:t>
      </w:r>
    </w:p>
    <w:p>
      <w:pPr>
        <w:spacing w:after="0" w:line="201"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18"/>
          <w:szCs w:val="18"/>
          <w:color w:val="auto"/>
        </w:rPr>
        <w:t>The U.S. Treasury Department, the Internal Revenue Service and other standard-setting bodies are expected to issue guidance on how the CAMT, stock/unit buyback excise tax and other provisions of the IRA will be applied or otherwise administered that may differ from our interpretations. We continue to evaluate the IRA and its effect on our financial results and operating cash flow.</w:t>
      </w:r>
    </w:p>
    <w:p>
      <w:pPr>
        <w:spacing w:after="0" w:line="22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r>
        <w:rPr>
          <w:rFonts w:ascii="Arial" w:cs="Arial" w:eastAsia="Arial" w:hAnsi="Arial"/>
          <w:sz w:val="18"/>
          <w:szCs w:val="18"/>
          <w:u w:val="single" w:color="auto"/>
          <w:color w:val="0000FF"/>
        </w:rPr>
        <w:t>Commitments and Contingencies</w:t>
      </w:r>
      <w:r>
        <w:rPr>
          <w:rFonts w:ascii="Arial" w:cs="Arial" w:eastAsia="Arial" w:hAnsi="Arial"/>
          <w:sz w:val="18"/>
          <w:szCs w:val="18"/>
          <w:color w:val="auto"/>
        </w:rPr>
        <w:t xml:space="preserve"> of the notes to the consolidated financial statements included elsewhere in this Annual Report.</w:t>
      </w:r>
    </w:p>
    <w:p>
      <w:pPr>
        <w:spacing w:after="0" w:line="21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ITEM 5. MARKET FOR REGISTRANT’S COMMON EQUITY, RELATED UNITHOLDER MATTERS AND 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Holders of Record</w:t>
      </w:r>
    </w:p>
    <w:p>
      <w:pPr>
        <w:spacing w:after="0" w:line="25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Our common units are listed on the Nasdaq Global Select Market under the symbol “VNOM.” There were 10 holders of record of our common units on February 17,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39" w:lineRule="exact"/>
        <w:rPr>
          <w:sz w:val="20"/>
          <w:szCs w:val="20"/>
          <w:color w:val="auto"/>
        </w:rPr>
      </w:pPr>
    </w:p>
    <w:p>
      <w:pPr>
        <w:jc w:val="both"/>
        <w:ind w:firstLine="643"/>
        <w:spacing w:after="0" w:line="248" w:lineRule="auto"/>
        <w:rPr>
          <w:sz w:val="20"/>
          <w:szCs w:val="20"/>
          <w:color w:val="auto"/>
        </w:rPr>
      </w:pPr>
      <w:r>
        <w:rPr>
          <w:rFonts w:ascii="Arial" w:cs="Arial" w:eastAsia="Arial" w:hAnsi="Arial"/>
          <w:sz w:val="17"/>
          <w:szCs w:val="17"/>
          <w:color w:val="auto"/>
        </w:rPr>
        <w:t>The board of directors of our General Partner has established a distribution policy whereby the Operating Company distributes all or a portion of its available cash on a quarterly basis to its unitholders (including Diamondback and the Partnership). We in turn distribute all or a portion of the available cash we receive from the Operating Company to our common unitholders. Our available cash and the available cash of the Operating Company for each quarter is determined by the board of directors of our General Partner following the end of such quarter. The cash available for distribution by the Operating Company, a non-GAAP measure, generally equals our consolidated Adjusted EBITDA for the applicable quarter, less cash needed for income taxes payable, debt service, contractual obligations, fixed charges and reserves for future operating or capital needs that the board of directors of our General Partner deems necessary or appropriate, lease bonus income, distribution of equivalent rights payments and preferred distributions, if any. Our cash available for distribution each quarter generally equals the proportional share of the cash distributed by the Operating Company for the quarter, less cash needed by us for the payment of income taxes, if any, and the preferred distribution. Further, in July 2022, the board of directors of the General Partner approved a distribution policy, effective beginning with our distribution payable for the third quarter of 2022, consisting of a base and variable distribution, that takes into account capital returned to unitholders via our common unit repurchase program. The board updated the distribution policy in November 2022, providing that lease bonus payments and other similar, one-time, non-recurring payments will be excluded from the calculation of the Partnership’s and the Operating Company’s available cash.</w:t>
      </w:r>
    </w:p>
    <w:p>
      <w:pPr>
        <w:spacing w:after="0" w:line="213"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18"/>
          <w:szCs w:val="18"/>
          <w:color w:val="auto"/>
        </w:rPr>
        <w:t>The percentage of cash available for distribution pursuant to the distribution policy discussed above may change quarterly to enable the Operating Company to retain cash flow to help strengthen our balance sheet while also expanding the return of capital program through our common unit repurchase program. We are not required to pay distributions to our common unitholders on a quarterly or other basis.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unit repurchase activity for the three months ended December 31, 2022 was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Total Number of</w:t>
            </w:r>
          </w:p>
        </w:tc>
        <w:tc>
          <w:tcPr>
            <w:tcW w:w="11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Average Price</w:t>
            </w:r>
          </w:p>
        </w:tc>
        <w:tc>
          <w:tcPr>
            <w:tcW w:w="120" w:type="dxa"/>
            <w:vAlign w:val="bottom"/>
          </w:tcPr>
          <w:p>
            <w:pPr>
              <w:spacing w:after="0"/>
              <w:rPr>
                <w:sz w:val="14"/>
                <w:szCs w:val="14"/>
                <w:color w:val="auto"/>
              </w:rPr>
            </w:pPr>
          </w:p>
        </w:tc>
        <w:tc>
          <w:tcPr>
            <w:tcW w:w="25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7"/>
              </w:rPr>
              <w:t>Total Number of Units Purchased as</w:t>
            </w:r>
          </w:p>
        </w:tc>
        <w:tc>
          <w:tcPr>
            <w:tcW w:w="220" w:type="dxa"/>
            <w:vAlign w:val="bottom"/>
          </w:tcPr>
          <w:p>
            <w:pPr>
              <w:spacing w:after="0"/>
              <w:rPr>
                <w:sz w:val="14"/>
                <w:szCs w:val="14"/>
                <w:color w:val="auto"/>
              </w:rPr>
            </w:pPr>
          </w:p>
        </w:tc>
        <w:tc>
          <w:tcPr>
            <w:tcW w:w="1900" w:type="dxa"/>
            <w:vAlign w:val="bottom"/>
          </w:tcPr>
          <w:p>
            <w:pPr>
              <w:jc w:val="center"/>
              <w:ind w:right="20"/>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7"/>
        </w:trPr>
        <w:tc>
          <w:tcPr>
            <w:tcW w:w="392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Period</w:t>
            </w:r>
          </w:p>
        </w:tc>
        <w:tc>
          <w:tcPr>
            <w:tcW w:w="138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jc w:val="center"/>
              <w:ind w:right="20"/>
              <w:spacing w:after="0" w:line="147" w:lineRule="exact"/>
              <w:rPr>
                <w:sz w:val="20"/>
                <w:szCs w:val="20"/>
                <w:color w:val="auto"/>
              </w:rPr>
            </w:pPr>
            <w:r>
              <w:rPr>
                <w:rFonts w:ascii="Arial" w:cs="Arial" w:eastAsia="Arial" w:hAnsi="Arial"/>
                <w:sz w:val="14"/>
                <w:szCs w:val="14"/>
                <w:b w:val="1"/>
                <w:bCs w:val="1"/>
                <w:color w:val="auto"/>
                <w:w w:val="94"/>
              </w:rPr>
              <w:t>Units that May Yet Be</w:t>
            </w:r>
          </w:p>
        </w:tc>
        <w:tc>
          <w:tcPr>
            <w:tcW w:w="0" w:type="dxa"/>
            <w:vAlign w:val="bottom"/>
          </w:tcPr>
          <w:p>
            <w:pPr>
              <w:spacing w:after="0"/>
              <w:rPr>
                <w:sz w:val="1"/>
                <w:szCs w:val="1"/>
                <w:color w:val="auto"/>
              </w:rPr>
            </w:pPr>
          </w:p>
        </w:tc>
      </w:tr>
      <w:tr>
        <w:trPr>
          <w:trHeight w:val="201"/>
        </w:trPr>
        <w:tc>
          <w:tcPr>
            <w:tcW w:w="3920" w:type="dxa"/>
            <w:vAlign w:val="bottom"/>
            <w:gridSpan w:val="2"/>
            <w:vMerge w:val="continue"/>
          </w:tcPr>
          <w:p>
            <w:pPr>
              <w:spacing w:after="0"/>
              <w:rPr>
                <w:sz w:val="17"/>
                <w:szCs w:val="17"/>
                <w:color w:val="auto"/>
              </w:rPr>
            </w:pPr>
          </w:p>
        </w:tc>
        <w:tc>
          <w:tcPr>
            <w:tcW w:w="1380" w:type="dxa"/>
            <w:vAlign w:val="bottom"/>
          </w:tcPr>
          <w:p>
            <w:pPr>
              <w:jc w:val="right"/>
              <w:ind w:right="57"/>
              <w:spacing w:after="0"/>
              <w:rPr>
                <w:sz w:val="20"/>
                <w:szCs w:val="20"/>
                <w:color w:val="auto"/>
              </w:rPr>
            </w:pPr>
            <w:r>
              <w:rPr>
                <w:rFonts w:ascii="Arial" w:cs="Arial" w:eastAsia="Arial" w:hAnsi="Arial"/>
                <w:sz w:val="14"/>
                <w:szCs w:val="14"/>
                <w:b w:val="1"/>
                <w:bCs w:val="1"/>
                <w:color w:val="auto"/>
              </w:rPr>
              <w:t>Units Purchased</w:t>
            </w:r>
            <w:r>
              <w:rPr>
                <w:rFonts w:ascii="Arial" w:cs="Arial" w:eastAsia="Arial" w:hAnsi="Arial"/>
                <w:sz w:val="9"/>
                <w:szCs w:val="9"/>
                <w:b w:val="1"/>
                <w:bCs w:val="1"/>
                <w:color w:val="auto"/>
              </w:rPr>
              <w:t>(1)</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Paid Per Unit</w:t>
            </w:r>
            <w:r>
              <w:rPr>
                <w:rFonts w:ascii="Arial" w:cs="Arial" w:eastAsia="Arial" w:hAnsi="Arial"/>
                <w:sz w:val="9"/>
                <w:szCs w:val="9"/>
                <w:b w:val="1"/>
                <w:bCs w:val="1"/>
                <w:color w:val="auto"/>
              </w:rPr>
              <w:t>(2)</w:t>
            </w:r>
          </w:p>
        </w:tc>
        <w:tc>
          <w:tcPr>
            <w:tcW w:w="120" w:type="dxa"/>
            <w:vAlign w:val="bottom"/>
          </w:tcPr>
          <w:p>
            <w:pPr>
              <w:spacing w:after="0"/>
              <w:rPr>
                <w:sz w:val="17"/>
                <w:szCs w:val="17"/>
                <w:color w:val="auto"/>
              </w:rPr>
            </w:pPr>
          </w:p>
        </w:tc>
        <w:tc>
          <w:tcPr>
            <w:tcW w:w="2540" w:type="dxa"/>
            <w:vAlign w:val="bottom"/>
          </w:tcPr>
          <w:p>
            <w:pPr>
              <w:jc w:val="right"/>
              <w:ind w:right="183"/>
              <w:spacing w:after="0"/>
              <w:rPr>
                <w:sz w:val="20"/>
                <w:szCs w:val="20"/>
                <w:color w:val="auto"/>
              </w:rPr>
            </w:pPr>
            <w:r>
              <w:rPr>
                <w:rFonts w:ascii="Arial" w:cs="Arial" w:eastAsia="Arial" w:hAnsi="Arial"/>
                <w:sz w:val="14"/>
                <w:szCs w:val="14"/>
                <w:b w:val="1"/>
                <w:bCs w:val="1"/>
                <w:color w:val="auto"/>
              </w:rPr>
              <w:t>Part of Publicly Announced Plan</w:t>
            </w:r>
          </w:p>
        </w:tc>
        <w:tc>
          <w:tcPr>
            <w:tcW w:w="220" w:type="dxa"/>
            <w:vAlign w:val="bottom"/>
          </w:tcPr>
          <w:p>
            <w:pPr>
              <w:spacing w:after="0"/>
              <w:rPr>
                <w:sz w:val="17"/>
                <w:szCs w:val="17"/>
                <w:color w:val="auto"/>
              </w:rPr>
            </w:pPr>
          </w:p>
        </w:tc>
        <w:tc>
          <w:tcPr>
            <w:tcW w:w="1900" w:type="dxa"/>
            <w:vAlign w:val="bottom"/>
          </w:tcPr>
          <w:p>
            <w:pPr>
              <w:jc w:val="center"/>
              <w:ind w:right="20"/>
              <w:spacing w:after="0" w:line="201" w:lineRule="exact"/>
              <w:rPr>
                <w:sz w:val="20"/>
                <w:szCs w:val="20"/>
                <w:color w:val="auto"/>
              </w:rPr>
            </w:pPr>
            <w:r>
              <w:rPr>
                <w:rFonts w:ascii="Arial" w:cs="Arial" w:eastAsia="Arial" w:hAnsi="Arial"/>
                <w:sz w:val="14"/>
                <w:szCs w:val="14"/>
                <w:b w:val="1"/>
                <w:bCs w:val="1"/>
                <w:color w:val="auto"/>
                <w:w w:val="91"/>
              </w:rPr>
              <w:t>Purchased Under the Plan</w:t>
            </w:r>
            <w:r>
              <w:rPr>
                <w:rFonts w:ascii="Arial" w:cs="Arial" w:eastAsia="Arial" w:hAnsi="Arial"/>
                <w:sz w:val="18"/>
                <w:szCs w:val="18"/>
                <w:b w:val="1"/>
                <w:bCs w:val="1"/>
                <w:color w:val="auto"/>
                <w:w w:val="91"/>
                <w:vertAlign w:val="superscript"/>
              </w:rPr>
              <w:t>(3)</w:t>
            </w:r>
          </w:p>
        </w:tc>
        <w:tc>
          <w:tcPr>
            <w:tcW w:w="0" w:type="dxa"/>
            <w:vAlign w:val="bottom"/>
          </w:tcPr>
          <w:p>
            <w:pPr>
              <w:spacing w:after="0"/>
              <w:rPr>
                <w:sz w:val="1"/>
                <w:szCs w:val="1"/>
                <w:color w:val="auto"/>
              </w:rPr>
            </w:pPr>
          </w:p>
        </w:tc>
      </w:tr>
      <w:tr>
        <w:trPr>
          <w:trHeight w:val="186"/>
        </w:trPr>
        <w:tc>
          <w:tcPr>
            <w:tcW w:w="3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gridSpan w:val="2"/>
          </w:tcPr>
          <w:p>
            <w:pPr>
              <w:jc w:val="right"/>
              <w:ind w:right="363"/>
              <w:spacing w:after="0"/>
              <w:rPr>
                <w:sz w:val="20"/>
                <w:szCs w:val="20"/>
                <w:color w:val="auto"/>
              </w:rPr>
            </w:pPr>
            <w:r>
              <w:rPr>
                <w:rFonts w:ascii="Arial" w:cs="Arial" w:eastAsia="Arial" w:hAnsi="Arial"/>
                <w:sz w:val="14"/>
                <w:szCs w:val="14"/>
                <w:b w:val="1"/>
                <w:bCs w:val="1"/>
                <w:color w:val="auto"/>
                <w:w w:val="91"/>
              </w:rPr>
              <w:t>(In thousands, except unit amounts)</w:t>
            </w:r>
          </w:p>
        </w:tc>
        <w:tc>
          <w:tcPr>
            <w:tcW w:w="2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2022 - October 31, 2022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4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560,389</w:t>
            </w:r>
          </w:p>
        </w:tc>
        <w:tc>
          <w:tcPr>
            <w:tcW w:w="0" w:type="dxa"/>
            <w:vAlign w:val="bottom"/>
          </w:tcPr>
          <w:p>
            <w:pPr>
              <w:spacing w:after="0"/>
              <w:rPr>
                <w:sz w:val="1"/>
                <w:szCs w:val="1"/>
                <w:color w:val="auto"/>
              </w:rPr>
            </w:pPr>
          </w:p>
        </w:tc>
      </w:tr>
      <w:tr>
        <w:trPr>
          <w:trHeight w:val="227"/>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November 1, 2022 - November 30, 2022</w:t>
            </w:r>
          </w:p>
        </w:tc>
        <w:tc>
          <w:tcPr>
            <w:tcW w:w="1380" w:type="dxa"/>
            <w:vAlign w:val="bottom"/>
          </w:tcPr>
          <w:p>
            <w:pPr>
              <w:jc w:val="right"/>
              <w:spacing w:after="0"/>
              <w:rPr>
                <w:sz w:val="20"/>
                <w:szCs w:val="20"/>
                <w:color w:val="auto"/>
              </w:rPr>
            </w:pPr>
            <w:r>
              <w:rPr>
                <w:rFonts w:ascii="Arial" w:cs="Arial" w:eastAsia="Arial" w:hAnsi="Arial"/>
                <w:sz w:val="18"/>
                <w:szCs w:val="18"/>
                <w:color w:val="auto"/>
              </w:rPr>
              <w:t>597,500</w:t>
            </w:r>
          </w:p>
        </w:tc>
        <w:tc>
          <w:tcPr>
            <w:tcW w:w="46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33.06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597,500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540,638</w:t>
            </w:r>
          </w:p>
        </w:tc>
        <w:tc>
          <w:tcPr>
            <w:tcW w:w="0" w:type="dxa"/>
            <w:vAlign w:val="bottom"/>
          </w:tcPr>
          <w:p>
            <w:pPr>
              <w:spacing w:after="0"/>
              <w:rPr>
                <w:sz w:val="1"/>
                <w:szCs w:val="1"/>
                <w:color w:val="auto"/>
              </w:rPr>
            </w:pPr>
          </w:p>
        </w:tc>
      </w:tr>
      <w:tr>
        <w:trPr>
          <w:trHeight w:val="228"/>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2022 - December 31, 2022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357,996</w:t>
            </w:r>
          </w:p>
        </w:tc>
        <w:tc>
          <w:tcPr>
            <w:tcW w:w="4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357,996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529,381</w:t>
            </w:r>
          </w:p>
        </w:tc>
        <w:tc>
          <w:tcPr>
            <w:tcW w:w="0" w:type="dxa"/>
            <w:vAlign w:val="bottom"/>
          </w:tcPr>
          <w:p>
            <w:pPr>
              <w:spacing w:after="0"/>
              <w:rPr>
                <w:sz w:val="1"/>
                <w:szCs w:val="1"/>
                <w:color w:val="auto"/>
              </w:rPr>
            </w:pPr>
          </w:p>
        </w:tc>
      </w:tr>
      <w:tr>
        <w:trPr>
          <w:trHeight w:val="221"/>
        </w:trPr>
        <w:tc>
          <w:tcPr>
            <w:tcW w:w="39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977,296</w:t>
            </w:r>
          </w:p>
        </w:tc>
        <w:tc>
          <w:tcPr>
            <w:tcW w:w="46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32.40</w:t>
            </w:r>
          </w:p>
        </w:tc>
        <w:tc>
          <w:tcPr>
            <w:tcW w:w="120" w:type="dxa"/>
            <w:vAlign w:val="bottom"/>
          </w:tcPr>
          <w:p>
            <w:pPr>
              <w:spacing w:after="0"/>
              <w:rPr>
                <w:sz w:val="19"/>
                <w:szCs w:val="19"/>
                <w:color w:val="auto"/>
              </w:rPr>
            </w:pPr>
          </w:p>
        </w:tc>
        <w:tc>
          <w:tcPr>
            <w:tcW w:w="2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977,296</w:t>
            </w: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0" w:hanging="313"/>
        <w:spacing w:after="0" w:line="255" w:lineRule="auto"/>
        <w:tabs>
          <w:tab w:leader="none" w:pos="3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common units repurchased from employees in order to satisfy tax withholding requirements, if any. Such units are cancelled and retired immediately upon repurchase.</w:t>
      </w:r>
    </w:p>
    <w:p>
      <w:pPr>
        <w:spacing w:after="0" w:line="1" w:lineRule="exact"/>
        <w:rPr>
          <w:rFonts w:ascii="Arial" w:cs="Arial" w:eastAsia="Arial" w:hAnsi="Arial"/>
          <w:sz w:val="18"/>
          <w:szCs w:val="18"/>
          <w:color w:val="auto"/>
        </w:rPr>
      </w:pPr>
    </w:p>
    <w:p>
      <w:pPr>
        <w:ind w:left="320" w:hanging="313"/>
        <w:spacing w:after="0" w:line="236"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price paid per common unit includes any commissions paid to repurchase a common unit.</w:t>
      </w:r>
    </w:p>
    <w:p>
      <w:pPr>
        <w:jc w:val="both"/>
        <w:ind w:left="320" w:hanging="313"/>
        <w:spacing w:after="0" w:line="235" w:lineRule="auto"/>
        <w:tabs>
          <w:tab w:leader="none" w:pos="3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July 26, 2022, the board of directors of our General Partner increased the authorization under our then-in-effect common unit repurchase program from $250.0 million to $750.0 million. This repurchase program remains subject to market conditions, applicable legal requirements, contractual obligations and other factors and may be suspended from time to time, modified, extended or discontinued by the board of directors of our General Partner at any time.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consolidated financial statements and notes thereto presented in this Annual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r>
        <w:rPr>
          <w:rFonts w:ascii="Arial" w:cs="Arial" w:eastAsia="Arial" w:hAnsi="Arial"/>
          <w:sz w:val="17"/>
          <w:szCs w:val="17"/>
          <w:i w:val="1"/>
          <w:iCs w:val="1"/>
          <w:u w:val="single" w:color="auto"/>
          <w:color w:val="0000FF"/>
        </w:rPr>
        <w:t>Item</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0000FF"/>
        </w:rPr>
        <w:t>1A. Risk Factors</w:t>
      </w:r>
      <w:r>
        <w:rPr>
          <w:rFonts w:ascii="Arial" w:cs="Arial" w:eastAsia="Arial" w:hAnsi="Arial"/>
          <w:sz w:val="17"/>
          <w:szCs w:val="17"/>
          <w:i w:val="1"/>
          <w:iCs w:val="1"/>
          <w:color w:val="000000"/>
        </w:rPr>
        <w:t>” and “</w:t>
      </w:r>
      <w:r>
        <w:rPr>
          <w:rFonts w:ascii="Arial" w:cs="Arial" w:eastAsia="Arial" w:hAnsi="Arial"/>
          <w:sz w:val="17"/>
          <w:szCs w:val="17"/>
          <w:i w:val="1"/>
          <w:iCs w:val="1"/>
          <w:u w:val="single" w:color="auto"/>
          <w:color w:val="0000FF"/>
        </w:rPr>
        <w:t>Cautionary Statement Regarding Forward-Looking Statements</w:t>
      </w:r>
      <w:r>
        <w:rPr>
          <w:rFonts w:ascii="Arial" w:cs="Arial" w:eastAsia="Arial" w:hAnsi="Arial"/>
          <w:sz w:val="17"/>
          <w:szCs w:val="17"/>
          <w:i w:val="1"/>
          <w:iCs w:val="1"/>
          <w:color w:val="000000"/>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are a publicly traded Delaware limited partnership formed by Diamondback to own and acquire mineral and royalty interests in oil and natural gas properties primarily in the Permian Basin. We operate in one reportable segment.</w:t>
      </w:r>
    </w:p>
    <w:p>
      <w:pPr>
        <w:spacing w:after="0" w:line="202"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The following discussion includes a comparison of our results of operations, including changes in our operating income, and liquidity and capital resources for fiscal year 2022 and fiscal year 2021. A discussion of changes in our results of operations from fiscal year 2021 compared to fiscal year 2020</w:t>
      </w:r>
    </w:p>
    <w:p>
      <w:pPr>
        <w:spacing w:after="0" w:line="1" w:lineRule="exact"/>
        <w:rPr>
          <w:sz w:val="20"/>
          <w:szCs w:val="20"/>
          <w:color w:val="auto"/>
        </w:rPr>
      </w:pPr>
    </w:p>
    <w:p>
      <w:pPr>
        <w:jc w:val="both"/>
        <w:spacing w:after="0" w:line="252" w:lineRule="auto"/>
        <w:rPr>
          <w:rFonts w:ascii="Arial" w:cs="Arial" w:eastAsia="Arial" w:hAnsi="Arial"/>
          <w:sz w:val="18"/>
          <w:szCs w:val="18"/>
          <w:color w:val="0000FF"/>
        </w:rPr>
      </w:pPr>
      <w:hyperlink r:id="rId55">
        <w:r>
          <w:rPr>
            <w:rFonts w:ascii="Arial" w:cs="Arial" w:eastAsia="Arial" w:hAnsi="Arial"/>
            <w:sz w:val="18"/>
            <w:szCs w:val="18"/>
            <w:color w:val="auto"/>
          </w:rPr>
          <w:t xml:space="preserve">has been omitted from this report, but may be found in </w:t>
        </w:r>
        <w:r>
          <w:rPr>
            <w:rFonts w:ascii="Arial" w:cs="Arial" w:eastAsia="Arial" w:hAnsi="Arial"/>
            <w:sz w:val="18"/>
            <w:szCs w:val="18"/>
            <w:u w:val="single" w:color="auto"/>
            <w:color w:val="0000FF"/>
          </w:rPr>
          <w:t>“Item 7. Management’s Discussion and Analysis of Financial Condition and Results of Operations”</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FF"/>
          </w:rPr>
          <w:t>of our Annual Report on Form 10-K for the fiscal year ended December 31, 2021</w:t>
        </w:r>
        <w:r>
          <w:rPr>
            <w:rFonts w:ascii="Arial" w:cs="Arial" w:eastAsia="Arial" w:hAnsi="Arial"/>
            <w:sz w:val="18"/>
            <w:szCs w:val="18"/>
            <w:color w:val="000000"/>
          </w:rPr>
          <w:t>, filed with the SEC on February 24, 2022, and is incorporated by reference</w:t>
        </w:r>
      </w:hyperlink>
      <w:r>
        <w:rPr>
          <w:rFonts w:ascii="Arial" w:cs="Arial" w:eastAsia="Arial" w:hAnsi="Arial"/>
          <w:sz w:val="18"/>
          <w:szCs w:val="18"/>
          <w:color w:val="0000FF"/>
        </w:rPr>
        <w:t xml:space="preserve"> </w:t>
      </w:r>
      <w:r>
        <w:rPr>
          <w:rFonts w:ascii="Arial" w:cs="Arial" w:eastAsia="Arial" w:hAnsi="Arial"/>
          <w:sz w:val="18"/>
          <w:szCs w:val="18"/>
          <w:color w:val="000000"/>
        </w:rPr>
        <w:t>in this report from such prior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Transactions and 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 and Certain Other Market Considerations</w:t>
      </w:r>
    </w:p>
    <w:p>
      <w:pPr>
        <w:spacing w:after="0" w:line="235"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6"/>
          <w:szCs w:val="16"/>
          <w:color w:val="auto"/>
        </w:rPr>
        <w:t>Prices for oil, natural gas and natural gas liquids are determined primarily by prevailing market conditions. Regional and worldwide economic activity, including any economic downturn or recession that has occurred or may occur in the future, extreme weather conditions and other substantially variable factors influence market conditions for these products. These factors are beyond our control and are difficult to predict. During 2022, 2021 and 2020, NYMEX WTI has ranged from $(37.63) to $123.70 per Bbl, and the NYMEX Henry Hub price of natural gas has ranged from $1.48 to $9.68 per MMBtu, with seven-year highs reached in 2022 and historic lows for oil reached in 2020. The war in Ukraine, the COVID-19 pandemic, rising interest rates, global supply chain disruptions, concerns about a potential economic downturn or recession and recent measures to combat persistent inflation have continued to contribute to economic and pricing volatility during 2022. Additionally, OPEC and its non-OPEC allies, known collectively as OPEC+, continues to meet regularly to evaluate the state of global oil supply, demand and inventory levels. However, pricing may remain volatile during 2023.</w:t>
      </w:r>
    </w:p>
    <w:p>
      <w:pPr>
        <w:spacing w:after="0" w:line="205"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Due to improved commodity prices and industry conditions and based on the results of the quarterly ceiling tests, we were not required to record an impairment on our proved oil and natural gas interests during the year ended December 31, 2022. If commodity prices fall below current levels, we may be required to record impairments in future periods and such impairments could be material. Further, if commodity prices decrease, our production, proved reserves and cash flows may be adversely impacted. Our business may also be adversely impacted by any pipeline capacity and storage constraints.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 Update</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Acquisitions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During the year ended December 31, 2022, in individually insignificant transactions, we acquired from unrelated third-party sellers, mineral and royalty interests representing 375 net royalty acres in the Permian Basin for an aggregate net purchase price of approximately $65.9 million, including certain customary closing adjustments. We funded these acquisitions with cash on hand and borrowings under the Operating Company’s revolving credit facility.</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Divestitures</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the first quarter of 2022, we divested 325 net royalty acres of third party operated acreage located entirely in Upton and Reagan counties in the Midland Basin for an aggregate net sales price of $29.3 million, including customary closing adjustments.</w:t>
      </w:r>
    </w:p>
    <w:p>
      <w:pPr>
        <w:spacing w:after="0" w:line="20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the third quarter of 2022, we divested 93 net royalty acres of third party operated acreage located entirely in Loving county in the Delaware Basin for an aggregate net sales price of $29.9 million, including customary closing adjustments.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In the fourth quarter of 2022, we divested our entire position in the Eagle Ford Shale, consisting of 681 net royalty acres of third party operated acreage for an aggregate sales price of $53.8 million, including certain customary closing adjustments.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 result of the 2022 acquisitions and divestitures, our footprint of mineral and royalty interests totaled 26,315 net royalty acres at December 31,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 Update</w:t>
      </w:r>
    </w:p>
    <w:p>
      <w:pPr>
        <w:spacing w:after="0" w:line="235" w:lineRule="exact"/>
        <w:rPr>
          <w:sz w:val="20"/>
          <w:szCs w:val="20"/>
          <w:color w:val="auto"/>
        </w:rPr>
      </w:pPr>
    </w:p>
    <w:p>
      <w:pPr>
        <w:jc w:val="both"/>
        <w:ind w:left="40" w:firstLine="643"/>
        <w:spacing w:after="0" w:line="259" w:lineRule="auto"/>
        <w:rPr>
          <w:sz w:val="20"/>
          <w:szCs w:val="20"/>
          <w:color w:val="auto"/>
        </w:rPr>
      </w:pPr>
      <w:r>
        <w:rPr>
          <w:rFonts w:ascii="Arial" w:cs="Arial" w:eastAsia="Arial" w:hAnsi="Arial"/>
          <w:sz w:val="17"/>
          <w:szCs w:val="17"/>
          <w:color w:val="auto"/>
        </w:rPr>
        <w:t>In July 2022, the board of directors of our General Partner approved a distribution policy, effective beginning with our distribution payable for the third quarter of 2022, consisting of a base and variable distribution, that takes into account capital returned to unitholders via our unit buyback program. The board updated the distribution policy in November 2022, providing that lease bonus payments and other similar, one-time, non-recurring payments will be excluded from the calculation of the Partnership’s and the Operating Company’s available cash.</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Repurchases of Notes</w:t>
      </w:r>
    </w:p>
    <w:p>
      <w:pPr>
        <w:spacing w:after="0" w:line="23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 xml:space="preserve">During the year ended December 31, 2022, we repurchased an aggregate $49.6 million principal amount of the outstanding Notes for total cash consideration of $49.0 million with a combination of cash on hand and borrowings under the Operating Company’s revolving credit facility. See Note 6— </w:t>
      </w:r>
      <w:r>
        <w:rPr>
          <w:rFonts w:ascii="Arial" w:cs="Arial" w:eastAsia="Arial" w:hAnsi="Arial"/>
          <w:sz w:val="18"/>
          <w:szCs w:val="18"/>
          <w:u w:val="single" w:color="auto"/>
          <w:color w:val="0000FF"/>
        </w:rPr>
        <w:t>Debt</w:t>
      </w:r>
      <w:r>
        <w:rPr>
          <w:rFonts w:ascii="Arial" w:cs="Arial" w:eastAsia="Arial" w:hAnsi="Arial"/>
          <w:sz w:val="18"/>
          <w:szCs w:val="18"/>
          <w:color w:val="0000FF"/>
        </w:rPr>
        <w:t xml:space="preserve"> </w:t>
      </w:r>
      <w:r>
        <w:rPr>
          <w:rFonts w:ascii="Arial" w:cs="Arial" w:eastAsia="Arial" w:hAnsi="Arial"/>
          <w:sz w:val="18"/>
          <w:szCs w:val="18"/>
          <w:color w:val="000000"/>
        </w:rPr>
        <w:t>of the notes to the consolidated financial statements included elsewhere in this Annual Report for further details.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Operational Update</w:t>
      </w:r>
    </w:p>
    <w:p>
      <w:pPr>
        <w:spacing w:after="0" w:line="225" w:lineRule="exact"/>
        <w:rPr>
          <w:sz w:val="20"/>
          <w:szCs w:val="20"/>
          <w:color w:val="auto"/>
        </w:rPr>
      </w:pPr>
    </w:p>
    <w:p>
      <w:pPr>
        <w:jc w:val="both"/>
        <w:ind w:firstLine="643"/>
        <w:spacing w:after="0" w:line="249" w:lineRule="auto"/>
        <w:rPr>
          <w:sz w:val="20"/>
          <w:szCs w:val="20"/>
          <w:color w:val="auto"/>
        </w:rPr>
      </w:pPr>
      <w:r>
        <w:rPr>
          <w:rFonts w:ascii="Arial" w:cs="Arial" w:eastAsia="Arial" w:hAnsi="Arial"/>
          <w:sz w:val="17"/>
          <w:szCs w:val="17"/>
          <w:color w:val="auto"/>
        </w:rPr>
        <w:t>Third party operated net wells turned to production on our acreage during the third quarter of 2022 were at their highest level since the second quarter of 2019, and third party operated gross wells turned to production during the quarter were the highest in the Partnership’s history. There are currently 44 rigs operating on our mineral and royalty acreage, 13 of which are operated by Diamondback. Although demand for oil and natural gas and commodity prices continued to increase in 2022, Diamondback and certain of our other operators kept production on our acreage relatively flat, using their excess cash flow for debt repayment and/or return to their stockholders rather than expanding their drilling programs. We expect our production and free cash flow outlooks to be driven by Diamondback’s continued focus on developing our acreage, as well as our exposure to other well-capitalized operators in the Permian Basin. As a result of Diamondback’s consistent focus on developing our high concentration royalty acreage, primarily in the Northern Midland Basin, we expect our Diamondback-operated full year 2023 oil production to increase by approximately 8% compared to 2022. We also expect that we will continue to return substantial amounts of capital to our unitholders as we can offer organic production growth with nearly no exposure to inflationary cost pressures.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gross well information as of the dates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Diamondback Operated</w:t>
            </w: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Third Party Operated</w:t>
            </w: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5"/>
        </w:trPr>
        <w:tc>
          <w:tcPr>
            <w:tcW w:w="69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4"/>
        </w:trPr>
        <w:tc>
          <w:tcPr>
            <w:tcW w:w="6960" w:type="dxa"/>
            <w:vAlign w:val="bottom"/>
            <w:shd w:val="clear" w:color="auto" w:fill="CCEEFF"/>
          </w:tcPr>
          <w:p>
            <w:pPr>
              <w:ind w:left="20"/>
              <w:spacing w:after="0" w:line="194" w:lineRule="exact"/>
              <w:rPr>
                <w:sz w:val="20"/>
                <w:szCs w:val="20"/>
                <w:color w:val="auto"/>
              </w:rPr>
            </w:pPr>
            <w:r>
              <w:rPr>
                <w:rFonts w:ascii="Arial" w:cs="Arial" w:eastAsia="Arial" w:hAnsi="Arial"/>
                <w:sz w:val="16"/>
                <w:szCs w:val="16"/>
                <w:b w:val="1"/>
                <w:bCs w:val="1"/>
                <w:color w:val="auto"/>
              </w:rPr>
              <w:t>Horizontal wells turned to production (fourth quarter 2022)</w:t>
            </w:r>
            <w:r>
              <w:rPr>
                <w:rFonts w:ascii="Arial" w:cs="Arial" w:eastAsia="Arial" w:hAnsi="Arial"/>
                <w:sz w:val="20"/>
                <w:szCs w:val="20"/>
                <w:b w:val="1"/>
                <w:bCs w:val="1"/>
                <w:color w:val="auto"/>
                <w:vertAlign w:val="superscript"/>
              </w:rPr>
              <w:t>(1)</w:t>
            </w:r>
            <w:r>
              <w:rPr>
                <w:rFonts w:ascii="Arial" w:cs="Arial" w:eastAsia="Arial" w:hAnsi="Arial"/>
                <w:sz w:val="16"/>
                <w:szCs w:val="16"/>
                <w:b w:val="1"/>
                <w:bCs w:val="1"/>
                <w:color w:val="auto"/>
              </w:rPr>
              <w:t>:</w:t>
            </w: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68"/>
        </w:trPr>
        <w:tc>
          <w:tcPr>
            <w:tcW w:w="69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4"/>
        </w:trPr>
        <w:tc>
          <w:tcPr>
            <w:tcW w:w="6960" w:type="dxa"/>
            <w:vAlign w:val="bottom"/>
          </w:tcPr>
          <w:p>
            <w:pPr>
              <w:ind w:left="20"/>
              <w:spacing w:after="0" w:line="214" w:lineRule="exact"/>
              <w:rPr>
                <w:sz w:val="20"/>
                <w:szCs w:val="20"/>
                <w:color w:val="auto"/>
              </w:rPr>
            </w:pPr>
            <w:r>
              <w:rPr>
                <w:rFonts w:ascii="Arial" w:cs="Arial" w:eastAsia="Arial" w:hAnsi="Arial"/>
                <w:sz w:val="16"/>
                <w:szCs w:val="16"/>
                <w:b w:val="1"/>
                <w:bCs w:val="1"/>
                <w:color w:val="auto"/>
              </w:rPr>
              <w:t>Horizontal wells turned to production (year ended December 31, 2022)</w:t>
            </w:r>
            <w:r>
              <w:rPr>
                <w:rFonts w:ascii="Arial" w:cs="Arial" w:eastAsia="Arial" w:hAnsi="Arial"/>
                <w:sz w:val="20"/>
                <w:szCs w:val="20"/>
                <w:b w:val="1"/>
                <w:bCs w:val="1"/>
                <w:color w:val="auto"/>
                <w:vertAlign w:val="superscript"/>
              </w:rPr>
              <w:t>(2)</w:t>
            </w:r>
            <w:r>
              <w:rPr>
                <w:rFonts w:ascii="Arial" w:cs="Arial" w:eastAsia="Arial" w:hAnsi="Arial"/>
                <w:sz w:val="16"/>
                <w:szCs w:val="16"/>
                <w:b w:val="1"/>
                <w:bCs w:val="1"/>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68"/>
        </w:trPr>
        <w:tc>
          <w:tcPr>
            <w:tcW w:w="69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4"/>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Horizontal producing well count (as of January 18, 2023):</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6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5,199</w:t>
            </w: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68"/>
        </w:trPr>
        <w:tc>
          <w:tcPr>
            <w:tcW w:w="69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4"/>
        </w:trPr>
        <w:tc>
          <w:tcPr>
            <w:tcW w:w="6960" w:type="dxa"/>
            <w:vAlign w:val="bottom"/>
          </w:tcPr>
          <w:p>
            <w:pPr>
              <w:ind w:left="20"/>
              <w:spacing w:after="0" w:line="214" w:lineRule="exact"/>
              <w:rPr>
                <w:sz w:val="20"/>
                <w:szCs w:val="20"/>
                <w:color w:val="auto"/>
              </w:rPr>
            </w:pPr>
            <w:r>
              <w:rPr>
                <w:rFonts w:ascii="Arial" w:cs="Arial" w:eastAsia="Arial" w:hAnsi="Arial"/>
                <w:sz w:val="16"/>
                <w:szCs w:val="16"/>
                <w:b w:val="1"/>
                <w:bCs w:val="1"/>
                <w:color w:val="auto"/>
              </w:rPr>
              <w:t>Horizontal active development well count (as of January 18, 2023)</w:t>
            </w:r>
            <w:r>
              <w:rPr>
                <w:rFonts w:ascii="Arial" w:cs="Arial" w:eastAsia="Arial" w:hAnsi="Arial"/>
                <w:sz w:val="20"/>
                <w:szCs w:val="20"/>
                <w:b w:val="1"/>
                <w:bCs w:val="1"/>
                <w:color w:val="auto"/>
                <w:vertAlign w:val="superscript"/>
              </w:rPr>
              <w:t>(3)</w:t>
            </w:r>
            <w:r>
              <w:rPr>
                <w:rFonts w:ascii="Arial" w:cs="Arial" w:eastAsia="Arial" w:hAnsi="Arial"/>
                <w:sz w:val="16"/>
                <w:szCs w:val="16"/>
                <w:b w:val="1"/>
                <w:bCs w:val="1"/>
                <w:color w:val="auto"/>
              </w:rPr>
              <w: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68"/>
        </w:trPr>
        <w:tc>
          <w:tcPr>
            <w:tcW w:w="69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4"/>
        </w:trPr>
        <w:tc>
          <w:tcPr>
            <w:tcW w:w="696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b w:val="1"/>
                <w:bCs w:val="1"/>
                <w:color w:val="auto"/>
              </w:rPr>
              <w:t>Line of sight wells (as of January 18, 2023)</w:t>
            </w:r>
            <w:r>
              <w:rPr>
                <w:rFonts w:ascii="Arial" w:cs="Arial" w:eastAsia="Arial" w:hAnsi="Arial"/>
                <w:sz w:val="20"/>
                <w:szCs w:val="20"/>
                <w:b w:val="1"/>
                <w:bCs w:val="1"/>
                <w:color w:val="auto"/>
                <w:vertAlign w:val="superscript"/>
              </w:rPr>
              <w:t>(4)</w:t>
            </w:r>
            <w:r>
              <w:rPr>
                <w:rFonts w:ascii="Arial" w:cs="Arial" w:eastAsia="Arial" w:hAnsi="Arial"/>
                <w:sz w:val="16"/>
                <w:szCs w:val="16"/>
                <w:b w:val="1"/>
                <w:bCs w:val="1"/>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28"/>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7"/>
        </w:trPr>
        <w:tc>
          <w:tcPr>
            <w:tcW w:w="696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2.7 %</w:t>
            </w:r>
          </w:p>
        </w:tc>
      </w:tr>
    </w:tbl>
    <w:p>
      <w:pPr>
        <w:spacing w:after="0" w:line="80" w:lineRule="exact"/>
        <w:rPr>
          <w:sz w:val="20"/>
          <w:szCs w:val="20"/>
          <w:color w:val="auto"/>
        </w:rPr>
      </w:pPr>
    </w:p>
    <w:p>
      <w:pPr>
        <w:ind w:left="260" w:hanging="253"/>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lateral length of 10,630 feet.</w:t>
      </w:r>
    </w:p>
    <w:p>
      <w:pPr>
        <w:spacing w:after="0" w:line="9" w:lineRule="exact"/>
        <w:rPr>
          <w:rFonts w:ascii="Arial" w:cs="Arial" w:eastAsia="Arial" w:hAnsi="Arial"/>
          <w:sz w:val="18"/>
          <w:szCs w:val="18"/>
          <w:color w:val="auto"/>
        </w:rPr>
      </w:pPr>
    </w:p>
    <w:p>
      <w:pPr>
        <w:ind w:left="260" w:hanging="253"/>
        <w:spacing w:after="0" w:line="232"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lateral length of 10,516 feet.</w:t>
      </w:r>
    </w:p>
    <w:p>
      <w:pPr>
        <w:ind w:left="240" w:hanging="233"/>
        <w:spacing w:after="0"/>
        <w:tabs>
          <w:tab w:leader="none" w:pos="2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477 gross wells currently in the process of active development are those wells that have been spud and are expected to be turned to production within approximately the next six to eight months.</w:t>
      </w:r>
    </w:p>
    <w:p>
      <w:pPr>
        <w:spacing w:after="0" w:line="1" w:lineRule="exact"/>
        <w:rPr>
          <w:rFonts w:ascii="Arial" w:cs="Arial" w:eastAsia="Arial" w:hAnsi="Arial"/>
          <w:sz w:val="18"/>
          <w:szCs w:val="18"/>
          <w:color w:val="auto"/>
        </w:rPr>
      </w:pPr>
    </w:p>
    <w:p>
      <w:pPr>
        <w:jc w:val="both"/>
        <w:ind w:left="240" w:hanging="233"/>
        <w:spacing w:after="0" w:line="239" w:lineRule="auto"/>
        <w:tabs>
          <w:tab w:leader="none" w:pos="2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501 line-of-sight wells are those that are not currently in the process of active development, but for which Viper has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net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income and expenses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20"/>
              <w:spacing w:after="0"/>
              <w:rPr>
                <w:sz w:val="20"/>
                <w:szCs w:val="20"/>
                <w:color w:val="auto"/>
              </w:rPr>
            </w:pPr>
            <w:r>
              <w:rPr>
                <w:rFonts w:ascii="Arial" w:cs="Arial" w:eastAsia="Arial" w:hAnsi="Arial"/>
                <w:sz w:val="18"/>
                <w:szCs w:val="18"/>
                <w:color w:val="auto"/>
              </w:rPr>
              <w:t>Oil income</w:t>
            </w:r>
          </w:p>
        </w:tc>
        <w:tc>
          <w:tcPr>
            <w:tcW w:w="366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667,281</w:t>
            </w:r>
          </w:p>
        </w:tc>
        <w:tc>
          <w:tcPr>
            <w:tcW w:w="12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397,513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income</w:t>
            </w:r>
          </w:p>
        </w:tc>
        <w:tc>
          <w:tcPr>
            <w:tcW w:w="3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 liquids income</w:t>
            </w:r>
          </w:p>
        </w:tc>
        <w:tc>
          <w:tcPr>
            <w:tcW w:w="3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87,546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income</w:t>
            </w:r>
          </w:p>
        </w:tc>
        <w:tc>
          <w:tcPr>
            <w:tcW w:w="3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837,976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340"/>
              <w:spacing w:after="0"/>
              <w:rPr>
                <w:sz w:val="20"/>
                <w:szCs w:val="20"/>
                <w:color w:val="auto"/>
              </w:rPr>
            </w:pPr>
            <w:r>
              <w:rPr>
                <w:rFonts w:ascii="Arial" w:cs="Arial" w:eastAsia="Arial" w:hAnsi="Arial"/>
                <w:sz w:val="18"/>
                <w:szCs w:val="18"/>
                <w:color w:val="auto"/>
              </w:rPr>
              <w:t>Lease bonus income</w:t>
            </w:r>
          </w:p>
        </w:tc>
        <w:tc>
          <w:tcPr>
            <w:tcW w:w="3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27,791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income</w:t>
            </w:r>
          </w:p>
        </w:tc>
        <w:tc>
          <w:tcPr>
            <w:tcW w:w="3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ind w:left="660"/>
              <w:spacing w:after="0"/>
              <w:rPr>
                <w:sz w:val="20"/>
                <w:szCs w:val="20"/>
                <w:color w:val="auto"/>
              </w:rPr>
            </w:pPr>
            <w:r>
              <w:rPr>
                <w:rFonts w:ascii="Arial" w:cs="Arial" w:eastAsia="Arial" w:hAnsi="Arial"/>
                <w:sz w:val="18"/>
                <w:szCs w:val="18"/>
                <w:color w:val="auto"/>
              </w:rPr>
              <w:t>Total operating income</w:t>
            </w:r>
          </w:p>
        </w:tc>
        <w:tc>
          <w:tcPr>
            <w:tcW w:w="3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866,467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504,917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340"/>
              <w:spacing w:after="0"/>
              <w:rPr>
                <w:sz w:val="20"/>
                <w:szCs w:val="20"/>
                <w:color w:val="auto"/>
              </w:rPr>
            </w:pPr>
            <w:r>
              <w:rPr>
                <w:rFonts w:ascii="Arial" w:cs="Arial" w:eastAsia="Arial" w:hAnsi="Arial"/>
                <w:sz w:val="18"/>
                <w:szCs w:val="18"/>
                <w:color w:val="auto"/>
              </w:rPr>
              <w:t>Production and ad valorem taxes</w:t>
            </w:r>
          </w:p>
        </w:tc>
        <w:tc>
          <w:tcPr>
            <w:tcW w:w="3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56,372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Depletion</w:t>
            </w:r>
          </w:p>
        </w:tc>
        <w:tc>
          <w:tcPr>
            <w:tcW w:w="3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 expenses</w:t>
            </w:r>
          </w:p>
        </w:tc>
        <w:tc>
          <w:tcPr>
            <w:tcW w:w="3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costs and expenses</w:t>
            </w:r>
          </w:p>
        </w:tc>
        <w:tc>
          <w:tcPr>
            <w:tcW w:w="3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185,985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680,482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3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derivative instruments, net</w:t>
            </w:r>
          </w:p>
        </w:tc>
        <w:tc>
          <w:tcPr>
            <w:tcW w:w="3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net</w:t>
            </w:r>
          </w:p>
        </w:tc>
        <w:tc>
          <w:tcPr>
            <w:tcW w:w="3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other expense, net</w:t>
            </w:r>
          </w:p>
        </w:tc>
        <w:tc>
          <w:tcPr>
            <w:tcW w:w="3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(58,131)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622,351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3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655,004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503,331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33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151,673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300" w:type="dxa"/>
            <w:vAlign w:val="bottom"/>
            <w:vMerge w:val="restart"/>
          </w:tcPr>
          <w:p>
            <w:pPr>
              <w:jc w:val="right"/>
              <w:ind w:right="2291"/>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6"/>
        </w:trPr>
        <w:tc>
          <w:tcPr>
            <w:tcW w:w="48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production data, average sales prices and average costs for the periods indicated:</w:t>
      </w: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8140" w:type="dxa"/>
            <w:vAlign w:val="bottom"/>
          </w:tcPr>
          <w:p>
            <w:pPr>
              <w:spacing w:after="0"/>
              <w:rPr>
                <w:sz w:val="16"/>
                <w:szCs w:val="16"/>
                <w:color w:val="auto"/>
              </w:rPr>
            </w:pPr>
          </w:p>
        </w:tc>
        <w:tc>
          <w:tcPr>
            <w:tcW w:w="252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6"/>
                <w:szCs w:val="16"/>
                <w:color w:val="auto"/>
              </w:rPr>
            </w:pPr>
          </w:p>
        </w:tc>
      </w:tr>
      <w:tr>
        <w:trPr>
          <w:trHeight w:val="25"/>
        </w:trPr>
        <w:tc>
          <w:tcPr>
            <w:tcW w:w="8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8"/>
        </w:trPr>
        <w:tc>
          <w:tcPr>
            <w:tcW w:w="81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193"/>
        </w:trPr>
        <w:tc>
          <w:tcPr>
            <w:tcW w:w="8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6"/>
                <w:szCs w:val="16"/>
                <w:color w:val="auto"/>
              </w:rPr>
            </w:pPr>
          </w:p>
        </w:tc>
      </w:tr>
      <w:tr>
        <w:trPr>
          <w:trHeight w:val="222"/>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8"/>
                <w:szCs w:val="18"/>
                <w:color w:val="auto"/>
              </w:rPr>
              <w:t>Oil (MBbls)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6,068</w:t>
            </w:r>
          </w:p>
        </w:tc>
      </w:tr>
      <w:tr>
        <w:trPr>
          <w:trHeight w:val="228"/>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15,868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13,672</w:t>
            </w:r>
          </w:p>
        </w:tc>
      </w:tr>
      <w:tr>
        <w:trPr>
          <w:trHeight w:val="227"/>
        </w:trPr>
        <w:tc>
          <w:tcPr>
            <w:tcW w:w="814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1,913</w:t>
            </w:r>
          </w:p>
        </w:tc>
      </w:tr>
      <w:tr>
        <w:trPr>
          <w:trHeight w:val="228"/>
        </w:trPr>
        <w:tc>
          <w:tcPr>
            <w:tcW w:w="81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12,282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10,260</w:t>
            </w:r>
          </w:p>
        </w:tc>
      </w:tr>
      <w:tr>
        <w:trPr>
          <w:trHeight w:val="254"/>
        </w:trPr>
        <w:tc>
          <w:tcPr>
            <w:tcW w:w="8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28"/>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daily oil volumes (BO/d)</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19,444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16,625</w:t>
            </w:r>
          </w:p>
        </w:tc>
      </w:tr>
      <w:tr>
        <w:trPr>
          <w:trHeight w:val="227"/>
        </w:trPr>
        <w:tc>
          <w:tcPr>
            <w:tcW w:w="8140" w:type="dxa"/>
            <w:vAlign w:val="bottom"/>
          </w:tcPr>
          <w:p>
            <w:pPr>
              <w:ind w:left="20"/>
              <w:spacing w:after="0"/>
              <w:rPr>
                <w:sz w:val="20"/>
                <w:szCs w:val="20"/>
                <w:color w:val="auto"/>
              </w:rPr>
            </w:pPr>
            <w:r>
              <w:rPr>
                <w:rFonts w:ascii="Arial" w:cs="Arial" w:eastAsia="Arial" w:hAnsi="Arial"/>
                <w:sz w:val="18"/>
                <w:szCs w:val="18"/>
                <w:color w:val="auto"/>
              </w:rPr>
              <w:t>Average daily combined volumes (BOE/d)</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33,649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28,110</w:t>
            </w:r>
          </w:p>
        </w:tc>
      </w:tr>
      <w:tr>
        <w:trPr>
          <w:trHeight w:val="255"/>
        </w:trPr>
        <w:tc>
          <w:tcPr>
            <w:tcW w:w="8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12"/>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Average sales prices: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w:t>
            </w:r>
          </w:p>
        </w:tc>
      </w:tr>
      <w:tr>
        <w:trPr>
          <w:trHeight w:val="227"/>
        </w:trPr>
        <w:tc>
          <w:tcPr>
            <w:tcW w:w="8140" w:type="dxa"/>
            <w:vAlign w:val="bottom"/>
          </w:tcPr>
          <w:p>
            <w:pPr>
              <w:ind w:left="180"/>
              <w:spacing w:after="0"/>
              <w:rPr>
                <w:sz w:val="20"/>
                <w:szCs w:val="20"/>
                <w:color w:val="auto"/>
              </w:rPr>
            </w:pPr>
            <w:r>
              <w:rPr>
                <w:rFonts w:ascii="Arial" w:cs="Arial" w:eastAsia="Arial" w:hAnsi="Arial"/>
                <w:sz w:val="18"/>
                <w:szCs w:val="18"/>
                <w:color w:val="auto"/>
              </w:rPr>
              <w:t>Natural gas ($/Mcf)</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8"/>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r>
      <w:tr>
        <w:trPr>
          <w:trHeight w:val="228"/>
        </w:trPr>
        <w:tc>
          <w:tcPr>
            <w:tcW w:w="8140" w:type="dxa"/>
            <w:vAlign w:val="bottom"/>
          </w:tcPr>
          <w:p>
            <w:pPr>
              <w:ind w:left="180"/>
              <w:spacing w:after="0" w:line="228" w:lineRule="exact"/>
              <w:rPr>
                <w:sz w:val="20"/>
                <w:szCs w:val="20"/>
                <w:color w:val="auto"/>
              </w:rPr>
            </w:pPr>
            <w:r>
              <w:rPr>
                <w:rFonts w:ascii="Arial" w:cs="Arial" w:eastAsia="Arial" w:hAnsi="Arial"/>
                <w:sz w:val="18"/>
                <w:szCs w:val="18"/>
                <w:color w:val="auto"/>
              </w:rPr>
              <w:t>Combined ($/BOE)</w:t>
            </w:r>
            <w:r>
              <w:rPr>
                <w:rFonts w:ascii="Arial" w:cs="Arial" w:eastAsia="Arial" w:hAnsi="Arial"/>
                <w:sz w:val="23"/>
                <w:szCs w:val="23"/>
                <w:color w:val="auto"/>
                <w:vertAlign w:val="superscript"/>
              </w:rPr>
              <w:t>(2)</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68.23</w:t>
            </w:r>
          </w:p>
        </w:tc>
        <w:tc>
          <w:tcPr>
            <w:tcW w:w="10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48.88</w:t>
            </w:r>
          </w:p>
        </w:tc>
      </w:tr>
      <w:tr>
        <w:trPr>
          <w:trHeight w:val="254"/>
        </w:trPr>
        <w:tc>
          <w:tcPr>
            <w:tcW w:w="8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28"/>
        </w:trPr>
        <w:tc>
          <w:tcPr>
            <w:tcW w:w="8140" w:type="dxa"/>
            <w:vAlign w:val="bottom"/>
          </w:tcPr>
          <w:p>
            <w:pPr>
              <w:ind w:left="180"/>
              <w:spacing w:after="0" w:line="228"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(3)</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92.85</w:t>
            </w:r>
          </w:p>
        </w:tc>
        <w:tc>
          <w:tcPr>
            <w:tcW w:w="10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50.25</w:t>
            </w:r>
          </w:p>
        </w:tc>
      </w:tr>
      <w:tr>
        <w:trPr>
          <w:trHeight w:val="228"/>
        </w:trPr>
        <w:tc>
          <w:tcPr>
            <w:tcW w:w="8140" w:type="dxa"/>
            <w:vAlign w:val="bottom"/>
            <w:shd w:val="clear" w:color="auto" w:fill="CCEEFF"/>
          </w:tcPr>
          <w:p>
            <w:pPr>
              <w:ind w:left="180"/>
              <w:spacing w:after="0" w:line="228"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(3)</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8"/>
        </w:trPr>
        <w:tc>
          <w:tcPr>
            <w:tcW w:w="8140" w:type="dxa"/>
            <w:vAlign w:val="bottom"/>
          </w:tcPr>
          <w:p>
            <w:pPr>
              <w:ind w:left="180"/>
              <w:spacing w:after="0" w:line="228"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(3)</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28.66</w:t>
            </w:r>
          </w:p>
        </w:tc>
      </w:tr>
      <w:tr>
        <w:trPr>
          <w:trHeight w:val="228"/>
        </w:trPr>
        <w:tc>
          <w:tcPr>
            <w:tcW w:w="8140" w:type="dxa"/>
            <w:vAlign w:val="bottom"/>
            <w:shd w:val="clear" w:color="auto" w:fill="CCEEFF"/>
          </w:tcPr>
          <w:p>
            <w:pPr>
              <w:ind w:left="180"/>
              <w:spacing w:after="0" w:line="228"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(3)</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54"/>
        </w:trPr>
        <w:tc>
          <w:tcPr>
            <w:tcW w:w="8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14"/>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costs ($/BOE):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7"/>
        </w:trPr>
        <w:tc>
          <w:tcPr>
            <w:tcW w:w="8140" w:type="dxa"/>
            <w:vAlign w:val="bottom"/>
          </w:tcPr>
          <w:p>
            <w:pPr>
              <w:ind w:left="140"/>
              <w:spacing w:after="0"/>
              <w:rPr>
                <w:sz w:val="20"/>
                <w:szCs w:val="20"/>
                <w:color w:val="auto"/>
              </w:rPr>
            </w:pPr>
            <w:r>
              <w:rPr>
                <w:rFonts w:ascii="Arial" w:cs="Arial" w:eastAsia="Arial" w:hAnsi="Arial"/>
                <w:sz w:val="18"/>
                <w:szCs w:val="18"/>
                <w:color w:val="auto"/>
              </w:rPr>
              <w:t>Production and ad valorem taxes</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28"/>
        </w:trPr>
        <w:tc>
          <w:tcPr>
            <w:tcW w:w="8140" w:type="dxa"/>
            <w:vAlign w:val="bottom"/>
            <w:shd w:val="clear" w:color="auto" w:fill="CCEEFF"/>
          </w:tcPr>
          <w:p>
            <w:pPr>
              <w:ind w:left="140"/>
              <w:spacing w:after="0" w:line="228"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(4)</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21"/>
        </w:trPr>
        <w:tc>
          <w:tcPr>
            <w:tcW w:w="8140" w:type="dxa"/>
            <w:vAlign w:val="bottom"/>
          </w:tcPr>
          <w:p>
            <w:pPr>
              <w:ind w:left="220"/>
              <w:spacing w:after="0"/>
              <w:rPr>
                <w:sz w:val="20"/>
                <w:szCs w:val="20"/>
                <w:color w:val="auto"/>
              </w:rPr>
            </w:pPr>
            <w:r>
              <w:rPr>
                <w:rFonts w:ascii="Arial" w:cs="Arial" w:eastAsia="Arial" w:hAnsi="Arial"/>
                <w:sz w:val="18"/>
                <w:szCs w:val="18"/>
                <w:color w:val="auto"/>
              </w:rPr>
              <w:t>Total operating expense - cash</w:t>
            </w:r>
          </w:p>
        </w:tc>
        <w:tc>
          <w:tcPr>
            <w:tcW w:w="92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21"/>
        </w:trPr>
        <w:tc>
          <w:tcPr>
            <w:tcW w:w="8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7"/>
        </w:trPr>
        <w:tc>
          <w:tcPr>
            <w:tcW w:w="8140" w:type="dxa"/>
            <w:vAlign w:val="bottom"/>
          </w:tcPr>
          <w:p>
            <w:pPr>
              <w:ind w:left="140"/>
              <w:spacing w:after="0"/>
              <w:rPr>
                <w:sz w:val="20"/>
                <w:szCs w:val="20"/>
                <w:color w:val="auto"/>
              </w:rPr>
            </w:pPr>
            <w:r>
              <w:rPr>
                <w:rFonts w:ascii="Arial" w:cs="Arial" w:eastAsia="Arial" w:hAnsi="Arial"/>
                <w:sz w:val="18"/>
                <w:szCs w:val="18"/>
                <w:color w:val="auto"/>
              </w:rPr>
              <w:t>General and administrative - non-cash unit compensation expense</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28"/>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27"/>
        </w:trPr>
        <w:tc>
          <w:tcPr>
            <w:tcW w:w="8140" w:type="dxa"/>
            <w:vAlign w:val="bottom"/>
          </w:tcPr>
          <w:p>
            <w:pPr>
              <w:ind w:left="140"/>
              <w:spacing w:after="0"/>
              <w:rPr>
                <w:sz w:val="20"/>
                <w:szCs w:val="20"/>
                <w:color w:val="auto"/>
              </w:rPr>
            </w:pPr>
            <w:r>
              <w:rPr>
                <w:rFonts w:ascii="Arial" w:cs="Arial" w:eastAsia="Arial" w:hAnsi="Arial"/>
                <w:sz w:val="18"/>
                <w:szCs w:val="18"/>
                <w:color w:val="auto"/>
              </w:rPr>
              <w:t>Depletion</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10.04</w:t>
            </w:r>
          </w:p>
        </w:tc>
      </w:tr>
    </w:tbl>
    <w:p>
      <w:pPr>
        <w:spacing w:after="0" w:line="80" w:lineRule="exact"/>
        <w:rPr>
          <w:sz w:val="20"/>
          <w:szCs w:val="20"/>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0" w:lineRule="exact"/>
        <w:rPr>
          <w:rFonts w:ascii="Arial" w:cs="Arial" w:eastAsia="Arial" w:hAnsi="Arial"/>
          <w:sz w:val="18"/>
          <w:szCs w:val="18"/>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Realized price net of all deducts for gathering, transportation and processing.</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Hedged prices reflect the impact of cash settlements on our matured commodity derivative transactions on our average sales prices.</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non-cash unit compensation for the respective periods presented.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Royalty Income</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royalty income is a function of oil, natural gas liquids and natural gas production volumes sold and average prices received for those volumes.</w:t>
      </w:r>
    </w:p>
    <w:p>
      <w:pPr>
        <w:spacing w:after="0" w:line="246" w:lineRule="exact"/>
        <w:rPr>
          <w:sz w:val="20"/>
          <w:szCs w:val="20"/>
          <w:color w:val="auto"/>
        </w:rPr>
      </w:pPr>
    </w:p>
    <w:p>
      <w:pPr>
        <w:jc w:val="both"/>
        <w:ind w:right="120" w:firstLine="643"/>
        <w:spacing w:after="0" w:line="232" w:lineRule="auto"/>
        <w:rPr>
          <w:sz w:val="20"/>
          <w:szCs w:val="20"/>
          <w:color w:val="auto"/>
        </w:rPr>
      </w:pPr>
      <w:r>
        <w:rPr>
          <w:rFonts w:ascii="Arial" w:cs="Arial" w:eastAsia="Arial" w:hAnsi="Arial"/>
          <w:sz w:val="18"/>
          <w:szCs w:val="18"/>
          <w:color w:val="auto"/>
        </w:rPr>
        <w:t>Royalty income increased $336.4 million during the year ended December 31, 2022 compared to 2021. As discussed in “—</w:t>
      </w:r>
      <w:r>
        <w:rPr>
          <w:rFonts w:ascii="Arial" w:cs="Arial" w:eastAsia="Arial" w:hAnsi="Arial"/>
          <w:sz w:val="18"/>
          <w:szCs w:val="18"/>
          <w:i w:val="1"/>
          <w:iCs w:val="1"/>
          <w:u w:val="single" w:color="auto"/>
          <w:color w:val="0000FF"/>
        </w:rPr>
        <w:t>Recent Developments</w:t>
      </w:r>
      <w:r>
        <w:rPr>
          <w:rFonts w:ascii="Arial" w:cs="Arial" w:eastAsia="Arial" w:hAnsi="Arial"/>
          <w:sz w:val="18"/>
          <w:szCs w:val="18"/>
          <w:i w:val="1"/>
          <w:iCs w:val="1"/>
          <w:color w:val="auto"/>
        </w:rPr>
        <w:t>,”</w:t>
      </w:r>
      <w:r>
        <w:rPr>
          <w:rFonts w:ascii="Arial" w:cs="Arial" w:eastAsia="Arial" w:hAnsi="Arial"/>
          <w:sz w:val="18"/>
          <w:szCs w:val="18"/>
          <w:color w:val="auto"/>
        </w:rPr>
        <w:t xml:space="preserve"> strong oil prices in 2022 and to a lesser extent, the continuing recovery in natural gas and natural gas liquids prices, contributed to approximately $243.1 million of the total increase.</w:t>
      </w:r>
    </w:p>
    <w:p>
      <w:pPr>
        <w:spacing w:after="0" w:line="203" w:lineRule="exact"/>
        <w:rPr>
          <w:sz w:val="20"/>
          <w:szCs w:val="20"/>
          <w:color w:val="auto"/>
        </w:rPr>
      </w:pPr>
    </w:p>
    <w:p>
      <w:pPr>
        <w:jc w:val="both"/>
        <w:ind w:right="100" w:firstLine="643"/>
        <w:spacing w:after="0" w:line="237" w:lineRule="auto"/>
        <w:rPr>
          <w:sz w:val="20"/>
          <w:szCs w:val="20"/>
          <w:color w:val="auto"/>
        </w:rPr>
      </w:pPr>
      <w:r>
        <w:rPr>
          <w:rFonts w:ascii="Arial" w:cs="Arial" w:eastAsia="Arial" w:hAnsi="Arial"/>
          <w:sz w:val="18"/>
          <w:szCs w:val="18"/>
          <w:color w:val="auto"/>
        </w:rPr>
        <w:t>The remaining $93.3 million of the total increase in royalty income is attributable to the 20% increase in production volumes during the year ended December 31, 2022 compared to the same period in 2021. This production growth stems from new well additions between periods primarily due to the Swallowtail Acquisition.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 Bonus Income</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Lease bonus income increased $25.0 million during the year ended December 31, 2022 compared to the same period in 2021 due primarily to lease ratifications with Diamondback during the fourth quarter of 2022 as well as Diamondback leasing certain acreage acquired in the Swallowtail Acquisition during the first quarter of 2022.</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production and ad valorem taxes for the years ended December 31, 2022 and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5"/>
          </w:tcPr>
          <w:p>
            <w:pPr>
              <w:ind w:left="6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 BOE</w:t>
            </w:r>
          </w:p>
        </w:tc>
        <w:tc>
          <w:tcPr>
            <w:tcW w:w="136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8"/>
              </w:rPr>
              <w:t>Percentage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 BOE</w:t>
            </w:r>
          </w:p>
        </w:tc>
        <w:tc>
          <w:tcPr>
            <w:tcW w:w="138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1"/>
              </w:rPr>
              <w:t>Percentage of Royalty</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Royalty Income</w:t>
            </w: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27"/>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1"/>
              </w:rPr>
              <w:t>5.1 %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5.2 %</w:t>
            </w:r>
          </w:p>
        </w:tc>
        <w:tc>
          <w:tcPr>
            <w:tcW w:w="0" w:type="dxa"/>
            <w:vAlign w:val="bottom"/>
          </w:tcPr>
          <w:p>
            <w:pPr>
              <w:spacing w:after="0"/>
              <w:rPr>
                <w:sz w:val="1"/>
                <w:szCs w:val="1"/>
                <w:color w:val="auto"/>
              </w:rPr>
            </w:pPr>
          </w:p>
        </w:tc>
      </w:tr>
      <w:tr>
        <w:trPr>
          <w:trHeight w:val="227"/>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1"/>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6.7 %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1"/>
              </w:rPr>
              <w:t>6.5 %</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firstLine="643"/>
        <w:spacing w:after="0" w:line="257" w:lineRule="auto"/>
        <w:rPr>
          <w:sz w:val="20"/>
          <w:szCs w:val="20"/>
          <w:color w:val="auto"/>
        </w:rPr>
      </w:pPr>
      <w:r>
        <w:rPr>
          <w:rFonts w:ascii="Arial" w:cs="Arial" w:eastAsia="Arial" w:hAnsi="Arial"/>
          <w:sz w:val="17"/>
          <w:szCs w:val="17"/>
          <w:color w:val="auto"/>
        </w:rPr>
        <w:t>In general, production taxes are directly related to production revenues and are based upon current year commodity prices. Production taxes as a percentage of royalty income for 2022 remained consistent with 2021. Ad valorem taxes are based, among other factors, on property values driven by prior year commodity prices. The increase in ad valorem taxes is primarily due to accruing a full year of taxes in 2022 for the properties acquired in the Swallowtail Acquisition, as well as higher valuations assigned to our other oil and natural gas interests period over period driven by higher average commodity prices. Production taxes remained consistent as a percentage of royalty income for the year ended December 31, 2022 compared to the same period in 2021. We expect production and ad valorem taxes for 2023 to be approximately 7% to 8% of revenue.</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Depletion</w:t>
      </w:r>
    </w:p>
    <w:p>
      <w:pPr>
        <w:spacing w:after="0" w:line="235" w:lineRule="exact"/>
        <w:rPr>
          <w:sz w:val="20"/>
          <w:szCs w:val="20"/>
          <w:color w:val="auto"/>
        </w:rPr>
      </w:pPr>
    </w:p>
    <w:p>
      <w:pPr>
        <w:jc w:val="both"/>
        <w:ind w:firstLine="643"/>
        <w:spacing w:after="0" w:line="281" w:lineRule="auto"/>
        <w:rPr>
          <w:sz w:val="20"/>
          <w:szCs w:val="20"/>
          <w:color w:val="auto"/>
        </w:rPr>
      </w:pPr>
      <w:r>
        <w:rPr>
          <w:rFonts w:ascii="Arial" w:cs="Arial" w:eastAsia="Arial" w:hAnsi="Arial"/>
          <w:sz w:val="16"/>
          <w:szCs w:val="16"/>
          <w:color w:val="auto"/>
        </w:rPr>
        <w:t>The $18.1 million increase in depletion expense for 2022 compared to 2021 was due primarily to an increase in production, partially offset by a decrease in the depletion rate to $9.86 from $10.04, respectively. The rate decrease largely resulted from higher SEC oil prices utilized in the reserve calculations in the 2022 period, lengthening the economic life of the reserve base and resulting in higher projected remaining reserve volumes on our wells.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48" w:lineRule="exact"/>
        <w:rPr>
          <w:sz w:val="20"/>
          <w:szCs w:val="20"/>
          <w:color w:val="auto"/>
        </w:rPr>
      </w:pPr>
    </w:p>
    <w:p>
      <w:pPr>
        <w:jc w:val="both"/>
        <w:ind w:firstLine="178"/>
        <w:spacing w:after="0" w:line="256" w:lineRule="auto"/>
        <w:rPr>
          <w:sz w:val="20"/>
          <w:szCs w:val="20"/>
          <w:color w:val="auto"/>
        </w:rPr>
      </w:pPr>
      <w:r>
        <w:rPr>
          <w:rFonts w:ascii="Arial" w:cs="Arial" w:eastAsia="Arial" w:hAnsi="Arial"/>
          <w:sz w:val="18"/>
          <w:szCs w:val="18"/>
          <w:color w:val="auto"/>
        </w:rPr>
        <w:t>Net interest expense for 2022 and 2021 totaled $40.4 million and $34.0 million, respectively. The increase of $6.4 million was due primarily to an increase of $8.2 million in interest expense under the Operating Company’s revolving credit facility during 2022 compared to 2021, which resulted from an increase in both the weighted average borrowings outstanding and the weighted average interest rate on those borrowings. This increase was partially offset by interest cost savings on the portion of the Notes that were repurchased during 2022.</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following table shows the net gain (loss) on derivative instruments and the net cash receipts (payments) on derivatives for the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6"/>
                <w:szCs w:val="16"/>
                <w:b w:val="1"/>
                <w:bCs w:val="1"/>
                <w:color w:val="auto"/>
                <w:w w:val="98"/>
              </w:rPr>
              <w:t>Year Ended December 31,</w:t>
            </w:r>
          </w:p>
        </w:tc>
      </w:tr>
      <w:tr>
        <w:trPr>
          <w:trHeight w:val="208"/>
        </w:trPr>
        <w:tc>
          <w:tcPr>
            <w:tcW w:w="8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w w:val="89"/>
              </w:rPr>
              <w:t>2021</w:t>
            </w:r>
          </w:p>
        </w:tc>
      </w:tr>
      <w:tr>
        <w:trPr>
          <w:trHeight w:val="208"/>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5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(69,409)</w:t>
            </w:r>
          </w:p>
        </w:tc>
      </w:tr>
      <w:tr>
        <w:trPr>
          <w:trHeight w:val="302"/>
        </w:trPr>
        <w:tc>
          <w:tcPr>
            <w:tcW w:w="854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r>
              <w:rPr>
                <w:rFonts w:ascii="Arial" w:cs="Arial" w:eastAsia="Arial" w:hAnsi="Arial"/>
                <w:sz w:val="23"/>
                <w:szCs w:val="23"/>
                <w:color w:val="auto"/>
                <w:vertAlign w:val="superscript"/>
              </w:rPr>
              <w:t>(1)</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(31,319)</w:t>
            </w:r>
          </w:p>
        </w:tc>
        <w:tc>
          <w:tcPr>
            <w:tcW w:w="5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(92,585)</w:t>
            </w:r>
          </w:p>
        </w:tc>
      </w:tr>
    </w:tbl>
    <w:p>
      <w:pPr>
        <w:spacing w:after="0" w:line="5" w:lineRule="exact"/>
        <w:rPr>
          <w:sz w:val="20"/>
          <w:szCs w:val="20"/>
          <w:color w:val="auto"/>
        </w:rPr>
      </w:pPr>
    </w:p>
    <w:p>
      <w:pPr>
        <w:ind w:left="5540" w:right="860" w:hanging="5533"/>
        <w:spacing w:after="0" w:line="908"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year ended December 31, 2022 includes cash paid on commodity contracts terminated prior to their contractual maturity of $6.6 million.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-308610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We recorded losses on our derivative instruments for the years ended December 31, 2022 and 2021 primarily due to market prices being higher than the strike prices on our derivative contracts.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See Note 10—</w:t>
      </w:r>
      <w:r>
        <w:rPr>
          <w:rFonts w:ascii="Arial" w:cs="Arial" w:eastAsia="Arial" w:hAnsi="Arial"/>
          <w:sz w:val="17"/>
          <w:szCs w:val="17"/>
          <w:u w:val="single" w:color="auto"/>
          <w:color w:val="0000FF"/>
        </w:rPr>
        <w:t>Derivatives</w:t>
      </w:r>
      <w:r>
        <w:rPr>
          <w:rFonts w:ascii="Arial" w:cs="Arial" w:eastAsia="Arial" w:hAnsi="Arial"/>
          <w:sz w:val="17"/>
          <w:szCs w:val="17"/>
          <w:color w:val="auto"/>
        </w:rPr>
        <w:t xml:space="preserve"> of the notes to the consolidated financial statements included elsewhere in this Annual Report for additional discussion of our open contracts at December 31, 2022.</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35" w:lineRule="exact"/>
        <w:rPr>
          <w:sz w:val="20"/>
          <w:szCs w:val="20"/>
          <w:color w:val="auto"/>
        </w:rPr>
      </w:pPr>
    </w:p>
    <w:p>
      <w:pPr>
        <w:jc w:val="both"/>
        <w:ind w:firstLine="643"/>
        <w:spacing w:after="0" w:line="273" w:lineRule="auto"/>
        <w:rPr>
          <w:sz w:val="20"/>
          <w:szCs w:val="20"/>
          <w:color w:val="auto"/>
        </w:rPr>
      </w:pPr>
      <w:r>
        <w:rPr>
          <w:rFonts w:ascii="Arial" w:cs="Arial" w:eastAsia="Arial" w:hAnsi="Arial"/>
          <w:sz w:val="16"/>
          <w:szCs w:val="16"/>
          <w:color w:val="auto"/>
        </w:rPr>
        <w:t>We recorded an income tax benefit of $32.7 million and expense of $1.5 million for the years ended December 31, 2022 and 2021, respectively. The change in our income tax provision was primarily due to the impact of a reduction to the valuation allowance on our deferred tax assets during the third quarter of 2022, partially offset by an increase in current income taxes resulting from higher pre-tax income. The total income tax provision for the year ended December 31, 2022 differed from amounts computed by applying the federal statutory tax rate to pre-tax income for the period primarily due to net income attributable to the non-controlling interest and the impact of maintaining a partial valuation allowance on our deferred tax assets. See Note 9— Income Taxes of the notes to the consolidated financial statements included elsewhere in this Annual Report for further details.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Overview of Sources and Uses of Cash</w:t>
      </w:r>
    </w:p>
    <w:p>
      <w:pPr>
        <w:spacing w:after="0" w:line="248"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proceeds from sales of non-core assets and investments, equity and debt offerings and borrowings under the Operating Company’s credit agreement. Our primary uses of cash have been distributions to our unitholders, repayments of debt, capital expenditures for the acquisition of our mineral interests and royalty interests in oil and natural gas properties and repurchases of our common units. At December 31, 2022, we had approximately $366.2 million of liquidity consisting of $18.2 million in cash and cash equivalents and $348.0 million available under the Operating Company’s credit agreement.</w:t>
      </w:r>
    </w:p>
    <w:p>
      <w:pPr>
        <w:spacing w:after="0" w:line="207"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Our working capital requirements are supported by our cash and cash equivalents and the Operating Company’s credit agreement. We may draw on the Operating Company’s credit agreement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acquisitions of mineral and royalty interests, distributions, debt service obligations and repayment of debt maturities, common unit and senior note repurchases and any amounts that may ultimately be paid in connection with contingencies.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In order to mitigate volatility in oil and natural gas prices, we have entered into commodity derivative contracts as discussed further in </w:t>
      </w:r>
      <w:r>
        <w:rPr>
          <w:rFonts w:ascii="Arial" w:cs="Arial" w:eastAsia="Arial" w:hAnsi="Arial"/>
          <w:sz w:val="16"/>
          <w:szCs w:val="16"/>
          <w:u w:val="single" w:color="auto"/>
          <w:color w:val="0000FF"/>
        </w:rPr>
        <w:t>Item 7A.</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Quantitative and Qualitative Disclosures About Market Risk—Commodity Price Risk</w:t>
      </w:r>
      <w:r>
        <w:rPr>
          <w:rFonts w:ascii="Arial" w:cs="Arial" w:eastAsia="Arial" w:hAnsi="Arial"/>
          <w:sz w:val="18"/>
          <w:szCs w:val="18"/>
          <w:color w:val="000000"/>
        </w:rPr>
        <w:t>.</w:t>
      </w:r>
    </w:p>
    <w:p>
      <w:pPr>
        <w:spacing w:after="0" w:line="235"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Continued prolonged volatility in the capital, financial and/or credit markets due to the COVID-19 pandemic, the war in the Ukraine, the depressed commodity markets and, or adverse macroeconomic conditions, including persistent inflation, rising interest rates, global supply chain disruptions and increasing concerns over a potential economic downturn or recession,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cash flows for the period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193"/>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r>
      <w:tr>
        <w:trPr>
          <w:trHeight w:val="222"/>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8460" w:type="dxa"/>
            <w:vAlign w:val="bottom"/>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699,796</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307,114</w:t>
            </w:r>
          </w:p>
        </w:tc>
      </w:tr>
      <w:tr>
        <w:trPr>
          <w:trHeight w:val="228"/>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(281,176)</w:t>
            </w:r>
          </w:p>
        </w:tc>
      </w:tr>
      <w:tr>
        <w:trPr>
          <w:trHeight w:val="227"/>
        </w:trPr>
        <w:tc>
          <w:tcPr>
            <w:tcW w:w="8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(768,636)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w:t>
            </w:r>
          </w:p>
        </w:tc>
      </w:tr>
      <w:tr>
        <w:trPr>
          <w:trHeight w:val="246"/>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Activities</w:t>
      </w:r>
    </w:p>
    <w:p>
      <w:pPr>
        <w:spacing w:after="0" w:line="248"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 xml:space="preserve">Our operating cash flow is sensitive to many variables, the most significant of which are the volatility of prices for oil and natural gas and the volume of oil and natural gas sold by our producers. The increase in net cash provided by operating activities during the year ended December 31, 2022 compared to the same period in 2021 was primarily driven by higher royalty and lease bonus income in 2022 as well as a reduction in cash paid for derivative settlements. These cash inflows from operating activities were partially offset by higher production and ad valorem taxes and cash payments for income taxes as well as changes in our working capital accounts, most notably through an increase in our royalty income accounts receivable due primarily to growth in production volumes and higher average prices received for our production in 2022 compared to 2021. See </w:t>
      </w:r>
      <w:r>
        <w:rPr>
          <w:rFonts w:ascii="Arial" w:cs="Arial" w:eastAsia="Arial" w:hAnsi="Arial"/>
          <w:sz w:val="17"/>
          <w:szCs w:val="17"/>
          <w:u w:val="single" w:color="auto"/>
          <w:color w:val="0000FF"/>
        </w:rPr>
        <w:t>—</w:t>
      </w:r>
      <w:r>
        <w:rPr>
          <w:rFonts w:ascii="Arial" w:cs="Arial" w:eastAsia="Arial" w:hAnsi="Arial"/>
          <w:sz w:val="17"/>
          <w:szCs w:val="17"/>
          <w:i w:val="1"/>
          <w:iCs w:val="1"/>
          <w:u w:val="single" w:color="auto"/>
          <w:color w:val="0000FF"/>
        </w:rPr>
        <w:t>Results of Operations</w:t>
      </w:r>
      <w:r>
        <w:rPr>
          <w:rFonts w:ascii="Arial" w:cs="Arial" w:eastAsia="Arial" w:hAnsi="Arial"/>
          <w:sz w:val="17"/>
          <w:szCs w:val="17"/>
          <w:color w:val="auto"/>
        </w:rPr>
        <w:t>” above for further discussion of significant changes in our income and expenses.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Investing Activities</w:t>
      </w:r>
    </w:p>
    <w:p>
      <w:pPr>
        <w:spacing w:after="0" w:line="248" w:lineRule="exact"/>
        <w:rPr>
          <w:sz w:val="20"/>
          <w:szCs w:val="20"/>
          <w:color w:val="auto"/>
        </w:rPr>
      </w:pPr>
    </w:p>
    <w:p>
      <w:pPr>
        <w:jc w:val="both"/>
        <w:ind w:firstLine="643"/>
        <w:spacing w:after="0" w:line="301" w:lineRule="auto"/>
        <w:rPr>
          <w:sz w:val="20"/>
          <w:szCs w:val="20"/>
          <w:color w:val="auto"/>
        </w:rPr>
      </w:pPr>
      <w:r>
        <w:rPr>
          <w:rFonts w:ascii="Arial" w:cs="Arial" w:eastAsia="Arial" w:hAnsi="Arial"/>
          <w:sz w:val="17"/>
          <w:szCs w:val="17"/>
          <w:color w:val="auto"/>
        </w:rPr>
        <w:t>Net cash provided by investing activities during the year ended December 31, 2022 primarily related to proceeds from the divestitures of oil and natural gas interests including our Eagle Ford properties, partially offset by expenditures for acquisitions of oil and natural gas interests.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cash used in investing activities during the year ended December 31, 2021 primarily related to acquisitions of oil and natural gas interests.</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Financing Activities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Consistent with our strategy to return cash flow to unitholders, net cash used in financing activities during the year ended December 31, 2022, was primarily related to distributions of $416.9 million to our unitholders and $150.6 million of repurchases of our common units. Additionally, we reduced our debt profile by repaying a net $152.0 million of outstanding borrowings under the Operating Company’s revolving credit facility, and repurchasing $49.0 million of our Notes.</w:t>
      </w:r>
    </w:p>
    <w:p>
      <w:pPr>
        <w:spacing w:after="0" w:line="21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Net cash used in financing activities during the year ended December 31, 2021, was primarily related to net borrowings of $220.0 million under the Operating Company’s revolving credit facility to fund the Swallowtail Acquisition, distributions of $176.6 million to our unitholders and $46.0 million of repurchases of our common units during the fourth quarter of 2021.</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The Operating Company’s Revolving Credit Facility</w:t>
      </w:r>
    </w:p>
    <w:p>
      <w:pPr>
        <w:spacing w:after="0" w:line="248" w:lineRule="exact"/>
        <w:rPr>
          <w:sz w:val="20"/>
          <w:szCs w:val="20"/>
          <w:color w:val="auto"/>
        </w:rPr>
      </w:pPr>
    </w:p>
    <w:p>
      <w:pPr>
        <w:ind w:left="40" w:firstLine="643"/>
        <w:spacing w:after="0" w:line="256" w:lineRule="auto"/>
        <w:rPr>
          <w:sz w:val="20"/>
          <w:szCs w:val="20"/>
          <w:color w:val="auto"/>
        </w:rPr>
      </w:pPr>
      <w:r>
        <w:rPr>
          <w:rFonts w:ascii="Arial" w:cs="Arial" w:eastAsia="Arial" w:hAnsi="Arial"/>
          <w:sz w:val="18"/>
          <w:szCs w:val="18"/>
          <w:color w:val="auto"/>
        </w:rPr>
        <w:t>At December 31, 2022, the Operating Company’s credit agreement, which matures on June 2, 2025, had an elected commitment amount of $500.0 million, with $152.0 million in outstanding borrowings and $348.0 million of availability.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2022 Debt Transactions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During the year ended December 31, 2022, the Operating Company used a combination of cash on hand and borrowings under the Operating Company’s credit agreement to repurchase a portion of the Notes in the aggregate principal amount of $49.6 million for total cash consideration of $49.0 million. As of December 31, 2022, the Operating Company was in compliance, and expects to be in compliance, with all financial maintenance covenants under its credit agreement.</w:t>
      </w:r>
    </w:p>
    <w:p>
      <w:pPr>
        <w:spacing w:after="0" w:line="21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See Note 6—</w:t>
      </w:r>
      <w:r>
        <w:rPr>
          <w:rFonts w:ascii="Arial" w:cs="Arial" w:eastAsia="Arial" w:hAnsi="Arial"/>
          <w:sz w:val="18"/>
          <w:szCs w:val="18"/>
          <w:u w:val="single" w:color="auto"/>
          <w:color w:val="0000FF"/>
        </w:rPr>
        <w:t>Debt</w:t>
      </w:r>
      <w:r>
        <w:rPr>
          <w:rFonts w:ascii="Arial" w:cs="Arial" w:eastAsia="Arial" w:hAnsi="Arial"/>
          <w:sz w:val="18"/>
          <w:szCs w:val="18"/>
          <w:color w:val="auto"/>
        </w:rPr>
        <w:t xml:space="preserve"> of the notes to the consolidated financial statements included elsewhere in this Annual Report for additional discussion of our outstanding debt at December 31, 2022.</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Senior Notes</w:t>
      </w:r>
    </w:p>
    <w:p>
      <w:pPr>
        <w:spacing w:after="0" w:line="275" w:lineRule="exact"/>
        <w:rPr>
          <w:sz w:val="20"/>
          <w:szCs w:val="20"/>
          <w:color w:val="auto"/>
        </w:rPr>
      </w:pPr>
    </w:p>
    <w:p>
      <w:pPr>
        <w:jc w:val="both"/>
        <w:ind w:firstLine="643"/>
        <w:spacing w:after="0" w:line="261" w:lineRule="auto"/>
        <w:rPr>
          <w:sz w:val="20"/>
          <w:szCs w:val="20"/>
          <w:color w:val="auto"/>
        </w:rPr>
      </w:pPr>
      <w:r>
        <w:rPr>
          <w:rFonts w:ascii="Arial" w:cs="Arial" w:eastAsia="Arial" w:hAnsi="Arial"/>
          <w:sz w:val="18"/>
          <w:szCs w:val="18"/>
          <w:color w:val="auto"/>
        </w:rPr>
        <w:t>Our outstanding Notes obligations total $430.4 million as of December 31, 2022. There are no principal amounts due until 2027. At December 31, 2022, we have a remaining aggregate interest expense obligation of $115.7 million on the Notes with $23.1 million being due each year from 2023 to 2027. The Notes are not subject to any mandatory redemption or sinking fund requirements. See Note 6—</w:t>
      </w:r>
      <w:r>
        <w:rPr>
          <w:rFonts w:ascii="Arial" w:cs="Arial" w:eastAsia="Arial" w:hAnsi="Arial"/>
          <w:sz w:val="18"/>
          <w:szCs w:val="18"/>
          <w:u w:val="single" w:color="auto"/>
          <w:color w:val="0000FF"/>
        </w:rPr>
        <w:t>Debt</w:t>
      </w:r>
      <w:r>
        <w:rPr>
          <w:rFonts w:ascii="Arial" w:cs="Arial" w:eastAsia="Arial" w:hAnsi="Arial"/>
          <w:sz w:val="18"/>
          <w:szCs w:val="18"/>
          <w:color w:val="auto"/>
        </w:rPr>
        <w:t xml:space="preserve"> of the notes to the consolidated financial statements included elsewhere in this Annual Report for further information on the Notes.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Repurchases of Securities</w:t>
      </w:r>
    </w:p>
    <w:p>
      <w:pPr>
        <w:spacing w:after="0" w:line="248"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18"/>
          <w:szCs w:val="18"/>
          <w:color w:val="auto"/>
        </w:rPr>
        <w:t>On July 26, 2022, the board of directors of our General Partner approved an increase of the authorization under its common unit repurchase program from $250.0 million to $750.0 million. As of December 31, 2022, $529.4 million remains available for use to repurchase units under the repurchase program. See Note 7—</w:t>
      </w:r>
      <w:r>
        <w:rPr>
          <w:rFonts w:ascii="Arial" w:cs="Arial" w:eastAsia="Arial" w:hAnsi="Arial"/>
          <w:sz w:val="18"/>
          <w:szCs w:val="18"/>
          <w:u w:val="single" w:color="auto"/>
          <w:color w:val="0000FF"/>
        </w:rPr>
        <w:t>Unitholders' Equity and Distributions</w:t>
      </w:r>
      <w:r>
        <w:rPr>
          <w:rFonts w:ascii="Arial" w:cs="Arial" w:eastAsia="Arial" w:hAnsi="Arial"/>
          <w:sz w:val="18"/>
          <w:szCs w:val="18"/>
          <w:color w:val="auto"/>
        </w:rPr>
        <w:t xml:space="preserve"> of the notes to the consolidated financial statements included elsewhere in this Annual Report for further discussion of the unit repurchase program.</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Distributions</w:t>
      </w:r>
    </w:p>
    <w:p>
      <w:pPr>
        <w:spacing w:after="0" w:line="23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We paid total distributions of $416.9 million and $176.6 million on our common units, participating securities under the LTIP, and the Operating Company’s Class B units during 2022 and 2021, respectively.</w:t>
      </w:r>
    </w:p>
    <w:p>
      <w:pPr>
        <w:spacing w:after="0" w:line="215"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The distribution for the fourth quarter of 2022 is $0.49 per common unit payable on March 10, 2023 to common unitholders of record at the close of business on March 3, 2023. The distribution consists of a base quarterly distribution of $0.25 per common unit and a variable quarterly distribution of $0.24 per common unit. Based on the common units, Class B units and Operating Company units held by Diamondback on February 21, 2023, the distribution payable to Diamondback for the fourth quarter of 2022 on March 10, 2023 will be approximately $49.3 million. See Note 7—</w:t>
      </w:r>
      <w:r>
        <w:rPr>
          <w:rFonts w:ascii="Arial" w:cs="Arial" w:eastAsia="Arial" w:hAnsi="Arial"/>
          <w:sz w:val="16"/>
          <w:szCs w:val="16"/>
          <w:u w:val="single" w:color="auto"/>
          <w:color w:val="0000FF"/>
        </w:rPr>
        <w:t>Unitholders'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Equity and Distributions</w:t>
      </w:r>
      <w:r>
        <w:rPr>
          <w:rFonts w:ascii="Arial" w:cs="Arial" w:eastAsia="Arial" w:hAnsi="Arial"/>
          <w:sz w:val="16"/>
          <w:szCs w:val="16"/>
          <w:color w:val="0000FF"/>
        </w:rPr>
        <w:t xml:space="preserve"> </w:t>
      </w:r>
      <w:r>
        <w:rPr>
          <w:rFonts w:ascii="Arial" w:cs="Arial" w:eastAsia="Arial" w:hAnsi="Arial"/>
          <w:sz w:val="16"/>
          <w:szCs w:val="16"/>
          <w:color w:val="000000"/>
        </w:rPr>
        <w:t>of the notes to the consolidated financial statements included elsewhere in this Annual Report for further discussion of our</w:t>
      </w:r>
      <w:r>
        <w:rPr>
          <w:rFonts w:ascii="Arial" w:cs="Arial" w:eastAsia="Arial" w:hAnsi="Arial"/>
          <w:sz w:val="16"/>
          <w:szCs w:val="16"/>
          <w:color w:val="0000FF"/>
        </w:rPr>
        <w:t xml:space="preserve"> </w:t>
      </w:r>
      <w:r>
        <w:rPr>
          <w:rFonts w:ascii="Arial" w:cs="Arial" w:eastAsia="Arial" w:hAnsi="Arial"/>
          <w:sz w:val="16"/>
          <w:szCs w:val="16"/>
          <w:color w:val="000000"/>
        </w:rPr>
        <w:t>distributions. We expect to continue paying quarterly cash distributions in respect of our common units. Future base and variable distributions are not required and are at the discretion of the board of directors of our General Partner, who may change the distribution policies at any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GAAP.</w:t>
      </w:r>
    </w:p>
    <w:p>
      <w:pPr>
        <w:spacing w:after="0" w:line="202"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Accounting estimates are considered to be critical if (i) the nature of the estimates and assumptions is material due to the levels of subjectivity and judgment necessary to account for highly uncertain matters or the susceptibility of such matters to change, and (ii) the impact of the estimates and assumptions on financial condition or operating performance is material. We evaluate these estimates on an ongoing basis, using historical experience, consultation with experts and other methods we consider reasonable in the particular circumstances. Any effects on our business, financial position or results of operations resulting from revisions to these estimates are recorded in the period in which the facts that give rise to the revision become known.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We consider the following to be our most critical accounting estimates and have reviewed these critical accounting estimates with the Audit Committee of our Board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Income and Revenue Recognition</w:t>
      </w:r>
    </w:p>
    <w:p>
      <w:pPr>
        <w:spacing w:after="0" w:line="248"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color w:val="auto"/>
        </w:rPr>
        <w:t>We record revenue in the month production is delivered to the purchaser. However, settlement statements for certain oil, natural gas and natural gas liquids sales from third party operators other than Diamondback may not be received for 30 to 90 days after the date production is delivered.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 based upon the Partnership’s interest. Where available, historical actual data is used to calculate volume estimates for wells operated by third parties. If historical actual data is not available for these wells, engineering estimates are used to calculate expected volumes. As such, estimated volumes utilized in period end royalty income accruals are subject to revision as additional actual data becomes available and such revisions may have a material impact on our results of operations and our royalty income receivables. Pricing estimates are based upon actual prices realized in an area by adjusting the market price for the average basis differential from market on a basin-by-basin basis. We record the differences between our estimates and the actual amounts received for royalties from third parties in the month that payment is received from the producer. We have existing internal controls for our royalty income estimation process and related accruals, but actual third party royalty income in future periods could differ materially from estimated amounts. At December 31, 2022, our accrual for third party royalty was approximately $65.1 million. Actual revenues received from third parties were higher by approximately $10.0 million, or 20%, compared to the accrual at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Accounting and Reserves</w:t>
      </w:r>
    </w:p>
    <w:p>
      <w:pPr>
        <w:spacing w:after="0" w:line="248"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We account for oil and natural gas producing activities using the full cost method of accounting, which is dependent on the estimation of proved reserves to determine the rate at which we record depletion on our oil and natural gas properties and whether the value of our evaluated oil and natural gas properties is permanently impaired based on the quarterly full cost ceiling impairment test. Further, we utilize estimated proved reserves to assign fair value to acquired mineral and royalty interests. As such, we consider the estimation of proved reserves to be a critical accounting estimate.</w:t>
      </w:r>
    </w:p>
    <w:p>
      <w:pPr>
        <w:spacing w:after="0" w:line="171" w:lineRule="exact"/>
        <w:rPr>
          <w:sz w:val="20"/>
          <w:szCs w:val="20"/>
          <w:color w:val="auto"/>
        </w:rPr>
      </w:pPr>
    </w:p>
    <w:p>
      <w:pPr>
        <w:jc w:val="both"/>
        <w:ind w:firstLine="643"/>
        <w:spacing w:after="0" w:line="264" w:lineRule="auto"/>
        <w:rPr>
          <w:sz w:val="20"/>
          <w:szCs w:val="20"/>
          <w:color w:val="auto"/>
        </w:rPr>
      </w:pPr>
      <w:r>
        <w:rPr>
          <w:rFonts w:ascii="Arial" w:cs="Arial" w:eastAsia="Arial" w:hAnsi="Arial"/>
          <w:sz w:val="16"/>
          <w:szCs w:val="16"/>
          <w:color w:val="auto"/>
        </w:rPr>
        <w:t>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Proved oil and natural gas reserve estimates and their associated future net cash flows were prepared by our internal reservoir engineers and audited by Ryder Scott, independent petroleum engineers, as of December 31, 2022 and prepared by Ryder Scott as of December 31, 2021 and 2020. The process of estimating oil and natural gas reserves is complex, requiring significant decisions in the evaluation of available geological, geophysical, engineering and economic data. Significant inputs included in the calculation of future net cash flows include anticipated production of proved reserves and other relevant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and reserve estimates are often different from the quantities of oil and natural gas that are ultimately recovered. Although every reasonable effort is made to ensure that reserve estimates reported represent the most accurate assessments possible, the subjective decisions and variances in available data for various properties increase the likelihood of significant changes in these estimates. If such changes are material, they could significantly affect future depletion of capitalized costs and result in impairment of assets that may be material. Revisions of previous quantity estimates accounted for approximately 23% of the change in the total standardized measure of our reserves from December 31, 2021 to December 31, 2022, and were primarily related to negative revisions due to PUD downgrades during 2022.</w:t>
      </w:r>
    </w:p>
    <w:p>
      <w:pPr>
        <w:spacing w:after="0" w:line="219"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Our unevaluated property costs are tracked by lease and prospect. We assess all items classified as unevaluated property (on an individual basis or as a group if properties are individually insignificant) at least annually for possible impairment. This assessment is subjective and includes consideration of the calculated value for each lease based on the total costs incurred for the lease divided by the number of acres available to develop compared to current market prices for acreage in the related basins. We also monitor information available from third party operators of our acreage for future drilling plans as part of our impairment assessment. At December 31, 2022, our unevaluated properties totaled $1.3 billion. No impairments were recorded on our proved oil and natural gas properties during the years ended December 31, 2022 and 2021; however, impairment expense of $69.2 million was recorded for the year ended December 31, 2020 as discussed further in Note 5—</w:t>
      </w:r>
      <w:r>
        <w:rPr>
          <w:rFonts w:ascii="Arial" w:cs="Arial" w:eastAsia="Arial" w:hAnsi="Arial"/>
          <w:sz w:val="17"/>
          <w:szCs w:val="17"/>
          <w:u w:val="single" w:color="auto"/>
          <w:color w:val="0000FF"/>
        </w:rPr>
        <w:t>Oil and Natural Gas Interests</w:t>
      </w:r>
      <w:r>
        <w:rPr>
          <w:rFonts w:ascii="Arial" w:cs="Arial" w:eastAsia="Arial" w:hAnsi="Arial"/>
          <w:sz w:val="17"/>
          <w:szCs w:val="17"/>
          <w:color w:val="auto"/>
        </w:rPr>
        <w:t xml:space="preserve"> of the notes to the consolidated financial statements included elsewhere in this Annual Report. Due to an increase in the historical 12-month average trailing SEC prices for oil and natural gas throughout 2022, we are not currently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projecting a full cost ceiling impairment in the first quarter of 2023. Any future impairment could be material to our consolidated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48"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In order to reduce uncertainty around commodity prices received for our oil and natural gas operators’ production, we enter into commodity price derivative contracts from time to time. We exercise significant judgment in determining the types of instruments to be used, the level of production volumes to include in our commodity derivative contracts, the prices at which we enter into commodity derivative contracts and the counterparties’ creditworthiness.</w:t>
      </w:r>
    </w:p>
    <w:p>
      <w:pPr>
        <w:spacing w:after="0" w:line="178"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color w:val="auto"/>
        </w:rPr>
        <w:t>We have not designated our derivative instruments as hedges for accounting purposes and, as a result, mark our derivative instruments to fair value and recognize the cash and non-cash change in fair value on derivative instruments for each period in the consolidated statements of operations. We are also required to recognize our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and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Changes in the fair values of our commodity derivative instruments have a significant impact on our net income because we follow mark-to-market accounting and recognize all gains and losses on such instruments in earnings in the period in which they occur.</w:t>
      </w:r>
    </w:p>
    <w:p>
      <w:pPr>
        <w:spacing w:after="0" w:line="21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Item 7A. Quantitative and Qualitative Disclosures About Market Risk—Commodity Price Risk</w:t>
      </w:r>
      <w:r>
        <w:rPr>
          <w:rFonts w:ascii="Arial" w:cs="Arial" w:eastAsia="Arial" w:hAnsi="Arial"/>
          <w:sz w:val="18"/>
          <w:szCs w:val="18"/>
          <w:color w:val="auto"/>
        </w:rPr>
        <w:t xml:space="preserve"> for additional sensitivity analysis of our open derivative positions at December 31,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8" w:lineRule="exact"/>
        <w:rPr>
          <w:sz w:val="20"/>
          <w:szCs w:val="20"/>
          <w:color w:val="auto"/>
        </w:rPr>
      </w:pPr>
    </w:p>
    <w:p>
      <w:pPr>
        <w:jc w:val="both"/>
        <w:ind w:firstLine="643"/>
        <w:spacing w:after="0" w:line="283" w:lineRule="auto"/>
        <w:rPr>
          <w:sz w:val="20"/>
          <w:szCs w:val="20"/>
          <w:color w:val="auto"/>
        </w:rPr>
      </w:pPr>
      <w:r>
        <w:rPr>
          <w:rFonts w:ascii="Arial" w:cs="Arial" w:eastAsia="Arial" w:hAnsi="Arial"/>
          <w:sz w:val="16"/>
          <w:szCs w:val="16"/>
          <w:color w:val="auto"/>
        </w:rPr>
        <w:t xml:space="preserve">We have elected to be treated as a corporation for U.S. federal income tax purposes. The amount of income taxes we record requires interpretations of complex rules and regulations of federal, state, and provincial tax jurisdictions. We use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after considering all positive and negative evidence available concerning the realizability of our deferred tax assets. Positive evidence may include forecasts of future taxable income, assessment of future business assumptions and any applicable tax planning strategies available to the Partnership. Negative evidence may include losses in recent years, if any, or the projection of losses in future periods. Estimating future taxable income requires numerous judgments and assumptions, including projections of future operating conditions which may be impacted by volatile future prices for our oil, natural gas and natural gas production, the expected timing and quantity of future production volumes, and the impact of our commodity derivative instruments on our income. These assumptions are discussed further in the critical accounting estimates titled </w:t>
      </w:r>
      <w:r>
        <w:rPr>
          <w:rFonts w:ascii="Arial" w:cs="Arial" w:eastAsia="Arial" w:hAnsi="Arial"/>
          <w:sz w:val="16"/>
          <w:szCs w:val="16"/>
          <w:i w:val="1"/>
          <w:iCs w:val="1"/>
          <w:color w:val="auto"/>
        </w:rPr>
        <w:t>“— Royalty Interest and Revenue Recognition”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 Oil and Natural Gas Accounting and Reserves”.</w:t>
      </w:r>
      <w:r>
        <w:rPr>
          <w:rFonts w:ascii="Arial" w:cs="Arial" w:eastAsia="Arial" w:hAnsi="Arial"/>
          <w:sz w:val="16"/>
          <w:szCs w:val="16"/>
          <w:color w:val="auto"/>
        </w:rPr>
        <w:t xml:space="preserve"> Due to the impact these various assumptions and estimates can have on our estimates of taxable income, an estimate of the sensitivity to changes is not practicable.</w:t>
      </w:r>
    </w:p>
    <w:p>
      <w:pPr>
        <w:spacing w:after="0" w:line="203"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In 2022, management’s assessment of all available evidence, both positive and negative, supporting realizability of the Partnership’s deferred tax assets as required by applicable accounting standards, resulted in recognition of a deferred income tax benefit of $49.7 million for the portion of the Partnership’s deferred tax assets considered more likely than not to be realized. The positive evidence assessed included recent cumulative income due in part to higher commodity prices and an expectation of future taxable income based upon recent actual and forecasted production volumes and prices. The Partnership retained a partial valuation allowance on its deferred tax assets due primarily to potential future volatility in commodity prices and an inherent lack of visibility to certain underlying operator activity for more than relatively short periods of time, which could impact the likelihood of future realizability. As of December 31, 2022, the Partnership had a deferred tax asset of $148.1 million offset by an allowance of $98.4 million.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The accruals for deferred tax assets and liabilities are often based on assumptions that are subject to a significant amount of judgment by management. These assumptions and judgments are reviewed and adjusted as facts and circumstances change. Material changes to our income tax accruals may occur in the future based on the progress of ongoing audits, changes in legislation or resolution of pending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See Note 2—</w:t>
      </w:r>
      <w:r>
        <w:rPr>
          <w:rFonts w:ascii="Arial" w:cs="Arial" w:eastAsia="Arial" w:hAnsi="Arial"/>
          <w:sz w:val="18"/>
          <w:szCs w:val="18"/>
          <w:u w:val="single" w:color="auto"/>
          <w:color w:val="0000FF"/>
        </w:rPr>
        <w:t>Summary of Significant Accounting Policies</w:t>
      </w:r>
      <w:r>
        <w:rPr>
          <w:rFonts w:ascii="Arial" w:cs="Arial" w:eastAsia="Arial" w:hAnsi="Arial"/>
          <w:sz w:val="18"/>
          <w:szCs w:val="18"/>
          <w:color w:val="auto"/>
        </w:rPr>
        <w:t xml:space="preserve"> to in the notes of our consolidated financial statements included elsewhere in this Annual Report for a full listing of our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currently have no off-balance sheet arrangements.</w:t>
      </w:r>
    </w:p>
    <w:p>
      <w:pPr>
        <w:spacing w:after="0" w:line="24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5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48" w:lineRule="exact"/>
        <w:rPr>
          <w:sz w:val="20"/>
          <w:szCs w:val="20"/>
          <w:color w:val="auto"/>
        </w:rPr>
      </w:pPr>
    </w:p>
    <w:p>
      <w:pPr>
        <w:jc w:val="both"/>
        <w:ind w:firstLine="643"/>
        <w:spacing w:after="0" w:line="258" w:lineRule="auto"/>
        <w:rPr>
          <w:sz w:val="20"/>
          <w:szCs w:val="20"/>
          <w:color w:val="auto"/>
        </w:rPr>
      </w:pPr>
      <w:r>
        <w:rPr>
          <w:rFonts w:ascii="Arial" w:cs="Arial" w:eastAsia="Arial" w:hAnsi="Arial"/>
          <w:sz w:val="17"/>
          <w:szCs w:val="17"/>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such as the war in the Ukraine, rising interest rates, global supply chain disruptions, a potential economic downturn or recession, the COVID-19 pandemic and actions taken by OPEC members and other exporting nations. We cannot predict events that may lead to future price volatility and the near term energy outlook remains subject to heightened levels of uncertainty.</w:t>
      </w:r>
    </w:p>
    <w:p>
      <w:pPr>
        <w:spacing w:after="0" w:line="203"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We historically have used fixed price swap contracts, fixed price basis swap contracts and costless collars with corresponding put and call options to reduce price volatility associated with certain of our royalty income as discussed in Note 10—</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of the notes to the consolidated financial statements included elsewhere in this Annual Report.</w:t>
      </w:r>
    </w:p>
    <w:p>
      <w:pPr>
        <w:spacing w:after="0" w:line="211"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At December 31, 2022, we had a net asset derivative position related to our commodity price derivatives of $9.8 million, related to our contracts. Utilizing actual derivative contractual volumes under our contracts as of December 31, 2022, a 10% increase in forward curves associated with the underlying commodity would have increased the net asset position by $2.8 million to $12.6 million, while a 10% decrease in forward curves associated with the underlying commodity would have decreased the net asset derivative position by $2.5 million to $7.2 million. However, any cash derivative gain or loss would be substantially offset by a decrease or increase, respectively, in the actual sales value of production covered by the derivative instrument.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Credit Risk</w:t>
      </w:r>
    </w:p>
    <w:p>
      <w:pPr>
        <w:spacing w:after="0" w:line="248"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We are subject to risk resulting from the concentration of royalty income in producing oil and natural gas properties and receivables with a limited number of several significant purchasers. For the year ended December 31, 2022, two purchasers accounted for more than 10% of our income. For the years ended December 31, 2021 and 2020, three and four purchasers each accounted for more than 10% of our income, respectively. See Note 2—</w:t>
      </w:r>
      <w:r>
        <w:rPr>
          <w:rFonts w:ascii="Arial" w:cs="Arial" w:eastAsia="Arial" w:hAnsi="Arial"/>
          <w:sz w:val="18"/>
          <w:szCs w:val="18"/>
          <w:u w:val="single" w:color="auto"/>
          <w:color w:val="0000FF"/>
        </w:rPr>
        <w:t>Summary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Significant Accounting Policies</w:t>
      </w:r>
      <w:r>
        <w:rPr>
          <w:rFonts w:ascii="Arial" w:cs="Arial" w:eastAsia="Arial" w:hAnsi="Arial"/>
          <w:sz w:val="18"/>
          <w:szCs w:val="18"/>
          <w:color w:val="0000FF"/>
        </w:rPr>
        <w:t xml:space="preserve"> </w:t>
      </w:r>
      <w:r>
        <w:rPr>
          <w:rFonts w:ascii="Arial" w:cs="Arial" w:eastAsia="Arial" w:hAnsi="Arial"/>
          <w:sz w:val="18"/>
          <w:szCs w:val="18"/>
          <w:color w:val="000000"/>
        </w:rPr>
        <w:t>of the notes to the consolidated financial statements included elsewhere in this Annual Report for further details. We do not</w:t>
      </w:r>
      <w:r>
        <w:rPr>
          <w:rFonts w:ascii="Arial" w:cs="Arial" w:eastAsia="Arial" w:hAnsi="Arial"/>
          <w:sz w:val="18"/>
          <w:szCs w:val="18"/>
          <w:color w:val="0000FF"/>
        </w:rPr>
        <w:t xml:space="preserve"> </w:t>
      </w:r>
      <w:r>
        <w:rPr>
          <w:rFonts w:ascii="Arial" w:cs="Arial" w:eastAsia="Arial" w:hAnsi="Arial"/>
          <w:sz w:val="18"/>
          <w:szCs w:val="18"/>
          <w:color w:val="000000"/>
        </w:rPr>
        <w:t>require collateral and the failure or inability of our significant purchasers to meet their obligations to us due to their liquidity issues, bankruptcy, insolvency or liquidation may adversely affect our financial results. Volatility in commodity pricing environment and macroeconomic conditions may enhance our purchaser credit risk.</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We are subject to market risk exposure related to changes in interest rates on our indebtedness under the Operating Company’s credit agreement. The terms of the credit agreement currently provide for interest on borrowings at a floating rate equal to (i) term SOFR plus 0.10% (“Adjusted Term SOFR”) or (ii) an alternate base rate (which is equal to the greatest of the prime rate, the Federal Funds effective rate plus 0.50%, and 1-month Adjusted Term SOFR plus 1.00%),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We are obligated to pay a quarterly commitment fee ranging from 0.375% to 0.500% per year on the unused portion of the commitment. As of December 31, 2022, we had $152.0 million in outstanding borrowings. During the year ended December 31, 2022, the weighted average interest rate was 4.22%.</w:t>
      </w:r>
    </w:p>
    <w:p>
      <w:pPr>
        <w:spacing w:after="0" w:line="19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appears beginning on page F-1 of this report.</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6"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As of December 31, 2022,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December 31, 2022, our disclosure controls and procedures are effective.</w:t>
      </w:r>
    </w:p>
    <w:p>
      <w:pPr>
        <w:spacing w:after="0" w:line="202" w:lineRule="exact"/>
        <w:rPr>
          <w:sz w:val="20"/>
          <w:szCs w:val="20"/>
          <w:color w:val="auto"/>
        </w:rPr>
      </w:pPr>
    </w:p>
    <w:p>
      <w:pPr>
        <w:jc w:val="both"/>
        <w:ind w:right="20" w:firstLine="643"/>
        <w:spacing w:after="0" w:line="260"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December 31, 2022 that have materially affected, or are reasonably likely to materially affect, internal controls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61"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The management of our General Partner is responsible for establishing and maintaining adequate internal control over financial reporting of the Partnership. The Partnership’s internal control over financial reporting is a process designed under the supervision of the Chief Executive Officer and Chief Financial Officer of our General Partner to provide reasonable assurance regarding the reliability of financial reporting and the preparation of the Partnership’s financial statements for external purposes in accordance with generally accepted accounting principles.</w:t>
      </w:r>
    </w:p>
    <w:p>
      <w:pPr>
        <w:spacing w:after="0" w:line="20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Management conducted an evaluation of the effectiveness of the Partnership’s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Partnership’s internal control over financial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reporting and determined that the Partnership maintained effective internal control over financial reporting as of December 31, 2022.</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Grant Thornton LLP, the independent registered public accounting firm that audited the consolidated financial statements of the Partnership included in this Annual Report on Form 10-K, has issued their report on the effectiveness of the Partnership’s internal control over financial reporting at December 31, 2022. The report, which expresses an unqualified opinion on the effectiveness of the Partnership’s internal control over financial reporting at December 31, 2022, is included in this Item under the heading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and Unitholders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Viper Energy Partners LP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 xml:space="preserve">We have audited the internal control over financial reporting of Viper Energy Partners LP (a Delaware limited partnership) and subsidiary (the “Partnership”) as of December 31, 2022,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Partnership maintained, in all material respects, effective internal control over financial reporting as of December 31, 2022,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21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Partnership as of and for the year ended December 31, 2022, and our report dated February 23, 2023 expressed an unqualified opinion on those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Viper Energy Partners LP</w:t>
      </w:r>
    </w:p>
    <w:p>
      <w:pPr>
        <w:spacing w:after="0" w:line="25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are managed and operated by the board of directors and the executive officers of our General Partner, the latter of whom are employed by Diamondback.</w:t>
      </w:r>
    </w:p>
    <w:p>
      <w:pPr>
        <w:spacing w:after="0" w:line="20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Diamondback owns all of the membership interests in our General Partner. As a result of owning our General Partner, Diamondback has the right to appoint all members of the board of directors of our General Partner, including the independent directors. Our common unitholders are not entitled to elect our General Partner or its directors or otherwise directly participate in our management or operation. Our General Partner owes certain duties to our common unitholders as well as a fiduciary duty to its owner.</w:t>
      </w:r>
    </w:p>
    <w:p>
      <w:pPr>
        <w:spacing w:after="0" w:line="215"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executive officers of our General Partner manage the day-to-day affairs of our business. All of the executive officers of our General Partner also serve as executive officers of Diamondback. The executive officers listed below allocate their time between managing our business and the business of Diamondback.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25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following table shows information for the executive officers and directors of our General Partner as of February 1, 2023. Directors hold office until their successors have been elected or qualified or until the earlier of their death, resignation, removal or disqualification. Executive officers serve at the discretion of the board of directors of our General Partner. There are no family relationships among any of our General Partner’s directors or executive officers.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gridSpan w:val="2"/>
          </w:tcPr>
          <w:p>
            <w:pPr>
              <w:ind w:left="1000"/>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8040" w:type="dxa"/>
            <w:vAlign w:val="bottom"/>
          </w:tcPr>
          <w:p>
            <w:pPr>
              <w:ind w:left="2940"/>
              <w:spacing w:after="0"/>
              <w:rPr>
                <w:sz w:val="20"/>
                <w:szCs w:val="20"/>
                <w:color w:val="auto"/>
              </w:rPr>
            </w:pPr>
            <w:r>
              <w:rPr>
                <w:rFonts w:ascii="Arial" w:cs="Arial" w:eastAsia="Arial" w:hAnsi="Arial"/>
                <w:sz w:val="14"/>
                <w:szCs w:val="14"/>
                <w:b w:val="1"/>
                <w:bCs w:val="1"/>
                <w:color w:val="auto"/>
              </w:rPr>
              <w:t>Position With Our General Partner</w:t>
            </w:r>
          </w:p>
        </w:tc>
      </w:tr>
      <w:tr>
        <w:trPr>
          <w:trHeight w:val="25"/>
        </w:trPr>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40" w:type="dxa"/>
            <w:vAlign w:val="bottom"/>
            <w:tcBorders>
              <w:bottom w:val="single" w:sz="8" w:color="auto"/>
            </w:tcBorders>
          </w:tcPr>
          <w:p>
            <w:pPr>
              <w:spacing w:after="0"/>
              <w:rPr>
                <w:sz w:val="2"/>
                <w:szCs w:val="2"/>
                <w:color w:val="auto"/>
              </w:rPr>
            </w:pPr>
          </w:p>
        </w:tc>
      </w:tr>
      <w:tr>
        <w:trPr>
          <w:trHeight w:val="221"/>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Travis D. Stice</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80" w:type="dxa"/>
            <w:vAlign w:val="bottom"/>
            <w:shd w:val="clear" w:color="auto" w:fill="CCEEFF"/>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7"/>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Kaes Van't Hof</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28"/>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Teresa L. Dick</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80" w:type="dxa"/>
            <w:vAlign w:val="bottom"/>
            <w:shd w:val="clear" w:color="auto" w:fill="CCEEFF"/>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Executive Vice President and Assistant Secretary</w:t>
            </w:r>
          </w:p>
        </w:tc>
      </w:tr>
      <w:tr>
        <w:trPr>
          <w:trHeight w:val="227"/>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Matt Zmigrosky</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28"/>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E. West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80" w:type="dxa"/>
            <w:vAlign w:val="bottom"/>
            <w:shd w:val="clear" w:color="auto" w:fill="CCEEFF"/>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and Director</w:t>
            </w:r>
          </w:p>
        </w:tc>
      </w:tr>
      <w:tr>
        <w:trPr>
          <w:trHeight w:val="227"/>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W. Wesley Perry</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8"/>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Spencer D. Armour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80" w:type="dxa"/>
            <w:vAlign w:val="bottom"/>
            <w:shd w:val="clear" w:color="auto" w:fill="CCEEFF"/>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7"/>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James L. Rubin</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8"/>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Frank C. Hu</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80" w:type="dxa"/>
            <w:vAlign w:val="bottom"/>
            <w:shd w:val="clear" w:color="auto" w:fill="CCEEFF"/>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294" w:lineRule="exact"/>
        <w:rPr>
          <w:sz w:val="20"/>
          <w:szCs w:val="20"/>
          <w:color w:val="auto"/>
        </w:rPr>
      </w:pPr>
    </w:p>
    <w:p>
      <w:pPr>
        <w:jc w:val="both"/>
        <w:ind w:firstLine="643"/>
        <w:spacing w:after="0" w:line="264" w:lineRule="auto"/>
        <w:rPr>
          <w:sz w:val="20"/>
          <w:szCs w:val="20"/>
          <w:color w:val="auto"/>
        </w:rPr>
      </w:pPr>
      <w:r>
        <w:rPr>
          <w:rFonts w:ascii="Arial" w:cs="Arial" w:eastAsia="Arial" w:hAnsi="Arial"/>
          <w:sz w:val="16"/>
          <w:szCs w:val="16"/>
          <w:b w:val="1"/>
          <w:bCs w:val="1"/>
          <w:i w:val="1"/>
          <w:iCs w:val="1"/>
          <w:color w:val="auto"/>
        </w:rPr>
        <w:t xml:space="preserve">Travis D. Stice. </w:t>
      </w:r>
      <w:r>
        <w:rPr>
          <w:rFonts w:ascii="Arial" w:cs="Arial" w:eastAsia="Arial" w:hAnsi="Arial"/>
          <w:sz w:val="16"/>
          <w:szCs w:val="16"/>
          <w:color w:val="auto"/>
        </w:rPr>
        <w:t>Mr. Stice has served as Chief Executive Officer and a director of our General Partner since February 2014. He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Diamondback’s Chairman of the Board since February 2022, Chief Executive Officer since January 2012 and as a director since November 2012. Mr. Stice has also served as the Chief Executive Officer and a director of the General Partner of Rattler Midstream LP, referred to herein as Rattler, since July 2018. From May 2019 through August 2022, Rattler was a publicly traded subsidiary of Diamondback until it was acquired by Diamondback through a merger. Prior to these positions with our General Partner, Diamondback and General Partner of Rattler, Mr. Stice served as Diamondback’s President and Chief Operating Officer from April 2011 to January 2012. From November 2010 to April 2011, Mr. Stice served as a Production Manager of Apache Corporation, an oil and gas exploration company. Mr. Stice served as a Vice President of Laredo Petroleum Holdings, Inc., an oil and gas exploration and production company, from September 2008 to September 2010 and as a Development Manager of ConocoPhillips/Burlington Resources Mid-Continent Business Unit, an oil and gas exploration company, from April 2006 until August 2008. Prior to that, Mr. Stice held a series of positions of increasing responsibilities at Burlington Resources until that company was acquired by ConocoPhillips in March 2006. Mr. Stice started his career with Mobil Oil in 1985. Mr. Stice has over 38 years of experience in production operations, reservoir engineering, production engineering and unconventional oil and gas exploration and over 29 years of management experience. Mr. Stice graduated from Texas A&amp;M University with a Bachelor of Science degree in Petroleum Engineering. He is a registered engineer in the State of Texas and is a 38-year member of the Society of Petroleum Engineers. He also serves on industry boards for the American Petroleum Institute, American Exploration and Production Council, the Domestic Energy Producers Alliance, the Permian Strategic Partnership, the Texas A&amp;M Petroleum Engineering Advisory Board, and the Texas A&amp;M Engineering Advisory Council. Additionally, Mr. Stice is on the board of the Dynamic Catholic Institute and the local community board for the Midland Chamber of Commerce.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believe Mr. Stice’s expertise and extensive industry and executive management experience, including at Diamondback, make him a valuable asset to the board of directors of our General Partner.</w:t>
      </w:r>
    </w:p>
    <w:p>
      <w:pPr>
        <w:spacing w:after="0" w:line="189"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6"/>
          <w:szCs w:val="16"/>
          <w:b w:val="1"/>
          <w:bCs w:val="1"/>
          <w:i w:val="1"/>
          <w:iCs w:val="1"/>
          <w:color w:val="auto"/>
        </w:rPr>
        <w:t xml:space="preserve">Kaes Van’t Hof. </w:t>
      </w:r>
      <w:r>
        <w:rPr>
          <w:rFonts w:ascii="Arial" w:cs="Arial" w:eastAsia="Arial" w:hAnsi="Arial"/>
          <w:sz w:val="16"/>
          <w:szCs w:val="16"/>
          <w:color w:val="auto"/>
        </w:rPr>
        <w:t>Mr. Van't Hof has served as President of our General Partner since March 2017. He has served as Diamondback’s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Financial Officer since February 2022. Prior to his current position with Diamondback, he served as Diamondback’s Chief Financial Officer and Executive Vice President of Business Development from March 2019 to February 2022, as Senior Vice President—Strategy and Corporate Development from January 2017 to February 2019 and as Vice President of Strategy and Corporate Development since joining Diamondback in July 2016. Mr. Van’t Hof has also served as President and director of the General Partner of Rattler since July 2018. Prior to his positions with our General Partner, Diamondback and General Partner of Rattler, Mr. Van't Hof served as Chief Executive Officer for Bison Drilling and Field Services from September 2012 to June 2016. From August 2011 to August 2012, Mr. Van't Hof was an analyst for Wexford Capital LP responsible for developing operating models and business plans, including in connection with our initial public offering, and before that worked for the Investment Banking-Financial Institutions Group of Citigroup Global Markets, Inc. from February 2010 to August 2011. Mr. Van't Hof was a professional tennis player from May 2008 to January 2010. Mr. Van't Hof received a Bachelor of Science in Accounting and Business Administration from the University of Southern California.</w:t>
      </w:r>
    </w:p>
    <w:p>
      <w:pPr>
        <w:spacing w:after="0" w:line="210"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b w:val="1"/>
          <w:bCs w:val="1"/>
          <w:i w:val="1"/>
          <w:iCs w:val="1"/>
          <w:color w:val="auto"/>
        </w:rPr>
        <w:t xml:space="preserve">Teresa L. Dick. </w:t>
      </w:r>
      <w:r>
        <w:rPr>
          <w:rFonts w:ascii="Arial" w:cs="Arial" w:eastAsia="Arial" w:hAnsi="Arial"/>
          <w:sz w:val="16"/>
          <w:szCs w:val="16"/>
          <w:color w:val="auto"/>
        </w:rPr>
        <w:t>Ms. Dick has served as Chief Financial Officer, Executive Vice President and Assistant Secretary of our General Partner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2017 and served as Chief Financial Officer, Senior Vice President and Assistant Secretary from February 2014 to February 2017. She has also served as Diamondback’s Executive Vice President and Chief Accounting Officer since March 2019. Ms. Dick served as Diamondback’s Executive Vice President and Chief Financial Officer from February 2017 to February 2019, as its Assistant Secretary since October 2012, as its Chief Financial Officer and Senior Vice President from November 2009 to February 2017 and as its Corporate Controller from November 2007 until November 2009. Ms. Dick has served as Chief Financial Officer, Executive Vice President and Assistant Secretary of the general partner of Rattler since July 2018. From June 2006 to November 2007, Ms. Dick held a key management position as the Controller/Tax Director at Hiland Partners, a publicly traded midstream energy master limited partnership. Ms. Dick has over 25 years of accounting experience, including public company experience in both audit and tax areas. Since March 2021, Ms. Dick has served as a director of The Bank7 Corp. (Nasdaq: BSVN) and is a member of the Audit and Nominating and Corporate Governance Committees. Ms. Dick received her Bachelor of Business Administration degree in Accounting from the University of Northern Colorado. She is a certified public accountant and a member of the American Institute of CPAs and the Council of Petroleum Accountants Societies.</w:t>
      </w:r>
    </w:p>
    <w:p>
      <w:pPr>
        <w:spacing w:after="0" w:line="194"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b w:val="1"/>
          <w:bCs w:val="1"/>
          <w:i w:val="1"/>
          <w:iCs w:val="1"/>
          <w:color w:val="auto"/>
        </w:rPr>
        <w:t xml:space="preserve">Matt Zmigrosky. </w:t>
      </w:r>
      <w:r>
        <w:rPr>
          <w:rFonts w:ascii="Arial" w:cs="Arial" w:eastAsia="Arial" w:hAnsi="Arial"/>
          <w:sz w:val="16"/>
          <w:szCs w:val="16"/>
          <w:color w:val="auto"/>
        </w:rPr>
        <w:t>Mr. Zmigrosky has served as Executive Vice President, General Counsel and Secretary of our General Partner since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Since February 2023, Mr. Zmigrosky has also served as Executive Vice President, Chief Legal and Administrative Officer and Secretary of Diamondback. From February 2019 to February 2023, he served as Diamondback’s Executive Vice President, General Counsel and Secretary. Before joining us and Diamondback, Mr. Zmigrosky was in the private practice of law, most recently as a partner in the corporate section of Akin Gump Strauss Hauer &amp; Feld LLP from October 2012 to February 2019, where he worked extensively with Diamondback and its subsidiaries. Mr. Zmigrosky received a Bachelor of Science in Management degree in finance from Tulane University and a Juris Doctorate degree from Southern Methodist University Dedman School of Law.</w:t>
      </w:r>
    </w:p>
    <w:p>
      <w:pPr>
        <w:spacing w:after="0" w:line="193"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b w:val="1"/>
          <w:bCs w:val="1"/>
          <w:i w:val="1"/>
          <w:iCs w:val="1"/>
          <w:color w:val="auto"/>
        </w:rPr>
        <w:t xml:space="preserve">Steven E. West. </w:t>
      </w:r>
      <w:r>
        <w:rPr>
          <w:rFonts w:ascii="Arial" w:cs="Arial" w:eastAsia="Arial" w:hAnsi="Arial"/>
          <w:sz w:val="18"/>
          <w:szCs w:val="18"/>
          <w:color w:val="auto"/>
        </w:rPr>
        <w:t>Mr. West has served as Chairman of the Board and as a director of our General Partner since February 2014. Mr. West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Chairman of the Board of the General Partner of Rattler from May 2019 to August 2022. Mr. West has also served as a director of Diamondback since December 2011 and as its Chairman of the Board from October 2012 to February 2022. He served as Diamondback's Chief Executive Officer from January 1, 2009 to December 31, 2011. From January 2011 until December 2016, Mr. West was a partner at Wexford Capital LP, focusing on Wexford’s private equity energy investments. From August 2006 until December 2010, Mr. West served as senior portfolio advisor at Wexford. From August 2003 until August 2006, he was the chief financial officer of Sunterra Corporation, a former Wexford portfolio company. From December 1993 until July 2003, Mr. West held senior financial positions at Coast Asset Management and IndyMac Bank. Prior to that, he worked at First Nationwide Bank, Lehman Brothers and Peat Marwick Mitchell &amp; Co., the predecessor of KPMG LLP. Mr. West earned a Bachelor of Science degree in Accounting from California State University, Chico.</w:t>
      </w:r>
    </w:p>
    <w:p>
      <w:pPr>
        <w:spacing w:after="0" w:line="221"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We believe that Mr. West’s background in finance, accounting and private equity energy investments, as well as his executive management skills developed as part of his career with Wexford, its portfolio companies and other financial institutions qualify him to serve on the board of directors of our General Partner. In particular, we believe Mr. West’s strengths in the following core competencies provide value to our board of directors: Corporate Governance; Finance/Capital Markets; Financial Reporting/Accounting Experience; Industry Background; Executive Experience; Executive Compensation; and Risk Management.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86" w:lineRule="auto"/>
        <w:rPr>
          <w:sz w:val="20"/>
          <w:szCs w:val="20"/>
          <w:color w:val="auto"/>
        </w:rPr>
      </w:pPr>
      <w:r>
        <w:rPr>
          <w:rFonts w:ascii="Arial" w:cs="Arial" w:eastAsia="Arial" w:hAnsi="Arial"/>
          <w:sz w:val="16"/>
          <w:szCs w:val="16"/>
          <w:b w:val="1"/>
          <w:bCs w:val="1"/>
          <w:i w:val="1"/>
          <w:iCs w:val="1"/>
          <w:color w:val="auto"/>
        </w:rPr>
        <w:t xml:space="preserve">W. Wesley Perry. </w:t>
      </w:r>
      <w:r>
        <w:rPr>
          <w:rFonts w:ascii="Arial" w:cs="Arial" w:eastAsia="Arial" w:hAnsi="Arial"/>
          <w:sz w:val="16"/>
          <w:szCs w:val="16"/>
          <w:color w:val="auto"/>
        </w:rPr>
        <w:t>Mr. Perry has been a member of the board of directors of our General Partner since June 2014. Mr. Perry has served as a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Genie Energy Ltd., an independent retail energy provider, since October 2011, currently serves as the chair of its audit committee and a member of its compensation, nominating, corporate governance and technology committees and has served as the chairman of the board of directors of Genie Energy International Corporation since September 2009. Mr. Perry also serves as manager of PBEX, LLC, an oil and gas exploration and development company, a position he has held since July 2012. Mr. Perry has served as manager of S.E.S. Investments, Ltd., an oil and gas investment company, since 1985. He served as Chief Executive Officer of E.G.L. Resources, Inc., an oil and gas production company, from July 2008 until December 2019 and served as its President from 2003 to July 2008. Mr. Perry was a director of UTG, Inc., an insurance holding company, from 2001 to 2013 and served on its Audit Committee. Mr. Perry served on the Midland City Council from 2002 to 2008 and as Mayor of Midland from 2008 through 2014. He is the Chairman of the Milagros Foundation and a trustee of the Abell-Hangar Foundation. He has a Bachelor of Science degree in Engineering from the University of Oklahoma.</w:t>
      </w:r>
    </w:p>
    <w:p>
      <w:pPr>
        <w:spacing w:after="0" w:line="19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believe that Mr. Perry’s extensive experience in the oil and gas industry and his strong financial background qualify him to serve on the board of directors of our General Partner.</w:t>
      </w:r>
    </w:p>
    <w:p>
      <w:pPr>
        <w:spacing w:after="0" w:line="202" w:lineRule="exact"/>
        <w:rPr>
          <w:sz w:val="20"/>
          <w:szCs w:val="20"/>
          <w:color w:val="auto"/>
        </w:rPr>
      </w:pPr>
    </w:p>
    <w:p>
      <w:pPr>
        <w:jc w:val="both"/>
        <w:ind w:firstLine="643"/>
        <w:spacing w:after="0" w:line="267" w:lineRule="auto"/>
        <w:rPr>
          <w:sz w:val="20"/>
          <w:szCs w:val="20"/>
          <w:color w:val="auto"/>
        </w:rPr>
      </w:pPr>
      <w:r>
        <w:rPr>
          <w:rFonts w:ascii="Arial" w:cs="Arial" w:eastAsia="Arial" w:hAnsi="Arial"/>
          <w:sz w:val="17"/>
          <w:szCs w:val="17"/>
          <w:b w:val="1"/>
          <w:bCs w:val="1"/>
          <w:i w:val="1"/>
          <w:iCs w:val="1"/>
          <w:color w:val="auto"/>
        </w:rPr>
        <w:t xml:space="preserve">Spencer D. Armour. </w:t>
      </w:r>
      <w:r>
        <w:rPr>
          <w:rFonts w:ascii="Arial" w:cs="Arial" w:eastAsia="Arial" w:hAnsi="Arial"/>
          <w:sz w:val="17"/>
          <w:szCs w:val="17"/>
          <w:color w:val="auto"/>
        </w:rPr>
        <w:t>Mr. Armour has been a member of the board of directors of our General Partner since July 2017. Mr. Armour has over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of executive and entrepreneurial experience in the energy services industry. Mr. Armour has served as a partner of Geneses Investments since February 2019. He served as President of PT Petroleum LLC in Midland, Texas from March 2013 until January 2019. He was the Vice President of Corporate Development for Basic Energy Services, Inc. from 2007 to 2008, which acquired Sledge Drilling Corp., a company Mr. Armour co-founded and served as Chief Executive Officer for from 2005 to 2006. From 1998 through 2005, he served as Executive Vice President of Patterson-UTI Energy, Inc., which acquired Lone Star Mud, Inc., a company Mr. Armour founded and served as President of from 1986 to 1997. Mr. Armour has served as a director of ProPetro Holding Corp. since February 2013 and as a director of CES Energy since December 2018. Mr. Armour also served on the Patterson-UTI Board of Directors from 1999 through 2001. Mr. Armour received a Bachelor of Science in Economics from the University of Houston and was appointed to the University of Houston System Board of Regents in 2011 by former Texas Governor Rick Perry.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believe that Mr. Armour’s extensive experience in the oil and gas industry qualify him to serve on the board of directors of our General Partner.</w:t>
      </w:r>
    </w:p>
    <w:p>
      <w:pPr>
        <w:spacing w:after="0" w:line="258"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18"/>
          <w:szCs w:val="18"/>
          <w:b w:val="1"/>
          <w:bCs w:val="1"/>
          <w:i w:val="1"/>
          <w:iCs w:val="1"/>
          <w:color w:val="auto"/>
        </w:rPr>
        <w:t xml:space="preserve">James L. Rubin. </w:t>
      </w:r>
      <w:r>
        <w:rPr>
          <w:rFonts w:ascii="Arial" w:cs="Arial" w:eastAsia="Arial" w:hAnsi="Arial"/>
          <w:sz w:val="18"/>
          <w:szCs w:val="18"/>
          <w:color w:val="auto"/>
        </w:rPr>
        <w:t>Mr. Rubin has been a member of the board of directors of our General Partner since June 2014. Mr. Rubin is currently the Head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Commodity Equities at BTG Pactual Asset Management US. From 2012 to 2022, Mr. Rubin served as partner, Portfolio Manager and Co-Head of Equities and as a member of Wexford Capital’s hedge fund investment committee. From 2006 to 2012, he served as an analyst and later as Vice President, focusing on Wexford’s public and private energy investments. Mr. Rubin graduated cum laude from Yale University with a Bachelor of Arts degree with honors in political science and economics.</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Mr. Rubin’s strong financial background qualifies him to serve on the board of directors of our General Partner.</w:t>
      </w:r>
    </w:p>
    <w:p>
      <w:pPr>
        <w:spacing w:after="0" w:line="235"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b w:val="1"/>
          <w:bCs w:val="1"/>
          <w:i w:val="1"/>
          <w:iCs w:val="1"/>
          <w:color w:val="auto"/>
        </w:rPr>
        <w:t xml:space="preserve">Frank C. Hu. </w:t>
      </w:r>
      <w:r>
        <w:rPr>
          <w:rFonts w:ascii="Arial" w:cs="Arial" w:eastAsia="Arial" w:hAnsi="Arial"/>
          <w:sz w:val="18"/>
          <w:szCs w:val="18"/>
          <w:color w:val="auto"/>
        </w:rPr>
        <w:t>Mr. Hu has been a director of our general partner since April 2022. Mr. Hu most recently served as an investment analyst and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Capital World Investors, an investment group in the Capital Group Companies, Inc., from 2003 to 2017. He previously served as a manager of project finance in the corporate treasury department at Unocal Corporation from 2002 to 2003, and as a global energy practice consultant at McKinsey &amp; Company from 2000 to 2002. Prior to joining McKinsey, Mr. Hu served in various roles at Atlantic Richfield Company (ARCO) from 1989 to 2000, including as Vice President of Downstream Operations and Business Development from 1998 to 2000. Mr. Hu has served as a member of the board of directors of EQT Corporation (NYSE: EQT) since October 2021, where he also serves on the audit committee, special hedging transaction committee and public policy and corporate responsibility committee. Mr. Hu also currently serves as an advisory board member for the Geology &amp; Planetary Science Division at the California Institute of Technology.</w:t>
      </w:r>
    </w:p>
    <w:p>
      <w:pPr>
        <w:spacing w:after="0" w:line="223"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We believe that Mr. Hu’s strong executive management experience, robust experience in the finance and oil and gas industries and diverse background qualifies him to serve on the board of directors of our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Diversity</w:t>
      </w:r>
    </w:p>
    <w:p>
      <w:pPr>
        <w:spacing w:after="0" w:line="252"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The board of directors of our General Partner has six directors, five of whom are independent as defined under the independence standards established by Nasdaq and the Exchange Act. Steven E. West, W. Wesley Perry, James L. Rubin, Spencer D. Armour and Frank C. Hu serve as the independent members of the board of directors of our General Partner. Although a majority of the board of directors of our General Partner is independent, Nasdaq does not require a listed publicly traded partnership, such as ours, to have a majority of independent directors on the board of directors of our General Partner, disclose details regarding board diversity or establish a compensation committee or a nominating and corporate governance committee. However, our General Partner is required to have an audit committee of at least three members, and all its members are required to meet the independence and experience standards established by Nasdaq and the Exchange Act.</w:t>
      </w:r>
    </w:p>
    <w:p>
      <w:pPr>
        <w:spacing w:after="0" w:line="194"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board of directors of our General Partner has established an independent audit committee and a conflicts committee, discussed in more detail below, and has diverse representatives on its board, including a female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52"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Leadership of our General Partner’s board of directors is vested in the chairman of the board. Steven E. West serves as the chairman of the board of directors of our General Partner and as a director of Diamondback. Mr. West was also the chairman of the board of Diamondback from October 2012 to February 2022, when he was succeeded in that role by Mr. Stice. Our General Partner’s board of directors has determined that Mr. West’s roles of chairman of the board of directors of our General Partner and a director of Diamondback allows the board of directors to take advantage of the leadership skills of Mr. West and that Mr. West’s in-depth knowledge of, and experience in, our business, history, structure and organization facilitates timely communications between the board of directors of Diamondback and the board of directors of our General Partner.</w:t>
      </w:r>
    </w:p>
    <w:p>
      <w:pPr>
        <w:spacing w:after="0" w:line="207"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As a partnership engaged in the oil and natural gas industry, we face a number of risks, including risks associated with supply of and demand for oil and natural gas, volatility of oil and natural gas prices, exploring for, developing, producing and delivering oil and natural gas, declining production, environmental and other government regulations and taxes, extreme weather conditions that can affect oil and natural gas operations over a wide area, adequacy of our insurance coverage, political instability or armed conflict in oil and natural gas producing regions and the overall economic environment. Management is responsible for the day-to-day management of risks we face as a partnership, while the board of directors of our General Partner, as a whole and through its committees, has responsibility for the oversight of risk management. In its risk oversight role, the board of directors of our General Partner has the responsibility to satisfy itself that the risk management processes designed and implemented by management are adequate and functioning as designed.</w:t>
      </w:r>
    </w:p>
    <w:p>
      <w:pPr>
        <w:spacing w:after="0" w:line="223"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The board of directors of our General Partner believes that full and open communication between management and the board is essential for effective risk management and oversight. The chairman of the board of directors of our General Partner meets regularly with the Chief Executive Officer and the Chief Financial Officer to discuss strategy and risks facing the partnership. Executive officers may attend the board meetings of our General Partner and are available to address any questions or concerns raised by the board on risk management-related and any other matters. Other members of our management team periodically attend the board meetings or are otherwise available to confer with the board to the extent their expertise is required to address risk management matters. Periodically, the board of directors of our General Partner receives presentations from senior management on strategic matters involving our operations. During such meetings, the board also discusses strategies, key challenges, and risks and opportunities for the partnership with senior management.</w:t>
      </w:r>
    </w:p>
    <w:p>
      <w:pPr>
        <w:spacing w:after="0" w:line="223"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While the board of directors of our General Partner is ultimately responsible for risk oversight at the partnership, its two committees assist the board in fulfilling its oversight responsibilities in certain areas of risk. 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 The conflicts committee assists the board in fulfilling its oversight responsibilities with respect to specific matters that the board believes may involve conflicts of interest.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52"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During 2022, the board of directors of our General Partner met five times. Each director attended at least 80% of the total meetings of the board and the committees of the board on which he or she served that occurred during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5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Unitholders or interested parties may communicate directly with the board of directors of our General Partner, any committee of the board, any independent directors, or any one director, by sending written correspondence by mail addressed to the board, committee or director to the attention of our Secretary at the following address: c/o Secretary, Viper Energy Partners LP, 500 West Texas, Suite 100, Midland, Texas. Communications are distributed to the board of directors, committee of the board of directors, or director as appropriate, depending on the facts and circumstances outlined in the communication. Commercial solicitations or communications will not be forwarded.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board of directors of our General Partner has an audit committee and a conflicts committee. We do not have a compensation committee or a nominating and corporate governance committee. Rather, the board of directors of our General Partner has authority over compensation matters and nominating and corporate governance matters.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48"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The audit committee assists the board of directors of our General Partner in its oversight of the integrity of our financial statements and our compliance with legal and regulatory requirements and partnership policies and controls. The audit committee has the sole authority to retain and terminate our independent registered public accounting firm, approve all auditing services and related fees and the terms thereof performed by our independent registered public accounting firm, and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has unrestricted access to the audit committee and our management, as necessary. The audit committee has adopted a charter, which is available on our website under the “corporate governance” section at http://ir.viperenergy.com.</w:t>
      </w:r>
    </w:p>
    <w:p>
      <w:pPr>
        <w:spacing w:after="0" w:line="19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W. Wesley Perry, Spencer D. Armour and Frank C. Hu currently serve on the audit committee, and Mr. Perry serves as the chairman. The board of directors of our General Partner has determined that each of W. Wesley Perry, Spencer D. Armour and Frank C. Hu meet the independence and experience standards established by the Nasdaq and the Exchange Act and that each of Mr. Perry and Mr. Hu is considered an “audit committee financial expert” as defined under SEC rules.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248"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Our conflicts committee reviews specific matters that the board believes may involve conflicts of interest and determines to submit to the conflicts committee for review. The conflicts committee determines if the resolution of the conflict of interest is in our best interest. The members of the conflicts committee may not be officers or employees of our General Partner or directors, officers or employees of its affiliates, including Diamondback, and must meet the independence standards established by Nasdaq and the Exchange Act to serve on an audit committee of a board of directors, along with other requirements in our partnership agreement. Any matters approved by the conflicts committee will be conclusively deemed to be approved by us and all of our partners and not a breach by our General Partner of any duties it may owe us or our unitholders. W. Wesley Perry, Spencer D. Armour and Frank C. Hu are the members of the conflicts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52"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The board of directors of our General Partner has adopted a Code of Business Conduct and Ethics, or Code of Ethics, that applies to all employees, including executive officers, and directors of our General Partner. Amendments to or waivers from the Code of Ethics will be disclosed on our website. We have also made the Code of Ethics available on our website under the “Corporate Governance” section at http://ir.viperenergy.com.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w:t>
      </w:r>
    </w:p>
    <w:p>
      <w:pPr>
        <w:spacing w:after="0" w:line="252"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Our partnership agreement requires us to reimburse our General Partner and its affiliates, including Diamondback, for all expenses they incur and payments they make on our behalf in connection with operating our business. Our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As is commonly the case for publicly traded limited partnerships, we have no officers. Our General Partner has the sole responsibility for conducting our business and for managing our operations, and its board of directors and executive officers make decisions on our behalf. Our General Partner’s executive officers are employed and compensated by Diamondback or a subsidiary of Diamondback. All of the executive officers that are responsible for managing our day-to-day affairs are also current executive officers of Diamondback.</w:t>
      </w:r>
    </w:p>
    <w:p>
      <w:pPr>
        <w:spacing w:after="0" w:line="215"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All of the executive officers of our General Partner have responsibilities to us and Diamondback and allocate their time between managing our business and managing the businesses of Diamondback. Since all of these executive officers are employed by Diamondback or one of its subsidiaries, the responsibility and authority for compensation-related decisions for them resides with Diamondback’s compensation committee. Diamondback has the ultimate decision-making authority with respect to the total compensation of the executive officers that are employed by Diamondback including, subject to the terms of the partnership agreement, the portion of that compensation that is allocated to us pursuant to Diamondback’s allocation methodology. Any such compensation decisions are not subject to any approvals by the board of directors of our General Partner or any committees thereof. However, all determinations with respect to awards that are made to executive officers, key employees and non-employee directors under the LTIP are made by the board of directors of our General Partner. Please see the description of the LTIP below under the heading “Long-Term Incentive Plan.”</w:t>
      </w:r>
    </w:p>
    <w:p>
      <w:pPr>
        <w:spacing w:after="0" w:line="195" w:lineRule="exact"/>
        <w:rPr>
          <w:sz w:val="20"/>
          <w:szCs w:val="20"/>
          <w:color w:val="auto"/>
        </w:rPr>
      </w:pPr>
    </w:p>
    <w:p>
      <w:pPr>
        <w:jc w:val="both"/>
        <w:ind w:firstLine="643"/>
        <w:spacing w:after="0" w:line="285" w:lineRule="auto"/>
        <w:rPr>
          <w:sz w:val="20"/>
          <w:szCs w:val="20"/>
          <w:color w:val="auto"/>
        </w:rPr>
      </w:pPr>
      <w:r>
        <w:rPr>
          <w:rFonts w:ascii="Arial" w:cs="Arial" w:eastAsia="Arial" w:hAnsi="Arial"/>
          <w:sz w:val="16"/>
          <w:szCs w:val="16"/>
          <w:color w:val="auto"/>
        </w:rPr>
        <w:t>The executive officers of our General Partner, as well as the employees of Diamondback who provide services to us, may participate in employee benefit plans and arrangements sponsored by Diamondback, including plans that may be established in the future. Certain of our General Partner’s executive officers and employees and certain employees of Diamondback who provide services to us currently hold grants under Diamondback’s equity incentive plan. Except with respect to any awards that may be granted under the LTIP, the executive officers of our General Partner do not receive separate amounts of compensation in relation to the services they provide to us. In accordance with the terms of our partnership agreement, we reimburse Diamondback for compensation related expenses attributable to the portion of the executive’s time dedicated to providing services to us. Although we bear an allocated portion of Diamondback’s costs of providing compensation and benefits to employees who serve as executive officers of our General Partner, we have no control over such costs and did not establish and do not direct the compensation policies or practices of Diamondback. Except with respect to awards granted under the LTIP, compensation paid or awarded by us in 2022 consisted only of the portion of compensation paid by Diamondback that is allocated to us and our General Partner pursuant to Diamondback’s allocation methodology and subject to the terms of the partnership agreement.</w:t>
      </w:r>
    </w:p>
    <w:p>
      <w:pPr>
        <w:spacing w:after="0" w:line="198"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A full discussion of the compensation programs for Diamondback’s executive officers and the policies and philosophy of the compensation committee of Diamondback’s board of directors will be set forth in Diamondback’s 2023 proxy statement under the heading “Compensation Discussion and Analysis.” Specifically, compensation paid directly by us through our LTIP or indirectly by us through reimbursement pursuant to our partnership agreement will be included in the amounts set forth in certain of the tables included in Diamondback’s 2023 proxy statement, with awards outstanding pursuant to our LTIP separately identified.</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48" w:lineRule="exact"/>
        <w:rPr>
          <w:sz w:val="20"/>
          <w:szCs w:val="20"/>
          <w:color w:val="auto"/>
        </w:rPr>
      </w:pPr>
    </w:p>
    <w:p>
      <w:pPr>
        <w:jc w:val="both"/>
        <w:ind w:right="20" w:firstLine="643"/>
        <w:spacing w:after="0" w:line="335" w:lineRule="auto"/>
        <w:rPr>
          <w:sz w:val="20"/>
          <w:szCs w:val="20"/>
          <w:color w:val="auto"/>
        </w:rPr>
      </w:pPr>
      <w:r>
        <w:rPr>
          <w:rFonts w:ascii="Arial" w:cs="Arial" w:eastAsia="Arial" w:hAnsi="Arial"/>
          <w:sz w:val="16"/>
          <w:szCs w:val="16"/>
          <w:color w:val="auto"/>
        </w:rPr>
        <w:t>In order to incentivize our management and directors to continue to grow our business, the board of directors of our General Partner adopted the LTIP for employees, officers, consultants and directors of our General Partner and any of its affiliates, including Diamondback, who perform services for us.</w:t>
      </w:r>
    </w:p>
    <w:p>
      <w:pPr>
        <w:spacing w:after="0" w:line="156"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The purpose of the LTIP is to provide a means to attract and retain individuals who are essential to our growth and profitability and to encourage them to devote their best efforts to advancing our business by affording such individuals a means to acquire and maintain ownership of awards, the value of which is tied to the performance of our common units. The LTIP provides for the grant of unit options, unit appreciation rights, restricted units, unit awards, phantom units, distribution equivalent rights, cash awards, performance awards, other unit-based awards and substitute awards (collectively, “awards”). These awards are intended to align the interests of employees, officers, consultants and directors with those of our unitholders and to give such individuals the opportunity to share in our long-term performance. Any awards that are made under the LTIP will be approved by the board of directors of our General Partner or a committee thereof that may be established for such purpose. We will be responsible for the cost of awards granted under the LTIP.</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During 2022, our General Partner made grants under the LTIP of phantom units to the non-employee directors of our General Partner (see “Director Compensation” below for information regarding those awards). No grants under the LTIP were made to the executive officers of our General Partner in 2022.</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Administration</w:t>
      </w:r>
    </w:p>
    <w:p>
      <w:pPr>
        <w:spacing w:after="0" w:line="248"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LTIP is administered by the board of directors of our General Partner pursuant to its terms and all applicable state, federal, or other rules or laws. The board of directors of our General Partner has the power to determine to whom and when awards will be granted, determine the amount of awards (measured in cash or in shares of our common units), proscribe and interpret the terms and provisions of each award agreement (the terms of which may vary), accelerate the vesting provisions associated with an award, delegate duties under the LTIP and execute all other responsibilities permitted or required under the LTIP.</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48"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Upon a “change in control” (as defined in the LTIP), the committee may, in its discretion, (i) remove any forfeiture restrictions applicable to an award, (ii) accelerate the time of exercisability or vesting of an award, (iii) require awards to be surrendered in exchange for a cash payment, (iv) cancel unvested awards without payment or (v) make adjustments to awards as the committee deems appropriate to reflect the change in control.</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Termination of Employment or Service</w:t>
      </w:r>
    </w:p>
    <w:p>
      <w:pPr>
        <w:spacing w:after="0" w:line="248"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The consequences of the termination of a participant’s employment, consulting arrangement or membership on the board of directors of our General Partner will be determined by the plan administrator in the terms of the relevant award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Report</w:t>
      </w:r>
    </w:p>
    <w:p>
      <w:pPr>
        <w:spacing w:after="0" w:line="25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Neither we nor the board of directors of our General Partner has a compensation committee. The board of directors of our General Partner has reviewed and discussed the Compensation Discussion and Analysis set forth above. Based on this review and discussion, the board of directors of our General Partner has approved the Compensation Discussion and Analysis for inclusion in this Annual Report.</w:t>
      </w:r>
    </w:p>
    <w:p>
      <w:pPr>
        <w:spacing w:after="0" w:line="243"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The Board of Directors of Viper Energy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31115</wp:posOffset>
            </wp:positionV>
            <wp:extent cx="3545205" cy="153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545205" cy="153035"/>
                    </a:xfrm>
                    <a:prstGeom prst="rect">
                      <a:avLst/>
                    </a:prstGeom>
                    <a:noFill/>
                  </pic:spPr>
                </pic:pic>
              </a:graphicData>
            </a:graphic>
          </wp:anchor>
        </w:drawing>
      </w:r>
    </w:p>
    <w:p>
      <w:pPr>
        <w:spacing w:after="0" w:line="4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Travis D. Stice</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Steven E. West</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 Wesley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-130175</wp:posOffset>
            </wp:positionV>
            <wp:extent cx="3545205" cy="1447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545205" cy="144780"/>
                    </a:xfrm>
                    <a:prstGeom prst="rect">
                      <a:avLst/>
                    </a:prstGeom>
                    <a:noFill/>
                  </pic:spPr>
                </pic:pic>
              </a:graphicData>
            </a:graphic>
          </wp:anchor>
        </w:drawing>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Spencer D. Armour</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James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-130175</wp:posOffset>
            </wp:positionV>
            <wp:extent cx="3545205" cy="144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545205" cy="144780"/>
                    </a:xfrm>
                    <a:prstGeom prst="rect">
                      <a:avLst/>
                    </a:prstGeom>
                    <a:noFill/>
                  </pic:spPr>
                </pic:pic>
              </a:graphicData>
            </a:graphic>
          </wp:anchor>
        </w:drawing>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Frank C. Hu</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2"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Any executive officer or employee of our General Partner or of Diamondback who also serves as a director of our General Partner does not receive additional compensation for his or her service as a director of our General Partner. Directors of our General Partner who are not executive officers or employees of our General Partner or of Diamondback receive compensation as “non-employee directors” as set by our General Partner’s board of directors.</w:t>
      </w:r>
    </w:p>
    <w:p>
      <w:pPr>
        <w:spacing w:after="0" w:line="178"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Each non-employee director receives a compensation package that consists of an annual cash retainer of $60,000 plus an additional annual payment of $15,000 for the chairperson and $10,000 for each other member of the audit committee and $10,000 for the chairperson and $5,000 for each other member of each other committee. In addition, each non-employee director receives an equity award of phantom units under the LTIP granted annually at the close of business on July 10th of each year or, if not a business day, the first business day thereafter. The number of phantom units awarded is calculated by dividing $100,000 by the average closing price of our common units for the five trading days immediately preceding the date of grant. The awards vest on the first anniversary of the grant date. Our directors are also reimbursed for out-of-pocket expenses in connection with attending meetings of the board of directors or its committees.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Each member of the board of directors of our General Partner is indemnified for his or her actions associated with being a director to the fullest extent permitted under Delaware law.</w:t>
      </w:r>
    </w:p>
    <w:p>
      <w:pPr>
        <w:spacing w:after="0" w:line="202"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The following table sets forth the aggregate dollar amount of all fees earned to each of the non-employee directors of our General Partner during 2022 for their services on the board: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Fees Earned or Paid in</w:t>
            </w:r>
          </w:p>
        </w:tc>
        <w:tc>
          <w:tcPr>
            <w:tcW w:w="18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Unit Awards(b)</w:t>
            </w:r>
          </w:p>
        </w:tc>
        <w:tc>
          <w:tcPr>
            <w:tcW w:w="320" w:type="dxa"/>
            <w:vAlign w:val="bottom"/>
          </w:tcPr>
          <w:p>
            <w:pPr>
              <w:spacing w:after="0"/>
              <w:rPr>
                <w:sz w:val="14"/>
                <w:szCs w:val="14"/>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67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cash(a)</w:t>
            </w: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80" w:type="dxa"/>
            <w:vAlign w:val="bottom"/>
            <w:tcBorders>
              <w:top w:val="single" w:sz="8" w:color="auto"/>
            </w:tcBorders>
            <w:shd w:val="clear" w:color="auto" w:fill="CCEEFF"/>
          </w:tcPr>
          <w:p>
            <w:pPr>
              <w:ind w:left="20"/>
              <w:spacing w:after="0" w:line="228" w:lineRule="exact"/>
              <w:rPr>
                <w:sz w:val="20"/>
                <w:szCs w:val="20"/>
                <w:color w:val="auto"/>
              </w:rPr>
            </w:pPr>
            <w:r>
              <w:rPr>
                <w:rFonts w:ascii="Arial" w:cs="Arial" w:eastAsia="Arial" w:hAnsi="Arial"/>
                <w:sz w:val="18"/>
                <w:szCs w:val="18"/>
                <w:color w:val="auto"/>
              </w:rPr>
              <w:t>Spencer D. Armour</w:t>
            </w:r>
            <w:r>
              <w:rPr>
                <w:rFonts w:ascii="Arial" w:cs="Arial" w:eastAsia="Arial" w:hAnsi="Arial"/>
                <w:sz w:val="23"/>
                <w:szCs w:val="23"/>
                <w:color w:val="auto"/>
                <w:vertAlign w:val="superscript"/>
              </w:rPr>
              <w:t>(c)(d)</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100,254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175,254</w:t>
            </w:r>
          </w:p>
        </w:tc>
        <w:tc>
          <w:tcPr>
            <w:tcW w:w="0" w:type="dxa"/>
            <w:vAlign w:val="bottom"/>
          </w:tcPr>
          <w:p>
            <w:pPr>
              <w:spacing w:after="0"/>
              <w:rPr>
                <w:sz w:val="1"/>
                <w:szCs w:val="1"/>
                <w:color w:val="auto"/>
              </w:rPr>
            </w:pPr>
          </w:p>
        </w:tc>
      </w:tr>
      <w:tr>
        <w:trPr>
          <w:trHeight w:val="228"/>
        </w:trPr>
        <w:tc>
          <w:tcPr>
            <w:tcW w:w="67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Rosalind Redfern Grover</w:t>
            </w:r>
            <w:r>
              <w:rPr>
                <w:rFonts w:ascii="Arial" w:cs="Arial" w:eastAsia="Arial" w:hAnsi="Arial"/>
                <w:sz w:val="23"/>
                <w:szCs w:val="23"/>
                <w:color w:val="auto"/>
                <w:vertAlign w:val="superscript"/>
              </w:rPr>
              <w:t>(c)(e)</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100,254</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175,254</w:t>
            </w:r>
          </w:p>
        </w:tc>
        <w:tc>
          <w:tcPr>
            <w:tcW w:w="0" w:type="dxa"/>
            <w:vAlign w:val="bottom"/>
          </w:tcPr>
          <w:p>
            <w:pPr>
              <w:spacing w:after="0"/>
              <w:rPr>
                <w:sz w:val="1"/>
                <w:szCs w:val="1"/>
                <w:color w:val="auto"/>
              </w:rPr>
            </w:pPr>
          </w:p>
        </w:tc>
      </w:tr>
      <w:tr>
        <w:trPr>
          <w:trHeight w:val="228"/>
        </w:trPr>
        <w:tc>
          <w:tcPr>
            <w:tcW w:w="67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Frank C. Hu</w:t>
            </w:r>
            <w:r>
              <w:rPr>
                <w:rFonts w:ascii="Arial" w:cs="Arial" w:eastAsia="Arial" w:hAnsi="Arial"/>
                <w:sz w:val="23"/>
                <w:szCs w:val="23"/>
                <w:color w:val="auto"/>
                <w:vertAlign w:val="superscript"/>
              </w:rPr>
              <w:t>(d)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143,604</w:t>
            </w:r>
          </w:p>
        </w:tc>
        <w:tc>
          <w:tcPr>
            <w:tcW w:w="0" w:type="dxa"/>
            <w:vAlign w:val="bottom"/>
          </w:tcPr>
          <w:p>
            <w:pPr>
              <w:spacing w:after="0"/>
              <w:rPr>
                <w:sz w:val="1"/>
                <w:szCs w:val="1"/>
                <w:color w:val="auto"/>
              </w:rPr>
            </w:pPr>
          </w:p>
        </w:tc>
      </w:tr>
      <w:tr>
        <w:trPr>
          <w:trHeight w:val="228"/>
        </w:trPr>
        <w:tc>
          <w:tcPr>
            <w:tcW w:w="67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W. Wesley Perry</w:t>
            </w:r>
            <w:r>
              <w:rPr>
                <w:rFonts w:ascii="Arial" w:cs="Arial" w:eastAsia="Arial" w:hAnsi="Arial"/>
                <w:sz w:val="23"/>
                <w:szCs w:val="23"/>
                <w:color w:val="auto"/>
                <w:vertAlign w:val="superscript"/>
              </w:rPr>
              <w:t>(c)(d)</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100,254</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185,254</w:t>
            </w:r>
          </w:p>
        </w:tc>
        <w:tc>
          <w:tcPr>
            <w:tcW w:w="0" w:type="dxa"/>
            <w:vAlign w:val="bottom"/>
          </w:tcPr>
          <w:p>
            <w:pPr>
              <w:spacing w:after="0"/>
              <w:rPr>
                <w:sz w:val="1"/>
                <w:szCs w:val="1"/>
                <w:color w:val="auto"/>
              </w:rPr>
            </w:pPr>
          </w:p>
        </w:tc>
      </w:tr>
      <w:tr>
        <w:trPr>
          <w:trHeight w:val="228"/>
        </w:trPr>
        <w:tc>
          <w:tcPr>
            <w:tcW w:w="67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James L. Rubin</w:t>
            </w:r>
            <w:r>
              <w:rPr>
                <w:rFonts w:ascii="Arial" w:cs="Arial" w:eastAsia="Arial" w:hAnsi="Arial"/>
                <w:sz w:val="23"/>
                <w:szCs w:val="23"/>
                <w:color w:val="auto"/>
                <w:vertAlign w:val="superscript"/>
              </w:rPr>
              <w:t>(c)(d)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160,254</w:t>
            </w:r>
          </w:p>
        </w:tc>
        <w:tc>
          <w:tcPr>
            <w:tcW w:w="0" w:type="dxa"/>
            <w:vAlign w:val="bottom"/>
          </w:tcPr>
          <w:p>
            <w:pPr>
              <w:spacing w:after="0"/>
              <w:rPr>
                <w:sz w:val="1"/>
                <w:szCs w:val="1"/>
                <w:color w:val="auto"/>
              </w:rPr>
            </w:pPr>
          </w:p>
        </w:tc>
      </w:tr>
      <w:tr>
        <w:trPr>
          <w:trHeight w:val="294"/>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Steven E. West</w:t>
            </w:r>
            <w:r>
              <w:rPr>
                <w:rFonts w:ascii="Arial" w:cs="Arial" w:eastAsia="Arial" w:hAnsi="Arial"/>
                <w:sz w:val="23"/>
                <w:szCs w:val="23"/>
                <w:color w:val="auto"/>
                <w:vertAlign w:val="superscript"/>
              </w:rPr>
              <w:t>(c)(d)</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60,000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100,254</w:t>
            </w:r>
          </w:p>
        </w:tc>
        <w:tc>
          <w:tcPr>
            <w:tcW w:w="100" w:type="dxa"/>
            <w:vAlign w:val="bottom"/>
          </w:tcPr>
          <w:p>
            <w:pPr>
              <w:spacing w:after="0"/>
              <w:rPr>
                <w:sz w:val="24"/>
                <w:szCs w:val="24"/>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160,254</w:t>
            </w:r>
          </w:p>
        </w:tc>
        <w:tc>
          <w:tcPr>
            <w:tcW w:w="0" w:type="dxa"/>
            <w:vAlign w:val="bottom"/>
          </w:tcPr>
          <w:p>
            <w:pPr>
              <w:spacing w:after="0"/>
              <w:rPr>
                <w:sz w:val="1"/>
                <w:szCs w:val="1"/>
                <w:color w:val="auto"/>
              </w:rPr>
            </w:pPr>
          </w:p>
        </w:tc>
      </w:tr>
    </w:tbl>
    <w:p>
      <w:pPr>
        <w:jc w:val="both"/>
        <w:ind w:left="320" w:hanging="313"/>
        <w:spacing w:after="0" w:line="236" w:lineRule="auto"/>
        <w:tabs>
          <w:tab w:leader="none" w:pos="3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column reflects the value of a director’s annual retainer. Of these amounts, $18,750, $18,750, $21,250, $15,000 and $15,000 were payments made in December 2021 to Ms. Grover and Messrs. Armour, Perry, Rubin and West, respectively, for services to be performed in the first quarter of 2022. Excluded from these amounts were payments of $18,750, $21,250, $15,000, $15,000 and $18,750 made in December 2022 to Messrs. Armour, Perry, Rubin, West and Hu, respectively, for services to be performed in the first quarter of 2023.</w:t>
      </w:r>
    </w:p>
    <w:p>
      <w:pPr>
        <w:spacing w:after="0" w:line="1" w:lineRule="exact"/>
        <w:rPr>
          <w:rFonts w:ascii="Arial" w:cs="Arial" w:eastAsia="Arial" w:hAnsi="Arial"/>
          <w:sz w:val="18"/>
          <w:szCs w:val="18"/>
          <w:color w:val="auto"/>
        </w:rPr>
      </w:pPr>
    </w:p>
    <w:p>
      <w:pPr>
        <w:ind w:left="320" w:hanging="313"/>
        <w:spacing w:after="0" w:line="263" w:lineRule="auto"/>
        <w:tabs>
          <w:tab w:leader="none" w:pos="3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in this column represents the aggregate grant date fair value of phantom units granted in the fiscal year calculated in accordance with Financial Accounting Standards Board Accounting Standards Codification Topic 718, “Compensation - Stock Compensation.”</w:t>
      </w:r>
    </w:p>
    <w:p>
      <w:pPr>
        <w:jc w:val="both"/>
        <w:ind w:left="320" w:hanging="313"/>
        <w:spacing w:after="0" w:line="248" w:lineRule="auto"/>
        <w:tabs>
          <w:tab w:leader="none" w:pos="3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Ms. Grover and Messrs. Armour, Perry, Rubin and West received a grant of 5,513 phantom units on July 12, 2021, which vested and settled on July 12, 2022, pursuant to the LTIP, with each unit having a grant date fair value of $18.29. Each phantom unit was the economic equivalent of one of our common units.</w:t>
      </w:r>
    </w:p>
    <w:p>
      <w:pPr>
        <w:spacing w:after="0" w:line="1" w:lineRule="exact"/>
        <w:rPr>
          <w:rFonts w:ascii="Arial" w:cs="Arial" w:eastAsia="Arial" w:hAnsi="Arial"/>
          <w:sz w:val="18"/>
          <w:szCs w:val="18"/>
          <w:color w:val="auto"/>
        </w:rPr>
      </w:pPr>
    </w:p>
    <w:p>
      <w:pPr>
        <w:jc w:val="both"/>
        <w:ind w:left="320" w:hanging="313"/>
        <w:spacing w:after="0" w:line="244" w:lineRule="auto"/>
        <w:tabs>
          <w:tab w:leader="none" w:pos="3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Messrs. Armour, Hu, Perry, Rubin and West received a grant of 3,907 phantom units on July 11, 2022, which will vest and settle on July 11, 2023, pursuant to the LTIP, with each unit having a grant date fair value of $25.66. Each phantom unit is the economic equivalent of one of our common units.</w:t>
      </w:r>
    </w:p>
    <w:p>
      <w:pPr>
        <w:spacing w:after="0" w:line="1" w:lineRule="exact"/>
        <w:rPr>
          <w:rFonts w:ascii="Arial" w:cs="Arial" w:eastAsia="Arial" w:hAnsi="Arial"/>
          <w:sz w:val="18"/>
          <w:szCs w:val="18"/>
          <w:color w:val="auto"/>
        </w:rPr>
      </w:pPr>
    </w:p>
    <w:p>
      <w:pPr>
        <w:jc w:val="both"/>
        <w:ind w:left="320" w:hanging="313"/>
        <w:spacing w:after="0" w:line="235" w:lineRule="auto"/>
        <w:tabs>
          <w:tab w:leader="none" w:pos="3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Grover received a grant of 3,907 phantom units on July 11, 2022, with each unit having a grant date fair value of $25.66. Ms. Grover retired from the board effective December 31, 2022. Prior to her retirement, Ms. Grover also served on the board’s audit committee and conflicts committee. In connection with Ms. Grover’s retirement, the vesting provisions of her phantom units were accelerated and subsequently became vested in January 2023. Each phantom unit was the economic equivalent of one of our common units.</w:t>
      </w:r>
    </w:p>
    <w:p>
      <w:pPr>
        <w:spacing w:after="0" w:line="231"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Mr. Stice is a director of our General Partner, but is also an executive officer of our General Partner and Mr. Stice is an employee of Diamondback E&amp;P LLC. Mr. Stice has received awards pursuant to the LTIP for his service as an executive officer or employee, respectively, and unrelated to his service as director. These awards are reflected in the tables contained in Diamondback’s 2023 proxy statement under the heading “Compensation Discussion and Analysis.”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2"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6"/>
          <w:szCs w:val="16"/>
          <w:color w:val="auto"/>
        </w:rPr>
        <w:t>As previously noted, our General Partner’s board of directors is not required to maintain, and does not maintain, a separate compensation committee. Mr. Stice, a director and executive officer of our General Partner, is also a director and executive officer of Diamondback. However, all compensation decisions with respect to Mr. Stice are made by Diamondback and Mr. Stice does not receive any compensation directly from us or our General Partner except for awards under our LTIP. As described in “—Compensation Discussion and Analysis,” decisions regarding the compensation of our General Partner’s executive officers are made by Diamondback. Please read “</w:t>
      </w:r>
      <w:r>
        <w:rPr>
          <w:rFonts w:ascii="Arial" w:cs="Arial" w:eastAsia="Arial" w:hAnsi="Arial"/>
          <w:sz w:val="16"/>
          <w:szCs w:val="16"/>
          <w:u w:val="single" w:color="auto"/>
          <w:color w:val="0000FF"/>
        </w:rPr>
        <w:t>Items 1 and 2. Business and Properties–Our Relationship with Diamondback</w:t>
      </w:r>
      <w:r>
        <w:rPr>
          <w:rFonts w:ascii="Arial" w:cs="Arial" w:eastAsia="Arial" w:hAnsi="Arial"/>
          <w:sz w:val="16"/>
          <w:szCs w:val="16"/>
          <w:color w:val="auto"/>
        </w:rPr>
        <w:t>” and “</w:t>
      </w:r>
      <w:r>
        <w:rPr>
          <w:rFonts w:ascii="Arial" w:cs="Arial" w:eastAsia="Arial" w:hAnsi="Arial"/>
          <w:sz w:val="16"/>
          <w:szCs w:val="16"/>
          <w:u w:val="single" w:color="auto"/>
          <w:color w:val="0000FF"/>
        </w:rPr>
        <w:t>Item 13. Certain Relationships and Related Transactions, and Director Independence</w:t>
      </w:r>
      <w:r>
        <w:rPr>
          <w:rFonts w:ascii="Arial" w:cs="Arial" w:eastAsia="Arial" w:hAnsi="Arial"/>
          <w:sz w:val="16"/>
          <w:szCs w:val="16"/>
          <w:color w:val="auto"/>
        </w:rPr>
        <w:t>” for more information about relationships among us, our General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Partner and Diamondback.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 as They Relate to Risk Management</w:t>
      </w:r>
    </w:p>
    <w:p>
      <w:pPr>
        <w:spacing w:after="0" w:line="252"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We do not have any employees. We are managed and operated by the directors and officers of our General Partner and employees of Diamondback perform services on our behalf. Please read “—Compensation Discussion and Analysis” and “</w:t>
      </w:r>
      <w:r>
        <w:rPr>
          <w:rFonts w:ascii="Arial" w:cs="Arial" w:eastAsia="Arial" w:hAnsi="Arial"/>
          <w:sz w:val="18"/>
          <w:szCs w:val="18"/>
          <w:u w:val="single" w:color="auto"/>
          <w:color w:val="0000FF"/>
        </w:rPr>
        <w:t>Items 1 and 2. Business and Properties–Our Relationship with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Diamondback</w:t>
      </w:r>
      <w:r>
        <w:rPr>
          <w:rFonts w:ascii="Arial" w:cs="Arial" w:eastAsia="Arial" w:hAnsi="Arial"/>
          <w:sz w:val="18"/>
          <w:szCs w:val="18"/>
          <w:color w:val="000000"/>
        </w:rPr>
        <w:t>” for more information about this arrangement. For an analysis of any risks arising from Diamondback’s compensation policies and practices,</w:t>
      </w:r>
      <w:r>
        <w:rPr>
          <w:rFonts w:ascii="Arial" w:cs="Arial" w:eastAsia="Arial" w:hAnsi="Arial"/>
          <w:sz w:val="18"/>
          <w:szCs w:val="18"/>
          <w:color w:val="0000FF"/>
        </w:rPr>
        <w:t xml:space="preserve"> </w:t>
      </w:r>
      <w:r>
        <w:rPr>
          <w:rFonts w:ascii="Arial" w:cs="Arial" w:eastAsia="Arial" w:hAnsi="Arial"/>
          <w:sz w:val="18"/>
          <w:szCs w:val="18"/>
          <w:color w:val="000000"/>
        </w:rPr>
        <w:t>please read Diamondback’s 2023 proxy statement. We have made awards of unit options subject to time-based vesting under our LTIP, which we believe drive a long-term perspective and which we believe make it less likely that executive officers will take unreasonable risks because the unit options retain value even in a depressed market.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UNITHOLDER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 of Officers and Directors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information regarding the beneficial ownership of our common units as of February 1, 2023 by:</w:t>
      </w:r>
    </w:p>
    <w:p>
      <w:pPr>
        <w:spacing w:after="0" w:line="248" w:lineRule="exact"/>
        <w:rPr>
          <w:sz w:val="20"/>
          <w:szCs w:val="20"/>
          <w:color w:val="auto"/>
        </w:rPr>
      </w:pPr>
    </w:p>
    <w:p>
      <w:pPr>
        <w:ind w:left="760" w:hanging="311"/>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114" w:lineRule="exact"/>
        <w:rPr>
          <w:rFonts w:ascii="Arial" w:cs="Arial" w:eastAsia="Arial" w:hAnsi="Arial"/>
          <w:sz w:val="18"/>
          <w:szCs w:val="18"/>
          <w:color w:val="auto"/>
        </w:rPr>
      </w:pPr>
    </w:p>
    <w:p>
      <w:pPr>
        <w:ind w:left="760" w:hanging="311"/>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General Partner’s directors and executive officers; and</w:t>
      </w:r>
    </w:p>
    <w:p>
      <w:pPr>
        <w:spacing w:after="0" w:line="114" w:lineRule="exact"/>
        <w:rPr>
          <w:rFonts w:ascii="Arial" w:cs="Arial" w:eastAsia="Arial" w:hAnsi="Arial"/>
          <w:sz w:val="18"/>
          <w:szCs w:val="18"/>
          <w:color w:val="auto"/>
        </w:rPr>
      </w:pPr>
    </w:p>
    <w:p>
      <w:pPr>
        <w:ind w:left="760" w:hanging="311"/>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General Partner’s directors and executive officers as a group.</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2"/>
            <w:vMerge w:val="restart"/>
          </w:tcPr>
          <w:p>
            <w:pPr>
              <w:ind w:left="2960"/>
              <w:spacing w:after="0"/>
              <w:rPr>
                <w:sz w:val="20"/>
                <w:szCs w:val="20"/>
                <w:color w:val="auto"/>
              </w:rPr>
            </w:pPr>
            <w:r>
              <w:rPr>
                <w:rFonts w:ascii="Arial" w:cs="Arial" w:eastAsia="Arial" w:hAnsi="Arial"/>
                <w:sz w:val="14"/>
                <w:szCs w:val="14"/>
                <w:b w:val="1"/>
                <w:bCs w:val="1"/>
                <w:color w:val="auto"/>
              </w:rPr>
              <w:t>Name of Beneficial Owner</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Common Units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 Common Units</w:t>
            </w:r>
          </w:p>
        </w:tc>
        <w:tc>
          <w:tcPr>
            <w:tcW w:w="0" w:type="dxa"/>
            <w:vAlign w:val="bottom"/>
          </w:tcPr>
          <w:p>
            <w:pPr>
              <w:spacing w:after="0"/>
              <w:rPr>
                <w:sz w:val="1"/>
                <w:szCs w:val="1"/>
                <w:color w:val="auto"/>
              </w:rPr>
            </w:pPr>
          </w:p>
        </w:tc>
      </w:tr>
      <w:tr>
        <w:trPr>
          <w:trHeight w:val="200"/>
        </w:trPr>
        <w:tc>
          <w:tcPr>
            <w:tcW w:w="7620" w:type="dxa"/>
            <w:vAlign w:val="bottom"/>
            <w:gridSpan w:val="2"/>
            <w:vMerge w:val="continue"/>
          </w:tcPr>
          <w:p>
            <w:pPr>
              <w:spacing w:after="0"/>
              <w:rPr>
                <w:sz w:val="17"/>
                <w:szCs w:val="17"/>
                <w:color w:val="auto"/>
              </w:rPr>
            </w:pPr>
          </w:p>
        </w:tc>
        <w:tc>
          <w:tcPr>
            <w:tcW w:w="1740" w:type="dxa"/>
            <w:vAlign w:val="bottom"/>
            <w:gridSpan w:val="2"/>
          </w:tcPr>
          <w:p>
            <w:pPr>
              <w:jc w:val="center"/>
              <w:ind w:right="120"/>
              <w:spacing w:after="0" w:line="200" w:lineRule="exact"/>
              <w:rPr>
                <w:sz w:val="20"/>
                <w:szCs w:val="20"/>
                <w:color w:val="auto"/>
              </w:rPr>
            </w:pPr>
            <w:r>
              <w:rPr>
                <w:rFonts w:ascii="Arial" w:cs="Arial" w:eastAsia="Arial" w:hAnsi="Arial"/>
                <w:sz w:val="14"/>
                <w:szCs w:val="14"/>
                <w:b w:val="1"/>
                <w:bCs w:val="1"/>
                <w:color w:val="auto"/>
                <w:w w:val="90"/>
              </w:rPr>
              <w:t>Beneficially Owned</w:t>
            </w:r>
            <w:r>
              <w:rPr>
                <w:rFonts w:ascii="Arial" w:cs="Arial" w:eastAsia="Arial" w:hAnsi="Arial"/>
                <w:sz w:val="18"/>
                <w:szCs w:val="18"/>
                <w:b w:val="1"/>
                <w:bCs w:val="1"/>
                <w:color w:val="auto"/>
                <w:w w:val="90"/>
                <w:vertAlign w:val="superscript"/>
              </w:rPr>
              <w:t>(1)</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221"/>
        </w:trPr>
        <w:tc>
          <w:tcPr>
            <w:tcW w:w="7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Diamondback Energy, Inc.</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731,500</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27"/>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Viper Energy Partners GP LLC</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762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Travis D. Stice</w:t>
            </w:r>
            <w:r>
              <w:rPr>
                <w:rFonts w:ascii="Arial" w:cs="Arial" w:eastAsia="Arial" w:hAnsi="Arial"/>
                <w:sz w:val="23"/>
                <w:szCs w:val="23"/>
                <w:color w:val="auto"/>
                <w:vertAlign w:val="superscript"/>
              </w:rPr>
              <w:t>(2)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106,169</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Kaes Van't Hof</w:t>
            </w:r>
          </w:p>
        </w:tc>
        <w:tc>
          <w:tcPr>
            <w:tcW w:w="1640" w:type="dxa"/>
            <w:vAlign w:val="bottom"/>
          </w:tcPr>
          <w:p>
            <w:pPr>
              <w:jc w:val="right"/>
              <w:spacing w:after="0"/>
              <w:rPr>
                <w:sz w:val="20"/>
                <w:szCs w:val="20"/>
                <w:color w:val="auto"/>
              </w:rPr>
            </w:pPr>
            <w:r>
              <w:rPr>
                <w:rFonts w:ascii="Arial" w:cs="Arial" w:eastAsia="Arial" w:hAnsi="Arial"/>
                <w:sz w:val="18"/>
                <w:szCs w:val="18"/>
                <w:color w:val="auto"/>
              </w:rPr>
              <w:t>35,362</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Teresa L. Dick</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Thomas F. Hawkins</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 Zmigrosky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Steven E. West</w:t>
            </w:r>
            <w:r>
              <w:rPr>
                <w:rFonts w:ascii="Arial" w:cs="Arial" w:eastAsia="Arial" w:hAnsi="Arial"/>
                <w:sz w:val="23"/>
                <w:szCs w:val="23"/>
                <w:color w:val="auto"/>
                <w:vertAlign w:val="superscript"/>
              </w:rPr>
              <w:t>(3)</w:t>
            </w:r>
          </w:p>
        </w:tc>
        <w:tc>
          <w:tcPr>
            <w:tcW w:w="1640" w:type="dxa"/>
            <w:vAlign w:val="bottom"/>
          </w:tcPr>
          <w:p>
            <w:pPr>
              <w:jc w:val="right"/>
              <w:spacing w:after="0"/>
              <w:rPr>
                <w:sz w:val="20"/>
                <w:szCs w:val="20"/>
                <w:color w:val="auto"/>
              </w:rPr>
            </w:pPr>
            <w:r>
              <w:rPr>
                <w:rFonts w:ascii="Arial" w:cs="Arial" w:eastAsia="Arial" w:hAnsi="Arial"/>
                <w:sz w:val="18"/>
                <w:szCs w:val="18"/>
                <w:color w:val="auto"/>
              </w:rPr>
              <w:t>18,290</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W. Wesley Perry</w:t>
            </w:r>
            <w:r>
              <w:rPr>
                <w:rFonts w:ascii="Arial" w:cs="Arial" w:eastAsia="Arial" w:hAnsi="Arial"/>
                <w:sz w:val="23"/>
                <w:szCs w:val="23"/>
                <w:color w:val="auto"/>
                <w:vertAlign w:val="superscript"/>
              </w:rPr>
              <w:t>(3)</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Spencer D. Armour</w:t>
            </w:r>
            <w:r>
              <w:rPr>
                <w:rFonts w:ascii="Arial" w:cs="Arial" w:eastAsia="Arial" w:hAnsi="Arial"/>
                <w:sz w:val="23"/>
                <w:szCs w:val="23"/>
                <w:color w:val="auto"/>
                <w:vertAlign w:val="superscript"/>
              </w:rPr>
              <w:t>(3)</w:t>
            </w:r>
          </w:p>
        </w:tc>
        <w:tc>
          <w:tcPr>
            <w:tcW w:w="1640" w:type="dxa"/>
            <w:vAlign w:val="bottom"/>
          </w:tcPr>
          <w:p>
            <w:pPr>
              <w:jc w:val="right"/>
              <w:spacing w:after="0"/>
              <w:rPr>
                <w:sz w:val="20"/>
                <w:szCs w:val="20"/>
                <w:color w:val="auto"/>
              </w:rPr>
            </w:pPr>
            <w:r>
              <w:rPr>
                <w:rFonts w:ascii="Arial" w:cs="Arial" w:eastAsia="Arial" w:hAnsi="Arial"/>
                <w:sz w:val="18"/>
                <w:szCs w:val="18"/>
                <w:color w:val="auto"/>
              </w:rPr>
              <w:t>28,217</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James L. Rubin</w:t>
            </w:r>
            <w:r>
              <w:rPr>
                <w:rFonts w:ascii="Arial" w:cs="Arial" w:eastAsia="Arial" w:hAnsi="Arial"/>
                <w:sz w:val="23"/>
                <w:szCs w:val="23"/>
                <w:color w:val="auto"/>
                <w:vertAlign w:val="superscript"/>
              </w:rPr>
              <w:t>(4)</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762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Frank C. Hu</w:t>
            </w:r>
            <w:r>
              <w:rPr>
                <w:rFonts w:ascii="Arial" w:cs="Arial" w:eastAsia="Arial" w:hAnsi="Arial"/>
                <w:sz w:val="23"/>
                <w:szCs w:val="23"/>
                <w:color w:val="auto"/>
                <w:vertAlign w:val="superscript"/>
              </w:rPr>
              <w:t>(3)</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as a group (10 persons)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268,076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0" w:lineRule="exact"/>
        <w:rPr>
          <w:sz w:val="20"/>
          <w:szCs w:val="20"/>
          <w:color w:val="auto"/>
        </w:rPr>
      </w:pPr>
    </w:p>
    <w:p>
      <w:pPr>
        <w:jc w:val="both"/>
        <w:ind w:left="320" w:hanging="313"/>
        <w:spacing w:after="0" w:line="248" w:lineRule="auto"/>
        <w:tabs>
          <w:tab w:leader="none" w:pos="3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SEC rules. In computing percentage ownership of each person, (i) common units subject to options held by that person that are exercisable as of February 1, 2023 and (ii) common units subject to options or phantom units held by that person that are exercisable or vesting within 60 days of February 1, 2023 are all deemed to be beneficially owned. These common units, however, are not deemed outstanding for the purpose of computing the percentage ownership of each other person. The percentage of common units beneficially owned is based on 72,858,184 common units outstanding as of February 1, 2023. Unless otherwise indicated, all amounts exclude common units issuable upon the exercise of outstanding options and vesting of phantom units that are not exercisable and/or vested as of February 1, 2023 or within 60 days of February 1, 2023. Unless otherwise noted, the address for each beneficial owner listed below is 500 West Texas Avenue, Suite 100, Midland, Texas 79701. Except as noted, each unitholder in the above table is believed to have sole voting and sole investment power with respect to the units beneficially held.</w:t>
      </w:r>
    </w:p>
    <w:p>
      <w:pPr>
        <w:spacing w:after="0" w:line="3" w:lineRule="exact"/>
        <w:rPr>
          <w:rFonts w:ascii="Arial" w:cs="Arial" w:eastAsia="Arial" w:hAnsi="Arial"/>
          <w:sz w:val="18"/>
          <w:szCs w:val="18"/>
          <w:color w:val="auto"/>
        </w:rPr>
      </w:pPr>
    </w:p>
    <w:p>
      <w:pPr>
        <w:ind w:left="320" w:hanging="313"/>
        <w:spacing w:after="0" w:line="248" w:lineRule="auto"/>
        <w:tabs>
          <w:tab w:leader="none" w:pos="3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of these units are held by Stice Investments, Ltd., which is managed by Stice Management, LLC, its General Partner. Mr. Stice and his spouse hold 100% of the membership interests in Stice Management, LLC, of which Mr. Stice is the manager.</w:t>
      </w:r>
    </w:p>
    <w:p>
      <w:pPr>
        <w:ind w:left="320" w:hanging="313"/>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3,907 phantom units that are scheduled to vest on July 11, 2023.</w:t>
      </w:r>
    </w:p>
    <w:p>
      <w:pPr>
        <w:spacing w:after="0" w:line="7" w:lineRule="exact"/>
        <w:rPr>
          <w:rFonts w:ascii="Arial" w:cs="Arial" w:eastAsia="Arial" w:hAnsi="Arial"/>
          <w:sz w:val="18"/>
          <w:szCs w:val="18"/>
          <w:color w:val="auto"/>
        </w:rPr>
      </w:pPr>
    </w:p>
    <w:p>
      <w:pPr>
        <w:ind w:left="320" w:hanging="313"/>
        <w:spacing w:after="0" w:line="286" w:lineRule="auto"/>
        <w:tabs>
          <w:tab w:leader="none" w:pos="314"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Excludes 45,245 common units (representing vested phantom units previously granted to Mr. Rubin) and 3,907 phantom units that are scheduled to vest on July 11, 2023, all of which have been assigned by Mr. Rubin to Wexford under the terms of his previous employment with Wexford.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6"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The following table sets forth, as of February 1, 2023, the number of shares of common stock of Diamondback beneficially owned by each of the directors and executive officers of our General Partner and all directors and executive officers of our General Partner as a group.</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Shares of Diamondback Common Stock Beneficially Owned</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27"/>
        </w:trPr>
        <w:tc>
          <w:tcPr>
            <w:tcW w:w="6660" w:type="dxa"/>
            <w:vAlign w:val="bottom"/>
            <w:gridSpan w:val="2"/>
            <w:vMerge w:val="restart"/>
          </w:tcPr>
          <w:p>
            <w:pPr>
              <w:ind w:left="2480"/>
              <w:spacing w:after="0"/>
              <w:rPr>
                <w:sz w:val="20"/>
                <w:szCs w:val="20"/>
                <w:color w:val="auto"/>
              </w:rPr>
            </w:pPr>
            <w:r>
              <w:rPr>
                <w:rFonts w:ascii="Arial" w:cs="Arial" w:eastAsia="Arial" w:hAnsi="Arial"/>
                <w:sz w:val="14"/>
                <w:szCs w:val="14"/>
                <w:b w:val="1"/>
                <w:bCs w:val="1"/>
                <w:color w:val="auto"/>
              </w:rPr>
              <w:t>Name of Beneficial Owner</w:t>
            </w:r>
          </w:p>
        </w:tc>
        <w:tc>
          <w:tcPr>
            <w:tcW w:w="242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2"/>
              </w:rPr>
              <w:t>Amount and Nature of Beneficial</w:t>
            </w:r>
          </w:p>
        </w:tc>
        <w:tc>
          <w:tcPr>
            <w:tcW w:w="216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94"/>
        </w:trPr>
        <w:tc>
          <w:tcPr>
            <w:tcW w:w="6660" w:type="dxa"/>
            <w:vAlign w:val="bottom"/>
            <w:gridSpan w:val="2"/>
            <w:vMerge w:val="continue"/>
          </w:tcPr>
          <w:p>
            <w:pPr>
              <w:spacing w:after="0"/>
              <w:rPr>
                <w:sz w:val="16"/>
                <w:szCs w:val="16"/>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28"/>
        </w:trPr>
        <w:tc>
          <w:tcPr>
            <w:tcW w:w="6560" w:type="dxa"/>
            <w:vAlign w:val="bottom"/>
            <w:tcBorders>
              <w:top w:val="single" w:sz="8" w:color="auto"/>
            </w:tcBorders>
            <w:shd w:val="clear" w:color="auto" w:fill="CCEEFF"/>
          </w:tcPr>
          <w:p>
            <w:pPr>
              <w:ind w:left="20"/>
              <w:spacing w:after="0" w:line="228" w:lineRule="exact"/>
              <w:rPr>
                <w:sz w:val="20"/>
                <w:szCs w:val="20"/>
                <w:color w:val="auto"/>
              </w:rPr>
            </w:pPr>
            <w:r>
              <w:rPr>
                <w:rFonts w:ascii="Arial" w:cs="Arial" w:eastAsia="Arial" w:hAnsi="Arial"/>
                <w:sz w:val="18"/>
                <w:szCs w:val="18"/>
                <w:color w:val="auto"/>
              </w:rPr>
              <w:t>Travis D. Stice</w:t>
            </w:r>
            <w:r>
              <w:rPr>
                <w:rFonts w:ascii="Arial" w:cs="Arial" w:eastAsia="Arial" w:hAnsi="Arial"/>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418,717</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6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Kaes Van't Hof</w:t>
            </w:r>
            <w:r>
              <w:rPr>
                <w:rFonts w:ascii="Arial" w:cs="Arial" w:eastAsia="Arial" w:hAnsi="Arial"/>
                <w:sz w:val="23"/>
                <w:szCs w:val="23"/>
                <w:color w:val="auto"/>
                <w:vertAlign w:val="superscript"/>
              </w:rPr>
              <w:t>(3)</w:t>
            </w:r>
          </w:p>
        </w:tc>
        <w:tc>
          <w:tcPr>
            <w:tcW w:w="2320" w:type="dxa"/>
            <w:vAlign w:val="bottom"/>
          </w:tcPr>
          <w:p>
            <w:pPr>
              <w:jc w:val="right"/>
              <w:spacing w:after="0"/>
              <w:rPr>
                <w:sz w:val="20"/>
                <w:szCs w:val="20"/>
                <w:color w:val="auto"/>
              </w:rPr>
            </w:pPr>
            <w:r>
              <w:rPr>
                <w:rFonts w:ascii="Arial" w:cs="Arial" w:eastAsia="Arial" w:hAnsi="Arial"/>
                <w:sz w:val="18"/>
                <w:szCs w:val="18"/>
                <w:color w:val="auto"/>
              </w:rPr>
              <w:t>93,576</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6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Teresa L. Dick</w:t>
            </w:r>
            <w:r>
              <w:rPr>
                <w:rFonts w:ascii="Arial" w:cs="Arial" w:eastAsia="Arial" w:hAnsi="Arial"/>
                <w:sz w:val="23"/>
                <w:szCs w:val="23"/>
                <w:color w:val="auto"/>
                <w:vertAlign w:val="superscript"/>
              </w:rPr>
              <w:t>(4)</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6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Thomas F. Hawkins</w:t>
            </w:r>
            <w:r>
              <w:rPr>
                <w:rFonts w:ascii="Arial" w:cs="Arial" w:eastAsia="Arial" w:hAnsi="Arial"/>
                <w:sz w:val="23"/>
                <w:szCs w:val="23"/>
                <w:color w:val="auto"/>
                <w:vertAlign w:val="superscript"/>
              </w:rPr>
              <w:t>(5)</w:t>
            </w:r>
          </w:p>
        </w:tc>
        <w:tc>
          <w:tcPr>
            <w:tcW w:w="2320" w:type="dxa"/>
            <w:vAlign w:val="bottom"/>
          </w:tcPr>
          <w:p>
            <w:pPr>
              <w:jc w:val="right"/>
              <w:spacing w:after="0"/>
              <w:rPr>
                <w:sz w:val="20"/>
                <w:szCs w:val="20"/>
                <w:color w:val="auto"/>
              </w:rPr>
            </w:pPr>
            <w:r>
              <w:rPr>
                <w:rFonts w:ascii="Arial" w:cs="Arial" w:eastAsia="Arial" w:hAnsi="Arial"/>
                <w:sz w:val="18"/>
                <w:szCs w:val="18"/>
                <w:color w:val="auto"/>
              </w:rPr>
              <w:t>14,952</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6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Matt Zmigrosky</w:t>
            </w:r>
            <w:r>
              <w:rPr>
                <w:rFonts w:ascii="Arial" w:cs="Arial" w:eastAsia="Arial" w:hAnsi="Arial"/>
                <w:sz w:val="23"/>
                <w:szCs w:val="23"/>
                <w:color w:val="auto"/>
                <w:vertAlign w:val="superscript"/>
              </w:rPr>
              <w:t>(6)</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66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Steven E. West</w:t>
            </w:r>
            <w:r>
              <w:rPr>
                <w:rFonts w:ascii="Arial" w:cs="Arial" w:eastAsia="Arial" w:hAnsi="Arial"/>
                <w:sz w:val="23"/>
                <w:szCs w:val="23"/>
                <w:color w:val="auto"/>
                <w:vertAlign w:val="superscript"/>
              </w:rPr>
              <w:t>(7)</w:t>
            </w:r>
          </w:p>
        </w:tc>
        <w:tc>
          <w:tcPr>
            <w:tcW w:w="2320" w:type="dxa"/>
            <w:vAlign w:val="bottom"/>
          </w:tcPr>
          <w:p>
            <w:pPr>
              <w:jc w:val="right"/>
              <w:spacing w:after="0"/>
              <w:rPr>
                <w:sz w:val="20"/>
                <w:szCs w:val="20"/>
                <w:color w:val="auto"/>
              </w:rPr>
            </w:pPr>
            <w:r>
              <w:rPr>
                <w:rFonts w:ascii="Arial" w:cs="Arial" w:eastAsia="Arial" w:hAnsi="Arial"/>
                <w:sz w:val="18"/>
                <w:szCs w:val="18"/>
                <w:color w:val="auto"/>
              </w:rPr>
              <w:t>10,299</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 Wesley Perry</w:t>
            </w:r>
          </w:p>
        </w:tc>
        <w:tc>
          <w:tcPr>
            <w:tcW w:w="2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7"/>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Spencer D. Armour</w:t>
            </w:r>
          </w:p>
        </w:tc>
        <w:tc>
          <w:tcPr>
            <w:tcW w:w="2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L. Rubin</w:t>
            </w:r>
          </w:p>
        </w:tc>
        <w:tc>
          <w:tcPr>
            <w:tcW w:w="2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7"/>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Frank C. Hu</w:t>
            </w:r>
          </w:p>
        </w:tc>
        <w:tc>
          <w:tcPr>
            <w:tcW w:w="2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as a group (10 persons)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616,404</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0"/>
        <w:spacing w:after="0"/>
        <w:tabs>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0" w:lineRule="exact"/>
        <w:rPr>
          <w:sz w:val="20"/>
          <w:szCs w:val="20"/>
          <w:color w:val="auto"/>
        </w:rPr>
      </w:pPr>
    </w:p>
    <w:p>
      <w:pPr>
        <w:jc w:val="both"/>
        <w:ind w:left="440" w:hanging="393"/>
        <w:spacing w:after="0" w:line="263" w:lineRule="auto"/>
        <w:tabs>
          <w:tab w:leader="none" w:pos="434" w:val="left"/>
        </w:tabs>
        <w:numPr>
          <w:ilvl w:val="1"/>
          <w:numId w:val="20"/>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SEC rules. In computing percentage ownership of each person, (i) shares of common stock subject to options held by that person that are exercisable as of February 1, 2023 and (ii) shares of common stock subject to options or restricted stock units held by that person that are exercisable or vesting within 60 days of February 1, 2023, are all deemed to be beneficially owned. These shares, however, are not deemed outstanding for the purpose of computing the percentage ownership of each other person. The percentage of shares beneficially owned is based on 72,858,184 shares of common stock outstanding as of February 1, 2023. Unless otherwise indicated, all amounts exclude shares issuable upon the exercise of outstanding options and vesting of restricted stock units that are not exercisable and/or vested as of February 1, 2023 or within 60 days of February 1, 2023. Except as noted, each stockholder in the above table is believed to have sole voting and sole investment power with respect to the shares of common stock beneficially held.</w:t>
      </w:r>
    </w:p>
    <w:p>
      <w:pPr>
        <w:jc w:val="both"/>
        <w:ind w:left="480" w:hanging="473"/>
        <w:spacing w:after="0" w:line="278" w:lineRule="auto"/>
        <w:tabs>
          <w:tab w:leader="none" w:pos="47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of these shares are held by Stice Investments, Ltd., which is managed by Stice Management, LLC, its general partner. Mr. Stice and his spouse hold 100% of the membership interests in Stice Management, LLC, of which Mr. Stice is the manager. Includes 20,727 restricted stock units, that are scheduled to vest on March 1, 2023. Excludes 5,166 restricted stock units that are scheduled to vest in two equal annual installments beginning on May 28, 2023 and 9,227 restricted stock units that are scheduled to vest on March 1, 2024. Also excludes (i) 66,714 performance-based restricted stock units awarded to Mr. Stice on March 1, 2020, which are subject to the satisfaction of certain stockholder return performance conditions relative to Diamondback’s peer group during the three-year performance period ending on December 31, 2022, (ii) 51,748 performance-based restricted stock units awarded to Mr. Stice on March 1, 2021, which are subject to the satisfaction of certain stockholder return performance conditions relative to Diamondback’s peer group during the three-year performance period ending on December 31, 2023 and (iii) 41,524 performance-based restricted stock units awarded to Mr. Stice on March 1, 2022, which are subject to the satisfaction of certain stockholder return performance conditions relative to Diamondback’s peer group during the three-year performance period ending on December 31, 2024.</w:t>
      </w:r>
    </w:p>
    <w:p>
      <w:pPr>
        <w:jc w:val="both"/>
        <w:ind w:left="480" w:hanging="473"/>
        <w:spacing w:after="0" w:line="246" w:lineRule="auto"/>
        <w:tabs>
          <w:tab w:leader="none" w:pos="474"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9,882 restricted stock units, that are scheduled to vest on March 1, 2023. Excludes (i) 51,658 restricted stock units that are scheduled to vest in two equal annual installments beginning on May 28, 2023, (ii) 3,845 restricted stock units, that are scheduled to vest on March 1, 2024 and (iii) 8,790 restricted stock units, that are scheduled to vest in five equal annual installments beginning on March 1, 2025. Also excludes (i) 13,183 performance-based restricted stock units awarded to Mr. Van’t Hof on March 1, 2019 (representing 100% vesting of the originally reported amount) based upon final determination upon certification of certain stockholders return performance conditions relative to Diamondback’s peer group during the three-year performance period ended on December 31, 2021, that are scheduled to vest in five equal installments beginning on March 1, 2025, (ii) 31,133 performance-based restricted stock units awarded to Mr. Van’t Hof on March 1, 2020, that are subject to the satisfaction of certain stockholder return performance conditions relative to Diamondback’s peer group during the three-year performance period ending on December 31, 2022, (iii) 27,168 performance-based restricted stock units awarded to Mr. Van’t Hof on March 1, 2021, which are subject to the satisfaction of certain stockholder return performance conditions relative to Diamondback’s peer group during the three-year performance period ending on December 31, 2023 and (iv) 17,302 performance-based restricted stock units awarded to Mr. Van’t Hof on March 1, 2022, which are subject to the satisfaction of certain stockholder return performance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conditions relative to Diamondback’s peer group during the three-year performance period ending on December 31, 2024.</w:t>
      </w:r>
    </w:p>
    <w:p>
      <w:pPr>
        <w:spacing w:after="0" w:line="20" w:lineRule="exact"/>
        <w:rPr>
          <w:sz w:val="20"/>
          <w:szCs w:val="20"/>
          <w:color w:val="auto"/>
        </w:rPr>
      </w:pPr>
    </w:p>
    <w:p>
      <w:pPr>
        <w:jc w:val="both"/>
        <w:ind w:left="480" w:hanging="473"/>
        <w:spacing w:after="0" w:line="279" w:lineRule="auto"/>
        <w:tabs>
          <w:tab w:leader="none" w:pos="474"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5,501 restricted stock units, that are scheduled to vest on March 1, 2023. Excludes 2,583 restricted stock units that are scheduled to vest in two equal annual installments beginning on May 28, 2023 and 2,051 restricted stock units that are scheduled to vest on March 1, 2024. Also excludes</w:t>
      </w:r>
    </w:p>
    <w:p>
      <w:pPr>
        <w:jc w:val="both"/>
        <w:ind w:left="480" w:firstLine="9"/>
        <w:spacing w:after="0" w:line="248"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17,790 performance-based restricted stock units awarded to Ms. Dick on March 1, 2020, which awards are subject to the satisfaction of certain stockholder return performance conditions relative to Diamondback’s peer group during the three-year performance period ending on December 31, 2022, (ii) 15,524 performance-based restricted stock units awarded to Ms. Dick on March 1, 2021, which are subject to the satisfaction of certain stockholder return performance conditions relative to Diamondback’s peer group during the three-year performance period ending on December 31, 2023 and (iii) 9,228 performance-based restricted stock units awarded to Ms. Dick on March 1, 2022, which are subject to the satisfaction of certain stockholder return performance conditions relative to Diamondback’s peer group during the three-year performance period ending on December 31, 2024.</w:t>
      </w:r>
    </w:p>
    <w:p>
      <w:pPr>
        <w:spacing w:after="0" w:line="2" w:lineRule="exact"/>
        <w:rPr>
          <w:rFonts w:ascii="Arial" w:cs="Arial" w:eastAsia="Arial" w:hAnsi="Arial"/>
          <w:sz w:val="18"/>
          <w:szCs w:val="18"/>
          <w:color w:val="auto"/>
        </w:rPr>
      </w:pPr>
    </w:p>
    <w:p>
      <w:pPr>
        <w:jc w:val="both"/>
        <w:ind w:left="480" w:hanging="473"/>
        <w:spacing w:after="0" w:line="279" w:lineRule="auto"/>
        <w:tabs>
          <w:tab w:leader="none" w:pos="474"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3,442 restricted stock units that are scheduled to vest on March 1, 2023. Excludes 2,583 restricted stock units that are scheduled to vest in two equal annual installments beginning on May 28, 2023 and 1,199 restricted stock units that are scheduled to vest on March 1, 2024. Also excludes</w:t>
      </w:r>
    </w:p>
    <w:p>
      <w:pPr>
        <w:jc w:val="both"/>
        <w:ind w:left="480" w:firstLine="9"/>
        <w:spacing w:after="0" w:line="248" w:lineRule="auto"/>
        <w:tabs>
          <w:tab w:leader="none" w:pos="733" w:val="left"/>
        </w:tabs>
        <w:numPr>
          <w:ilvl w:val="1"/>
          <w:numId w:val="22"/>
        </w:numPr>
        <w:rPr>
          <w:rFonts w:ascii="Arial" w:cs="Arial" w:eastAsia="Arial" w:hAnsi="Arial"/>
          <w:sz w:val="18"/>
          <w:szCs w:val="18"/>
          <w:color w:val="auto"/>
        </w:rPr>
      </w:pPr>
      <w:r>
        <w:rPr>
          <w:rFonts w:ascii="Arial" w:cs="Arial" w:eastAsia="Arial" w:hAnsi="Arial"/>
          <w:sz w:val="18"/>
          <w:szCs w:val="18"/>
          <w:color w:val="auto"/>
        </w:rPr>
        <w:t>11,564 performance-based restricted stock units awarded to Mr. Hawkins on March 1, 2020 that are subject to the satisfaction of certain stockholder return performance conditions relative to Diamondback’s peer group during the three-year performance period ending on December 31, 2022, (ii) 10,091 performance-based restricted stock units awarded to Mr. Hawkins on March 1, 2021, which are subject to the satisfaction of certain stockholder return performance conditions relative to Diamondback’s peer group during the three-year performance period ending on December 31, 2023 and (iii) 5,398 performance-based restricted stock units awarded to Mr. Hawkins on March 1, 2022, which are subject to the satisfaction of certain stockholder return performance conditions relative to Diamondback’s peer group during the three-year performance period ending on December 31, 2024.</w:t>
      </w:r>
    </w:p>
    <w:p>
      <w:pPr>
        <w:spacing w:after="0" w:line="2" w:lineRule="exact"/>
        <w:rPr>
          <w:rFonts w:ascii="Arial" w:cs="Arial" w:eastAsia="Arial" w:hAnsi="Arial"/>
          <w:sz w:val="18"/>
          <w:szCs w:val="18"/>
          <w:color w:val="auto"/>
        </w:rPr>
      </w:pPr>
    </w:p>
    <w:p>
      <w:pPr>
        <w:jc w:val="both"/>
        <w:ind w:left="480" w:hanging="473"/>
        <w:spacing w:after="0" w:line="279" w:lineRule="auto"/>
        <w:tabs>
          <w:tab w:leader="none" w:pos="474"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4,811 restricted stock units, that are scheduled to vest on March 1, 2023. Excludes 1,034 restricted stock units that are scheduled to vest in two equal annual installments beginning on May 28, 2023 and 2,050 restricted stock units that are scheduled to vest on March 1, 2024. Also excludes</w:t>
      </w:r>
    </w:p>
    <w:p>
      <w:pPr>
        <w:jc w:val="both"/>
        <w:ind w:left="480" w:firstLine="9"/>
        <w:spacing w:after="0" w:line="248" w:lineRule="auto"/>
        <w:tabs>
          <w:tab w:leader="none" w:pos="7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14,232 performance-based restricted stock units awarded to Mr. Zmigrosky on March 1, 2020, that are subject to the satisfaction of certain stockholder return performance conditions relative to Diamondback’s peer group during the three-year performance period ending on December 31, 2022, (ii) 12,420 performance-based restricted stock units awarded to Mr. Zmigrosky on March 1, 2021, which are subject to the satisfaction of certain stockholder return performance conditions relative to Diamondback’s peer group during the three-year performance period ending on December 31, 2023 and (iii) 9,228 performance-based restricted stock units awarded to Mr. Zmigrosky on March 1, 2022, which are subject to the satisfaction of certain stockholder return performance conditions relative to Diamondback’s peer group during the three-year performance period ending on December 31, 2024.</w:t>
      </w:r>
    </w:p>
    <w:p>
      <w:pPr>
        <w:spacing w:after="0" w:line="2" w:lineRule="exact"/>
        <w:rPr>
          <w:rFonts w:ascii="Arial" w:cs="Arial" w:eastAsia="Arial" w:hAnsi="Arial"/>
          <w:sz w:val="18"/>
          <w:szCs w:val="18"/>
          <w:color w:val="auto"/>
        </w:rPr>
      </w:pPr>
    </w:p>
    <w:p>
      <w:pPr>
        <w:ind w:left="480" w:hanging="473"/>
        <w:spacing w:after="0" w:line="256" w:lineRule="auto"/>
        <w:tabs>
          <w:tab w:leader="none" w:pos="4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1,274 restricted stock units that are scheduled to vest on the earlier of the one-year anniversary of the date of grant and the date of the 2023 annual meeting of stockholders of Diamondback.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 of Major Stockholders</w:t>
      </w:r>
    </w:p>
    <w:p>
      <w:pPr>
        <w:spacing w:after="0" w:line="252" w:lineRule="exact"/>
        <w:rPr>
          <w:sz w:val="20"/>
          <w:szCs w:val="20"/>
          <w:color w:val="auto"/>
        </w:rPr>
      </w:pPr>
    </w:p>
    <w:p>
      <w:pPr>
        <w:ind w:firstLine="643"/>
        <w:spacing w:after="0" w:line="271"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units and Class B units as of February 1, 2023 by each unitholder known by us to beneficially own 5% or more of our common units or Class B units.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4"/>
          </w:tcPr>
          <w:p>
            <w:pPr>
              <w:ind w:left="340"/>
              <w:spacing w:after="0"/>
              <w:rPr>
                <w:sz w:val="20"/>
                <w:szCs w:val="20"/>
                <w:color w:val="auto"/>
              </w:rPr>
            </w:pPr>
            <w:r>
              <w:rPr>
                <w:rFonts w:ascii="Arial" w:cs="Arial" w:eastAsia="Arial" w:hAnsi="Arial"/>
                <w:sz w:val="14"/>
                <w:szCs w:val="14"/>
                <w:b w:val="1"/>
                <w:bCs w:val="1"/>
                <w:color w:val="auto"/>
              </w:rPr>
              <w:t>MAJOR UNITHOLDER TABLE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gridSpan w:val="4"/>
          </w:tcPr>
          <w:p>
            <w:pPr>
              <w:ind w:left="1260"/>
              <w:spacing w:after="0"/>
              <w:rPr>
                <w:sz w:val="20"/>
                <w:szCs w:val="20"/>
                <w:color w:val="auto"/>
              </w:rPr>
            </w:pPr>
            <w:r>
              <w:rPr>
                <w:rFonts w:ascii="Arial" w:cs="Arial" w:eastAsia="Arial" w:hAnsi="Arial"/>
                <w:sz w:val="14"/>
                <w:szCs w:val="14"/>
                <w:b w:val="1"/>
                <w:bCs w:val="1"/>
                <w:color w:val="auto"/>
              </w:rPr>
              <w:t>Common Units</w:t>
            </w:r>
          </w:p>
        </w:tc>
        <w:tc>
          <w:tcPr>
            <w:tcW w:w="3440" w:type="dxa"/>
            <w:vAlign w:val="bottom"/>
            <w:gridSpan w:val="3"/>
          </w:tcPr>
          <w:p>
            <w:pPr>
              <w:jc w:val="right"/>
              <w:ind w:right="1237"/>
              <w:spacing w:after="0"/>
              <w:rPr>
                <w:sz w:val="20"/>
                <w:szCs w:val="20"/>
                <w:color w:val="auto"/>
              </w:rPr>
            </w:pPr>
            <w:r>
              <w:rPr>
                <w:rFonts w:ascii="Arial" w:cs="Arial" w:eastAsia="Arial" w:hAnsi="Arial"/>
                <w:sz w:val="14"/>
                <w:szCs w:val="14"/>
                <w:b w:val="1"/>
                <w:bCs w:val="1"/>
                <w:color w:val="auto"/>
              </w:rPr>
              <w:t>Class B Units</w:t>
            </w: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Amount and Nature of</w:t>
            </w:r>
          </w:p>
        </w:tc>
        <w:tc>
          <w:tcPr>
            <w:tcW w:w="18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Percentage of Class</w:t>
            </w:r>
          </w:p>
        </w:tc>
        <w:tc>
          <w:tcPr>
            <w:tcW w:w="170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Amount and Nature of</w:t>
            </w:r>
          </w:p>
        </w:tc>
        <w:tc>
          <w:tcPr>
            <w:tcW w:w="17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Percentage of Class</w:t>
            </w:r>
          </w:p>
        </w:tc>
        <w:tc>
          <w:tcPr>
            <w:tcW w:w="0" w:type="dxa"/>
            <w:vAlign w:val="bottom"/>
          </w:tcPr>
          <w:p>
            <w:pPr>
              <w:spacing w:after="0"/>
              <w:rPr>
                <w:sz w:val="1"/>
                <w:szCs w:val="1"/>
                <w:color w:val="auto"/>
              </w:rPr>
            </w:pPr>
          </w:p>
        </w:tc>
      </w:tr>
      <w:tr>
        <w:trPr>
          <w:trHeight w:val="51"/>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w:t>
            </w:r>
          </w:p>
        </w:tc>
        <w:tc>
          <w:tcPr>
            <w:tcW w:w="100" w:type="dxa"/>
            <w:vAlign w:val="bottom"/>
            <w:vMerge w:val="restart"/>
          </w:tcPr>
          <w:p>
            <w:pPr>
              <w:spacing w:after="0"/>
              <w:rPr>
                <w:sz w:val="4"/>
                <w:szCs w:val="4"/>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Beneficial Ownership</w:t>
            </w:r>
            <w:r>
              <w:rPr>
                <w:rFonts w:ascii="Arial" w:cs="Arial" w:eastAsia="Arial" w:hAnsi="Arial"/>
                <w:sz w:val="20"/>
                <w:szCs w:val="20"/>
                <w:b w:val="1"/>
                <w:bCs w:val="1"/>
                <w:color w:val="auto"/>
                <w:w w:val="94"/>
                <w:vertAlign w:val="superscript"/>
              </w:rPr>
              <w:t>(1)</w:t>
            </w:r>
          </w:p>
        </w:tc>
        <w:tc>
          <w:tcPr>
            <w:tcW w:w="100" w:type="dxa"/>
            <w:vAlign w:val="bottom"/>
            <w:vMerge w:val="restart"/>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Beneficial Ownership</w:t>
            </w:r>
            <w:r>
              <w:rPr>
                <w:rFonts w:ascii="Arial" w:cs="Arial" w:eastAsia="Arial" w:hAnsi="Arial"/>
                <w:sz w:val="20"/>
                <w:szCs w:val="20"/>
                <w:b w:val="1"/>
                <w:bCs w:val="1"/>
                <w:color w:val="auto"/>
                <w:w w:val="94"/>
                <w:vertAlign w:val="superscript"/>
              </w:rPr>
              <w:t>(1)</w:t>
            </w:r>
          </w:p>
        </w:tc>
        <w:tc>
          <w:tcPr>
            <w:tcW w:w="100" w:type="dxa"/>
            <w:vAlign w:val="bottom"/>
            <w:vMerge w:val="restart"/>
          </w:tcPr>
          <w:p>
            <w:pPr>
              <w:spacing w:after="0"/>
              <w:rPr>
                <w:sz w:val="4"/>
                <w:szCs w:val="4"/>
                <w:color w:val="auto"/>
              </w:rPr>
            </w:pPr>
          </w:p>
        </w:tc>
        <w:tc>
          <w:tcPr>
            <w:tcW w:w="1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4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Beneficially Owned</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220"/>
        </w:trPr>
        <w:tc>
          <w:tcPr>
            <w:tcW w:w="42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8"/>
                <w:szCs w:val="18"/>
                <w:color w:val="auto"/>
              </w:rPr>
              <w:t>Diamondback Energy, Inc.</w:t>
            </w:r>
            <w:r>
              <w:rPr>
                <w:rFonts w:ascii="Arial" w:cs="Arial" w:eastAsia="Arial" w:hAnsi="Arial"/>
                <w:sz w:val="23"/>
                <w:szCs w:val="23"/>
                <w:color w:val="auto"/>
                <w:vertAlign w:val="superscript"/>
              </w:rPr>
              <w:t>(2)</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500 West Texas Avenue, Suite 100</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Midland, Texas 79701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731,500</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90,709,946</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7"/>
        </w:trPr>
        <w:tc>
          <w:tcPr>
            <w:tcW w:w="4260" w:type="dxa"/>
            <w:vAlign w:val="bottom"/>
            <w:gridSpan w:val="2"/>
          </w:tcPr>
          <w:p>
            <w:pPr>
              <w:ind w:left="20"/>
              <w:spacing w:after="0" w:line="226" w:lineRule="exact"/>
              <w:rPr>
                <w:sz w:val="20"/>
                <w:szCs w:val="20"/>
                <w:color w:val="auto"/>
              </w:rPr>
            </w:pPr>
            <w:r>
              <w:rPr>
                <w:rFonts w:ascii="Arial" w:cs="Arial" w:eastAsia="Arial" w:hAnsi="Arial"/>
                <w:sz w:val="18"/>
                <w:szCs w:val="18"/>
                <w:color w:val="auto"/>
              </w:rPr>
              <w:t>Wellington Management Group LLP</w:t>
            </w:r>
            <w:r>
              <w:rPr>
                <w:rFonts w:ascii="Arial" w:cs="Arial" w:eastAsia="Arial" w:hAnsi="Arial"/>
                <w:sz w:val="23"/>
                <w:szCs w:val="23"/>
                <w:color w:val="auto"/>
                <w:vertAlign w:val="superscript"/>
              </w:rPr>
              <w:t>(3)</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tcPr>
          <w:p>
            <w:pPr>
              <w:ind w:left="300"/>
              <w:spacing w:after="0"/>
              <w:rPr>
                <w:sz w:val="20"/>
                <w:szCs w:val="20"/>
                <w:color w:val="auto"/>
              </w:rPr>
            </w:pPr>
            <w:r>
              <w:rPr>
                <w:rFonts w:ascii="Arial" w:cs="Arial" w:eastAsia="Arial" w:hAnsi="Arial"/>
                <w:sz w:val="18"/>
                <w:szCs w:val="18"/>
                <w:color w:val="auto"/>
              </w:rPr>
              <w:t>c/o Wellington Management Company LLP</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gridSpan w:val="2"/>
          </w:tcPr>
          <w:p>
            <w:pPr>
              <w:ind w:left="300"/>
              <w:spacing w:after="0"/>
              <w:rPr>
                <w:sz w:val="20"/>
                <w:szCs w:val="20"/>
                <w:color w:val="auto"/>
              </w:rPr>
            </w:pPr>
            <w:r>
              <w:rPr>
                <w:rFonts w:ascii="Arial" w:cs="Arial" w:eastAsia="Arial" w:hAnsi="Arial"/>
                <w:sz w:val="18"/>
                <w:szCs w:val="18"/>
                <w:color w:val="auto"/>
              </w:rPr>
              <w:t>280 Congress Street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260" w:type="dxa"/>
            <w:vAlign w:val="bottom"/>
            <w:gridSpan w:val="2"/>
          </w:tcPr>
          <w:p>
            <w:pPr>
              <w:ind w:left="300"/>
              <w:spacing w:after="0"/>
              <w:rPr>
                <w:sz w:val="20"/>
                <w:szCs w:val="20"/>
                <w:color w:val="auto"/>
              </w:rPr>
            </w:pPr>
            <w:r>
              <w:rPr>
                <w:rFonts w:ascii="Arial" w:cs="Arial" w:eastAsia="Arial" w:hAnsi="Arial"/>
                <w:sz w:val="18"/>
                <w:szCs w:val="18"/>
                <w:color w:val="auto"/>
              </w:rPr>
              <w:t>Boston, MA 02210</w:t>
            </w:r>
          </w:p>
        </w:tc>
        <w:tc>
          <w:tcPr>
            <w:tcW w:w="1600" w:type="dxa"/>
            <w:vAlign w:val="bottom"/>
          </w:tcPr>
          <w:p>
            <w:pPr>
              <w:jc w:val="right"/>
              <w:spacing w:after="0"/>
              <w:rPr>
                <w:sz w:val="20"/>
                <w:szCs w:val="20"/>
                <w:color w:val="auto"/>
              </w:rPr>
            </w:pPr>
            <w:r>
              <w:rPr>
                <w:rFonts w:ascii="Arial" w:cs="Arial" w:eastAsia="Arial" w:hAnsi="Arial"/>
                <w:sz w:val="18"/>
                <w:szCs w:val="18"/>
                <w:color w:val="auto"/>
              </w:rPr>
              <w:t>11,024,380</w:t>
            </w:r>
          </w:p>
        </w:tc>
        <w:tc>
          <w:tcPr>
            <w:tcW w:w="1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15.1 %</w:t>
            </w:r>
          </w:p>
        </w:tc>
        <w:tc>
          <w:tcPr>
            <w:tcW w:w="10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26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Blackstone, Inc.</w:t>
            </w:r>
            <w:r>
              <w:rPr>
                <w:rFonts w:ascii="Arial" w:cs="Arial" w:eastAsia="Arial" w:hAnsi="Arial"/>
                <w:sz w:val="23"/>
                <w:szCs w:val="23"/>
                <w:color w:val="auto"/>
                <w:vertAlign w:val="superscript"/>
              </w:rPr>
              <w:t>(4)</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345 Park Avenue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New York, NY 10154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9,482,228</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260" w:type="dxa"/>
            <w:vAlign w:val="bottom"/>
            <w:gridSpan w:val="2"/>
          </w:tcPr>
          <w:p>
            <w:pPr>
              <w:ind w:left="20"/>
              <w:spacing w:after="0" w:line="226" w:lineRule="exact"/>
              <w:rPr>
                <w:sz w:val="20"/>
                <w:szCs w:val="20"/>
                <w:color w:val="auto"/>
              </w:rPr>
            </w:pPr>
            <w:r>
              <w:rPr>
                <w:rFonts w:ascii="Arial" w:cs="Arial" w:eastAsia="Arial" w:hAnsi="Arial"/>
                <w:sz w:val="18"/>
                <w:szCs w:val="18"/>
                <w:color w:val="auto"/>
              </w:rPr>
              <w:t>Santa Elena Minerals, LP</w:t>
            </w:r>
            <w:r>
              <w:rPr>
                <w:rFonts w:ascii="Arial" w:cs="Arial" w:eastAsia="Arial" w:hAnsi="Arial"/>
                <w:sz w:val="23"/>
                <w:szCs w:val="23"/>
                <w:color w:val="auto"/>
                <w:vertAlign w:val="superscript"/>
              </w:rPr>
              <w:t>(5)</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tcPr>
          <w:p>
            <w:pPr>
              <w:ind w:left="300"/>
              <w:spacing w:after="0"/>
              <w:rPr>
                <w:sz w:val="20"/>
                <w:szCs w:val="20"/>
                <w:color w:val="auto"/>
              </w:rPr>
            </w:pPr>
            <w:r>
              <w:rPr>
                <w:rFonts w:ascii="Arial" w:cs="Arial" w:eastAsia="Arial" w:hAnsi="Arial"/>
                <w:sz w:val="18"/>
                <w:szCs w:val="18"/>
                <w:color w:val="auto"/>
              </w:rPr>
              <w:t>400 W. Illinois, Suite 1300</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260" w:type="dxa"/>
            <w:vAlign w:val="bottom"/>
            <w:gridSpan w:val="2"/>
          </w:tcPr>
          <w:p>
            <w:pPr>
              <w:ind w:left="300"/>
              <w:spacing w:after="0"/>
              <w:rPr>
                <w:sz w:val="20"/>
                <w:szCs w:val="20"/>
                <w:color w:val="auto"/>
              </w:rPr>
            </w:pPr>
            <w:r>
              <w:rPr>
                <w:rFonts w:ascii="Arial" w:cs="Arial" w:eastAsia="Arial" w:hAnsi="Arial"/>
                <w:sz w:val="18"/>
                <w:szCs w:val="18"/>
                <w:color w:val="auto"/>
              </w:rPr>
              <w:t>Midland, TX 79701</w:t>
            </w:r>
          </w:p>
        </w:tc>
        <w:tc>
          <w:tcPr>
            <w:tcW w:w="1600" w:type="dxa"/>
            <w:vAlign w:val="bottom"/>
          </w:tcPr>
          <w:p>
            <w:pPr>
              <w:jc w:val="right"/>
              <w:spacing w:after="0"/>
              <w:rPr>
                <w:sz w:val="20"/>
                <w:szCs w:val="20"/>
                <w:color w:val="auto"/>
              </w:rPr>
            </w:pPr>
            <w:r>
              <w:rPr>
                <w:rFonts w:ascii="Arial" w:cs="Arial" w:eastAsia="Arial" w:hAnsi="Arial"/>
                <w:sz w:val="18"/>
                <w:szCs w:val="18"/>
                <w:color w:val="auto"/>
              </w:rPr>
              <w:t>5,152,124</w:t>
            </w:r>
          </w:p>
        </w:tc>
        <w:tc>
          <w:tcPr>
            <w:tcW w:w="1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left="440" w:hanging="393"/>
        <w:spacing w:after="0" w:line="253" w:lineRule="auto"/>
        <w:tabs>
          <w:tab w:leader="none" w:pos="4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SEC rules. The percentage of common units beneficially owned is based on 72,858,184 common units outstanding as of February 1, 2023. Except as noted, each unitholder in the above table is believed to have sole voting and sole investment power with respect to the common units and Class B units beneficially held.</w:t>
      </w:r>
    </w:p>
    <w:p>
      <w:pPr>
        <w:jc w:val="both"/>
        <w:ind w:left="440" w:hanging="393"/>
        <w:spacing w:after="0" w:line="277" w:lineRule="auto"/>
        <w:tabs>
          <w:tab w:leader="none" w:pos="434"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Diamondback Energy, Inc. is a publicly traded company and holds 731,500 common units and 90,709,946 Class B units, with the same aggregate number of units of the Operating Company (each, an “OpCo unit”) that are exchangeable from time to time, in its discretion, for common units (that is, one OpCo unit and one Class B unit, together, are exchangeable for one common unit), and, as a result, Diamondback may be deemed to have the beneficial ownership of such common units. Diamondback has sole voting and dispositive power with respect to the common units and Class B units it holds. The directors of Diamondback are Travis D. Stice, Steven E. West, Vincent K. Brooks, Michael P. Cross, David L. Houston, Stephanie K. Mains, Mark L. Plaumann, Melanie M. Trent, Rebecca A. Klein and Frank D. Tsuru. Travis D. Stice is the sole director of Diamondback E&amp;P.</w:t>
      </w:r>
    </w:p>
    <w:p>
      <w:pPr>
        <w:spacing w:after="0" w:line="1" w:lineRule="exact"/>
        <w:rPr>
          <w:rFonts w:ascii="Arial" w:cs="Arial" w:eastAsia="Arial" w:hAnsi="Arial"/>
          <w:sz w:val="16"/>
          <w:szCs w:val="16"/>
          <w:color w:val="auto"/>
        </w:rPr>
      </w:pPr>
    </w:p>
    <w:p>
      <w:pPr>
        <w:jc w:val="both"/>
        <w:ind w:left="440" w:hanging="393"/>
        <w:spacing w:after="0" w:line="246" w:lineRule="auto"/>
        <w:tabs>
          <w:tab w:leader="none" w:pos="434"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solely on Schedule 13G/A jointly filed with the SEC on February 6, 2023 by Wellington Management Group LLP (“Wellington Management”), Wellington Group Holdings LLP (“Wellington Holdings”), Wellington Investment Advisors Holdings LLP (“Wellington Advisors”) and Wellington Management Company LLP (“Wellington Company”). These units are owned of record by clients of Wellington Company, Wellington Management Canada LLC, Wellington Management Singapore Pte Ltd, Wellington Management Hong Kong Ltd, Wellington Management International Ltd, Wellington Management Japan Pte Ltd and Wellington Management Australia Pty Ltd (collectively, the “Wellington Investment Advisers”). Wellington Advisors controls directly, or indirectly through Wellington Management Global Holdings Ltd., the Wellington Investment Advisers. Wellington Advisors is owned by Wellington Holdings, which is in turn owned by Wellington Management. The clients of the Wellington Investment Advisers have the right to receive, or the power to direct the receipt of, dividends from, or the proceeds from the sale of, such securities. No such client is known to have such right or power with respect to more than five percent of this class of securities. Each of Wellington Management, Wellington Holdings and Wellington Advisors reported shared voting power over 9,995,433 common units and shared dispositive power over 11,024,380 common units. Wellington Company reported shared voting power over 9,878,636 common units and shared dispositive power over 10,602,260 common units.</w:t>
      </w:r>
    </w:p>
    <w:p>
      <w:pPr>
        <w:spacing w:after="0" w:line="5" w:lineRule="exact"/>
        <w:rPr>
          <w:rFonts w:ascii="Arial" w:cs="Arial" w:eastAsia="Arial" w:hAnsi="Arial"/>
          <w:sz w:val="17"/>
          <w:szCs w:val="17"/>
          <w:color w:val="auto"/>
        </w:rPr>
      </w:pPr>
    </w:p>
    <w:p>
      <w:pPr>
        <w:jc w:val="both"/>
        <w:ind w:left="440" w:hanging="393"/>
        <w:spacing w:after="0" w:line="232" w:lineRule="auto"/>
        <w:tabs>
          <w:tab w:leader="none" w:pos="4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Schedule 13D/A, filed with the SEC on November 8, 2022, and Form 4, filed with the SEC on January 30, 2023. Represents common units held directly by BX SWT ML Holdco LLC. BX Guidon Topco LLC is the sole member of BX SWT Holdco LLC. The controlling membership interests of BX Guidon Topco LLC are held by Blackstone Management Associates VI L.L.C. and Blackstone Energy Management Associates II L.L.C. BMA VI L.L.C. is the sole member of Blackstone Management Associates VI L.L.C. Blackstone EMA II L.L.C. is the sole member of Blackstone Energy Management Associates II L.L.C. Blackstone Holdings III L.P. is the managing member of each of BMA VI L.L.C. and Blackstone EMA II L.L.C. Blackstone Holdings III GP L.P. is the general partner of Blackstone Holdings III L.P. Blackstone Holdings III GP Management L.L.C. is the general partner of Blackstone Holdings III GP L.P.</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43" w:lineRule="exact"/>
        <w:rPr>
          <w:sz w:val="20"/>
          <w:szCs w:val="20"/>
          <w:color w:val="auto"/>
        </w:rPr>
      </w:pPr>
    </w:p>
    <w:p>
      <w:pPr>
        <w:jc w:val="both"/>
        <w:ind w:left="440"/>
        <w:spacing w:after="0" w:line="236" w:lineRule="auto"/>
        <w:rPr>
          <w:sz w:val="20"/>
          <w:szCs w:val="20"/>
          <w:color w:val="auto"/>
        </w:rPr>
      </w:pPr>
      <w:r>
        <w:rPr>
          <w:rFonts w:ascii="Arial" w:cs="Arial" w:eastAsia="Arial" w:hAnsi="Arial"/>
          <w:sz w:val="18"/>
          <w:szCs w:val="18"/>
          <w:color w:val="auto"/>
        </w:rPr>
        <w:t>Blackstone Inc. is the sole member of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 Each of the above entities or persons may be deemed to beneficially own common units beneficially owned by BX Topco or indirectly controlled by such entity or person. Each of the above entities or persons disclaims beneficial ownership of such securities in excess of their respective pecuniary interest therein.</w:t>
      </w:r>
    </w:p>
    <w:p>
      <w:pPr>
        <w:spacing w:after="0" w:line="3" w:lineRule="exact"/>
        <w:rPr>
          <w:sz w:val="20"/>
          <w:szCs w:val="20"/>
          <w:color w:val="auto"/>
        </w:rPr>
      </w:pPr>
    </w:p>
    <w:p>
      <w:pPr>
        <w:ind w:left="440" w:hanging="393"/>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Viper’s records.</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our equity compensation plans as of December 31,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Number of securities to be issued upon</w:t>
            </w:r>
          </w:p>
        </w:tc>
        <w:tc>
          <w:tcPr>
            <w:tcW w:w="100" w:type="dxa"/>
            <w:vAlign w:val="bottom"/>
          </w:tcPr>
          <w:p>
            <w:pPr>
              <w:spacing w:after="0"/>
              <w:rPr>
                <w:sz w:val="14"/>
                <w:szCs w:val="14"/>
                <w:color w:val="auto"/>
              </w:rPr>
            </w:pPr>
          </w:p>
        </w:tc>
        <w:tc>
          <w:tcPr>
            <w:tcW w:w="2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Weighted-average exercise price of</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 available</w:t>
            </w:r>
          </w:p>
        </w:tc>
        <w:tc>
          <w:tcPr>
            <w:tcW w:w="0" w:type="dxa"/>
            <w:vAlign w:val="bottom"/>
          </w:tcPr>
          <w:p>
            <w:pPr>
              <w:spacing w:after="0"/>
              <w:rPr>
                <w:sz w:val="1"/>
                <w:szCs w:val="1"/>
                <w:color w:val="auto"/>
              </w:rPr>
            </w:pPr>
          </w:p>
        </w:tc>
      </w:tr>
      <w:tr>
        <w:trPr>
          <w:trHeight w:val="147"/>
        </w:trPr>
        <w:tc>
          <w:tcPr>
            <w:tcW w:w="3440" w:type="dxa"/>
            <w:vAlign w:val="bottom"/>
            <w:gridSpan w:val="2"/>
            <w:vMerge w:val="restart"/>
          </w:tcPr>
          <w:p>
            <w:pPr>
              <w:ind w:left="1240"/>
              <w:spacing w:after="0"/>
              <w:rPr>
                <w:sz w:val="20"/>
                <w:szCs w:val="20"/>
                <w:color w:val="auto"/>
              </w:rPr>
            </w:pPr>
            <w:r>
              <w:rPr>
                <w:rFonts w:ascii="Arial" w:cs="Arial" w:eastAsia="Arial" w:hAnsi="Arial"/>
                <w:sz w:val="14"/>
                <w:szCs w:val="14"/>
                <w:b w:val="1"/>
                <w:bCs w:val="1"/>
                <w:color w:val="auto"/>
              </w:rPr>
              <w:t>Plan Category</w:t>
            </w:r>
          </w:p>
        </w:tc>
        <w:tc>
          <w:tcPr>
            <w:tcW w:w="27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exercise of outstanding options, warrants</w:t>
            </w:r>
          </w:p>
        </w:tc>
        <w:tc>
          <w:tcPr>
            <w:tcW w:w="100" w:type="dxa"/>
            <w:vAlign w:val="bottom"/>
          </w:tcPr>
          <w:p>
            <w:pPr>
              <w:spacing w:after="0"/>
              <w:rPr>
                <w:sz w:val="12"/>
                <w:szCs w:val="12"/>
                <w:color w:val="auto"/>
              </w:rPr>
            </w:pPr>
          </w:p>
        </w:tc>
        <w:tc>
          <w:tcPr>
            <w:tcW w:w="23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outstanding options, warrants and</w:t>
            </w:r>
          </w:p>
        </w:tc>
        <w:tc>
          <w:tcPr>
            <w:tcW w:w="26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for future issuance under equity</w:t>
            </w:r>
          </w:p>
        </w:tc>
        <w:tc>
          <w:tcPr>
            <w:tcW w:w="0" w:type="dxa"/>
            <w:vAlign w:val="bottom"/>
          </w:tcPr>
          <w:p>
            <w:pPr>
              <w:spacing w:after="0"/>
              <w:rPr>
                <w:sz w:val="1"/>
                <w:szCs w:val="1"/>
                <w:color w:val="auto"/>
              </w:rPr>
            </w:pPr>
          </w:p>
        </w:tc>
      </w:tr>
      <w:tr>
        <w:trPr>
          <w:trHeight w:val="191"/>
        </w:trPr>
        <w:tc>
          <w:tcPr>
            <w:tcW w:w="3440" w:type="dxa"/>
            <w:vAlign w:val="bottom"/>
            <w:gridSpan w:val="2"/>
            <w:vMerge w:val="continue"/>
          </w:tcPr>
          <w:p>
            <w:pPr>
              <w:spacing w:after="0"/>
              <w:rPr>
                <w:sz w:val="16"/>
                <w:szCs w:val="16"/>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and rights</w:t>
            </w:r>
          </w:p>
        </w:tc>
        <w:tc>
          <w:tcPr>
            <w:tcW w:w="100" w:type="dxa"/>
            <w:vAlign w:val="bottom"/>
          </w:tcPr>
          <w:p>
            <w:pPr>
              <w:spacing w:after="0"/>
              <w:rPr>
                <w:sz w:val="16"/>
                <w:szCs w:val="16"/>
                <w:color w:val="auto"/>
              </w:rPr>
            </w:pPr>
          </w:p>
        </w:tc>
        <w:tc>
          <w:tcPr>
            <w:tcW w:w="2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rights</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80"/>
        </w:trPr>
        <w:tc>
          <w:tcPr>
            <w:tcW w:w="3340" w:type="dxa"/>
            <w:vAlign w:val="bottom"/>
            <w:tcBorders>
              <w:top w:val="single" w:sz="8" w:color="auto"/>
            </w:tcBorders>
            <w:shd w:val="clear" w:color="auto" w:fill="CCEEFF"/>
          </w:tcPr>
          <w:p>
            <w:pPr>
              <w:ind w:left="20"/>
              <w:spacing w:after="0" w:line="181" w:lineRule="exact"/>
              <w:rPr>
                <w:sz w:val="20"/>
                <w:szCs w:val="20"/>
                <w:color w:val="auto"/>
              </w:rPr>
            </w:pPr>
            <w:r>
              <w:rPr>
                <w:rFonts w:ascii="Arial" w:cs="Arial" w:eastAsia="Arial" w:hAnsi="Arial"/>
                <w:sz w:val="18"/>
                <w:szCs w:val="18"/>
                <w:color w:val="auto"/>
                <w:w w:val="94"/>
              </w:rPr>
              <w:t>Equity compensation plans not approved by</w:t>
            </w:r>
          </w:p>
        </w:tc>
        <w:tc>
          <w:tcPr>
            <w:tcW w:w="100" w:type="dxa"/>
            <w:vAlign w:val="bottom"/>
            <w:tcBorders>
              <w:top w:val="single" w:sz="8" w:color="CCEEFF"/>
            </w:tcBorders>
            <w:shd w:val="clear" w:color="auto" w:fill="CCEEFF"/>
          </w:tcPr>
          <w:p>
            <w:pPr>
              <w:spacing w:after="0"/>
              <w:rPr>
                <w:sz w:val="15"/>
                <w:szCs w:val="15"/>
                <w:color w:val="auto"/>
              </w:rPr>
            </w:pPr>
          </w:p>
        </w:tc>
        <w:tc>
          <w:tcPr>
            <w:tcW w:w="2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40" w:type="dxa"/>
            <w:vAlign w:val="bottom"/>
            <w:gridSpan w:val="2"/>
            <w:shd w:val="clear" w:color="auto" w:fill="CCEEFF"/>
          </w:tcPr>
          <w:p>
            <w:pPr>
              <w:ind w:left="20"/>
              <w:spacing w:after="0" w:line="234" w:lineRule="exact"/>
              <w:rPr>
                <w:sz w:val="20"/>
                <w:szCs w:val="20"/>
                <w:color w:val="auto"/>
              </w:rPr>
            </w:pPr>
            <w:r>
              <w:rPr>
                <w:rFonts w:ascii="Arial" w:cs="Arial" w:eastAsia="Arial" w:hAnsi="Arial"/>
                <w:sz w:val="18"/>
                <w:szCs w:val="18"/>
                <w:color w:val="auto"/>
              </w:rPr>
              <w:t>security holders</w:t>
            </w:r>
            <w:r>
              <w:rPr>
                <w:rFonts w:ascii="Arial" w:cs="Arial" w:eastAsia="Arial" w:hAnsi="Arial"/>
                <w:sz w:val="23"/>
                <w:szCs w:val="23"/>
                <w:color w:val="auto"/>
                <w:vertAlign w:val="superscript"/>
              </w:rPr>
              <w:t>(1)</w:t>
            </w:r>
          </w:p>
        </w:tc>
        <w:tc>
          <w:tcPr>
            <w:tcW w:w="2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Long Term Incentive Plan</w:t>
            </w:r>
          </w:p>
        </w:tc>
        <w:tc>
          <w:tcPr>
            <w:tcW w:w="2620" w:type="dxa"/>
            <w:vAlign w:val="bottom"/>
          </w:tcPr>
          <w:p>
            <w:pPr>
              <w:jc w:val="right"/>
              <w:ind w:right="4"/>
              <w:spacing w:after="0"/>
              <w:rPr>
                <w:sz w:val="20"/>
                <w:szCs w:val="20"/>
                <w:color w:val="auto"/>
              </w:rPr>
            </w:pPr>
            <w:r>
              <w:rPr>
                <w:rFonts w:ascii="Arial" w:cs="Arial" w:eastAsia="Arial" w:hAnsi="Arial"/>
                <w:sz w:val="18"/>
                <w:szCs w:val="18"/>
                <w:color w:val="auto"/>
              </w:rPr>
              <w:t>113,494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4"/>
              <w:spacing w:after="0"/>
              <w:rPr>
                <w:sz w:val="20"/>
                <w:szCs w:val="20"/>
                <w:color w:val="auto"/>
              </w:rPr>
            </w:pPr>
            <w:r>
              <w:rPr>
                <w:rFonts w:ascii="Arial" w:cs="Arial" w:eastAsia="Arial" w:hAnsi="Arial"/>
                <w:sz w:val="18"/>
                <w:szCs w:val="18"/>
                <w:color w:val="auto"/>
              </w:rPr>
              <w:t>8,535,945</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Our General Partner adopted the LTIP in connection with the IPO in June 2014.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252"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Our General Partner may transfer its general partner interest to a third party without the consent of our unitholders. Furthermore, our partnership agreement does not restrict the ability of the owner of our General Partner to transfer its membership interests in our General Partner to a third party. After any such transfer, the new member or members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Treatment of Equity Awards Granted under the LTIP Upon Termination, Resignation and Death or Disability of Certain Executive Officers of our General Partner and Change of Control</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executive officers of our General Partner held unvested equity awards under the LTIP as of December 31, 2022.</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Transactions with Affiliates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entered into certain agreements and transactions with Diamondback and its affiliates, as described in more detail below.</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Payments to our General Partner and its Affiliates</w:t>
      </w:r>
    </w:p>
    <w:p>
      <w:pPr>
        <w:spacing w:after="0" w:line="248"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Under the terms of our partnership agreement, we are required to reimburse our General Partner for all direct and indirect expenses incurred or paid on our behalf and all other expenses allocable to us or otherwise incurred by our General Partner in connection with operating our business. The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General Partner is entitled to determine the expenses that are allocable to us. For the year ended December 31, 2022, our General Partner received $3.7 million in reimbursements from the Partnership.</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Distributions paid to Diamondback</w:t>
      </w:r>
    </w:p>
    <w:p>
      <w:pPr>
        <w:spacing w:after="0" w:line="248"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Diamondback is entitled to receive its pro rata portion of the distributions we make on our common units and the Operating Company makes in respect of the OpCo units. Holders of the Partnership’s Class B units are not entitled to receive cash distributions except to the extent of the cash preferred distributions equal to 8% per annum payable quarterly on the $1.0 million capital contribution made to us by Diamondback pursuant to the recapitalization agreement in connection with the issuance of the Class B units in the recapitalization transaction. During the year ended December 31, 2022, Diamondback received distributions from us and the Operating Company in the aggregate amount of $234.1 million.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On June 23, 2014, in connection with the IPO, we entered into a registration rights agreement with Diamondback. Pursuant to this registration rights agreement, we filed a registration statement on Form S-3 registering, under the Securities Act, the common units issued to Diamondback for resale. The registration rights agreement also includes provisions dealing with holdback agreements, indemnification and contribution and allocation of expenses. These registration rights are transferable to affiliates and, in certain circumstances, to third parties.</w:t>
      </w:r>
    </w:p>
    <w:p>
      <w:pPr>
        <w:spacing w:after="0" w:line="215"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In May 2018, we and Diamondback entered into an amended and restated registration rights agreement, dated as of May 9, 2018. The amended and restated registration rights agreement amended the definition of “registrable securities” to include common units acquired or that may be acquired by Diamondback in accordance with our exchange agreement with Diamondback. In addition, whenever a holder has requested that any registrable securities be registered under the amended and restated registration rights agreement or has initiated an underwritten offering, the amended and restated registration rights agreement requires such holder, if applicable, to cause such registrable securities to be exchanged into common units in accordance with the terms of the exchange agreement before or substantially concurrently with the sale of such registrable securities.</w:t>
      </w:r>
    </w:p>
    <w:p>
      <w:pPr>
        <w:spacing w:after="0" w:line="166"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In July 2018, we filed a registration statement on Form S-3ASR under which, we registered for resale by Diamondback (i) common units issuable to Diamondback upon exercise of its exchange right pursuant to the exchange agreement and Diamondback’s tender to us of an equivalent number of our outstanding Class B units and outstanding OpCo Units, in each case then held by Diamondback and (ii) common units then held by Diamondback.</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248" w:lineRule="exact"/>
        <w:rPr>
          <w:sz w:val="20"/>
          <w:szCs w:val="20"/>
          <w:color w:val="auto"/>
        </w:rPr>
      </w:pPr>
    </w:p>
    <w:p>
      <w:pPr>
        <w:jc w:val="both"/>
        <w:ind w:firstLine="643"/>
        <w:spacing w:after="0" w:line="288" w:lineRule="auto"/>
        <w:rPr>
          <w:sz w:val="20"/>
          <w:szCs w:val="20"/>
          <w:color w:val="auto"/>
        </w:rPr>
      </w:pPr>
      <w:r>
        <w:rPr>
          <w:rFonts w:ascii="Arial" w:cs="Arial" w:eastAsia="Arial" w:hAnsi="Arial"/>
          <w:sz w:val="16"/>
          <w:szCs w:val="16"/>
          <w:color w:val="auto"/>
        </w:rPr>
        <w:t>In connection with the closing of the IPO, we entered into a tax sharing agreement with Diamondback, dated June 23, 2014, in which we agreed to reimburse Diamondback for our share of state and local income and other taxes for which our results are included in a combined or consolidated tax return filed by Diamondback with respect to taxable periods including or beginning on June 23, 2014. The amount of any such reimbursement is limited to the tax that we would have paid had we not been included in a combined group with Diamondback. Diamondback may use its tax attributes to cause its combined or consolidated group, of which we may be a member for this purpose, to owe less or no tax. In such a situation, we agreed to reimburse Diamondback for the tax we would have owed had the tax attributes not been available or used for our benefit, even though Diamondback had no cash tax expense for that period. For the year ended December 31, 2022, we recognized $0.9 million of state income tax expense payable under the tax sharing agreement.</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 Bonus Payments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 ended December 31, 2022, Diamondback paid us $23.4 million in lease bonus payments for seven new leases.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Surface Use</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Diamondback periodically pays us for surface use charges and right of way easements related to properties that Diamondback leases from us.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Diamondback paid the Partnership $0.6 million for such purposes.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with Significant Unitholder</w:t>
      </w:r>
    </w:p>
    <w:p>
      <w:pPr>
        <w:spacing w:after="0" w:line="252"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On January 13, 2022, as part of our common unit repurchase program, we purchased 1.5 million common units with an aggregate purchase price of approximately $37.3 million in a privately negotiated transaction with an affiliate of Blackstone, Inc., or Blackstone. As of February 1, 2023, Blackstone owned approximately 13.0% of Viper’s outstanding common units, which were acquired in the Swallowtail Acquisition. Additionally, an affiliate of Blackstone beneficially owned approximately 5.8% of the outstanding common stock of Diamondback at February 1, 2023.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Transactions with Related Persons</w:t>
      </w:r>
    </w:p>
    <w:p>
      <w:pPr>
        <w:spacing w:after="0" w:line="25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board of directors of our General Partner has adopted policies for the review, approval and ratification of transactions with related persons. The board has adopted a written code of business conduct and ethics, under which a director is expected to bring to the attention of the chief executive officer or the board any conflict or potential conflict of interest that may arise between the director or any affiliate of the director, on the one hand, and us or our General Partner on the other. The resolution of any such conflict or potential conflict should, at the discretion of the board in light of the circumstances, be determined by a majority of the disinterested directors.</w:t>
      </w:r>
    </w:p>
    <w:p>
      <w:pPr>
        <w:spacing w:after="0" w:line="217"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of our General Partner in accordance with the provisions of our partnership agreement. At the discretion of the board in light of the circumstances, the resolution may be determined by the board in its entirety or by a conflicts committee meeting the definitional requirements for such a committee under our partnership agreement.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executive officer is required to avoid conflicts of interest unless approved by the board of directors of our General Partner.</w:t>
      </w:r>
    </w:p>
    <w:p>
      <w:pPr>
        <w:spacing w:after="0" w:line="248"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The code of business conduct and ethics described above was initially adopted in connection with the closing of the IPO. As a result, the transactions described above that were effective at the time of the IPO were not reviewed according to such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information required by Item 407(a) of Regulation S-K is included in “</w:t>
      </w:r>
      <w:r>
        <w:rPr>
          <w:rFonts w:ascii="Arial" w:cs="Arial" w:eastAsia="Arial" w:hAnsi="Arial"/>
          <w:sz w:val="17"/>
          <w:szCs w:val="17"/>
          <w:u w:val="single" w:color="auto"/>
          <w:color w:val="0000FF"/>
        </w:rPr>
        <w:t>Item 10. Directors, Executive Officers and Corporate Governance</w:t>
      </w:r>
      <w:r>
        <w:rPr>
          <w:rFonts w:ascii="Arial" w:cs="Arial" w:eastAsia="Arial" w:hAnsi="Arial"/>
          <w:sz w:val="17"/>
          <w:szCs w:val="17"/>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2"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audit committee of the board of directors of our General Partner selected Grant Thornton LLP, an independent registered public accounting firm, to audit our consolidated financial statements for the years ended December 31, 2022 and 2021. The audit committee’s charter requires the audit committee to approve in advance all audit and non-audit services to be provided by our independent registered public accounting firm. All services reported in the audit, audit-related, tax and all other fees categories below with respect to our annual reports for the years ended December 31, 2022 and 2021 were approved by the audit committee.</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aggregate Grant Thornton LLP fees that were allocated to us for independent auditing, tax and related services: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2520" w:type="dxa"/>
            <w:vAlign w:val="bottom"/>
            <w:gridSpan w:val="4"/>
          </w:tcPr>
          <w:p>
            <w:pPr>
              <w:jc w:val="right"/>
              <w:ind w:right="157"/>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6"/>
                <w:szCs w:val="16"/>
                <w:color w:val="auto"/>
              </w:rPr>
            </w:pPr>
          </w:p>
        </w:tc>
      </w:tr>
      <w:tr>
        <w:trPr>
          <w:trHeight w:val="25"/>
        </w:trPr>
        <w:tc>
          <w:tcPr>
            <w:tcW w:w="8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8"/>
        </w:trPr>
        <w:tc>
          <w:tcPr>
            <w:tcW w:w="8240" w:type="dxa"/>
            <w:vAlign w:val="bottom"/>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r>
      <w:tr>
        <w:trPr>
          <w:trHeight w:val="193"/>
        </w:trPr>
        <w:tc>
          <w:tcPr>
            <w:tcW w:w="8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gridSpan w:val="3"/>
          </w:tcPr>
          <w:p>
            <w:pPr>
              <w:jc w:val="right"/>
              <w:ind w:right="497"/>
              <w:spacing w:after="0"/>
              <w:rPr>
                <w:sz w:val="20"/>
                <w:szCs w:val="20"/>
                <w:color w:val="auto"/>
              </w:rPr>
            </w:pPr>
            <w:r>
              <w:rPr>
                <w:rFonts w:ascii="Arial" w:cs="Arial" w:eastAsia="Arial" w:hAnsi="Arial"/>
                <w:sz w:val="14"/>
                <w:szCs w:val="14"/>
                <w:b w:val="1"/>
                <w:bCs w:val="1"/>
                <w:color w:val="auto"/>
                <w:w w:val="99"/>
              </w:rPr>
              <w:t>(In thousands)</w:t>
            </w:r>
          </w:p>
        </w:tc>
        <w:tc>
          <w:tcPr>
            <w:tcW w:w="460" w:type="dxa"/>
            <w:vAlign w:val="bottom"/>
          </w:tcPr>
          <w:p>
            <w:pPr>
              <w:spacing w:after="0"/>
              <w:rPr>
                <w:sz w:val="16"/>
                <w:szCs w:val="16"/>
                <w:color w:val="auto"/>
              </w:rPr>
            </w:pPr>
          </w:p>
        </w:tc>
      </w:tr>
      <w:tr>
        <w:trPr>
          <w:trHeight w:val="235"/>
        </w:trPr>
        <w:tc>
          <w:tcPr>
            <w:tcW w:w="8240" w:type="dxa"/>
            <w:vAlign w:val="bottom"/>
            <w:shd w:val="clear" w:color="auto" w:fill="CCEEFF"/>
          </w:tcPr>
          <w:p>
            <w:pPr>
              <w:ind w:left="20"/>
              <w:spacing w:after="0" w:line="235"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8"/>
        </w:trPr>
        <w:tc>
          <w:tcPr>
            <w:tcW w:w="8240" w:type="dxa"/>
            <w:vAlign w:val="bottom"/>
          </w:tcPr>
          <w:p>
            <w:pPr>
              <w:ind w:left="20"/>
              <w:spacing w:after="0" w:line="228"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8"/>
        </w:trPr>
        <w:tc>
          <w:tcPr>
            <w:tcW w:w="82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tcPr>
          <w:p>
            <w:pPr>
              <w:ind w:left="20"/>
              <w:spacing w:after="0" w:line="228"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(4)</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320" w:hanging="313"/>
        <w:spacing w:after="0" w:line="255" w:lineRule="auto"/>
        <w:tabs>
          <w:tab w:leader="none" w:pos="3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fees represent aggregate fees for audit services, which relate to the fiscal year consolidated audit, quarterly reviews, registration statements and comfort letters.</w:t>
      </w:r>
    </w:p>
    <w:p>
      <w:pPr>
        <w:spacing w:after="0" w:line="1" w:lineRule="exact"/>
        <w:rPr>
          <w:rFonts w:ascii="Arial" w:cs="Arial" w:eastAsia="Arial" w:hAnsi="Arial"/>
          <w:sz w:val="18"/>
          <w:szCs w:val="18"/>
          <w:color w:val="auto"/>
        </w:rPr>
      </w:pPr>
    </w:p>
    <w:p>
      <w:pPr>
        <w:ind w:left="320" w:hanging="313"/>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Audit-related fees for the year ended December 31, 2021 represent fees for an acquired business audit required pursuant to Regulation S-X, Rule 3-05.</w:t>
      </w:r>
    </w:p>
    <w:p>
      <w:pPr>
        <w:spacing w:after="0" w:line="30" w:lineRule="exact"/>
        <w:rPr>
          <w:rFonts w:ascii="Arial" w:cs="Arial" w:eastAsia="Arial" w:hAnsi="Arial"/>
          <w:sz w:val="16"/>
          <w:szCs w:val="16"/>
          <w:color w:val="auto"/>
        </w:rPr>
      </w:pPr>
    </w:p>
    <w:p>
      <w:pPr>
        <w:ind w:left="320" w:hanging="313"/>
        <w:spacing w:after="0" w:line="248" w:lineRule="auto"/>
        <w:tabs>
          <w:tab w:leader="none" w:pos="3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fees represent amounts billed in each of the years presented for professional services rendered in connection with tax compliance, tax advice, and tax planning.</w:t>
      </w:r>
    </w:p>
    <w:p>
      <w:pPr>
        <w:ind w:left="320" w:hanging="313"/>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other fees represent amounts billed in each of the years presented for services not classifiable under the other categories listed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45" w:lineRule="exact"/>
        <w:rPr>
          <w:sz w:val="20"/>
          <w:szCs w:val="20"/>
          <w:color w:val="auto"/>
        </w:rPr>
      </w:pPr>
    </w:p>
    <w:p>
      <w:pPr>
        <w:ind w:left="420" w:right="8340" w:hanging="395"/>
        <w:spacing w:after="0" w:line="263"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Documents included in this report: </w:t>
      </w:r>
      <w:r>
        <w:rPr>
          <w:rFonts w:ascii="Arial" w:cs="Arial" w:eastAsia="Arial" w:hAnsi="Arial"/>
          <w:sz w:val="18"/>
          <w:szCs w:val="18"/>
          <w:i w:val="1"/>
          <w:iCs w:val="1"/>
          <w:color w:val="auto"/>
        </w:rPr>
        <w:t>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7108190" cy="1447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08190" cy="1447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10380" w:type="dxa"/>
            <w:vAlign w:val="bottom"/>
            <w:gridSpan w:val="21"/>
          </w:tcPr>
          <w:p>
            <w:pPr>
              <w:ind w:left="540"/>
              <w:spacing w:after="0" w:line="190" w:lineRule="exact"/>
              <w:rPr>
                <w:sz w:val="20"/>
                <w:szCs w:val="20"/>
                <w:color w:val="auto"/>
              </w:rPr>
            </w:pPr>
            <w:r>
              <w:rPr>
                <w:rFonts w:ascii="Arial" w:cs="Arial" w:eastAsia="Arial" w:hAnsi="Arial"/>
                <w:sz w:val="18"/>
                <w:szCs w:val="18"/>
                <w:color w:val="0000FF"/>
              </w:rPr>
              <w:t xml:space="preserve">Report of Independent Registered Public Accounting Firm (PCAOB ID Number </w:t>
            </w:r>
            <w:r>
              <w:rPr>
                <w:rFonts w:ascii="Arial" w:cs="Arial" w:eastAsia="Arial" w:hAnsi="Arial"/>
                <w:sz w:val="18"/>
                <w:szCs w:val="18"/>
                <w:color w:val="3051F2"/>
              </w:rPr>
              <w:t>248</w:t>
            </w:r>
            <w:r>
              <w:rPr>
                <w:rFonts w:ascii="Arial" w:cs="Arial" w:eastAsia="Arial" w:hAnsi="Arial"/>
                <w:sz w:val="18"/>
                <w:szCs w:val="18"/>
                <w:u w:val="single" w:color="auto"/>
                <w:color w:val="0000FF"/>
              </w:rPr>
              <w:t>)</w:t>
            </w:r>
          </w:p>
        </w:tc>
        <w:tc>
          <w:tcPr>
            <w:tcW w:w="1060" w:type="dxa"/>
            <w:vAlign w:val="bottom"/>
            <w:gridSpan w:val="16"/>
          </w:tcPr>
          <w:p>
            <w:pPr>
              <w:ind w:left="300"/>
              <w:spacing w:after="0" w:line="190" w:lineRule="exact"/>
              <w:rPr>
                <w:sz w:val="20"/>
                <w:szCs w:val="20"/>
                <w:color w:val="auto"/>
              </w:rPr>
            </w:pPr>
            <w:r>
              <w:rPr>
                <w:rFonts w:ascii="Arial" w:cs="Arial" w:eastAsia="Arial" w:hAnsi="Arial"/>
                <w:sz w:val="18"/>
                <w:szCs w:val="18"/>
                <w:color w:val="3051F2"/>
              </w:rPr>
              <w:t>F-</w:t>
            </w: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380" w:type="dxa"/>
            <w:vAlign w:val="bottom"/>
            <w:gridSpan w:val="21"/>
            <w:shd w:val="clear" w:color="auto" w:fill="CCEEFF"/>
          </w:tcPr>
          <w:p>
            <w:pPr>
              <w:ind w:left="540"/>
              <w:spacing w:after="0" w:line="188" w:lineRule="exact"/>
              <w:rPr>
                <w:sz w:val="20"/>
                <w:szCs w:val="20"/>
                <w:color w:val="auto"/>
              </w:rPr>
            </w:pPr>
            <w:r>
              <w:rPr>
                <w:rFonts w:ascii="Arial" w:cs="Arial" w:eastAsia="Arial" w:hAnsi="Arial"/>
                <w:sz w:val="18"/>
                <w:szCs w:val="18"/>
                <w:color w:val="0000FF"/>
              </w:rPr>
              <w:t>Consolidated Balance Sheets</w:t>
            </w:r>
          </w:p>
        </w:tc>
        <w:tc>
          <w:tcPr>
            <w:tcW w:w="820" w:type="dxa"/>
            <w:vAlign w:val="bottom"/>
            <w:gridSpan w:val="4"/>
            <w:shd w:val="clear" w:color="auto" w:fill="CCEEFF"/>
          </w:tcPr>
          <w:p>
            <w:pPr>
              <w:ind w:left="300"/>
              <w:spacing w:after="0" w:line="188" w:lineRule="exact"/>
              <w:rPr>
                <w:sz w:val="20"/>
                <w:szCs w:val="20"/>
                <w:color w:val="auto"/>
              </w:rPr>
            </w:pPr>
            <w:r>
              <w:rPr>
                <w:rFonts w:ascii="Arial" w:cs="Arial" w:eastAsia="Arial" w:hAnsi="Arial"/>
                <w:sz w:val="18"/>
                <w:szCs w:val="18"/>
                <w:color w:val="3051F2"/>
              </w:rPr>
              <w:t>F-</w:t>
            </w:r>
            <w:r>
              <w:rPr>
                <w:rFonts w:ascii="Arial" w:cs="Arial" w:eastAsia="Arial" w:hAnsi="Arial"/>
                <w:sz w:val="18"/>
                <w:szCs w:val="18"/>
                <w:color w:val="0000FF"/>
              </w:rPr>
              <w:t>4</w:t>
            </w: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380" w:type="dxa"/>
            <w:vAlign w:val="bottom"/>
            <w:gridSpan w:val="21"/>
          </w:tcPr>
          <w:p>
            <w:pPr>
              <w:ind w:left="540"/>
              <w:spacing w:after="0" w:line="188" w:lineRule="exact"/>
              <w:rPr>
                <w:sz w:val="20"/>
                <w:szCs w:val="20"/>
                <w:color w:val="auto"/>
              </w:rPr>
            </w:pPr>
            <w:r>
              <w:rPr>
                <w:rFonts w:ascii="Arial" w:cs="Arial" w:eastAsia="Arial" w:hAnsi="Arial"/>
                <w:sz w:val="18"/>
                <w:szCs w:val="18"/>
                <w:color w:val="0000FF"/>
              </w:rPr>
              <w:t>Consolidated Statements of Operations</w:t>
            </w:r>
          </w:p>
        </w:tc>
        <w:tc>
          <w:tcPr>
            <w:tcW w:w="820" w:type="dxa"/>
            <w:vAlign w:val="bottom"/>
            <w:gridSpan w:val="4"/>
          </w:tcPr>
          <w:p>
            <w:pPr>
              <w:ind w:left="300"/>
              <w:spacing w:after="0" w:line="188" w:lineRule="exact"/>
              <w:rPr>
                <w:sz w:val="20"/>
                <w:szCs w:val="20"/>
                <w:color w:val="auto"/>
              </w:rPr>
            </w:pPr>
            <w:r>
              <w:rPr>
                <w:rFonts w:ascii="Arial" w:cs="Arial" w:eastAsia="Arial" w:hAnsi="Arial"/>
                <w:sz w:val="18"/>
                <w:szCs w:val="18"/>
                <w:color w:val="3051F2"/>
              </w:rPr>
              <w:t>F-</w:t>
            </w:r>
            <w:r>
              <w:rPr>
                <w:rFonts w:ascii="Arial" w:cs="Arial" w:eastAsia="Arial" w:hAnsi="Arial"/>
                <w:sz w:val="18"/>
                <w:szCs w:val="18"/>
                <w:color w:val="0000FF"/>
              </w:rPr>
              <w:t>5</w:t>
            </w: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380" w:type="dxa"/>
            <w:vAlign w:val="bottom"/>
            <w:gridSpan w:val="21"/>
            <w:shd w:val="clear" w:color="auto" w:fill="CCEEFF"/>
          </w:tcPr>
          <w:p>
            <w:pPr>
              <w:ind w:left="540"/>
              <w:spacing w:after="0" w:line="188" w:lineRule="exact"/>
              <w:rPr>
                <w:sz w:val="20"/>
                <w:szCs w:val="20"/>
                <w:color w:val="auto"/>
              </w:rPr>
            </w:pPr>
            <w:r>
              <w:rPr>
                <w:rFonts w:ascii="Arial" w:cs="Arial" w:eastAsia="Arial" w:hAnsi="Arial"/>
                <w:sz w:val="18"/>
                <w:szCs w:val="18"/>
                <w:color w:val="0000FF"/>
              </w:rPr>
              <w:t>Consolidated Statement of Unitholders’ Equity</w:t>
            </w:r>
          </w:p>
        </w:tc>
        <w:tc>
          <w:tcPr>
            <w:tcW w:w="820" w:type="dxa"/>
            <w:vAlign w:val="bottom"/>
            <w:gridSpan w:val="4"/>
            <w:shd w:val="clear" w:color="auto" w:fill="CCEEFF"/>
          </w:tcPr>
          <w:p>
            <w:pPr>
              <w:ind w:left="300"/>
              <w:spacing w:after="0" w:line="188" w:lineRule="exact"/>
              <w:rPr>
                <w:sz w:val="20"/>
                <w:szCs w:val="20"/>
                <w:color w:val="auto"/>
              </w:rPr>
            </w:pPr>
            <w:r>
              <w:rPr>
                <w:rFonts w:ascii="Arial" w:cs="Arial" w:eastAsia="Arial" w:hAnsi="Arial"/>
                <w:sz w:val="18"/>
                <w:szCs w:val="18"/>
                <w:color w:val="3051F2"/>
              </w:rPr>
              <w:t>F-</w:t>
            </w:r>
            <w:r>
              <w:rPr>
                <w:rFonts w:ascii="Arial" w:cs="Arial" w:eastAsia="Arial" w:hAnsi="Arial"/>
                <w:sz w:val="18"/>
                <w:szCs w:val="18"/>
                <w:color w:val="0000FF"/>
              </w:rPr>
              <w:t>6</w:t>
            </w: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380" w:type="dxa"/>
            <w:vAlign w:val="bottom"/>
            <w:gridSpan w:val="21"/>
          </w:tcPr>
          <w:p>
            <w:pPr>
              <w:ind w:left="540"/>
              <w:spacing w:after="0" w:line="188" w:lineRule="exact"/>
              <w:rPr>
                <w:sz w:val="20"/>
                <w:szCs w:val="20"/>
                <w:color w:val="auto"/>
              </w:rPr>
            </w:pPr>
            <w:r>
              <w:rPr>
                <w:rFonts w:ascii="Arial" w:cs="Arial" w:eastAsia="Arial" w:hAnsi="Arial"/>
                <w:sz w:val="18"/>
                <w:szCs w:val="18"/>
                <w:color w:val="0000FF"/>
              </w:rPr>
              <w:t>Consolidated Statements of Cash Flows</w:t>
            </w:r>
          </w:p>
        </w:tc>
        <w:tc>
          <w:tcPr>
            <w:tcW w:w="820" w:type="dxa"/>
            <w:vAlign w:val="bottom"/>
            <w:gridSpan w:val="4"/>
          </w:tcPr>
          <w:p>
            <w:pPr>
              <w:ind w:left="300"/>
              <w:spacing w:after="0" w:line="188" w:lineRule="exact"/>
              <w:rPr>
                <w:sz w:val="20"/>
                <w:szCs w:val="20"/>
                <w:color w:val="auto"/>
              </w:rPr>
            </w:pPr>
            <w:r>
              <w:rPr>
                <w:rFonts w:ascii="Arial" w:cs="Arial" w:eastAsia="Arial" w:hAnsi="Arial"/>
                <w:sz w:val="18"/>
                <w:szCs w:val="18"/>
                <w:color w:val="3051F2"/>
              </w:rPr>
              <w:t>F-</w:t>
            </w:r>
            <w:r>
              <w:rPr>
                <w:rFonts w:ascii="Arial" w:cs="Arial" w:eastAsia="Arial" w:hAnsi="Arial"/>
                <w:sz w:val="18"/>
                <w:szCs w:val="18"/>
                <w:color w:val="0000FF"/>
              </w:rPr>
              <w:t>7</w:t>
            </w: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380" w:type="dxa"/>
            <w:vAlign w:val="bottom"/>
            <w:gridSpan w:val="21"/>
            <w:shd w:val="clear" w:color="auto" w:fill="CCEEFF"/>
          </w:tcPr>
          <w:p>
            <w:pPr>
              <w:ind w:left="540"/>
              <w:spacing w:after="0" w:line="188" w:lineRule="exact"/>
              <w:rPr>
                <w:sz w:val="20"/>
                <w:szCs w:val="20"/>
                <w:color w:val="auto"/>
              </w:rPr>
            </w:pPr>
            <w:r>
              <w:rPr>
                <w:rFonts w:ascii="Arial" w:cs="Arial" w:eastAsia="Arial" w:hAnsi="Arial"/>
                <w:sz w:val="18"/>
                <w:szCs w:val="18"/>
                <w:color w:val="0000FF"/>
              </w:rPr>
              <w:t>Notes to Consolidated Financial Statements</w:t>
            </w:r>
          </w:p>
        </w:tc>
        <w:tc>
          <w:tcPr>
            <w:tcW w:w="820" w:type="dxa"/>
            <w:vAlign w:val="bottom"/>
            <w:gridSpan w:val="4"/>
            <w:shd w:val="clear" w:color="auto" w:fill="CCEEFF"/>
          </w:tcPr>
          <w:p>
            <w:pPr>
              <w:ind w:left="300"/>
              <w:spacing w:after="0" w:line="188" w:lineRule="exact"/>
              <w:rPr>
                <w:sz w:val="20"/>
                <w:szCs w:val="20"/>
                <w:color w:val="auto"/>
              </w:rPr>
            </w:pPr>
            <w:r>
              <w:rPr>
                <w:rFonts w:ascii="Arial" w:cs="Arial" w:eastAsia="Arial" w:hAnsi="Arial"/>
                <w:sz w:val="18"/>
                <w:szCs w:val="18"/>
                <w:color w:val="3051F2"/>
              </w:rPr>
              <w:t>F-</w:t>
            </w:r>
            <w:r>
              <w:rPr>
                <w:rFonts w:ascii="Arial" w:cs="Arial" w:eastAsia="Arial" w:hAnsi="Arial"/>
                <w:sz w:val="18"/>
                <w:szCs w:val="18"/>
                <w:color w:val="0000FF"/>
              </w:rPr>
              <w:t>8</w:t>
            </w: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4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gridSpan w:val="2"/>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29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0380" w:type="dxa"/>
            <w:vAlign w:val="bottom"/>
            <w:gridSpan w:val="21"/>
            <w:shd w:val="clear" w:color="auto" w:fill="CCEEFF"/>
          </w:tcPr>
          <w:p>
            <w:pPr>
              <w:ind w:left="420"/>
              <w:spacing w:after="0"/>
              <w:rPr>
                <w:sz w:val="20"/>
                <w:szCs w:val="20"/>
                <w:color w:val="auto"/>
              </w:rPr>
            </w:pPr>
            <w:r>
              <w:rPr>
                <w:rFonts w:ascii="Arial" w:cs="Arial" w:eastAsia="Arial" w:hAnsi="Arial"/>
                <w:sz w:val="18"/>
                <w:szCs w:val="18"/>
                <w:i w:val="1"/>
                <w:iCs w:val="1"/>
                <w:color w:val="auto"/>
              </w:rPr>
              <w:t>2. Financial Statement Schedules</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0380" w:type="dxa"/>
            <w:vAlign w:val="bottom"/>
            <w:gridSpan w:val="21"/>
          </w:tcPr>
          <w:p>
            <w:pPr>
              <w:ind w:left="540"/>
              <w:spacing w:after="0" w:line="174" w:lineRule="exact"/>
              <w:rPr>
                <w:sz w:val="20"/>
                <w:szCs w:val="20"/>
                <w:color w:val="auto"/>
              </w:rPr>
            </w:pPr>
            <w:r>
              <w:rPr>
                <w:rFonts w:ascii="Arial" w:cs="Arial" w:eastAsia="Arial" w:hAnsi="Arial"/>
                <w:sz w:val="18"/>
                <w:szCs w:val="18"/>
                <w:color w:val="auto"/>
                <w:w w:val="91"/>
              </w:rPr>
              <w:t>Financial statement schedules have been omitted because they are either not required, not applicable or the information required to be</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0380" w:type="dxa"/>
            <w:vAlign w:val="bottom"/>
            <w:gridSpan w:val="21"/>
          </w:tcPr>
          <w:p>
            <w:pPr>
              <w:ind w:left="540"/>
              <w:spacing w:after="0"/>
              <w:rPr>
                <w:sz w:val="20"/>
                <w:szCs w:val="20"/>
                <w:color w:val="auto"/>
              </w:rPr>
            </w:pPr>
            <w:r>
              <w:rPr>
                <w:rFonts w:ascii="Arial" w:cs="Arial" w:eastAsia="Arial" w:hAnsi="Arial"/>
                <w:sz w:val="18"/>
                <w:szCs w:val="18"/>
                <w:color w:val="auto"/>
              </w:rPr>
              <w:t>presented is included in the Partnership’s consolidated financial statements and related notes.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1"/>
        </w:trPr>
        <w:tc>
          <w:tcPr>
            <w:tcW w:w="1500" w:type="dxa"/>
            <w:vAlign w:val="bottom"/>
            <w:gridSpan w:val="3"/>
          </w:tcPr>
          <w:p>
            <w:pPr>
              <w:ind w:left="60"/>
              <w:spacing w:after="0"/>
              <w:rPr>
                <w:sz w:val="20"/>
                <w:szCs w:val="20"/>
                <w:color w:val="auto"/>
              </w:rPr>
            </w:pPr>
            <w:r>
              <w:rPr>
                <w:rFonts w:ascii="Arial" w:cs="Arial" w:eastAsia="Arial" w:hAnsi="Arial"/>
                <w:sz w:val="18"/>
                <w:szCs w:val="18"/>
                <w:i w:val="1"/>
                <w:iCs w:val="1"/>
                <w:color w:val="auto"/>
              </w:rPr>
              <w:t>3. Exhibits</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24"/>
                <w:szCs w:val="24"/>
                <w:color w:val="auto"/>
              </w:rPr>
            </w:pPr>
          </w:p>
        </w:tc>
        <w:tc>
          <w:tcPr>
            <w:tcW w:w="8860" w:type="dxa"/>
            <w:vAlign w:val="bottom"/>
            <w:gridSpan w:val="17"/>
          </w:tcPr>
          <w:p>
            <w:pPr>
              <w:ind w:left="40"/>
              <w:spacing w:after="0"/>
              <w:rPr>
                <w:sz w:val="20"/>
                <w:szCs w:val="20"/>
                <w:color w:val="auto"/>
              </w:rPr>
            </w:pPr>
            <w:r>
              <w:rPr>
                <w:rFonts w:ascii="Arial" w:cs="Arial" w:eastAsia="Arial" w:hAnsi="Arial"/>
                <w:sz w:val="16"/>
                <w:szCs w:val="16"/>
                <w:b w:val="1"/>
                <w:bCs w:val="1"/>
                <w:color w:val="auto"/>
              </w:rPr>
              <w:t>Description</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5"/>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3"/>
          </w:tcPr>
          <w:p>
            <w:pPr>
              <w:spacing w:after="0"/>
              <w:rPr>
                <w:sz w:val="9"/>
                <w:szCs w:val="9"/>
                <w:color w:val="auto"/>
              </w:rPr>
            </w:pPr>
          </w:p>
        </w:tc>
        <w:tc>
          <w:tcPr>
            <w:tcW w:w="3620" w:type="dxa"/>
            <w:vAlign w:val="bottom"/>
            <w:tcBorders>
              <w:bottom w:val="single" w:sz="8" w:color="auto"/>
            </w:tcBorders>
            <w:gridSpan w:val="4"/>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2.1#</w:t>
            </w: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33"/>
            <w:shd w:val="clear" w:color="auto" w:fill="CCEEFF"/>
          </w:tcPr>
          <w:p>
            <w:pPr>
              <w:spacing w:after="0" w:line="181" w:lineRule="exact"/>
              <w:rPr>
                <w:rFonts w:ascii="Arial" w:cs="Arial" w:eastAsia="Arial" w:hAnsi="Arial"/>
                <w:sz w:val="18"/>
                <w:szCs w:val="18"/>
                <w:color w:val="0000FF"/>
              </w:rPr>
            </w:pPr>
            <w:hyperlink r:id="rId92">
              <w:r>
                <w:rPr>
                  <w:rFonts w:ascii="Arial" w:cs="Arial" w:eastAsia="Arial" w:hAnsi="Arial"/>
                  <w:sz w:val="18"/>
                  <w:szCs w:val="18"/>
                  <w:color w:val="0000FF"/>
                </w:rPr>
                <w:t>Purchase and Sale Agreement dated August 6, 2021 by and among Swallowtail Royalties LLC, Swallowtail Royalties II LLC</w:t>
              </w:r>
            </w:hyperlink>
          </w:p>
        </w:tc>
        <w:tc>
          <w:tcPr>
            <w:tcW w:w="0" w:type="dxa"/>
            <w:vAlign w:val="bottom"/>
          </w:tcPr>
          <w:p>
            <w:pPr>
              <w:spacing w:after="0"/>
              <w:rPr>
                <w:sz w:val="1"/>
                <w:szCs w:val="1"/>
                <w:color w:val="auto"/>
              </w:rPr>
            </w:pPr>
          </w:p>
        </w:tc>
      </w:tr>
      <w:tr>
        <w:trPr>
          <w:trHeight w:val="167"/>
        </w:trPr>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740" w:type="dxa"/>
            <w:vAlign w:val="bottom"/>
            <w:tcBorders>
              <w:top w:val="single" w:sz="8" w:color="0000FF"/>
              <w:bottom w:val="single" w:sz="8" w:color="0000FF"/>
            </w:tcBorders>
            <w:gridSpan w:val="24"/>
            <w:shd w:val="clear" w:color="auto" w:fill="CCEEFF"/>
          </w:tcPr>
          <w:p>
            <w:pPr>
              <w:spacing w:after="0" w:line="168" w:lineRule="exact"/>
              <w:rPr>
                <w:rFonts w:ascii="Arial" w:cs="Arial" w:eastAsia="Arial" w:hAnsi="Arial"/>
                <w:sz w:val="18"/>
                <w:szCs w:val="18"/>
                <w:color w:val="0000FF"/>
                <w:w w:val="94"/>
              </w:rPr>
            </w:pPr>
            <w:hyperlink r:id="rId92">
              <w:r>
                <w:rPr>
                  <w:rFonts w:ascii="Arial" w:cs="Arial" w:eastAsia="Arial" w:hAnsi="Arial"/>
                  <w:sz w:val="18"/>
                  <w:szCs w:val="18"/>
                  <w:color w:val="0000FF"/>
                  <w:w w:val="94"/>
                </w:rPr>
                <w:t>(collectively, as seller), Viper Energy Partners LLC (as buyer) and Viper Energy Partners LP (as parent, and collectively with Viper</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80" w:type="dxa"/>
            <w:vAlign w:val="bottom"/>
            <w:gridSpan w:val="31"/>
            <w:shd w:val="clear" w:color="auto" w:fill="CCEEFF"/>
          </w:tcPr>
          <w:p>
            <w:pPr>
              <w:spacing w:after="0" w:line="154" w:lineRule="exact"/>
              <w:rPr>
                <w:rFonts w:ascii="Arial" w:cs="Arial" w:eastAsia="Arial" w:hAnsi="Arial"/>
                <w:sz w:val="17"/>
                <w:szCs w:val="17"/>
                <w:color w:val="0000FF"/>
                <w:w w:val="97"/>
              </w:rPr>
            </w:pPr>
            <w:hyperlink r:id="rId92">
              <w:r>
                <w:rPr>
                  <w:rFonts w:ascii="Arial" w:cs="Arial" w:eastAsia="Arial" w:hAnsi="Arial"/>
                  <w:sz w:val="17"/>
                  <w:szCs w:val="17"/>
                  <w:color w:val="0000FF"/>
                  <w:w w:val="97"/>
                </w:rPr>
                <w:t>Energy Partners LLC, as buyer parties) (incorporated by reference to Exhibit 2.1 of the Partnership’s Current Report on Form 8-K (File</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860" w:type="dxa"/>
            <w:vAlign w:val="bottom"/>
            <w:tcBorders>
              <w:top w:val="single" w:sz="8" w:color="0000FF"/>
            </w:tcBorders>
            <w:gridSpan w:val="17"/>
            <w:shd w:val="clear" w:color="auto" w:fill="CCEEFF"/>
          </w:tcPr>
          <w:p>
            <w:pPr>
              <w:spacing w:after="0" w:line="154" w:lineRule="exact"/>
              <w:rPr>
                <w:rFonts w:ascii="Arial" w:cs="Arial" w:eastAsia="Arial" w:hAnsi="Arial"/>
                <w:sz w:val="17"/>
                <w:szCs w:val="17"/>
                <w:color w:val="0000FF"/>
              </w:rPr>
            </w:pPr>
            <w:hyperlink r:id="rId92">
              <w:r>
                <w:rPr>
                  <w:rFonts w:ascii="Arial" w:cs="Arial" w:eastAsia="Arial" w:hAnsi="Arial"/>
                  <w:sz w:val="17"/>
                  <w:szCs w:val="17"/>
                  <w:color w:val="0000FF"/>
                </w:rPr>
                <w:t>001-36505) filed on August 12, 2021).</w:t>
              </w:r>
            </w:hyperlink>
          </w:p>
        </w:tc>
        <w:tc>
          <w:tcPr>
            <w:tcW w:w="46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tcPr>
          <w:p>
            <w:pPr>
              <w:ind w:left="20"/>
              <w:spacing w:after="0" w:line="188" w:lineRule="exact"/>
              <w:rPr>
                <w:sz w:val="20"/>
                <w:szCs w:val="20"/>
                <w:color w:val="auto"/>
              </w:rPr>
            </w:pPr>
            <w:r>
              <w:rPr>
                <w:rFonts w:ascii="Arial" w:cs="Arial" w:eastAsia="Arial" w:hAnsi="Arial"/>
                <w:sz w:val="18"/>
                <w:szCs w:val="18"/>
                <w:color w:val="auto"/>
              </w:rPr>
              <w:t>3.1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gridSpan w:val="33"/>
          </w:tcPr>
          <w:p>
            <w:pPr>
              <w:spacing w:after="0" w:line="188" w:lineRule="exact"/>
              <w:rPr>
                <w:rFonts w:ascii="Arial" w:cs="Arial" w:eastAsia="Arial" w:hAnsi="Arial"/>
                <w:sz w:val="18"/>
                <w:szCs w:val="18"/>
                <w:color w:val="0000FF"/>
              </w:rPr>
            </w:pPr>
            <w:hyperlink r:id="rId93">
              <w:r>
                <w:rPr>
                  <w:rFonts w:ascii="Arial" w:cs="Arial" w:eastAsia="Arial" w:hAnsi="Arial"/>
                  <w:sz w:val="18"/>
                  <w:szCs w:val="18"/>
                  <w:color w:val="0000FF"/>
                </w:rPr>
                <w:t>Certificate of Limited Partnership of Viper Energy Partners LP (incorporated by reference to Exhibit 3.1 of the Partnership’s</w:t>
              </w:r>
            </w:hyperlink>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60" w:type="dxa"/>
            <w:vAlign w:val="bottom"/>
            <w:tcBorders>
              <w:top w:val="single" w:sz="8" w:color="0000FF"/>
            </w:tcBorders>
            <w:gridSpan w:val="17"/>
          </w:tcPr>
          <w:p>
            <w:pPr>
              <w:spacing w:after="0" w:line="168" w:lineRule="exact"/>
              <w:rPr>
                <w:rFonts w:ascii="Arial" w:cs="Arial" w:eastAsia="Arial" w:hAnsi="Arial"/>
                <w:sz w:val="18"/>
                <w:szCs w:val="18"/>
                <w:color w:val="0000FF"/>
              </w:rPr>
            </w:pPr>
            <w:hyperlink r:id="rId93">
              <w:r>
                <w:rPr>
                  <w:rFonts w:ascii="Arial" w:cs="Arial" w:eastAsia="Arial" w:hAnsi="Arial"/>
                  <w:sz w:val="18"/>
                  <w:szCs w:val="18"/>
                  <w:color w:val="0000FF"/>
                </w:rPr>
                <w:t>Registration Statement on Form S-1 (File No. 333-195769) filed on May 7, 2014).</w:t>
              </w:r>
            </w:hyperlink>
          </w:p>
        </w:tc>
        <w:tc>
          <w:tcPr>
            <w:tcW w:w="4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3.2</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20" w:type="dxa"/>
            <w:vAlign w:val="bottom"/>
            <w:gridSpan w:val="33"/>
            <w:shd w:val="clear" w:color="auto" w:fill="CCEEFF"/>
          </w:tcPr>
          <w:p>
            <w:pPr>
              <w:spacing w:after="0" w:line="188"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Second Amended and Restated Agreement of Limited Partnership of Viper Energy Partners LP, dated as of May 9, 2018, as amended</w:t>
              </w:r>
            </w:hyperlink>
          </w:p>
        </w:tc>
        <w:tc>
          <w:tcPr>
            <w:tcW w:w="0" w:type="dxa"/>
            <w:vAlign w:val="bottom"/>
          </w:tcPr>
          <w:p>
            <w:pPr>
              <w:spacing w:after="0"/>
              <w:rPr>
                <w:sz w:val="1"/>
                <w:szCs w:val="1"/>
                <w:color w:val="auto"/>
              </w:rPr>
            </w:pPr>
          </w:p>
        </w:tc>
      </w:tr>
      <w:tr>
        <w:trPr>
          <w:trHeight w:val="167"/>
        </w:trPr>
        <w:tc>
          <w:tcPr>
            <w:tcW w:w="5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780" w:type="dxa"/>
            <w:vAlign w:val="bottom"/>
            <w:tcBorders>
              <w:top w:val="single" w:sz="8" w:color="0000FF"/>
            </w:tcBorders>
            <w:gridSpan w:val="26"/>
            <w:shd w:val="clear" w:color="auto" w:fill="CCEEFF"/>
          </w:tcPr>
          <w:p>
            <w:pPr>
              <w:spacing w:after="0" w:line="168"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as of May 10, 2018 (incorporated by reference to 3.1 of the Partnership’s Current Report on Form 8-K (File 001-36505) filed on May</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0000FF"/>
            </w:tcBorders>
            <w:gridSpan w:val="3"/>
            <w:shd w:val="clear" w:color="auto" w:fill="CCEEFF"/>
          </w:tcPr>
          <w:p>
            <w:pPr>
              <w:spacing w:after="0" w:line="154" w:lineRule="exact"/>
              <w:rPr>
                <w:rFonts w:ascii="Arial" w:cs="Arial" w:eastAsia="Arial" w:hAnsi="Arial"/>
                <w:sz w:val="17"/>
                <w:szCs w:val="17"/>
                <w:color w:val="0000FF"/>
              </w:rPr>
            </w:pPr>
            <w:hyperlink r:id="rId94">
              <w:r>
                <w:rPr>
                  <w:rFonts w:ascii="Arial" w:cs="Arial" w:eastAsia="Arial" w:hAnsi="Arial"/>
                  <w:sz w:val="17"/>
                  <w:szCs w:val="17"/>
                  <w:color w:val="0000FF"/>
                </w:rPr>
                <w:t>15, 2018)</w:t>
              </w:r>
            </w:hyperlink>
          </w:p>
        </w:tc>
        <w:tc>
          <w:tcPr>
            <w:tcW w:w="1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52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800" w:type="dxa"/>
            <w:vAlign w:val="bottom"/>
            <w:tcBorders>
              <w:top w:val="single" w:sz="8" w:color="0000FF"/>
            </w:tcBorders>
            <w:shd w:val="clear" w:color="auto" w:fill="CCEEFF"/>
          </w:tcPr>
          <w:p>
            <w:pPr>
              <w:spacing w:after="0"/>
              <w:rPr>
                <w:sz w:val="13"/>
                <w:szCs w:val="13"/>
                <w:color w:val="auto"/>
              </w:rPr>
            </w:pPr>
          </w:p>
        </w:tc>
        <w:tc>
          <w:tcPr>
            <w:tcW w:w="29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tcPr>
          <w:p>
            <w:pPr>
              <w:ind w:left="20"/>
              <w:spacing w:after="0" w:line="188" w:lineRule="exact"/>
              <w:rPr>
                <w:sz w:val="20"/>
                <w:szCs w:val="20"/>
                <w:color w:val="auto"/>
              </w:rPr>
            </w:pPr>
            <w:r>
              <w:rPr>
                <w:rFonts w:ascii="Arial" w:cs="Arial" w:eastAsia="Arial" w:hAnsi="Arial"/>
                <w:sz w:val="18"/>
                <w:szCs w:val="18"/>
                <w:color w:val="auto"/>
              </w:rPr>
              <w:t>3.3</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gridSpan w:val="33"/>
          </w:tcPr>
          <w:p>
            <w:pPr>
              <w:spacing w:after="0" w:line="188" w:lineRule="exact"/>
              <w:rPr>
                <w:rFonts w:ascii="Arial" w:cs="Arial" w:eastAsia="Arial" w:hAnsi="Arial"/>
                <w:sz w:val="18"/>
                <w:szCs w:val="18"/>
                <w:color w:val="0000FF"/>
                <w:w w:val="93"/>
              </w:rPr>
            </w:pPr>
            <w:hyperlink r:id="rId95">
              <w:r>
                <w:rPr>
                  <w:rFonts w:ascii="Arial" w:cs="Arial" w:eastAsia="Arial" w:hAnsi="Arial"/>
                  <w:sz w:val="18"/>
                  <w:szCs w:val="18"/>
                  <w:color w:val="0000FF"/>
                  <w:w w:val="93"/>
                </w:rPr>
                <w:t>First Amendment to Second Amended and Restated Agreement of Limited Partnership of Viper Energy Partners LP, dated as of May</w:t>
              </w:r>
            </w:hyperlink>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bottom w:val="single" w:sz="8" w:color="0000FF"/>
            </w:tcBorders>
            <w:gridSpan w:val="28"/>
          </w:tcPr>
          <w:p>
            <w:pPr>
              <w:spacing w:after="0" w:line="168"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10, 2018. (incorporated by reference to Exhibit 3.2 of the Partnership’s Current Report on Form 8-K, (File 001-36505) filed on May 15,</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bottom w:val="single" w:sz="8" w:color="0000FF"/>
            </w:tcBorders>
          </w:tcPr>
          <w:p>
            <w:pPr>
              <w:spacing w:after="0" w:line="154" w:lineRule="exact"/>
              <w:rPr>
                <w:rFonts w:ascii="Arial" w:cs="Arial" w:eastAsia="Arial" w:hAnsi="Arial"/>
                <w:sz w:val="17"/>
                <w:szCs w:val="17"/>
                <w:color w:val="0000FF"/>
                <w:w w:val="91"/>
              </w:rPr>
            </w:pPr>
            <w:hyperlink r:id="rId95">
              <w:r>
                <w:rPr>
                  <w:rFonts w:ascii="Arial" w:cs="Arial" w:eastAsia="Arial" w:hAnsi="Arial"/>
                  <w:sz w:val="17"/>
                  <w:szCs w:val="17"/>
                  <w:color w:val="0000FF"/>
                  <w:w w:val="91"/>
                </w:rPr>
                <w:t>2018).</w:t>
              </w:r>
            </w:hyperlink>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3.4</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20" w:type="dxa"/>
            <w:vAlign w:val="bottom"/>
            <w:gridSpan w:val="33"/>
            <w:shd w:val="clear" w:color="auto" w:fill="CCEEFF"/>
          </w:tcPr>
          <w:p>
            <w:pPr>
              <w:spacing w:after="0" w:line="188" w:lineRule="exact"/>
              <w:rPr>
                <w:rFonts w:ascii="Arial" w:cs="Arial" w:eastAsia="Arial" w:hAnsi="Arial"/>
                <w:sz w:val="18"/>
                <w:szCs w:val="18"/>
                <w:color w:val="0000FF"/>
                <w:w w:val="98"/>
              </w:rPr>
            </w:pPr>
            <w:hyperlink r:id="rId96">
              <w:r>
                <w:rPr>
                  <w:rFonts w:ascii="Arial" w:cs="Arial" w:eastAsia="Arial" w:hAnsi="Arial"/>
                  <w:sz w:val="18"/>
                  <w:szCs w:val="18"/>
                  <w:color w:val="0000FF"/>
                  <w:w w:val="98"/>
                </w:rPr>
                <w:t>Second Amended and Restated Limited Liability Company Agreement of Viper Energy Partners LLC, dated as of May 9, 2018</w:t>
              </w:r>
            </w:hyperlink>
          </w:p>
        </w:tc>
        <w:tc>
          <w:tcPr>
            <w:tcW w:w="0" w:type="dxa"/>
            <w:vAlign w:val="bottom"/>
          </w:tcPr>
          <w:p>
            <w:pPr>
              <w:spacing w:after="0"/>
              <w:rPr>
                <w:sz w:val="1"/>
                <w:szCs w:val="1"/>
                <w:color w:val="auto"/>
              </w:rPr>
            </w:pPr>
          </w:p>
        </w:tc>
      </w:tr>
      <w:tr>
        <w:trPr>
          <w:trHeight w:val="188"/>
        </w:trPr>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500" w:type="dxa"/>
            <w:vAlign w:val="bottom"/>
            <w:tcBorders>
              <w:top w:val="single" w:sz="8" w:color="0000FF"/>
              <w:bottom w:val="single" w:sz="8" w:color="0000FF"/>
            </w:tcBorders>
            <w:gridSpan w:val="20"/>
            <w:shd w:val="clear" w:color="auto" w:fill="CCEEFF"/>
          </w:tcPr>
          <w:p>
            <w:pPr>
              <w:spacing w:after="0" w:line="168"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(incorporated by reference to Exhibit 3.3 of the Partnership’s Current Report on Form 8-K (File 001-36505), filed on May 15, 2018).</w:t>
              </w:r>
            </w:hyperlink>
          </w:p>
        </w:tc>
        <w:tc>
          <w:tcPr>
            <w:tcW w:w="22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20"/>
              <w:spacing w:after="0" w:line="188" w:lineRule="exact"/>
              <w:rPr>
                <w:sz w:val="20"/>
                <w:szCs w:val="20"/>
                <w:color w:val="auto"/>
              </w:rPr>
            </w:pPr>
            <w:r>
              <w:rPr>
                <w:rFonts w:ascii="Arial" w:cs="Arial" w:eastAsia="Arial" w:hAnsi="Arial"/>
                <w:sz w:val="18"/>
                <w:szCs w:val="18"/>
                <w:color w:val="auto"/>
              </w:rPr>
              <w:t>3.5</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gridSpan w:val="33"/>
          </w:tcPr>
          <w:p>
            <w:pPr>
              <w:spacing w:after="0" w:line="188" w:lineRule="exact"/>
              <w:rPr>
                <w:rFonts w:ascii="Arial" w:cs="Arial" w:eastAsia="Arial" w:hAnsi="Arial"/>
                <w:sz w:val="18"/>
                <w:szCs w:val="18"/>
                <w:color w:val="0000FF"/>
                <w:w w:val="93"/>
              </w:rPr>
            </w:pPr>
            <w:hyperlink r:id="rId97">
              <w:r>
                <w:rPr>
                  <w:rFonts w:ascii="Arial" w:cs="Arial" w:eastAsia="Arial" w:hAnsi="Arial"/>
                  <w:sz w:val="18"/>
                  <w:szCs w:val="18"/>
                  <w:color w:val="0000FF"/>
                  <w:w w:val="93"/>
                </w:rPr>
                <w:t>First Amendment to Second Amended and Restated Limited Liability Company Agreement of Viper Energy Partners LLC, dated as of</w:t>
              </w:r>
            </w:hyperlink>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bottom w:val="single" w:sz="8" w:color="0000FF"/>
            </w:tcBorders>
            <w:gridSpan w:val="30"/>
          </w:tcPr>
          <w:p>
            <w:pPr>
              <w:spacing w:after="0" w:line="168" w:lineRule="exact"/>
              <w:rPr>
                <w:rFonts w:ascii="Arial" w:cs="Arial" w:eastAsia="Arial" w:hAnsi="Arial"/>
                <w:sz w:val="18"/>
                <w:szCs w:val="18"/>
                <w:color w:val="0000FF"/>
                <w:w w:val="94"/>
              </w:rPr>
            </w:pPr>
            <w:hyperlink r:id="rId97">
              <w:r>
                <w:rPr>
                  <w:rFonts w:ascii="Arial" w:cs="Arial" w:eastAsia="Arial" w:hAnsi="Arial"/>
                  <w:sz w:val="18"/>
                  <w:szCs w:val="18"/>
                  <w:color w:val="0000FF"/>
                  <w:w w:val="94"/>
                </w:rPr>
                <w:t>March 30, 2020, (incorporated by reference to Exhibit 3.1 of the Partnership’s Current Report on Form 8-K (File 001-36505) filed on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gridSpan w:val="17"/>
          </w:tcPr>
          <w:p>
            <w:pPr>
              <w:spacing w:after="0" w:line="154" w:lineRule="exact"/>
              <w:rPr>
                <w:rFonts w:ascii="Arial" w:cs="Arial" w:eastAsia="Arial" w:hAnsi="Arial"/>
                <w:sz w:val="17"/>
                <w:szCs w:val="17"/>
                <w:color w:val="0000FF"/>
              </w:rPr>
            </w:pPr>
            <w:hyperlink r:id="rId97">
              <w:r>
                <w:rPr>
                  <w:rFonts w:ascii="Arial" w:cs="Arial" w:eastAsia="Arial" w:hAnsi="Arial"/>
                  <w:sz w:val="17"/>
                  <w:szCs w:val="17"/>
                  <w:color w:val="0000FF"/>
                </w:rPr>
                <w:t>March 31, 2020).</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3.6</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20" w:type="dxa"/>
            <w:vAlign w:val="bottom"/>
            <w:gridSpan w:val="33"/>
            <w:shd w:val="clear" w:color="auto" w:fill="CCEEFF"/>
          </w:tcPr>
          <w:p>
            <w:pPr>
              <w:spacing w:after="0" w:line="188"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Second Amendment to the Second Amended and Restated Limited Liability Company Agreement of Viper Energy Partners LLC, dated</w:t>
              </w:r>
            </w:hyperlink>
          </w:p>
        </w:tc>
        <w:tc>
          <w:tcPr>
            <w:tcW w:w="0" w:type="dxa"/>
            <w:vAlign w:val="bottom"/>
          </w:tcPr>
          <w:p>
            <w:pPr>
              <w:spacing w:after="0"/>
              <w:rPr>
                <w:sz w:val="1"/>
                <w:szCs w:val="1"/>
                <w:color w:val="auto"/>
              </w:rPr>
            </w:pPr>
          </w:p>
        </w:tc>
      </w:tr>
      <w:tr>
        <w:trPr>
          <w:trHeight w:val="167"/>
        </w:trPr>
        <w:tc>
          <w:tcPr>
            <w:tcW w:w="5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FF"/>
            </w:tcBorders>
            <w:gridSpan w:val="25"/>
            <w:shd w:val="clear" w:color="auto" w:fill="CCEEFF"/>
          </w:tcPr>
          <w:p>
            <w:pPr>
              <w:spacing w:after="0" w:line="168"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as of December 27, 2021 (incorporated by reference to 3.1 of the Partnership’s Current Report on Form 8-K (File 001-36505) filed on</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0000FF"/>
              <w:bottom w:val="single" w:sz="8" w:color="0000FF"/>
            </w:tcBorders>
            <w:gridSpan w:val="5"/>
            <w:shd w:val="clear" w:color="auto" w:fill="CCEEFF"/>
          </w:tcPr>
          <w:p>
            <w:pPr>
              <w:spacing w:after="0" w:line="154" w:lineRule="exact"/>
              <w:rPr>
                <w:rFonts w:ascii="Arial" w:cs="Arial" w:eastAsia="Arial" w:hAnsi="Arial"/>
                <w:sz w:val="17"/>
                <w:szCs w:val="17"/>
                <w:color w:val="0000FF"/>
                <w:w w:val="93"/>
              </w:rPr>
            </w:pPr>
            <w:hyperlink r:id="rId98">
              <w:r>
                <w:rPr>
                  <w:rFonts w:ascii="Arial" w:cs="Arial" w:eastAsia="Arial" w:hAnsi="Arial"/>
                  <w:sz w:val="17"/>
                  <w:szCs w:val="17"/>
                  <w:color w:val="0000FF"/>
                  <w:w w:val="93"/>
                </w:rPr>
                <w:t>December 28, 2021).</w:t>
              </w:r>
            </w:hyperlink>
          </w:p>
        </w:tc>
        <w:tc>
          <w:tcPr>
            <w:tcW w:w="734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46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18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20"/>
              <w:spacing w:after="0" w:line="188" w:lineRule="exact"/>
              <w:rPr>
                <w:sz w:val="20"/>
                <w:szCs w:val="20"/>
                <w:color w:val="auto"/>
              </w:rPr>
            </w:pPr>
            <w:r>
              <w:rPr>
                <w:rFonts w:ascii="Arial" w:cs="Arial" w:eastAsia="Arial" w:hAnsi="Arial"/>
                <w:sz w:val="18"/>
                <w:szCs w:val="18"/>
                <w:color w:val="auto"/>
              </w:rPr>
              <w:t>4.1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gridSpan w:val="33"/>
          </w:tcPr>
          <w:p>
            <w:pPr>
              <w:spacing w:after="0" w:line="188" w:lineRule="exact"/>
              <w:rPr>
                <w:rFonts w:ascii="Arial" w:cs="Arial" w:eastAsia="Arial" w:hAnsi="Arial"/>
                <w:sz w:val="18"/>
                <w:szCs w:val="18"/>
                <w:color w:val="0000FF"/>
                <w:w w:val="93"/>
              </w:rPr>
            </w:pPr>
            <w:hyperlink r:id="rId99">
              <w:r>
                <w:rPr>
                  <w:rFonts w:ascii="Arial" w:cs="Arial" w:eastAsia="Arial" w:hAnsi="Arial"/>
                  <w:sz w:val="18"/>
                  <w:szCs w:val="18"/>
                  <w:color w:val="0000FF"/>
                  <w:w w:val="93"/>
                </w:rPr>
                <w:t>Description of Securities of the Partnership (incorporated by reference to Exhibit 4.1 to the Partnership’s Annual Report on Form 10-K</w:t>
              </w:r>
            </w:hyperlink>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60" w:type="dxa"/>
            <w:vAlign w:val="bottom"/>
            <w:tcBorders>
              <w:top w:val="single" w:sz="8" w:color="0000FF"/>
            </w:tcBorders>
            <w:gridSpan w:val="17"/>
          </w:tcPr>
          <w:p>
            <w:pPr>
              <w:spacing w:after="0" w:line="168" w:lineRule="exact"/>
              <w:rPr>
                <w:rFonts w:ascii="Arial" w:cs="Arial" w:eastAsia="Arial" w:hAnsi="Arial"/>
                <w:sz w:val="18"/>
                <w:szCs w:val="18"/>
                <w:color w:val="0000FF"/>
              </w:rPr>
            </w:pPr>
            <w:hyperlink r:id="rId99">
              <w:r>
                <w:rPr>
                  <w:rFonts w:ascii="Arial" w:cs="Arial" w:eastAsia="Arial" w:hAnsi="Arial"/>
                  <w:sz w:val="18"/>
                  <w:szCs w:val="18"/>
                  <w:color w:val="0000FF"/>
                </w:rPr>
                <w:t>(File 001-36505) filed on February 18, 2020).</w:t>
              </w:r>
            </w:hyperlink>
          </w:p>
        </w:tc>
        <w:tc>
          <w:tcPr>
            <w:tcW w:w="4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4.2</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20" w:type="dxa"/>
            <w:vAlign w:val="bottom"/>
            <w:gridSpan w:val="33"/>
            <w:shd w:val="clear" w:color="auto" w:fill="CCEEFF"/>
          </w:tcPr>
          <w:p>
            <w:pPr>
              <w:spacing w:after="0" w:line="188" w:lineRule="exact"/>
              <w:rPr>
                <w:rFonts w:ascii="Arial" w:cs="Arial" w:eastAsia="Arial" w:hAnsi="Arial"/>
                <w:sz w:val="18"/>
                <w:szCs w:val="18"/>
                <w:color w:val="0000FF"/>
                <w:w w:val="96"/>
              </w:rPr>
            </w:pPr>
            <w:hyperlink r:id="rId100">
              <w:r>
                <w:rPr>
                  <w:rFonts w:ascii="Arial" w:cs="Arial" w:eastAsia="Arial" w:hAnsi="Arial"/>
                  <w:sz w:val="18"/>
                  <w:szCs w:val="18"/>
                  <w:color w:val="0000FF"/>
                  <w:w w:val="96"/>
                </w:rPr>
                <w:t>Amended and Restated Registration Rights Agreement, dated as of May 9, 2018, by and between Viper Energy Partners LP and</w:t>
              </w:r>
            </w:hyperlink>
          </w:p>
        </w:tc>
        <w:tc>
          <w:tcPr>
            <w:tcW w:w="0" w:type="dxa"/>
            <w:vAlign w:val="bottom"/>
          </w:tcPr>
          <w:p>
            <w:pPr>
              <w:spacing w:after="0"/>
              <w:rPr>
                <w:sz w:val="1"/>
                <w:szCs w:val="1"/>
                <w:color w:val="auto"/>
              </w:rPr>
            </w:pPr>
          </w:p>
        </w:tc>
      </w:tr>
      <w:tr>
        <w:trPr>
          <w:trHeight w:val="167"/>
        </w:trPr>
        <w:tc>
          <w:tcPr>
            <w:tcW w:w="5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22"/>
            <w:shd w:val="clear" w:color="auto" w:fill="CCEEFF"/>
          </w:tcPr>
          <w:p>
            <w:pPr>
              <w:spacing w:after="0" w:line="168"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Diamondback Energy, Inc. (incorporated by reference to Exhibit 4.1 of the Partnership’s Current Report on Form 8-K (File 001-36505)</w:t>
              </w:r>
            </w:hyperlink>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0000FF"/>
              <w:bottom w:val="single" w:sz="8" w:color="0000FF"/>
            </w:tcBorders>
            <w:gridSpan w:val="6"/>
            <w:shd w:val="clear" w:color="auto" w:fill="CCEEFF"/>
          </w:tcPr>
          <w:p>
            <w:pPr>
              <w:spacing w:after="0" w:line="154" w:lineRule="exact"/>
              <w:rPr>
                <w:rFonts w:ascii="Arial" w:cs="Arial" w:eastAsia="Arial" w:hAnsi="Arial"/>
                <w:sz w:val="17"/>
                <w:szCs w:val="17"/>
                <w:color w:val="0000FF"/>
                <w:w w:val="97"/>
              </w:rPr>
            </w:pPr>
            <w:hyperlink r:id="rId100">
              <w:r>
                <w:rPr>
                  <w:rFonts w:ascii="Arial" w:cs="Arial" w:eastAsia="Arial" w:hAnsi="Arial"/>
                  <w:sz w:val="17"/>
                  <w:szCs w:val="17"/>
                  <w:color w:val="0000FF"/>
                  <w:w w:val="97"/>
                </w:rPr>
                <w:t>filed on May 15, 2018).</w:t>
              </w:r>
            </w:hyperlink>
          </w:p>
        </w:tc>
        <w:tc>
          <w:tcPr>
            <w:tcW w:w="7160" w:type="dxa"/>
            <w:vAlign w:val="bottom"/>
            <w:tcBorders>
              <w:top w:val="single" w:sz="8" w:color="0000FF"/>
              <w:bottom w:val="single" w:sz="8" w:color="CCEEFF"/>
            </w:tcBorders>
            <w:gridSpan w:val="11"/>
            <w:shd w:val="clear" w:color="auto" w:fill="CCEEFF"/>
          </w:tcPr>
          <w:p>
            <w:pPr>
              <w:spacing w:after="0"/>
              <w:rPr>
                <w:sz w:val="15"/>
                <w:szCs w:val="15"/>
                <w:color w:val="auto"/>
              </w:rPr>
            </w:pPr>
          </w:p>
        </w:tc>
        <w:tc>
          <w:tcPr>
            <w:tcW w:w="46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18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0" w:type="dxa"/>
            <w:vAlign w:val="bottom"/>
          </w:tcPr>
          <w:p>
            <w:pPr>
              <w:ind w:left="20"/>
              <w:spacing w:after="0" w:line="188" w:lineRule="exact"/>
              <w:rPr>
                <w:sz w:val="20"/>
                <w:szCs w:val="20"/>
                <w:color w:val="auto"/>
              </w:rPr>
            </w:pPr>
            <w:r>
              <w:rPr>
                <w:rFonts w:ascii="Arial" w:cs="Arial" w:eastAsia="Arial" w:hAnsi="Arial"/>
                <w:sz w:val="18"/>
                <w:szCs w:val="18"/>
                <w:color w:val="auto"/>
              </w:rPr>
              <w:t>4.3</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gridSpan w:val="33"/>
          </w:tcPr>
          <w:p>
            <w:pPr>
              <w:spacing w:after="0" w:line="188" w:lineRule="exact"/>
              <w:rPr>
                <w:rFonts w:ascii="Arial" w:cs="Arial" w:eastAsia="Arial" w:hAnsi="Arial"/>
                <w:sz w:val="18"/>
                <w:szCs w:val="18"/>
                <w:color w:val="0000FF"/>
                <w:w w:val="93"/>
              </w:rPr>
            </w:pPr>
            <w:hyperlink r:id="rId101">
              <w:r>
                <w:rPr>
                  <w:rFonts w:ascii="Arial" w:cs="Arial" w:eastAsia="Arial" w:hAnsi="Arial"/>
                  <w:sz w:val="18"/>
                  <w:szCs w:val="18"/>
                  <w:color w:val="0000FF"/>
                  <w:w w:val="93"/>
                </w:rPr>
                <w:t>Registration Rights Agreement, dated as of October 1, 2021, by and among Viper Energy Partners LP, Swallowtail Royalties LLC and</w:t>
              </w:r>
            </w:hyperlink>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FF"/>
            </w:tcBorders>
            <w:gridSpan w:val="29"/>
          </w:tcPr>
          <w:p>
            <w:pPr>
              <w:spacing w:after="0" w:line="168" w:lineRule="exact"/>
              <w:rPr>
                <w:rFonts w:ascii="Arial" w:cs="Arial" w:eastAsia="Arial" w:hAnsi="Arial"/>
                <w:sz w:val="18"/>
                <w:szCs w:val="18"/>
                <w:color w:val="0000FF"/>
                <w:w w:val="96"/>
              </w:rPr>
            </w:pPr>
            <w:hyperlink r:id="rId101">
              <w:r>
                <w:rPr>
                  <w:rFonts w:ascii="Arial" w:cs="Arial" w:eastAsia="Arial" w:hAnsi="Arial"/>
                  <w:sz w:val="18"/>
                  <w:szCs w:val="18"/>
                  <w:color w:val="0000FF"/>
                  <w:w w:val="96"/>
                </w:rPr>
                <w:t>Swallowtail Royalties II LLC (incorporated by reference to Exhibit 4.1 of the Partnership’s Current Report on Form 8-K (File 001-</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101">
              <w:r>
                <w:rPr>
                  <w:rFonts w:ascii="Arial" w:cs="Arial" w:eastAsia="Arial" w:hAnsi="Arial"/>
                  <w:sz w:val="17"/>
                  <w:szCs w:val="17"/>
                  <w:color w:val="0000FF"/>
                </w:rPr>
                <w:t>36505) filed on October 7, 2021).</w:t>
              </w:r>
            </w:hyperlink>
          </w:p>
        </w:tc>
        <w:tc>
          <w:tcPr>
            <w:tcW w:w="4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4.4</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20" w:type="dxa"/>
            <w:vAlign w:val="bottom"/>
            <w:gridSpan w:val="33"/>
            <w:shd w:val="clear" w:color="auto" w:fill="CCEEFF"/>
          </w:tcPr>
          <w:p>
            <w:pPr>
              <w:spacing w:after="0" w:line="188" w:lineRule="exact"/>
              <w:rPr>
                <w:rFonts w:ascii="Arial" w:cs="Arial" w:eastAsia="Arial" w:hAnsi="Arial"/>
                <w:sz w:val="18"/>
                <w:szCs w:val="18"/>
                <w:color w:val="0000FF"/>
                <w:w w:val="94"/>
              </w:rPr>
            </w:pPr>
            <w:hyperlink r:id="rId102">
              <w:r>
                <w:rPr>
                  <w:rFonts w:ascii="Arial" w:cs="Arial" w:eastAsia="Arial" w:hAnsi="Arial"/>
                  <w:sz w:val="18"/>
                  <w:szCs w:val="18"/>
                  <w:color w:val="0000FF"/>
                  <w:w w:val="94"/>
                </w:rPr>
                <w:t>Indenture, dated as of October 16, 2019, among Viper Energy Partners LP, as issuer, Viper Energy Partners LLC, as guarantor and</w:t>
              </w:r>
            </w:hyperlink>
          </w:p>
        </w:tc>
        <w:tc>
          <w:tcPr>
            <w:tcW w:w="0" w:type="dxa"/>
            <w:vAlign w:val="bottom"/>
          </w:tcPr>
          <w:p>
            <w:pPr>
              <w:spacing w:after="0"/>
              <w:rPr>
                <w:sz w:val="1"/>
                <w:szCs w:val="1"/>
                <w:color w:val="auto"/>
              </w:rPr>
            </w:pPr>
          </w:p>
        </w:tc>
      </w:tr>
      <w:tr>
        <w:trPr>
          <w:trHeight w:val="167"/>
        </w:trPr>
        <w:tc>
          <w:tcPr>
            <w:tcW w:w="5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FF"/>
            </w:tcBorders>
            <w:gridSpan w:val="32"/>
            <w:shd w:val="clear" w:color="auto" w:fill="CCEEFF"/>
          </w:tcPr>
          <w:p>
            <w:pPr>
              <w:spacing w:after="0" w:line="168" w:lineRule="exact"/>
              <w:rPr>
                <w:rFonts w:ascii="Arial" w:cs="Arial" w:eastAsia="Arial" w:hAnsi="Arial"/>
                <w:sz w:val="18"/>
                <w:szCs w:val="18"/>
                <w:color w:val="0000FF"/>
                <w:w w:val="93"/>
              </w:rPr>
            </w:pPr>
            <w:hyperlink r:id="rId102">
              <w:r>
                <w:rPr>
                  <w:rFonts w:ascii="Arial" w:cs="Arial" w:eastAsia="Arial" w:hAnsi="Arial"/>
                  <w:sz w:val="18"/>
                  <w:szCs w:val="18"/>
                  <w:color w:val="0000FF"/>
                  <w:w w:val="93"/>
                </w:rPr>
                <w:t>Wells Fargo Bank, National Association, as trustee (including the form of Viper Energy Partners LP’s 5.375% Senior Notes due 2027)</w:t>
              </w:r>
            </w:hyperlink>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740" w:type="dxa"/>
            <w:vAlign w:val="bottom"/>
            <w:tcBorders>
              <w:top w:val="single" w:sz="8" w:color="0000FF"/>
              <w:bottom w:val="single" w:sz="8" w:color="0000FF"/>
            </w:tcBorders>
            <w:gridSpan w:val="24"/>
            <w:shd w:val="clear" w:color="auto" w:fill="CCEEFF"/>
          </w:tcPr>
          <w:p>
            <w:pPr>
              <w:spacing w:after="0" w:line="154" w:lineRule="exact"/>
              <w:rPr>
                <w:rFonts w:ascii="Arial" w:cs="Arial" w:eastAsia="Arial" w:hAnsi="Arial"/>
                <w:sz w:val="17"/>
                <w:szCs w:val="17"/>
                <w:color w:val="0000FF"/>
                <w:w w:val="96"/>
              </w:rPr>
            </w:pPr>
            <w:hyperlink r:id="rId102">
              <w:r>
                <w:rPr>
                  <w:rFonts w:ascii="Arial" w:cs="Arial" w:eastAsia="Arial" w:hAnsi="Arial"/>
                  <w:sz w:val="17"/>
                  <w:szCs w:val="17"/>
                  <w:color w:val="0000FF"/>
                  <w:w w:val="96"/>
                </w:rPr>
                <w:t>(incorporated by reference to Exhibit 4.1 of the Partnership’s Current Report on Form 8-K (File 001-36505) filed on October 17, 2019).</w:t>
              </w:r>
            </w:hyperlink>
          </w:p>
        </w:tc>
        <w:tc>
          <w:tcPr>
            <w:tcW w:w="6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09"/>
        </w:trPr>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gridSpan w:val="15"/>
          </w:tcPr>
          <w:p>
            <w:pPr>
              <w:jc w:val="right"/>
              <w:ind w:right="60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20" w:type="dxa"/>
            <w:vAlign w:val="bottom"/>
          </w:tcPr>
          <w:p>
            <w:pPr>
              <w:ind w:left="60"/>
              <w:spacing w:after="0"/>
              <w:rPr>
                <w:sz w:val="20"/>
                <w:szCs w:val="20"/>
                <w:color w:val="auto"/>
              </w:rPr>
            </w:pPr>
            <w:r>
              <w:rPr>
                <w:rFonts w:ascii="Arial" w:cs="Arial" w:eastAsia="Arial" w:hAnsi="Arial"/>
                <w:sz w:val="16"/>
                <w:szCs w:val="16"/>
                <w:b w:val="1"/>
                <w:bCs w:val="1"/>
                <w:color w:val="auto"/>
              </w:rPr>
              <w:t>Exhibit Number</w:t>
            </w:r>
          </w:p>
        </w:tc>
        <w:tc>
          <w:tcPr>
            <w:tcW w:w="10220" w:type="dxa"/>
            <w:vAlign w:val="bottom"/>
            <w:gridSpan w:val="42"/>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300"/>
        </w:trPr>
        <w:tc>
          <w:tcPr>
            <w:tcW w:w="1520" w:type="dxa"/>
            <w:vAlign w:val="bottom"/>
          </w:tcPr>
          <w:p>
            <w:pPr>
              <w:ind w:left="20"/>
              <w:spacing w:after="0"/>
              <w:rPr>
                <w:sz w:val="20"/>
                <w:szCs w:val="20"/>
                <w:color w:val="auto"/>
              </w:rPr>
            </w:pPr>
            <w:r>
              <w:rPr>
                <w:rFonts w:ascii="Arial" w:cs="Arial" w:eastAsia="Arial" w:hAnsi="Arial"/>
                <w:sz w:val="18"/>
                <w:szCs w:val="18"/>
                <w:color w:val="auto"/>
              </w:rPr>
              <w:t>10.1</w:t>
            </w:r>
          </w:p>
        </w:tc>
        <w:tc>
          <w:tcPr>
            <w:tcW w:w="10220" w:type="dxa"/>
            <w:vAlign w:val="bottom"/>
            <w:gridSpan w:val="42"/>
          </w:tcPr>
          <w:p>
            <w:pPr>
              <w:spacing w:after="0"/>
              <w:rPr>
                <w:rFonts w:ascii="Arial" w:cs="Arial" w:eastAsia="Arial" w:hAnsi="Arial"/>
                <w:sz w:val="18"/>
                <w:szCs w:val="18"/>
                <w:color w:val="0000FF"/>
                <w:w w:val="96"/>
              </w:rPr>
            </w:pPr>
            <w:hyperlink r:id="rId105">
              <w:r>
                <w:rPr>
                  <w:rFonts w:ascii="Arial" w:cs="Arial" w:eastAsia="Arial" w:hAnsi="Arial"/>
                  <w:sz w:val="18"/>
                  <w:szCs w:val="18"/>
                  <w:color w:val="0000FF"/>
                  <w:w w:val="96"/>
                </w:rPr>
                <w:t>Amended and Restated Credit Agreement, dated as of July 20, 2018, by and among, Viper Energy Partners LLC, as borrower, Viper</w:t>
              </w:r>
            </w:hyperlink>
          </w:p>
        </w:tc>
      </w:tr>
      <w:tr>
        <w:trPr>
          <w:trHeight w:val="167"/>
        </w:trPr>
        <w:tc>
          <w:tcPr>
            <w:tcW w:w="1520" w:type="dxa"/>
            <w:vAlign w:val="bottom"/>
          </w:tcPr>
          <w:p>
            <w:pPr>
              <w:spacing w:after="0"/>
              <w:rPr>
                <w:sz w:val="14"/>
                <w:szCs w:val="14"/>
                <w:color w:val="auto"/>
              </w:rPr>
            </w:pPr>
          </w:p>
        </w:tc>
        <w:tc>
          <w:tcPr>
            <w:tcW w:w="10000" w:type="dxa"/>
            <w:vAlign w:val="bottom"/>
            <w:tcBorders>
              <w:top w:val="single" w:sz="8" w:color="0000FF"/>
            </w:tcBorders>
            <w:gridSpan w:val="31"/>
          </w:tcPr>
          <w:p>
            <w:pPr>
              <w:spacing w:after="0" w:line="168" w:lineRule="exact"/>
              <w:rPr>
                <w:rFonts w:ascii="Arial" w:cs="Arial" w:eastAsia="Arial" w:hAnsi="Arial"/>
                <w:sz w:val="18"/>
                <w:szCs w:val="18"/>
                <w:color w:val="0000FF"/>
                <w:w w:val="97"/>
              </w:rPr>
            </w:pPr>
            <w:hyperlink r:id="rId105">
              <w:r>
                <w:rPr>
                  <w:rFonts w:ascii="Arial" w:cs="Arial" w:eastAsia="Arial" w:hAnsi="Arial"/>
                  <w:sz w:val="18"/>
                  <w:szCs w:val="18"/>
                  <w:color w:val="0000FF"/>
                  <w:w w:val="97"/>
                </w:rPr>
                <w:t>Energy Partners LP, as guarantor, Wells Fargo Bank, National Association, as administrative agent, and the lenders party thereto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1520" w:type="dxa"/>
            <w:vAlign w:val="bottom"/>
          </w:tcPr>
          <w:p>
            <w:pPr>
              <w:spacing w:after="0"/>
              <w:rPr>
                <w:sz w:val="13"/>
                <w:szCs w:val="13"/>
                <w:color w:val="auto"/>
              </w:rPr>
            </w:pPr>
          </w:p>
        </w:tc>
        <w:tc>
          <w:tcPr>
            <w:tcW w:w="9700" w:type="dxa"/>
            <w:vAlign w:val="bottom"/>
            <w:tcBorders>
              <w:top w:val="single" w:sz="8" w:color="0000FF"/>
            </w:tcBorders>
            <w:gridSpan w:val="16"/>
          </w:tcPr>
          <w:p>
            <w:pPr>
              <w:spacing w:after="0" w:line="154" w:lineRule="exact"/>
              <w:rPr>
                <w:rFonts w:ascii="Arial" w:cs="Arial" w:eastAsia="Arial" w:hAnsi="Arial"/>
                <w:sz w:val="17"/>
                <w:szCs w:val="17"/>
                <w:color w:val="0000FF"/>
                <w:w w:val="98"/>
              </w:rPr>
            </w:pPr>
            <w:hyperlink r:id="rId105">
              <w:r>
                <w:rPr>
                  <w:rFonts w:ascii="Arial" w:cs="Arial" w:eastAsia="Arial" w:hAnsi="Arial"/>
                  <w:sz w:val="17"/>
                  <w:szCs w:val="17"/>
                  <w:color w:val="0000FF"/>
                  <w:w w:val="98"/>
                </w:rPr>
                <w:t>(incorporated by reference to Exhibit 10.1 of the Partnership’s Current Report on Form 8-K (File 001-36505) filed on July 26,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9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10.2+</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6"/>
              </w:rPr>
            </w:pPr>
            <w:hyperlink r:id="rId106">
              <w:r>
                <w:rPr>
                  <w:rFonts w:ascii="Arial" w:cs="Arial" w:eastAsia="Arial" w:hAnsi="Arial"/>
                  <w:sz w:val="18"/>
                  <w:szCs w:val="18"/>
                  <w:color w:val="0000FF"/>
                  <w:w w:val="96"/>
                </w:rPr>
                <w:t>Viper Energy Partners LP Long Term Incentive Plan (incorporated by reference to Exhibit 10.2 of the Partnership’s Current Report on</w:t>
              </w:r>
            </w:hyperlink>
          </w:p>
        </w:tc>
      </w:tr>
      <w:tr>
        <w:trPr>
          <w:trHeight w:val="188"/>
        </w:trPr>
        <w:tc>
          <w:tcPr>
            <w:tcW w:w="1520" w:type="dxa"/>
            <w:vAlign w:val="bottom"/>
            <w:tcBorders>
              <w:top w:val="single" w:sz="8" w:color="CCEEFF"/>
              <w:bottom w:val="single" w:sz="8" w:color="CCEEFF"/>
            </w:tcBorders>
            <w:shd w:val="clear" w:color="auto" w:fill="CCEEFF"/>
          </w:tcPr>
          <w:p>
            <w:pPr>
              <w:spacing w:after="0"/>
              <w:rPr>
                <w:sz w:val="16"/>
                <w:szCs w:val="16"/>
                <w:color w:val="auto"/>
              </w:rPr>
            </w:pPr>
          </w:p>
        </w:tc>
        <w:tc>
          <w:tcPr>
            <w:tcW w:w="4020" w:type="dxa"/>
            <w:vAlign w:val="bottom"/>
            <w:tcBorders>
              <w:top w:val="single" w:sz="8" w:color="0000FF"/>
              <w:bottom w:val="single" w:sz="8" w:color="0000FF"/>
            </w:tcBorders>
            <w:gridSpan w:val="6"/>
            <w:shd w:val="clear" w:color="auto" w:fill="CCEEFF"/>
          </w:tcPr>
          <w:p>
            <w:pPr>
              <w:spacing w:after="0" w:line="168"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Form 8-K (File No. 001-36505) filed on June 23, 2014).</w:t>
              </w:r>
            </w:hyperlink>
          </w:p>
        </w:tc>
        <w:tc>
          <w:tcPr>
            <w:tcW w:w="5800" w:type="dxa"/>
            <w:vAlign w:val="bottom"/>
            <w:tcBorders>
              <w:top w:val="single" w:sz="8" w:color="0000FF"/>
              <w:bottom w:val="single" w:sz="8" w:color="CCEEFF"/>
            </w:tcBorders>
            <w:gridSpan w:val="1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10.3</w:t>
            </w:r>
          </w:p>
        </w:tc>
        <w:tc>
          <w:tcPr>
            <w:tcW w:w="10220" w:type="dxa"/>
            <w:vAlign w:val="bottom"/>
            <w:gridSpan w:val="42"/>
          </w:tcPr>
          <w:p>
            <w:pPr>
              <w:spacing w:after="0" w:line="188" w:lineRule="exact"/>
              <w:rPr>
                <w:rFonts w:ascii="Arial" w:cs="Arial" w:eastAsia="Arial" w:hAnsi="Arial"/>
                <w:sz w:val="18"/>
                <w:szCs w:val="18"/>
                <w:color w:val="0000FF"/>
                <w:w w:val="97"/>
              </w:rPr>
            </w:pPr>
            <w:hyperlink r:id="rId107">
              <w:r>
                <w:rPr>
                  <w:rFonts w:ascii="Arial" w:cs="Arial" w:eastAsia="Arial" w:hAnsi="Arial"/>
                  <w:sz w:val="18"/>
                  <w:szCs w:val="18"/>
                  <w:color w:val="0000FF"/>
                  <w:w w:val="97"/>
                </w:rPr>
                <w:t>Form of Indemnification Agreement (incorporated by reference to Exhibit 10.4 of the Partnership’s Current Report on Form 8-K (File</w:t>
              </w:r>
            </w:hyperlink>
          </w:p>
        </w:tc>
      </w:tr>
      <w:tr>
        <w:trPr>
          <w:trHeight w:val="167"/>
        </w:trPr>
        <w:tc>
          <w:tcPr>
            <w:tcW w:w="1520" w:type="dxa"/>
            <w:vAlign w:val="bottom"/>
          </w:tcPr>
          <w:p>
            <w:pPr>
              <w:spacing w:after="0"/>
              <w:rPr>
                <w:sz w:val="14"/>
                <w:szCs w:val="14"/>
                <w:color w:val="auto"/>
              </w:rPr>
            </w:pPr>
          </w:p>
        </w:tc>
        <w:tc>
          <w:tcPr>
            <w:tcW w:w="10040" w:type="dxa"/>
            <w:vAlign w:val="bottom"/>
            <w:tcBorders>
              <w:top w:val="single" w:sz="8" w:color="0000FF"/>
            </w:tcBorders>
            <w:gridSpan w:val="33"/>
          </w:tcPr>
          <w:p>
            <w:pPr>
              <w:spacing w:after="0" w:line="168" w:lineRule="exact"/>
              <w:rPr>
                <w:rFonts w:ascii="Arial" w:cs="Arial" w:eastAsia="Arial" w:hAnsi="Arial"/>
                <w:sz w:val="18"/>
                <w:szCs w:val="18"/>
                <w:color w:val="0000FF"/>
              </w:rPr>
            </w:pPr>
            <w:hyperlink r:id="rId107">
              <w:r>
                <w:rPr>
                  <w:rFonts w:ascii="Arial" w:cs="Arial" w:eastAsia="Arial" w:hAnsi="Arial"/>
                  <w:sz w:val="18"/>
                  <w:szCs w:val="18"/>
                  <w:color w:val="0000FF"/>
                </w:rPr>
                <w:t>No. 001-36505) filed on June 23, 2014).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10.4</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5"/>
              </w:rPr>
            </w:pPr>
            <w:hyperlink r:id="rId108">
              <w:r>
                <w:rPr>
                  <w:rFonts w:ascii="Arial" w:cs="Arial" w:eastAsia="Arial" w:hAnsi="Arial"/>
                  <w:sz w:val="18"/>
                  <w:szCs w:val="18"/>
                  <w:color w:val="0000FF"/>
                  <w:w w:val="95"/>
                </w:rPr>
                <w:t>Tax Sharing Agreement, dated June 23, 2014, by and between Viper Energy Partners LP and Diamondback Energy, Inc. (incorporated</w:t>
              </w:r>
            </w:hyperlink>
          </w:p>
        </w:tc>
      </w:tr>
      <w:tr>
        <w:trPr>
          <w:trHeight w:val="188"/>
        </w:trPr>
        <w:tc>
          <w:tcPr>
            <w:tcW w:w="1520" w:type="dxa"/>
            <w:vAlign w:val="bottom"/>
            <w:tcBorders>
              <w:top w:val="single" w:sz="8" w:color="CCEEFF"/>
              <w:bottom w:val="single" w:sz="8" w:color="CCEEFF"/>
            </w:tcBorders>
            <w:shd w:val="clear" w:color="auto" w:fill="CCEEFF"/>
          </w:tcPr>
          <w:p>
            <w:pPr>
              <w:spacing w:after="0"/>
              <w:rPr>
                <w:sz w:val="16"/>
                <w:szCs w:val="16"/>
                <w:color w:val="auto"/>
              </w:rPr>
            </w:pPr>
          </w:p>
        </w:tc>
        <w:tc>
          <w:tcPr>
            <w:tcW w:w="8840" w:type="dxa"/>
            <w:vAlign w:val="bottom"/>
            <w:tcBorders>
              <w:top w:val="single" w:sz="8" w:color="0000FF"/>
              <w:bottom w:val="single" w:sz="8" w:color="0000FF"/>
            </w:tcBorders>
            <w:gridSpan w:val="14"/>
            <w:shd w:val="clear" w:color="auto" w:fill="CCEEFF"/>
          </w:tcPr>
          <w:p>
            <w:pPr>
              <w:spacing w:after="0" w:line="168"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by reference to Exhibit 10.5 of the Partnership’s Current Report on Form 8-K (File No. 001-36505) filed on June 23, 2014).</w:t>
              </w:r>
            </w:hyperlink>
          </w:p>
        </w:tc>
        <w:tc>
          <w:tcPr>
            <w:tcW w:w="98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10.5+</w:t>
            </w:r>
          </w:p>
        </w:tc>
        <w:tc>
          <w:tcPr>
            <w:tcW w:w="10220" w:type="dxa"/>
            <w:vAlign w:val="bottom"/>
            <w:gridSpan w:val="42"/>
          </w:tcPr>
          <w:p>
            <w:pPr>
              <w:spacing w:after="0" w:line="188" w:lineRule="exact"/>
              <w:rPr>
                <w:rFonts w:ascii="Arial" w:cs="Arial" w:eastAsia="Arial" w:hAnsi="Arial"/>
                <w:sz w:val="18"/>
                <w:szCs w:val="18"/>
                <w:color w:val="0000FF"/>
                <w:w w:val="97"/>
              </w:rPr>
            </w:pPr>
            <w:hyperlink r:id="rId109">
              <w:r>
                <w:rPr>
                  <w:rFonts w:ascii="Arial" w:cs="Arial" w:eastAsia="Arial" w:hAnsi="Arial"/>
                  <w:sz w:val="18"/>
                  <w:szCs w:val="18"/>
                  <w:color w:val="0000FF"/>
                  <w:w w:val="97"/>
                </w:rPr>
                <w:t>Form of Unit Option Agreement (incorporated by reference to Exhibit 10.6 of the Partnership’s Current Report on Form 8-K (File No.</w:t>
              </w:r>
            </w:hyperlink>
          </w:p>
        </w:tc>
      </w:tr>
      <w:tr>
        <w:trPr>
          <w:trHeight w:val="167"/>
        </w:trPr>
        <w:tc>
          <w:tcPr>
            <w:tcW w:w="1520" w:type="dxa"/>
            <w:vAlign w:val="bottom"/>
          </w:tcPr>
          <w:p>
            <w:pPr>
              <w:spacing w:after="0"/>
              <w:rPr>
                <w:sz w:val="14"/>
                <w:szCs w:val="14"/>
                <w:color w:val="auto"/>
              </w:rPr>
            </w:pPr>
          </w:p>
        </w:tc>
        <w:tc>
          <w:tcPr>
            <w:tcW w:w="10020" w:type="dxa"/>
            <w:vAlign w:val="bottom"/>
            <w:tcBorders>
              <w:top w:val="single" w:sz="8" w:color="0000FF"/>
            </w:tcBorders>
            <w:gridSpan w:val="32"/>
          </w:tcPr>
          <w:p>
            <w:pPr>
              <w:spacing w:after="0" w:line="168" w:lineRule="exact"/>
              <w:rPr>
                <w:rFonts w:ascii="Arial" w:cs="Arial" w:eastAsia="Arial" w:hAnsi="Arial"/>
                <w:sz w:val="18"/>
                <w:szCs w:val="18"/>
                <w:color w:val="0000FF"/>
              </w:rPr>
            </w:pPr>
            <w:hyperlink r:id="rId109">
              <w:r>
                <w:rPr>
                  <w:rFonts w:ascii="Arial" w:cs="Arial" w:eastAsia="Arial" w:hAnsi="Arial"/>
                  <w:sz w:val="18"/>
                  <w:szCs w:val="18"/>
                  <w:color w:val="0000FF"/>
                </w:rPr>
                <w:t>001-36505) filed on June 23, 2014).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10.6+</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8"/>
              </w:rPr>
            </w:pPr>
            <w:hyperlink r:id="rId110">
              <w:r>
                <w:rPr>
                  <w:rFonts w:ascii="Arial" w:cs="Arial" w:eastAsia="Arial" w:hAnsi="Arial"/>
                  <w:sz w:val="18"/>
                  <w:szCs w:val="18"/>
                  <w:color w:val="0000FF"/>
                  <w:w w:val="98"/>
                </w:rPr>
                <w:t>Form of Phantom Unit Agreement (incorporated by reference to Exhibit 10.8 of the Partnership’s Annual Report on Form 10-K (File</w:t>
              </w:r>
            </w:hyperlink>
          </w:p>
        </w:tc>
      </w:tr>
      <w:tr>
        <w:trPr>
          <w:trHeight w:val="167"/>
        </w:trPr>
        <w:tc>
          <w:tcPr>
            <w:tcW w:w="1520" w:type="dxa"/>
            <w:vAlign w:val="bottom"/>
            <w:tcBorders>
              <w:top w:val="single" w:sz="8" w:color="CCEEFF"/>
            </w:tcBorders>
            <w:shd w:val="clear" w:color="auto" w:fill="CCEEFF"/>
          </w:tcPr>
          <w:p>
            <w:pPr>
              <w:spacing w:after="0"/>
              <w:rPr>
                <w:sz w:val="14"/>
                <w:szCs w:val="14"/>
                <w:color w:val="auto"/>
              </w:rPr>
            </w:pPr>
          </w:p>
        </w:tc>
        <w:tc>
          <w:tcPr>
            <w:tcW w:w="9740" w:type="dxa"/>
            <w:vAlign w:val="bottom"/>
            <w:tcBorders>
              <w:top w:val="single" w:sz="8" w:color="0000FF"/>
            </w:tcBorders>
            <w:gridSpan w:val="18"/>
            <w:shd w:val="clear" w:color="auto" w:fill="CCEEFF"/>
          </w:tcPr>
          <w:p>
            <w:pPr>
              <w:spacing w:after="0" w:line="168" w:lineRule="exact"/>
              <w:rPr>
                <w:rFonts w:ascii="Arial" w:cs="Arial" w:eastAsia="Arial" w:hAnsi="Arial"/>
                <w:sz w:val="18"/>
                <w:szCs w:val="18"/>
                <w:color w:val="0000FF"/>
              </w:rPr>
            </w:pPr>
            <w:hyperlink r:id="rId110">
              <w:r>
                <w:rPr>
                  <w:rFonts w:ascii="Arial" w:cs="Arial" w:eastAsia="Arial" w:hAnsi="Arial"/>
                  <w:sz w:val="18"/>
                  <w:szCs w:val="18"/>
                  <w:color w:val="0000FF"/>
                </w:rPr>
                <w:t>No. 001-36505) filed on February 18, 2020).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10.7</w:t>
            </w:r>
          </w:p>
        </w:tc>
        <w:tc>
          <w:tcPr>
            <w:tcW w:w="10220" w:type="dxa"/>
            <w:vAlign w:val="bottom"/>
            <w:gridSpan w:val="42"/>
          </w:tcPr>
          <w:p>
            <w:pPr>
              <w:spacing w:after="0" w:line="188" w:lineRule="exact"/>
              <w:rPr>
                <w:rFonts w:ascii="Arial" w:cs="Arial" w:eastAsia="Arial" w:hAnsi="Arial"/>
                <w:sz w:val="18"/>
                <w:szCs w:val="18"/>
                <w:color w:val="0000FF"/>
                <w:w w:val="95"/>
              </w:rPr>
            </w:pPr>
            <w:hyperlink r:id="rId111">
              <w:r>
                <w:rPr>
                  <w:rFonts w:ascii="Arial" w:cs="Arial" w:eastAsia="Arial" w:hAnsi="Arial"/>
                  <w:sz w:val="18"/>
                  <w:szCs w:val="18"/>
                  <w:color w:val="0000FF"/>
                  <w:w w:val="95"/>
                </w:rPr>
                <w:t>Recapitalization Agreement, dated as of March 28, 2018, by and among Diamondback Energy, Inc., Viper Energy Partners LLC, Viper</w:t>
              </w:r>
            </w:hyperlink>
          </w:p>
        </w:tc>
      </w:tr>
      <w:tr>
        <w:trPr>
          <w:trHeight w:val="167"/>
        </w:trPr>
        <w:tc>
          <w:tcPr>
            <w:tcW w:w="1520" w:type="dxa"/>
            <w:vAlign w:val="bottom"/>
          </w:tcPr>
          <w:p>
            <w:pPr>
              <w:spacing w:after="0"/>
              <w:rPr>
                <w:sz w:val="14"/>
                <w:szCs w:val="14"/>
                <w:color w:val="auto"/>
              </w:rPr>
            </w:pPr>
          </w:p>
        </w:tc>
        <w:tc>
          <w:tcPr>
            <w:tcW w:w="10120" w:type="dxa"/>
            <w:vAlign w:val="bottom"/>
            <w:tcBorders>
              <w:top w:val="single" w:sz="8" w:color="0000FF"/>
            </w:tcBorders>
            <w:gridSpan w:val="37"/>
          </w:tcPr>
          <w:p>
            <w:pPr>
              <w:spacing w:after="0" w:line="168" w:lineRule="exact"/>
              <w:rPr>
                <w:rFonts w:ascii="Arial" w:cs="Arial" w:eastAsia="Arial" w:hAnsi="Arial"/>
                <w:sz w:val="18"/>
                <w:szCs w:val="18"/>
                <w:color w:val="0000FF"/>
              </w:rPr>
            </w:pPr>
            <w:hyperlink r:id="rId111">
              <w:r>
                <w:rPr>
                  <w:rFonts w:ascii="Arial" w:cs="Arial" w:eastAsia="Arial" w:hAnsi="Arial"/>
                  <w:sz w:val="18"/>
                  <w:szCs w:val="18"/>
                  <w:color w:val="0000FF"/>
                </w:rPr>
                <w:t>Energy Partners GP LLC and Viper Energy Partners LP (incorporated by reference to Annex C to the Partnership’s Definitive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1520" w:type="dxa"/>
            <w:vAlign w:val="bottom"/>
          </w:tcPr>
          <w:p>
            <w:pPr>
              <w:spacing w:after="0"/>
              <w:rPr>
                <w:sz w:val="13"/>
                <w:szCs w:val="13"/>
                <w:color w:val="auto"/>
              </w:rPr>
            </w:pPr>
          </w:p>
        </w:tc>
        <w:tc>
          <w:tcPr>
            <w:tcW w:w="10100" w:type="dxa"/>
            <w:vAlign w:val="bottom"/>
            <w:tcBorders>
              <w:top w:val="single" w:sz="8" w:color="0000FF"/>
            </w:tcBorders>
            <w:gridSpan w:val="36"/>
          </w:tcPr>
          <w:p>
            <w:pPr>
              <w:spacing w:after="0" w:line="154" w:lineRule="exact"/>
              <w:rPr>
                <w:rFonts w:ascii="Arial" w:cs="Arial" w:eastAsia="Arial" w:hAnsi="Arial"/>
                <w:sz w:val="17"/>
                <w:szCs w:val="17"/>
                <w:color w:val="0000FF"/>
              </w:rPr>
            </w:pPr>
            <w:hyperlink r:id="rId111">
              <w:r>
                <w:rPr>
                  <w:rFonts w:ascii="Arial" w:cs="Arial" w:eastAsia="Arial" w:hAnsi="Arial"/>
                  <w:sz w:val="17"/>
                  <w:szCs w:val="17"/>
                  <w:color w:val="0000FF"/>
                </w:rPr>
                <w:t>Information Statement on Schedule 14C (File No. 001-36505) filed on April 17,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10.8</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8"/>
              </w:rPr>
            </w:pPr>
            <w:hyperlink r:id="rId112">
              <w:r>
                <w:rPr>
                  <w:rFonts w:ascii="Arial" w:cs="Arial" w:eastAsia="Arial" w:hAnsi="Arial"/>
                  <w:sz w:val="18"/>
                  <w:szCs w:val="18"/>
                  <w:color w:val="0000FF"/>
                  <w:w w:val="98"/>
                </w:rPr>
                <w:t>First Amendment to Recapitalization Agreement dated as of May 9, 2018, by and among Diamondback Energy, Inc., Viper Energy</w:t>
              </w:r>
            </w:hyperlink>
          </w:p>
        </w:tc>
      </w:tr>
      <w:tr>
        <w:trPr>
          <w:trHeight w:val="167"/>
        </w:trPr>
        <w:tc>
          <w:tcPr>
            <w:tcW w:w="1520" w:type="dxa"/>
            <w:vAlign w:val="bottom"/>
            <w:tcBorders>
              <w:top w:val="single" w:sz="8" w:color="CCEEFF"/>
              <w:bottom w:val="single" w:sz="8" w:color="CCEEFF"/>
            </w:tcBorders>
            <w:shd w:val="clear" w:color="auto" w:fill="CCEEFF"/>
          </w:tcPr>
          <w:p>
            <w:pPr>
              <w:spacing w:after="0"/>
              <w:rPr>
                <w:sz w:val="14"/>
                <w:szCs w:val="14"/>
                <w:color w:val="auto"/>
              </w:rPr>
            </w:pPr>
          </w:p>
        </w:tc>
        <w:tc>
          <w:tcPr>
            <w:tcW w:w="9960" w:type="dxa"/>
            <w:vAlign w:val="bottom"/>
            <w:tcBorders>
              <w:top w:val="single" w:sz="8" w:color="0000FF"/>
              <w:bottom w:val="single" w:sz="8" w:color="0000FF"/>
            </w:tcBorders>
            <w:gridSpan w:val="29"/>
            <w:shd w:val="clear" w:color="auto" w:fill="CCEEFF"/>
          </w:tcPr>
          <w:p>
            <w:pPr>
              <w:spacing w:after="0" w:line="168" w:lineRule="exact"/>
              <w:rPr>
                <w:rFonts w:ascii="Arial" w:cs="Arial" w:eastAsia="Arial" w:hAnsi="Arial"/>
                <w:sz w:val="18"/>
                <w:szCs w:val="18"/>
                <w:color w:val="0000FF"/>
                <w:w w:val="99"/>
              </w:rPr>
            </w:pPr>
            <w:hyperlink r:id="rId112">
              <w:r>
                <w:rPr>
                  <w:rFonts w:ascii="Arial" w:cs="Arial" w:eastAsia="Arial" w:hAnsi="Arial"/>
                  <w:sz w:val="18"/>
                  <w:szCs w:val="18"/>
                  <w:color w:val="0000FF"/>
                  <w:w w:val="99"/>
                </w:rPr>
                <w:t>Partners LLC, Viper Energy Partners GP LLC and Viper Energy Partners LP. (incorporated by reference to Exhibit 10.4 of the</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80" w:type="dxa"/>
            <w:vAlign w:val="bottom"/>
            <w:tcBorders>
              <w:top w:val="single" w:sz="8" w:color="CCEEFF"/>
              <w:bottom w:val="single" w:sz="8" w:color="0000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4"/>
        </w:trPr>
        <w:tc>
          <w:tcPr>
            <w:tcW w:w="1520" w:type="dxa"/>
            <w:vAlign w:val="bottom"/>
            <w:tcBorders>
              <w:bottom w:val="single" w:sz="8" w:color="CCEEFF"/>
            </w:tcBorders>
            <w:shd w:val="clear" w:color="auto" w:fill="CCEEFF"/>
          </w:tcPr>
          <w:p>
            <w:pPr>
              <w:spacing w:after="0"/>
              <w:rPr>
                <w:sz w:val="15"/>
                <w:szCs w:val="15"/>
                <w:color w:val="auto"/>
              </w:rPr>
            </w:pPr>
          </w:p>
        </w:tc>
        <w:tc>
          <w:tcPr>
            <w:tcW w:w="6040" w:type="dxa"/>
            <w:vAlign w:val="bottom"/>
            <w:tcBorders>
              <w:bottom w:val="single" w:sz="8" w:color="0000FF"/>
            </w:tcBorders>
            <w:gridSpan w:val="11"/>
            <w:shd w:val="clear" w:color="auto" w:fill="CCEEFF"/>
          </w:tcPr>
          <w:p>
            <w:pPr>
              <w:spacing w:after="0" w:line="154" w:lineRule="exact"/>
              <w:rPr>
                <w:rFonts w:ascii="Arial" w:cs="Arial" w:eastAsia="Arial" w:hAnsi="Arial"/>
                <w:sz w:val="17"/>
                <w:szCs w:val="17"/>
                <w:color w:val="0000FF"/>
                <w:w w:val="96"/>
              </w:rPr>
            </w:pPr>
            <w:hyperlink r:id="rId112">
              <w:r>
                <w:rPr>
                  <w:rFonts w:ascii="Arial" w:cs="Arial" w:eastAsia="Arial" w:hAnsi="Arial"/>
                  <w:sz w:val="17"/>
                  <w:szCs w:val="17"/>
                  <w:color w:val="0000FF"/>
                  <w:w w:val="96"/>
                </w:rPr>
                <w:t>Partnership’s Current Report on Form 8-K (File 001-36505) filed on May 15, 2018).</w:t>
              </w:r>
            </w:hyperlink>
          </w:p>
        </w:tc>
        <w:tc>
          <w:tcPr>
            <w:tcW w:w="4160" w:type="dxa"/>
            <w:vAlign w:val="bottom"/>
            <w:tcBorders>
              <w:bottom w:val="single" w:sz="8" w:color="CCEEFF"/>
            </w:tcBorders>
            <w:gridSpan w:val="30"/>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10.9</w:t>
            </w:r>
          </w:p>
        </w:tc>
        <w:tc>
          <w:tcPr>
            <w:tcW w:w="10220" w:type="dxa"/>
            <w:vAlign w:val="bottom"/>
            <w:gridSpan w:val="42"/>
          </w:tcPr>
          <w:p>
            <w:pPr>
              <w:spacing w:after="0" w:line="188" w:lineRule="exact"/>
              <w:rPr>
                <w:rFonts w:ascii="Arial" w:cs="Arial" w:eastAsia="Arial" w:hAnsi="Arial"/>
                <w:sz w:val="18"/>
                <w:szCs w:val="18"/>
                <w:color w:val="0000FF"/>
                <w:w w:val="96"/>
              </w:rPr>
            </w:pPr>
            <w:hyperlink r:id="rId113">
              <w:r>
                <w:rPr>
                  <w:rFonts w:ascii="Arial" w:cs="Arial" w:eastAsia="Arial" w:hAnsi="Arial"/>
                  <w:sz w:val="18"/>
                  <w:szCs w:val="18"/>
                  <w:color w:val="0000FF"/>
                  <w:w w:val="96"/>
                </w:rPr>
                <w:t>Exchange Agreement, dated as of May 9, 2018, by and among Diamondback Energy, Inc., Viper Energy Partners LLC, Viper Energy</w:t>
              </w:r>
            </w:hyperlink>
          </w:p>
        </w:tc>
      </w:tr>
      <w:tr>
        <w:trPr>
          <w:trHeight w:val="167"/>
        </w:trPr>
        <w:tc>
          <w:tcPr>
            <w:tcW w:w="1520" w:type="dxa"/>
            <w:vAlign w:val="bottom"/>
          </w:tcPr>
          <w:p>
            <w:pPr>
              <w:spacing w:after="0"/>
              <w:rPr>
                <w:sz w:val="14"/>
                <w:szCs w:val="14"/>
                <w:color w:val="auto"/>
              </w:rPr>
            </w:pPr>
          </w:p>
        </w:tc>
        <w:tc>
          <w:tcPr>
            <w:tcW w:w="9840" w:type="dxa"/>
            <w:vAlign w:val="bottom"/>
            <w:tcBorders>
              <w:top w:val="single" w:sz="8" w:color="0000FF"/>
              <w:bottom w:val="single" w:sz="8" w:color="0000FF"/>
            </w:tcBorders>
            <w:gridSpan w:val="23"/>
          </w:tcPr>
          <w:p>
            <w:pPr>
              <w:spacing w:after="0" w:line="168" w:lineRule="exact"/>
              <w:rPr>
                <w:rFonts w:ascii="Arial" w:cs="Arial" w:eastAsia="Arial" w:hAnsi="Arial"/>
                <w:sz w:val="18"/>
                <w:szCs w:val="18"/>
                <w:color w:val="0000FF"/>
                <w:w w:val="95"/>
              </w:rPr>
            </w:pPr>
            <w:hyperlink r:id="rId113">
              <w:r>
                <w:rPr>
                  <w:rFonts w:ascii="Arial" w:cs="Arial" w:eastAsia="Arial" w:hAnsi="Arial"/>
                  <w:sz w:val="18"/>
                  <w:szCs w:val="18"/>
                  <w:color w:val="0000FF"/>
                  <w:w w:val="95"/>
                </w:rPr>
                <w:t>Partners GP LLC and Viper Energy Partners LP. (incorporated by reference to Exhibit 10.1 of the Partnership’s Current Report on</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4"/>
        </w:trPr>
        <w:tc>
          <w:tcPr>
            <w:tcW w:w="1520" w:type="dxa"/>
            <w:vAlign w:val="bottom"/>
          </w:tcPr>
          <w:p>
            <w:pPr>
              <w:spacing w:after="0"/>
              <w:rPr>
                <w:sz w:val="13"/>
                <w:szCs w:val="13"/>
                <w:color w:val="auto"/>
              </w:rPr>
            </w:pPr>
          </w:p>
        </w:tc>
        <w:tc>
          <w:tcPr>
            <w:tcW w:w="10180" w:type="dxa"/>
            <w:vAlign w:val="bottom"/>
            <w:gridSpan w:val="40"/>
          </w:tcPr>
          <w:p>
            <w:pPr>
              <w:spacing w:after="0" w:line="154" w:lineRule="exact"/>
              <w:rPr>
                <w:rFonts w:ascii="Arial" w:cs="Arial" w:eastAsia="Arial" w:hAnsi="Arial"/>
                <w:sz w:val="17"/>
                <w:szCs w:val="17"/>
                <w:color w:val="0000FF"/>
              </w:rPr>
            </w:pPr>
            <w:hyperlink r:id="rId113">
              <w:r>
                <w:rPr>
                  <w:rFonts w:ascii="Arial" w:cs="Arial" w:eastAsia="Arial" w:hAnsi="Arial"/>
                  <w:sz w:val="17"/>
                  <w:szCs w:val="17"/>
                  <w:color w:val="0000FF"/>
                </w:rPr>
                <w:t>Form 8-K (File 001-36505) filed on May 15, 2018).</w:t>
              </w:r>
            </w:hyperlink>
          </w:p>
        </w:tc>
        <w:tc>
          <w:tcPr>
            <w:tcW w:w="40" w:type="dxa"/>
            <w:vAlign w:val="bottom"/>
            <w:gridSpan w:val="2"/>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10.10</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4"/>
              </w:rPr>
            </w:pPr>
            <w:hyperlink r:id="rId114">
              <w:r>
                <w:rPr>
                  <w:rFonts w:ascii="Arial" w:cs="Arial" w:eastAsia="Arial" w:hAnsi="Arial"/>
                  <w:sz w:val="18"/>
                  <w:szCs w:val="18"/>
                  <w:color w:val="0000FF"/>
                  <w:w w:val="94"/>
                </w:rPr>
                <w:t>First Amendment to Exchange Agreement, dated as of May 10, 2018, by and among Diamondback Energy, Inc., Viper Energy Partners</w:t>
              </w:r>
            </w:hyperlink>
          </w:p>
        </w:tc>
      </w:tr>
      <w:tr>
        <w:trPr>
          <w:trHeight w:val="167"/>
        </w:trPr>
        <w:tc>
          <w:tcPr>
            <w:tcW w:w="1520" w:type="dxa"/>
            <w:vAlign w:val="bottom"/>
            <w:tcBorders>
              <w:top w:val="single" w:sz="8" w:color="CCEEFF"/>
              <w:bottom w:val="single" w:sz="8" w:color="CCEEFF"/>
            </w:tcBorders>
            <w:shd w:val="clear" w:color="auto" w:fill="CCEEFF"/>
          </w:tcPr>
          <w:p>
            <w:pPr>
              <w:spacing w:after="0"/>
              <w:rPr>
                <w:sz w:val="14"/>
                <w:szCs w:val="14"/>
                <w:color w:val="auto"/>
              </w:rPr>
            </w:pPr>
          </w:p>
        </w:tc>
        <w:tc>
          <w:tcPr>
            <w:tcW w:w="9900" w:type="dxa"/>
            <w:vAlign w:val="bottom"/>
            <w:tcBorders>
              <w:top w:val="single" w:sz="8" w:color="0000FF"/>
              <w:bottom w:val="single" w:sz="8" w:color="0000FF"/>
            </w:tcBorders>
            <w:gridSpan w:val="26"/>
            <w:shd w:val="clear" w:color="auto" w:fill="CCEEFF"/>
          </w:tcPr>
          <w:p>
            <w:pPr>
              <w:spacing w:after="0" w:line="168" w:lineRule="exact"/>
              <w:rPr>
                <w:rFonts w:ascii="Arial" w:cs="Arial" w:eastAsia="Arial" w:hAnsi="Arial"/>
                <w:sz w:val="18"/>
                <w:szCs w:val="18"/>
                <w:color w:val="0000FF"/>
                <w:w w:val="95"/>
              </w:rPr>
            </w:pPr>
            <w:hyperlink r:id="rId114">
              <w:r>
                <w:rPr>
                  <w:rFonts w:ascii="Arial" w:cs="Arial" w:eastAsia="Arial" w:hAnsi="Arial"/>
                  <w:sz w:val="18"/>
                  <w:szCs w:val="18"/>
                  <w:color w:val="0000FF"/>
                  <w:w w:val="95"/>
                </w:rPr>
                <w:t>LLC, Viper Energy Partners GP LLC and Viper Energy Partners LP. (incorporated by reference to Exhibit 10.2 of the Partnership’s</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80" w:type="dxa"/>
            <w:vAlign w:val="bottom"/>
            <w:tcBorders>
              <w:top w:val="single" w:sz="8" w:color="CCEEFF"/>
              <w:bottom w:val="single" w:sz="8" w:color="0000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r>
      <w:tr>
        <w:trPr>
          <w:trHeight w:val="174"/>
        </w:trPr>
        <w:tc>
          <w:tcPr>
            <w:tcW w:w="1520" w:type="dxa"/>
            <w:vAlign w:val="bottom"/>
            <w:tcBorders>
              <w:bottom w:val="single" w:sz="8" w:color="CCEEFF"/>
            </w:tcBorders>
            <w:shd w:val="clear" w:color="auto" w:fill="CCEEFF"/>
          </w:tcPr>
          <w:p>
            <w:pPr>
              <w:spacing w:after="0"/>
              <w:rPr>
                <w:sz w:val="15"/>
                <w:szCs w:val="15"/>
                <w:color w:val="auto"/>
              </w:rPr>
            </w:pPr>
          </w:p>
        </w:tc>
        <w:tc>
          <w:tcPr>
            <w:tcW w:w="5060" w:type="dxa"/>
            <w:vAlign w:val="bottom"/>
            <w:tcBorders>
              <w:bottom w:val="single" w:sz="8" w:color="0000FF"/>
            </w:tcBorders>
            <w:gridSpan w:val="10"/>
            <w:shd w:val="clear" w:color="auto" w:fill="CCEEFF"/>
          </w:tcPr>
          <w:p>
            <w:pPr>
              <w:spacing w:after="0" w:line="154" w:lineRule="exact"/>
              <w:rPr>
                <w:rFonts w:ascii="Arial" w:cs="Arial" w:eastAsia="Arial" w:hAnsi="Arial"/>
                <w:sz w:val="17"/>
                <w:szCs w:val="17"/>
                <w:color w:val="0000FF"/>
                <w:w w:val="97"/>
              </w:rPr>
            </w:pPr>
            <w:hyperlink r:id="rId114">
              <w:r>
                <w:rPr>
                  <w:rFonts w:ascii="Arial" w:cs="Arial" w:eastAsia="Arial" w:hAnsi="Arial"/>
                  <w:sz w:val="17"/>
                  <w:szCs w:val="17"/>
                  <w:color w:val="0000FF"/>
                  <w:w w:val="97"/>
                </w:rPr>
                <w:t>Current Report on Form 8-K (File 001-36505) filed on May 15, 2018).</w:t>
              </w:r>
            </w:hyperlink>
          </w:p>
        </w:tc>
        <w:tc>
          <w:tcPr>
            <w:tcW w:w="5100" w:type="dxa"/>
            <w:vAlign w:val="bottom"/>
            <w:tcBorders>
              <w:bottom w:val="single" w:sz="8" w:color="CCEEFF"/>
            </w:tcBorders>
            <w:gridSpan w:val="29"/>
            <w:shd w:val="clear" w:color="auto" w:fill="CCEEFF"/>
          </w:tcPr>
          <w:p>
            <w:pPr>
              <w:spacing w:after="0"/>
              <w:rPr>
                <w:sz w:val="15"/>
                <w:szCs w:val="15"/>
                <w:color w:val="auto"/>
              </w:rPr>
            </w:pPr>
          </w:p>
        </w:tc>
        <w:tc>
          <w:tcPr>
            <w:tcW w:w="60" w:type="dxa"/>
            <w:vAlign w:val="bottom"/>
            <w:tcBorders>
              <w:bottom w:val="single" w:sz="8" w:color="CCEEFF"/>
            </w:tcBorders>
            <w:gridSpan w:val="3"/>
            <w:shd w:val="clear" w:color="auto" w:fill="CCEEFF"/>
          </w:tcPr>
          <w:p>
            <w:pPr>
              <w:spacing w:after="0"/>
              <w:rPr>
                <w:sz w:val="15"/>
                <w:szCs w:val="15"/>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10.11</w:t>
            </w:r>
          </w:p>
        </w:tc>
        <w:tc>
          <w:tcPr>
            <w:tcW w:w="10220" w:type="dxa"/>
            <w:vAlign w:val="bottom"/>
            <w:gridSpan w:val="42"/>
          </w:tcPr>
          <w:p>
            <w:pPr>
              <w:spacing w:after="0" w:line="188" w:lineRule="exact"/>
              <w:rPr>
                <w:rFonts w:ascii="Arial" w:cs="Arial" w:eastAsia="Arial" w:hAnsi="Arial"/>
                <w:sz w:val="18"/>
                <w:szCs w:val="18"/>
                <w:color w:val="0000FF"/>
                <w:w w:val="95"/>
              </w:rPr>
            </w:pPr>
            <w:hyperlink r:id="rId115">
              <w:r>
                <w:rPr>
                  <w:rFonts w:ascii="Arial" w:cs="Arial" w:eastAsia="Arial" w:hAnsi="Arial"/>
                  <w:sz w:val="18"/>
                  <w:szCs w:val="18"/>
                  <w:color w:val="0000FF"/>
                  <w:w w:val="95"/>
                </w:rPr>
                <w:t>Second Amendment to Amended and Restated Senior Secured Revolving Credit Agreement, dated as of September 24, 2019, among</w:t>
              </w:r>
            </w:hyperlink>
          </w:p>
        </w:tc>
      </w:tr>
      <w:tr>
        <w:trPr>
          <w:trHeight w:val="167"/>
        </w:trPr>
        <w:tc>
          <w:tcPr>
            <w:tcW w:w="1520" w:type="dxa"/>
            <w:vAlign w:val="bottom"/>
          </w:tcPr>
          <w:p>
            <w:pPr>
              <w:spacing w:after="0"/>
              <w:rPr>
                <w:sz w:val="14"/>
                <w:szCs w:val="14"/>
                <w:color w:val="auto"/>
              </w:rPr>
            </w:pPr>
          </w:p>
        </w:tc>
        <w:tc>
          <w:tcPr>
            <w:tcW w:w="10140" w:type="dxa"/>
            <w:vAlign w:val="bottom"/>
            <w:tcBorders>
              <w:top w:val="single" w:sz="8" w:color="0000FF"/>
            </w:tcBorders>
            <w:gridSpan w:val="38"/>
          </w:tcPr>
          <w:p>
            <w:pPr>
              <w:spacing w:after="0" w:line="168" w:lineRule="exact"/>
              <w:rPr>
                <w:rFonts w:ascii="Arial" w:cs="Arial" w:eastAsia="Arial" w:hAnsi="Arial"/>
                <w:sz w:val="18"/>
                <w:szCs w:val="18"/>
                <w:color w:val="0000FF"/>
                <w:w w:val="95"/>
              </w:rPr>
            </w:pPr>
            <w:hyperlink r:id="rId115">
              <w:r>
                <w:rPr>
                  <w:rFonts w:ascii="Arial" w:cs="Arial" w:eastAsia="Arial" w:hAnsi="Arial"/>
                  <w:sz w:val="18"/>
                  <w:szCs w:val="18"/>
                  <w:color w:val="0000FF"/>
                  <w:w w:val="95"/>
                </w:rPr>
                <w:t>Viper Energy Partners LLC, as borrower, Viper Energy Partners LP, as parent guarantor, Wells Fargo Bank, National Association, as</w:t>
              </w:r>
            </w:hyperlink>
          </w:p>
        </w:tc>
        <w:tc>
          <w:tcPr>
            <w:tcW w:w="80" w:type="dxa"/>
            <w:vAlign w:val="bottom"/>
            <w:gridSpan w:val="4"/>
          </w:tcPr>
          <w:p>
            <w:pPr>
              <w:spacing w:after="0"/>
              <w:rPr>
                <w:sz w:val="14"/>
                <w:szCs w:val="14"/>
                <w:color w:val="auto"/>
              </w:rPr>
            </w:pPr>
          </w:p>
        </w:tc>
      </w:tr>
      <w:tr>
        <w:trPr>
          <w:trHeight w:val="154"/>
        </w:trPr>
        <w:tc>
          <w:tcPr>
            <w:tcW w:w="15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7"/>
          </w:tcPr>
          <w:p>
            <w:pPr>
              <w:spacing w:after="0" w:line="154" w:lineRule="exact"/>
              <w:rPr>
                <w:rFonts w:ascii="Arial" w:cs="Arial" w:eastAsia="Arial" w:hAnsi="Arial"/>
                <w:sz w:val="17"/>
                <w:szCs w:val="17"/>
                <w:color w:val="0000FF"/>
                <w:w w:val="99"/>
              </w:rPr>
            </w:pPr>
            <w:hyperlink r:id="rId115">
              <w:r>
                <w:rPr>
                  <w:rFonts w:ascii="Arial" w:cs="Arial" w:eastAsia="Arial" w:hAnsi="Arial"/>
                  <w:sz w:val="17"/>
                  <w:szCs w:val="17"/>
                  <w:color w:val="0000FF"/>
                  <w:w w:val="99"/>
                </w:rPr>
                <w:t>administrative agent, and the lender party thereto (incorporated by reference to Exhibit 10.1 of the Partnership’s Current Report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760" w:type="dxa"/>
            <w:vAlign w:val="bottom"/>
            <w:gridSpan w:val="19"/>
          </w:tcPr>
          <w:p>
            <w:pPr>
              <w:spacing w:after="0" w:line="154" w:lineRule="exact"/>
              <w:rPr>
                <w:rFonts w:ascii="Arial" w:cs="Arial" w:eastAsia="Arial" w:hAnsi="Arial"/>
                <w:sz w:val="17"/>
                <w:szCs w:val="17"/>
                <w:color w:val="0000FF"/>
              </w:rPr>
            </w:pPr>
            <w:hyperlink r:id="rId115">
              <w:r>
                <w:rPr>
                  <w:rFonts w:ascii="Arial" w:cs="Arial" w:eastAsia="Arial" w:hAnsi="Arial"/>
                  <w:sz w:val="17"/>
                  <w:szCs w:val="17"/>
                  <w:color w:val="0000FF"/>
                </w:rPr>
                <w:t>Form 8-K (File 001-36505) filed on September 30,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10.12</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6"/>
              </w:rPr>
            </w:pPr>
            <w:hyperlink r:id="rId116">
              <w:r>
                <w:rPr>
                  <w:rFonts w:ascii="Arial" w:cs="Arial" w:eastAsia="Arial" w:hAnsi="Arial"/>
                  <w:sz w:val="18"/>
                  <w:szCs w:val="18"/>
                  <w:color w:val="0000FF"/>
                  <w:w w:val="96"/>
                </w:rPr>
                <w:t>Third Amendment to Amended and Restated Senior Secured Revolving Credit Agreement, dated as of October 8, 2019, among Viper</w:t>
              </w:r>
            </w:hyperlink>
          </w:p>
        </w:tc>
      </w:tr>
      <w:tr>
        <w:trPr>
          <w:trHeight w:val="167"/>
        </w:trPr>
        <w:tc>
          <w:tcPr>
            <w:tcW w:w="15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0000FF"/>
            </w:tcBorders>
            <w:gridSpan w:val="25"/>
            <w:shd w:val="clear" w:color="auto" w:fill="CCEEFF"/>
          </w:tcPr>
          <w:p>
            <w:pPr>
              <w:spacing w:after="0" w:line="168" w:lineRule="exact"/>
              <w:rPr>
                <w:rFonts w:ascii="Arial" w:cs="Arial" w:eastAsia="Arial" w:hAnsi="Arial"/>
                <w:sz w:val="18"/>
                <w:szCs w:val="18"/>
                <w:color w:val="0000FF"/>
                <w:w w:val="97"/>
              </w:rPr>
            </w:pPr>
            <w:hyperlink r:id="rId116">
              <w:r>
                <w:rPr>
                  <w:rFonts w:ascii="Arial" w:cs="Arial" w:eastAsia="Arial" w:hAnsi="Arial"/>
                  <w:sz w:val="18"/>
                  <w:szCs w:val="18"/>
                  <w:color w:val="0000FF"/>
                  <w:w w:val="97"/>
                </w:rPr>
                <w:t>Energy Partners LLC, as borrower, Viper Energy Partners LP, as parent guarantor, Wells Fargo Bank, National Association, as</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7"/>
            <w:shd w:val="clear" w:color="auto" w:fill="CCEEFF"/>
          </w:tcPr>
          <w:p>
            <w:pPr>
              <w:spacing w:after="0"/>
              <w:rPr>
                <w:sz w:val="14"/>
                <w:szCs w:val="14"/>
                <w:color w:val="auto"/>
              </w:rPr>
            </w:pPr>
          </w:p>
        </w:tc>
      </w:tr>
      <w:tr>
        <w:trPr>
          <w:trHeight w:val="154"/>
        </w:trPr>
        <w:tc>
          <w:tcPr>
            <w:tcW w:w="152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20"/>
            <w:shd w:val="clear" w:color="auto" w:fill="CCEEFF"/>
          </w:tcPr>
          <w:p>
            <w:pPr>
              <w:spacing w:after="0" w:line="154" w:lineRule="exact"/>
              <w:rPr>
                <w:rFonts w:ascii="Arial" w:cs="Arial" w:eastAsia="Arial" w:hAnsi="Arial"/>
                <w:sz w:val="17"/>
                <w:szCs w:val="17"/>
                <w:color w:val="0000FF"/>
                <w:w w:val="99"/>
              </w:rPr>
            </w:pPr>
            <w:hyperlink r:id="rId116">
              <w:r>
                <w:rPr>
                  <w:rFonts w:ascii="Arial" w:cs="Arial" w:eastAsia="Arial" w:hAnsi="Arial"/>
                  <w:sz w:val="17"/>
                  <w:szCs w:val="17"/>
                  <w:color w:val="0000FF"/>
                  <w:w w:val="99"/>
                </w:rPr>
                <w:t>administrative agent, and the lender party thereto (incorporated by reference to Exhibit 10.1 of the Partnership’s Current Report on</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r>
      <w:tr>
        <w:trPr>
          <w:trHeight w:val="174"/>
        </w:trPr>
        <w:tc>
          <w:tcPr>
            <w:tcW w:w="1520" w:type="dxa"/>
            <w:vAlign w:val="bottom"/>
            <w:tcBorders>
              <w:top w:val="single" w:sz="8" w:color="CCEEFF"/>
              <w:bottom w:val="single" w:sz="8" w:color="CCEEFF"/>
            </w:tcBorders>
            <w:shd w:val="clear" w:color="auto" w:fill="CCEEFF"/>
          </w:tcPr>
          <w:p>
            <w:pPr>
              <w:spacing w:after="0"/>
              <w:rPr>
                <w:sz w:val="15"/>
                <w:szCs w:val="15"/>
                <w:color w:val="auto"/>
              </w:rPr>
            </w:pPr>
          </w:p>
        </w:tc>
        <w:tc>
          <w:tcPr>
            <w:tcW w:w="3960" w:type="dxa"/>
            <w:vAlign w:val="bottom"/>
            <w:tcBorders>
              <w:top w:val="single" w:sz="8" w:color="0000FF"/>
              <w:bottom w:val="single" w:sz="8" w:color="0000FF"/>
            </w:tcBorders>
            <w:gridSpan w:val="5"/>
            <w:shd w:val="clear" w:color="auto" w:fill="CCEEFF"/>
          </w:tcPr>
          <w:p>
            <w:pPr>
              <w:spacing w:after="0" w:line="154" w:lineRule="exact"/>
              <w:rPr>
                <w:rFonts w:ascii="Arial" w:cs="Arial" w:eastAsia="Arial" w:hAnsi="Arial"/>
                <w:sz w:val="17"/>
                <w:szCs w:val="17"/>
                <w:color w:val="0000FF"/>
                <w:w w:val="96"/>
              </w:rPr>
            </w:pPr>
            <w:hyperlink r:id="rId116">
              <w:r>
                <w:rPr>
                  <w:rFonts w:ascii="Arial" w:cs="Arial" w:eastAsia="Arial" w:hAnsi="Arial"/>
                  <w:sz w:val="17"/>
                  <w:szCs w:val="17"/>
                  <w:color w:val="0000FF"/>
                  <w:w w:val="96"/>
                </w:rPr>
                <w:t>Form 8-K (File 001-36505) filed on October 10, 2019).</w:t>
              </w:r>
            </w:hyperlink>
          </w:p>
        </w:tc>
        <w:tc>
          <w:tcPr>
            <w:tcW w:w="5800" w:type="dxa"/>
            <w:vAlign w:val="bottom"/>
            <w:tcBorders>
              <w:top w:val="single" w:sz="8" w:color="0000FF"/>
              <w:bottom w:val="single" w:sz="8" w:color="CCEEFF"/>
            </w:tcBorders>
            <w:gridSpan w:val="1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7"/>
            <w:shd w:val="clear" w:color="auto" w:fill="CCEEFF"/>
          </w:tcPr>
          <w:p>
            <w:pPr>
              <w:spacing w:after="0"/>
              <w:rPr>
                <w:sz w:val="15"/>
                <w:szCs w:val="15"/>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10.13</w:t>
            </w:r>
          </w:p>
        </w:tc>
        <w:tc>
          <w:tcPr>
            <w:tcW w:w="10220" w:type="dxa"/>
            <w:vAlign w:val="bottom"/>
            <w:gridSpan w:val="42"/>
          </w:tcPr>
          <w:p>
            <w:pPr>
              <w:spacing w:after="0" w:line="188" w:lineRule="exact"/>
              <w:rPr>
                <w:rFonts w:ascii="Arial" w:cs="Arial" w:eastAsia="Arial" w:hAnsi="Arial"/>
                <w:sz w:val="18"/>
                <w:szCs w:val="18"/>
                <w:color w:val="0000FF"/>
                <w:w w:val="96"/>
              </w:rPr>
            </w:pPr>
            <w:hyperlink r:id="rId117">
              <w:r>
                <w:rPr>
                  <w:rFonts w:ascii="Arial" w:cs="Arial" w:eastAsia="Arial" w:hAnsi="Arial"/>
                  <w:sz w:val="18"/>
                  <w:szCs w:val="18"/>
                  <w:color w:val="0000FF"/>
                  <w:w w:val="96"/>
                </w:rPr>
                <w:t>Fourth Amendment to Amended and Restated Senior Secured Revolving Credit Agreement, dated as of November 29, 2019, among</w:t>
              </w:r>
            </w:hyperlink>
          </w:p>
        </w:tc>
      </w:tr>
      <w:tr>
        <w:trPr>
          <w:trHeight w:val="167"/>
        </w:trPr>
        <w:tc>
          <w:tcPr>
            <w:tcW w:w="1520" w:type="dxa"/>
            <w:vAlign w:val="bottom"/>
          </w:tcPr>
          <w:p>
            <w:pPr>
              <w:spacing w:after="0"/>
              <w:rPr>
                <w:sz w:val="14"/>
                <w:szCs w:val="14"/>
                <w:color w:val="auto"/>
              </w:rPr>
            </w:pPr>
          </w:p>
        </w:tc>
        <w:tc>
          <w:tcPr>
            <w:tcW w:w="9940" w:type="dxa"/>
            <w:vAlign w:val="bottom"/>
            <w:tcBorders>
              <w:top w:val="single" w:sz="8" w:color="0000FF"/>
            </w:tcBorders>
            <w:gridSpan w:val="28"/>
          </w:tcPr>
          <w:p>
            <w:pPr>
              <w:spacing w:after="0" w:line="168" w:lineRule="exact"/>
              <w:rPr>
                <w:rFonts w:ascii="Arial" w:cs="Arial" w:eastAsia="Arial" w:hAnsi="Arial"/>
                <w:sz w:val="18"/>
                <w:szCs w:val="18"/>
                <w:color w:val="0000FF"/>
                <w:w w:val="93"/>
              </w:rPr>
            </w:pPr>
            <w:hyperlink r:id="rId117">
              <w:r>
                <w:rPr>
                  <w:rFonts w:ascii="Arial" w:cs="Arial" w:eastAsia="Arial" w:hAnsi="Arial"/>
                  <w:sz w:val="18"/>
                  <w:szCs w:val="18"/>
                  <w:color w:val="0000FF"/>
                  <w:w w:val="93"/>
                </w:rPr>
                <w:t>Viper Energy Partners LLC, as borrower, Viper Energy Partners LP, as parent guarantor, Wells Fargo Bank, National Association, as</w:t>
              </w:r>
            </w:hyperlink>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54"/>
        </w:trPr>
        <w:tc>
          <w:tcPr>
            <w:tcW w:w="15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7"/>
          </w:tcPr>
          <w:p>
            <w:pPr>
              <w:spacing w:after="0" w:line="154" w:lineRule="exact"/>
              <w:rPr>
                <w:rFonts w:ascii="Arial" w:cs="Arial" w:eastAsia="Arial" w:hAnsi="Arial"/>
                <w:sz w:val="17"/>
                <w:szCs w:val="17"/>
                <w:color w:val="0000FF"/>
                <w:w w:val="98"/>
              </w:rPr>
            </w:pPr>
            <w:hyperlink r:id="rId117">
              <w:r>
                <w:rPr>
                  <w:rFonts w:ascii="Arial" w:cs="Arial" w:eastAsia="Arial" w:hAnsi="Arial"/>
                  <w:sz w:val="17"/>
                  <w:szCs w:val="17"/>
                  <w:color w:val="0000FF"/>
                  <w:w w:val="98"/>
                </w:rPr>
                <w:t>administrative agent, and the lenders party thereto (incorporated by reference to Exhibit 10.1 of the Partnership’s Current Report on</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920" w:type="dxa"/>
            <w:vAlign w:val="bottom"/>
            <w:gridSpan w:val="27"/>
          </w:tcPr>
          <w:p>
            <w:pPr>
              <w:spacing w:after="0" w:line="154" w:lineRule="exact"/>
              <w:rPr>
                <w:rFonts w:ascii="Arial" w:cs="Arial" w:eastAsia="Arial" w:hAnsi="Arial"/>
                <w:sz w:val="17"/>
                <w:szCs w:val="17"/>
                <w:color w:val="0000FF"/>
              </w:rPr>
            </w:pPr>
            <w:hyperlink r:id="rId117">
              <w:r>
                <w:rPr>
                  <w:rFonts w:ascii="Arial" w:cs="Arial" w:eastAsia="Arial" w:hAnsi="Arial"/>
                  <w:sz w:val="17"/>
                  <w:szCs w:val="17"/>
                  <w:color w:val="0000FF"/>
                </w:rPr>
                <w:t>Form 8-K (File No. 001-36505) filed on December 5, 2019).</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10.14</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8"/>
              </w:rPr>
            </w:pPr>
            <w:hyperlink r:id="rId118">
              <w:r>
                <w:rPr>
                  <w:rFonts w:ascii="Arial" w:cs="Arial" w:eastAsia="Arial" w:hAnsi="Arial"/>
                  <w:sz w:val="18"/>
                  <w:szCs w:val="18"/>
                  <w:color w:val="0000FF"/>
                  <w:w w:val="98"/>
                </w:rPr>
                <w:t>Fifth Amendment to Amended and Restated Senior Secured Revolving Credit Agreement, dated as of May 11, 2020, among Viper</w:t>
              </w:r>
            </w:hyperlink>
          </w:p>
        </w:tc>
      </w:tr>
      <w:tr>
        <w:trPr>
          <w:trHeight w:val="167"/>
        </w:trPr>
        <w:tc>
          <w:tcPr>
            <w:tcW w:w="152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FF"/>
            </w:tcBorders>
            <w:gridSpan w:val="24"/>
            <w:shd w:val="clear" w:color="auto" w:fill="CCEEFF"/>
          </w:tcPr>
          <w:p>
            <w:pPr>
              <w:spacing w:after="0" w:line="168" w:lineRule="exact"/>
              <w:rPr>
                <w:rFonts w:ascii="Arial" w:cs="Arial" w:eastAsia="Arial" w:hAnsi="Arial"/>
                <w:sz w:val="18"/>
                <w:szCs w:val="18"/>
                <w:color w:val="0000FF"/>
                <w:w w:val="97"/>
              </w:rPr>
            </w:pPr>
            <w:hyperlink r:id="rId118">
              <w:r>
                <w:rPr>
                  <w:rFonts w:ascii="Arial" w:cs="Arial" w:eastAsia="Arial" w:hAnsi="Arial"/>
                  <w:sz w:val="18"/>
                  <w:szCs w:val="18"/>
                  <w:color w:val="0000FF"/>
                  <w:w w:val="97"/>
                </w:rPr>
                <w:t>Energy Partners LLC, as borrower, Viper Energy Partners LP, as parent guarantor, Wells Fargo Bank, National Association, as</w:t>
              </w:r>
            </w:hyperlink>
          </w:p>
        </w:tc>
        <w:tc>
          <w:tcPr>
            <w:tcW w:w="120" w:type="dxa"/>
            <w:vAlign w:val="bottom"/>
            <w:tcBorders>
              <w:top w:val="single" w:sz="8" w:color="CCEEFF"/>
            </w:tcBorders>
            <w:gridSpan w:val="6"/>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7"/>
            <w:shd w:val="clear" w:color="auto" w:fill="CCEEFF"/>
          </w:tcPr>
          <w:p>
            <w:pPr>
              <w:spacing w:after="0"/>
              <w:rPr>
                <w:sz w:val="14"/>
                <w:szCs w:val="14"/>
                <w:color w:val="auto"/>
              </w:rPr>
            </w:pPr>
          </w:p>
        </w:tc>
      </w:tr>
      <w:tr>
        <w:trPr>
          <w:trHeight w:val="154"/>
        </w:trPr>
        <w:tc>
          <w:tcPr>
            <w:tcW w:w="152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21"/>
            <w:shd w:val="clear" w:color="auto" w:fill="CCEEFF"/>
          </w:tcPr>
          <w:p>
            <w:pPr>
              <w:spacing w:after="0" w:line="154" w:lineRule="exact"/>
              <w:rPr>
                <w:rFonts w:ascii="Arial" w:cs="Arial" w:eastAsia="Arial" w:hAnsi="Arial"/>
                <w:sz w:val="17"/>
                <w:szCs w:val="17"/>
                <w:color w:val="0000FF"/>
                <w:w w:val="99"/>
              </w:rPr>
            </w:pPr>
            <w:hyperlink r:id="rId118">
              <w:r>
                <w:rPr>
                  <w:rFonts w:ascii="Arial" w:cs="Arial" w:eastAsia="Arial" w:hAnsi="Arial"/>
                  <w:sz w:val="17"/>
                  <w:szCs w:val="17"/>
                  <w:color w:val="0000FF"/>
                  <w:w w:val="99"/>
                </w:rPr>
                <w:t>administrative agent, and the lenders party thereto (incorporated by reference to Exhibit 10.1 of the Partnership’s Current Report on</w:t>
              </w:r>
            </w:hyperlink>
          </w:p>
        </w:tc>
        <w:tc>
          <w:tcPr>
            <w:tcW w:w="180" w:type="dxa"/>
            <w:vAlign w:val="bottom"/>
            <w:tcBorders>
              <w:top w:val="single" w:sz="8" w:color="CCEEFF"/>
            </w:tcBorders>
            <w:gridSpan w:val="9"/>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r>
      <w:tr>
        <w:trPr>
          <w:trHeight w:val="174"/>
        </w:trPr>
        <w:tc>
          <w:tcPr>
            <w:tcW w:w="1520" w:type="dxa"/>
            <w:vAlign w:val="bottom"/>
            <w:tcBorders>
              <w:top w:val="single" w:sz="8" w:color="CCEEFF"/>
              <w:bottom w:val="single" w:sz="8" w:color="CCEEFF"/>
            </w:tcBorders>
            <w:shd w:val="clear" w:color="auto" w:fill="CCEEFF"/>
          </w:tcPr>
          <w:p>
            <w:pPr>
              <w:spacing w:after="0"/>
              <w:rPr>
                <w:sz w:val="15"/>
                <w:szCs w:val="15"/>
                <w:color w:val="auto"/>
              </w:rPr>
            </w:pPr>
          </w:p>
        </w:tc>
        <w:tc>
          <w:tcPr>
            <w:tcW w:w="3720" w:type="dxa"/>
            <w:vAlign w:val="bottom"/>
            <w:tcBorders>
              <w:top w:val="single" w:sz="8" w:color="0000FF"/>
              <w:bottom w:val="single" w:sz="8" w:color="0000FF"/>
            </w:tcBorders>
            <w:gridSpan w:val="4"/>
            <w:shd w:val="clear" w:color="auto" w:fill="CCEEFF"/>
          </w:tcPr>
          <w:p>
            <w:pPr>
              <w:spacing w:after="0" w:line="154" w:lineRule="exact"/>
              <w:rPr>
                <w:rFonts w:ascii="Arial" w:cs="Arial" w:eastAsia="Arial" w:hAnsi="Arial"/>
                <w:sz w:val="17"/>
                <w:szCs w:val="17"/>
                <w:color w:val="0000FF"/>
                <w:w w:val="97"/>
              </w:rPr>
            </w:pPr>
            <w:hyperlink r:id="rId118">
              <w:r>
                <w:rPr>
                  <w:rFonts w:ascii="Arial" w:cs="Arial" w:eastAsia="Arial" w:hAnsi="Arial"/>
                  <w:sz w:val="17"/>
                  <w:szCs w:val="17"/>
                  <w:color w:val="0000FF"/>
                  <w:w w:val="97"/>
                </w:rPr>
                <w:t>Form 8-K (File 001-36505) filed on May 15, 2020).</w:t>
              </w:r>
            </w:hyperlink>
          </w:p>
        </w:tc>
        <w:tc>
          <w:tcPr>
            <w:tcW w:w="6200" w:type="dxa"/>
            <w:vAlign w:val="bottom"/>
            <w:tcBorders>
              <w:top w:val="single" w:sz="8" w:color="0000FF"/>
              <w:bottom w:val="single" w:sz="8" w:color="CCEEFF"/>
            </w:tcBorders>
            <w:gridSpan w:val="23"/>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7"/>
            <w:shd w:val="clear" w:color="auto" w:fill="CCEEFF"/>
          </w:tcPr>
          <w:p>
            <w:pPr>
              <w:spacing w:after="0"/>
              <w:rPr>
                <w:sz w:val="15"/>
                <w:szCs w:val="15"/>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10.15</w:t>
            </w:r>
          </w:p>
        </w:tc>
        <w:tc>
          <w:tcPr>
            <w:tcW w:w="10220" w:type="dxa"/>
            <w:vAlign w:val="bottom"/>
            <w:gridSpan w:val="42"/>
          </w:tcPr>
          <w:p>
            <w:pPr>
              <w:spacing w:after="0" w:line="188" w:lineRule="exact"/>
              <w:rPr>
                <w:rFonts w:ascii="Arial" w:cs="Arial" w:eastAsia="Arial" w:hAnsi="Arial"/>
                <w:sz w:val="18"/>
                <w:szCs w:val="18"/>
                <w:color w:val="0000FF"/>
                <w:w w:val="94"/>
              </w:rPr>
            </w:pPr>
            <w:hyperlink r:id="rId119">
              <w:r>
                <w:rPr>
                  <w:rFonts w:ascii="Arial" w:cs="Arial" w:eastAsia="Arial" w:hAnsi="Arial"/>
                  <w:sz w:val="18"/>
                  <w:szCs w:val="18"/>
                  <w:color w:val="0000FF"/>
                  <w:w w:val="94"/>
                </w:rPr>
                <w:t>Sixth Amendment to Amended and Restated Senior Secured Revolving Credit Agreement, dated as of November 6, 2020, among Viper</w:t>
              </w:r>
            </w:hyperlink>
          </w:p>
        </w:tc>
      </w:tr>
      <w:tr>
        <w:trPr>
          <w:trHeight w:val="167"/>
        </w:trPr>
        <w:tc>
          <w:tcPr>
            <w:tcW w:w="1520" w:type="dxa"/>
            <w:vAlign w:val="bottom"/>
          </w:tcPr>
          <w:p>
            <w:pPr>
              <w:spacing w:after="0"/>
              <w:rPr>
                <w:sz w:val="14"/>
                <w:szCs w:val="14"/>
                <w:color w:val="auto"/>
              </w:rPr>
            </w:pPr>
          </w:p>
        </w:tc>
        <w:tc>
          <w:tcPr>
            <w:tcW w:w="9820" w:type="dxa"/>
            <w:vAlign w:val="bottom"/>
            <w:tcBorders>
              <w:top w:val="single" w:sz="8" w:color="0000FF"/>
            </w:tcBorders>
            <w:gridSpan w:val="22"/>
          </w:tcPr>
          <w:p>
            <w:pPr>
              <w:spacing w:after="0" w:line="168" w:lineRule="exact"/>
              <w:rPr>
                <w:rFonts w:ascii="Arial" w:cs="Arial" w:eastAsia="Arial" w:hAnsi="Arial"/>
                <w:sz w:val="18"/>
                <w:szCs w:val="18"/>
                <w:color w:val="0000FF"/>
                <w:w w:val="97"/>
              </w:rPr>
            </w:pPr>
            <w:hyperlink r:id="rId119">
              <w:r>
                <w:rPr>
                  <w:rFonts w:ascii="Arial" w:cs="Arial" w:eastAsia="Arial" w:hAnsi="Arial"/>
                  <w:sz w:val="18"/>
                  <w:szCs w:val="18"/>
                  <w:color w:val="0000FF"/>
                  <w:w w:val="97"/>
                </w:rPr>
                <w:t>Energy Partners LLC, as borrower, Viper Energy Partners LP, as parent guarantor, Wells Fargo Bank, National Association, as</w:t>
              </w:r>
            </w:hyperlink>
          </w:p>
        </w:tc>
        <w:tc>
          <w:tcPr>
            <w:tcW w:w="160" w:type="dxa"/>
            <w:vAlign w:val="bottom"/>
            <w:gridSpan w:val="8"/>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54"/>
        </w:trPr>
        <w:tc>
          <w:tcPr>
            <w:tcW w:w="152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54" w:lineRule="exact"/>
              <w:rPr>
                <w:rFonts w:ascii="Arial" w:cs="Arial" w:eastAsia="Arial" w:hAnsi="Arial"/>
                <w:sz w:val="17"/>
                <w:szCs w:val="17"/>
                <w:color w:val="0000FF"/>
                <w:w w:val="99"/>
              </w:rPr>
            </w:pPr>
            <w:hyperlink r:id="rId119">
              <w:r>
                <w:rPr>
                  <w:rFonts w:ascii="Arial" w:cs="Arial" w:eastAsia="Arial" w:hAnsi="Arial"/>
                  <w:sz w:val="17"/>
                  <w:szCs w:val="17"/>
                  <w:color w:val="0000FF"/>
                  <w:w w:val="99"/>
                </w:rPr>
                <w:t>administrative agent, and the lenders party thereto (incorporated by reference to Exhibit 10.1 of the Partnership’s Current Report on</w:t>
              </w:r>
            </w:hyperlink>
          </w:p>
        </w:tc>
        <w:tc>
          <w:tcPr>
            <w:tcW w:w="180" w:type="dxa"/>
            <w:vAlign w:val="bottom"/>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920" w:type="dxa"/>
            <w:vAlign w:val="bottom"/>
            <w:tcBorders>
              <w:top w:val="single" w:sz="8" w:color="0000FF"/>
            </w:tcBorders>
            <w:gridSpan w:val="27"/>
          </w:tcPr>
          <w:p>
            <w:pPr>
              <w:spacing w:after="0" w:line="154" w:lineRule="exact"/>
              <w:rPr>
                <w:rFonts w:ascii="Arial" w:cs="Arial" w:eastAsia="Arial" w:hAnsi="Arial"/>
                <w:sz w:val="17"/>
                <w:szCs w:val="17"/>
                <w:color w:val="0000FF"/>
              </w:rPr>
            </w:pPr>
            <w:hyperlink r:id="rId119">
              <w:r>
                <w:rPr>
                  <w:rFonts w:ascii="Arial" w:cs="Arial" w:eastAsia="Arial" w:hAnsi="Arial"/>
                  <w:sz w:val="17"/>
                  <w:szCs w:val="17"/>
                  <w:color w:val="0000FF"/>
                </w:rPr>
                <w:t>Form 8-K (File No. 001-36505) filed on November 12, 2020).</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10.16</w:t>
            </w:r>
          </w:p>
        </w:tc>
        <w:tc>
          <w:tcPr>
            <w:tcW w:w="10220" w:type="dxa"/>
            <w:vAlign w:val="bottom"/>
            <w:gridSpan w:val="42"/>
            <w:shd w:val="clear" w:color="auto" w:fill="CCEEFF"/>
          </w:tcPr>
          <w:p>
            <w:pPr>
              <w:spacing w:after="0" w:line="188" w:lineRule="exact"/>
              <w:rPr>
                <w:rFonts w:ascii="Arial" w:cs="Arial" w:eastAsia="Arial" w:hAnsi="Arial"/>
                <w:sz w:val="18"/>
                <w:szCs w:val="18"/>
                <w:color w:val="0000FF"/>
                <w:w w:val="94"/>
              </w:rPr>
            </w:pPr>
            <w:hyperlink r:id="rId120">
              <w:r>
                <w:rPr>
                  <w:rFonts w:ascii="Arial" w:cs="Arial" w:eastAsia="Arial" w:hAnsi="Arial"/>
                  <w:sz w:val="18"/>
                  <w:szCs w:val="18"/>
                  <w:color w:val="0000FF"/>
                  <w:w w:val="94"/>
                </w:rPr>
                <w:t>Seventh Amendment to Amended and Restated Senior Secured Revolving Credit Agreement and Second Amendment to Guaranty and</w:t>
              </w:r>
            </w:hyperlink>
          </w:p>
        </w:tc>
      </w:tr>
      <w:tr>
        <w:trPr>
          <w:trHeight w:val="167"/>
        </w:trPr>
        <w:tc>
          <w:tcPr>
            <w:tcW w:w="1520" w:type="dxa"/>
            <w:vAlign w:val="bottom"/>
            <w:tcBorders>
              <w:top w:val="single" w:sz="8" w:color="CCEEFF"/>
              <w:bottom w:val="single" w:sz="8" w:color="CCEEFF"/>
            </w:tcBorders>
            <w:shd w:val="clear" w:color="auto" w:fill="CCEEFF"/>
          </w:tcPr>
          <w:p>
            <w:pPr>
              <w:spacing w:after="0"/>
              <w:rPr>
                <w:sz w:val="14"/>
                <w:szCs w:val="14"/>
                <w:color w:val="auto"/>
              </w:rPr>
            </w:pPr>
          </w:p>
        </w:tc>
        <w:tc>
          <w:tcPr>
            <w:tcW w:w="9980" w:type="dxa"/>
            <w:vAlign w:val="bottom"/>
            <w:tcBorders>
              <w:top w:val="single" w:sz="8" w:color="0000FF"/>
              <w:bottom w:val="single" w:sz="8" w:color="0000FF"/>
            </w:tcBorders>
            <w:gridSpan w:val="30"/>
            <w:shd w:val="clear" w:color="auto" w:fill="CCEEFF"/>
          </w:tcPr>
          <w:p>
            <w:pPr>
              <w:spacing w:after="0" w:line="168" w:lineRule="exact"/>
              <w:rPr>
                <w:rFonts w:ascii="Arial" w:cs="Arial" w:eastAsia="Arial" w:hAnsi="Arial"/>
                <w:sz w:val="18"/>
                <w:szCs w:val="18"/>
                <w:color w:val="0000FF"/>
                <w:w w:val="93"/>
              </w:rPr>
            </w:pPr>
            <w:hyperlink r:id="rId120">
              <w:r>
                <w:rPr>
                  <w:rFonts w:ascii="Arial" w:cs="Arial" w:eastAsia="Arial" w:hAnsi="Arial"/>
                  <w:sz w:val="18"/>
                  <w:szCs w:val="18"/>
                  <w:color w:val="0000FF"/>
                  <w:w w:val="93"/>
                </w:rPr>
                <w:t>Collateral Agreement, dated as of June 2, 2021, by and among Viper Energy Partners LLC, as borrower, Viper Energy Partners LP, as</w:t>
              </w:r>
            </w:hyperlink>
          </w:p>
        </w:tc>
        <w:tc>
          <w:tcPr>
            <w:tcW w:w="80" w:type="dxa"/>
            <w:vAlign w:val="bottom"/>
            <w:tcBorders>
              <w:top w:val="single" w:sz="8" w:color="CCEEFF"/>
              <w:bottom w:val="single" w:sz="8" w:color="0000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7"/>
            <w:shd w:val="clear" w:color="auto" w:fill="CCEEFF"/>
          </w:tcPr>
          <w:p>
            <w:pPr>
              <w:spacing w:after="0"/>
              <w:rPr>
                <w:sz w:val="14"/>
                <w:szCs w:val="14"/>
                <w:color w:val="auto"/>
              </w:rPr>
            </w:pPr>
          </w:p>
        </w:tc>
      </w:tr>
      <w:tr>
        <w:trPr>
          <w:trHeight w:val="154"/>
        </w:trPr>
        <w:tc>
          <w:tcPr>
            <w:tcW w:w="1520" w:type="dxa"/>
            <w:vAlign w:val="bottom"/>
            <w:shd w:val="clear" w:color="auto" w:fill="CCEEFF"/>
          </w:tcPr>
          <w:p>
            <w:pPr>
              <w:spacing w:after="0"/>
              <w:rPr>
                <w:sz w:val="13"/>
                <w:szCs w:val="13"/>
                <w:color w:val="auto"/>
              </w:rPr>
            </w:pPr>
          </w:p>
        </w:tc>
        <w:tc>
          <w:tcPr>
            <w:tcW w:w="10080" w:type="dxa"/>
            <w:vAlign w:val="bottom"/>
            <w:gridSpan w:val="35"/>
            <w:shd w:val="clear" w:color="auto" w:fill="CCEEFF"/>
          </w:tcPr>
          <w:p>
            <w:pPr>
              <w:spacing w:after="0" w:line="154" w:lineRule="exact"/>
              <w:rPr>
                <w:rFonts w:ascii="Arial" w:cs="Arial" w:eastAsia="Arial" w:hAnsi="Arial"/>
                <w:sz w:val="17"/>
                <w:szCs w:val="17"/>
                <w:color w:val="0000FF"/>
              </w:rPr>
            </w:pPr>
            <w:hyperlink r:id="rId120">
              <w:r>
                <w:rPr>
                  <w:rFonts w:ascii="Arial" w:cs="Arial" w:eastAsia="Arial" w:hAnsi="Arial"/>
                  <w:sz w:val="17"/>
                  <w:szCs w:val="17"/>
                  <w:color w:val="0000FF"/>
                </w:rPr>
                <w:t>parent guarantor, Wells Fargo Bank, National Association, as administrative agent, and the lenders party thereto (incorporated by</w:t>
              </w:r>
            </w:hyperlink>
          </w:p>
        </w:tc>
        <w:tc>
          <w:tcPr>
            <w:tcW w:w="140" w:type="dxa"/>
            <w:vAlign w:val="bottom"/>
            <w:gridSpan w:val="7"/>
            <w:shd w:val="clear" w:color="auto" w:fill="CCEEFF"/>
          </w:tcPr>
          <w:p>
            <w:pPr>
              <w:spacing w:after="0"/>
              <w:rPr>
                <w:sz w:val="13"/>
                <w:szCs w:val="13"/>
                <w:color w:val="auto"/>
              </w:rPr>
            </w:pPr>
          </w:p>
        </w:tc>
      </w:tr>
      <w:tr>
        <w:trPr>
          <w:trHeight w:val="174"/>
        </w:trPr>
        <w:tc>
          <w:tcPr>
            <w:tcW w:w="1520" w:type="dxa"/>
            <w:vAlign w:val="bottom"/>
            <w:tcBorders>
              <w:top w:val="single" w:sz="8" w:color="CCEEFF"/>
            </w:tcBorders>
            <w:shd w:val="clear" w:color="auto" w:fill="CCEEFF"/>
          </w:tcPr>
          <w:p>
            <w:pPr>
              <w:spacing w:after="0"/>
              <w:rPr>
                <w:sz w:val="15"/>
                <w:szCs w:val="15"/>
                <w:color w:val="auto"/>
              </w:rPr>
            </w:pPr>
          </w:p>
        </w:tc>
        <w:tc>
          <w:tcPr>
            <w:tcW w:w="10060" w:type="dxa"/>
            <w:vAlign w:val="bottom"/>
            <w:tcBorders>
              <w:top w:val="single" w:sz="8" w:color="0000FF"/>
            </w:tcBorders>
            <w:gridSpan w:val="34"/>
            <w:shd w:val="clear" w:color="auto" w:fill="CCEEFF"/>
          </w:tcPr>
          <w:p>
            <w:pPr>
              <w:spacing w:after="0" w:line="154" w:lineRule="exact"/>
              <w:rPr>
                <w:rFonts w:ascii="Arial" w:cs="Arial" w:eastAsia="Arial" w:hAnsi="Arial"/>
                <w:sz w:val="17"/>
                <w:szCs w:val="17"/>
                <w:color w:val="0000FF"/>
              </w:rPr>
            </w:pPr>
            <w:hyperlink r:id="rId120">
              <w:r>
                <w:rPr>
                  <w:rFonts w:ascii="Arial" w:cs="Arial" w:eastAsia="Arial" w:hAnsi="Arial"/>
                  <w:sz w:val="17"/>
                  <w:szCs w:val="17"/>
                  <w:color w:val="0000FF"/>
                </w:rPr>
                <w:t>reference to Exhibit 10.1 of the Partnership’s Current Report on Form 8-K (File 001-36505) filed on June 8, 2021).</w:t>
              </w:r>
            </w:hyperlink>
          </w:p>
        </w:tc>
        <w:tc>
          <w:tcPr>
            <w:tcW w:w="160" w:type="dxa"/>
            <w:vAlign w:val="bottom"/>
            <w:tcBorders>
              <w:top w:val="single" w:sz="8" w:color="CCEEFF"/>
            </w:tcBorders>
            <w:gridSpan w:val="8"/>
            <w:shd w:val="clear" w:color="auto" w:fill="CCEEFF"/>
          </w:tcPr>
          <w:p>
            <w:pPr>
              <w:spacing w:after="0"/>
              <w:rPr>
                <w:sz w:val="15"/>
                <w:szCs w:val="15"/>
                <w:color w:val="auto"/>
              </w:rPr>
            </w:pPr>
          </w:p>
        </w:tc>
      </w:tr>
      <w:tr>
        <w:trPr>
          <w:trHeight w:val="909"/>
        </w:trPr>
        <w:tc>
          <w:tcPr>
            <w:tcW w:w="1520" w:type="dxa"/>
            <w:vAlign w:val="bottom"/>
            <w:tcBorders>
              <w:top w:val="single" w:sz="8" w:color="CCEEFF"/>
            </w:tcBorders>
          </w:tcPr>
          <w:p>
            <w:pPr>
              <w:spacing w:after="0"/>
              <w:rPr>
                <w:sz w:val="24"/>
                <w:szCs w:val="24"/>
                <w:color w:val="auto"/>
              </w:rPr>
            </w:pPr>
          </w:p>
        </w:tc>
        <w:tc>
          <w:tcPr>
            <w:tcW w:w="4340" w:type="dxa"/>
            <w:vAlign w:val="bottom"/>
            <w:tcBorders>
              <w:top w:val="single" w:sz="8" w:color="0000FF"/>
            </w:tcBorders>
            <w:gridSpan w:val="8"/>
          </w:tcPr>
          <w:p>
            <w:pPr>
              <w:ind w:left="4020"/>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980" w:type="dxa"/>
            <w:vAlign w:val="bottom"/>
            <w:tcBorders>
              <w:top w:val="single" w:sz="8" w:color="0000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20" w:type="dxa"/>
            <w:vAlign w:val="bottom"/>
          </w:tcPr>
          <w:p>
            <w:pPr>
              <w:ind w:left="60"/>
              <w:spacing w:after="0"/>
              <w:rPr>
                <w:sz w:val="20"/>
                <w:szCs w:val="20"/>
                <w:color w:val="auto"/>
              </w:rPr>
            </w:pPr>
            <w:r>
              <w:rPr>
                <w:rFonts w:ascii="Arial" w:cs="Arial" w:eastAsia="Arial" w:hAnsi="Arial"/>
                <w:sz w:val="16"/>
                <w:szCs w:val="16"/>
                <w:b w:val="1"/>
                <w:bCs w:val="1"/>
                <w:color w:val="auto"/>
              </w:rPr>
              <w:t>Exhibit Number</w:t>
            </w:r>
          </w:p>
        </w:tc>
        <w:tc>
          <w:tcPr>
            <w:tcW w:w="9860" w:type="dxa"/>
            <w:vAlign w:val="bottom"/>
            <w:gridSpan w:val="18"/>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300"/>
        </w:trPr>
        <w:tc>
          <w:tcPr>
            <w:tcW w:w="1520" w:type="dxa"/>
            <w:vAlign w:val="bottom"/>
          </w:tcPr>
          <w:p>
            <w:pPr>
              <w:ind w:left="20"/>
              <w:spacing w:after="0"/>
              <w:rPr>
                <w:sz w:val="20"/>
                <w:szCs w:val="20"/>
                <w:color w:val="auto"/>
              </w:rPr>
            </w:pPr>
            <w:r>
              <w:rPr>
                <w:rFonts w:ascii="Arial" w:cs="Arial" w:eastAsia="Arial" w:hAnsi="Arial"/>
                <w:sz w:val="18"/>
                <w:szCs w:val="18"/>
                <w:color w:val="auto"/>
              </w:rPr>
              <w:t>10.17</w:t>
            </w:r>
          </w:p>
        </w:tc>
        <w:tc>
          <w:tcPr>
            <w:tcW w:w="9860" w:type="dxa"/>
            <w:vAlign w:val="bottom"/>
            <w:gridSpan w:val="18"/>
          </w:tcPr>
          <w:p>
            <w:pPr>
              <w:spacing w:after="0"/>
              <w:rPr>
                <w:rFonts w:ascii="Arial" w:cs="Arial" w:eastAsia="Arial" w:hAnsi="Arial"/>
                <w:sz w:val="18"/>
                <w:szCs w:val="18"/>
                <w:color w:val="0000FF"/>
                <w:w w:val="92"/>
              </w:rPr>
            </w:pPr>
            <w:hyperlink r:id="rId123">
              <w:r>
                <w:rPr>
                  <w:rFonts w:ascii="Arial" w:cs="Arial" w:eastAsia="Arial" w:hAnsi="Arial"/>
                  <w:sz w:val="18"/>
                  <w:szCs w:val="18"/>
                  <w:color w:val="0000FF"/>
                  <w:w w:val="92"/>
                </w:rPr>
                <w:t>Eighth Amendment to Amended and Restated Senior Secured Revolving Credit Agreement and Second Amendment to Guaranty and</w:t>
              </w:r>
            </w:hyperlink>
          </w:p>
        </w:tc>
      </w:tr>
      <w:tr>
        <w:trPr>
          <w:trHeight w:val="167"/>
        </w:trPr>
        <w:tc>
          <w:tcPr>
            <w:tcW w:w="1520" w:type="dxa"/>
            <w:vAlign w:val="bottom"/>
          </w:tcPr>
          <w:p>
            <w:pPr>
              <w:spacing w:after="0"/>
              <w:rPr>
                <w:sz w:val="14"/>
                <w:szCs w:val="14"/>
                <w:color w:val="auto"/>
              </w:rPr>
            </w:pPr>
          </w:p>
        </w:tc>
        <w:tc>
          <w:tcPr>
            <w:tcW w:w="9720" w:type="dxa"/>
            <w:vAlign w:val="bottom"/>
            <w:tcBorders>
              <w:top w:val="single" w:sz="8" w:color="0000FF"/>
              <w:bottom w:val="single" w:sz="8" w:color="0000FF"/>
            </w:tcBorders>
            <w:gridSpan w:val="11"/>
          </w:tcPr>
          <w:p>
            <w:pPr>
              <w:spacing w:after="0" w:line="168" w:lineRule="exact"/>
              <w:rPr>
                <w:rFonts w:ascii="Arial" w:cs="Arial" w:eastAsia="Arial" w:hAnsi="Arial"/>
                <w:sz w:val="18"/>
                <w:szCs w:val="18"/>
                <w:color w:val="0000FF"/>
                <w:w w:val="90"/>
              </w:rPr>
            </w:pPr>
            <w:hyperlink r:id="rId123">
              <w:r>
                <w:rPr>
                  <w:rFonts w:ascii="Arial" w:cs="Arial" w:eastAsia="Arial" w:hAnsi="Arial"/>
                  <w:sz w:val="18"/>
                  <w:szCs w:val="18"/>
                  <w:color w:val="0000FF"/>
                  <w:w w:val="90"/>
                </w:rPr>
                <w:t>Collateral Agreement, dated as of November 15, 2021, by and among Viper Energy Partners LLC, as borrower, Viper Energy Partners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1520" w:type="dxa"/>
            <w:vAlign w:val="bottom"/>
          </w:tcPr>
          <w:p>
            <w:pPr>
              <w:spacing w:after="0"/>
              <w:rPr>
                <w:sz w:val="13"/>
                <w:szCs w:val="13"/>
                <w:color w:val="auto"/>
              </w:rPr>
            </w:pPr>
          </w:p>
        </w:tc>
        <w:tc>
          <w:tcPr>
            <w:tcW w:w="9720" w:type="dxa"/>
            <w:vAlign w:val="bottom"/>
            <w:tcBorders>
              <w:bottom w:val="single" w:sz="8" w:color="0000FF"/>
            </w:tcBorders>
            <w:gridSpan w:val="11"/>
          </w:tcPr>
          <w:p>
            <w:pPr>
              <w:spacing w:after="0" w:line="154" w:lineRule="exact"/>
              <w:rPr>
                <w:rFonts w:ascii="Arial" w:cs="Arial" w:eastAsia="Arial" w:hAnsi="Arial"/>
                <w:sz w:val="17"/>
                <w:szCs w:val="17"/>
                <w:color w:val="0000FF"/>
                <w:w w:val="94"/>
              </w:rPr>
            </w:pPr>
            <w:hyperlink r:id="rId123">
              <w:r>
                <w:rPr>
                  <w:rFonts w:ascii="Arial" w:cs="Arial" w:eastAsia="Arial" w:hAnsi="Arial"/>
                  <w:sz w:val="17"/>
                  <w:szCs w:val="17"/>
                  <w:color w:val="0000FF"/>
                  <w:w w:val="94"/>
                </w:rPr>
                <w:t>LP, as parent guarantor, Wells Fargo Bank, National Association, as administrative agent, and the lenders party thereto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520" w:type="dxa"/>
            <w:vAlign w:val="bottom"/>
          </w:tcPr>
          <w:p>
            <w:pPr>
              <w:spacing w:after="0"/>
              <w:rPr>
                <w:sz w:val="13"/>
                <w:szCs w:val="13"/>
                <w:color w:val="auto"/>
              </w:rPr>
            </w:pPr>
          </w:p>
        </w:tc>
        <w:tc>
          <w:tcPr>
            <w:tcW w:w="9800" w:type="dxa"/>
            <w:vAlign w:val="bottom"/>
            <w:gridSpan w:val="15"/>
          </w:tcPr>
          <w:p>
            <w:pPr>
              <w:spacing w:after="0" w:line="154" w:lineRule="exact"/>
              <w:rPr>
                <w:rFonts w:ascii="Arial" w:cs="Arial" w:eastAsia="Arial" w:hAnsi="Arial"/>
                <w:sz w:val="17"/>
                <w:szCs w:val="17"/>
                <w:color w:val="0000FF"/>
              </w:rPr>
            </w:pPr>
            <w:hyperlink r:id="rId123">
              <w:r>
                <w:rPr>
                  <w:rFonts w:ascii="Arial" w:cs="Arial" w:eastAsia="Arial" w:hAnsi="Arial"/>
                  <w:sz w:val="17"/>
                  <w:szCs w:val="17"/>
                  <w:color w:val="0000FF"/>
                </w:rPr>
                <w:t>reference to Exhibit 10.1 of the Partnership’s Current Report on Form 8-K (File No. 001-36505) filed on November 18,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62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10.18*</w:t>
            </w:r>
          </w:p>
        </w:tc>
        <w:tc>
          <w:tcPr>
            <w:tcW w:w="9860" w:type="dxa"/>
            <w:vAlign w:val="bottom"/>
            <w:gridSpan w:val="18"/>
            <w:shd w:val="clear" w:color="auto" w:fill="CCEEFF"/>
          </w:tcPr>
          <w:p>
            <w:pPr>
              <w:spacing w:after="0" w:line="188" w:lineRule="exact"/>
              <w:rPr>
                <w:sz w:val="20"/>
                <w:szCs w:val="20"/>
                <w:color w:val="auto"/>
              </w:rPr>
            </w:pPr>
            <w:r>
              <w:rPr>
                <w:rFonts w:ascii="Arial" w:cs="Arial" w:eastAsia="Arial" w:hAnsi="Arial"/>
                <w:sz w:val="18"/>
                <w:szCs w:val="18"/>
                <w:color w:val="0000FF"/>
                <w:w w:val="93"/>
              </w:rPr>
              <w:t>Ninth Amendment to Amended and Restated Senior Secured Revolving Credit Agreement and Second Amendment to Guaranty and</w:t>
            </w:r>
          </w:p>
        </w:tc>
      </w:tr>
      <w:tr>
        <w:trPr>
          <w:trHeight w:val="167"/>
        </w:trPr>
        <w:tc>
          <w:tcPr>
            <w:tcW w:w="1520" w:type="dxa"/>
            <w:vAlign w:val="bottom"/>
            <w:tcBorders>
              <w:top w:val="single" w:sz="8" w:color="CCEEFF"/>
            </w:tcBorders>
            <w:shd w:val="clear" w:color="auto" w:fill="CCEEFF"/>
          </w:tcPr>
          <w:p>
            <w:pPr>
              <w:spacing w:after="0"/>
              <w:rPr>
                <w:sz w:val="14"/>
                <w:szCs w:val="14"/>
                <w:color w:val="auto"/>
              </w:rPr>
            </w:pPr>
          </w:p>
        </w:tc>
        <w:tc>
          <w:tcPr>
            <w:tcW w:w="9820" w:type="dxa"/>
            <w:vAlign w:val="bottom"/>
            <w:tcBorders>
              <w:top w:val="single" w:sz="8" w:color="0000FF"/>
            </w:tcBorders>
            <w:gridSpan w:val="16"/>
            <w:shd w:val="clear" w:color="auto" w:fill="CCEEFF"/>
          </w:tcPr>
          <w:p>
            <w:pPr>
              <w:spacing w:after="0" w:line="168" w:lineRule="exact"/>
              <w:rPr>
                <w:sz w:val="20"/>
                <w:szCs w:val="20"/>
                <w:color w:val="auto"/>
              </w:rPr>
            </w:pPr>
            <w:r>
              <w:rPr>
                <w:rFonts w:ascii="Arial" w:cs="Arial" w:eastAsia="Arial" w:hAnsi="Arial"/>
                <w:sz w:val="18"/>
                <w:szCs w:val="18"/>
                <w:color w:val="0000FF"/>
                <w:w w:val="91"/>
              </w:rPr>
              <w:t>Collateral Agreement, dated as of November 18, 2022, by and among Viper Energy Partners LLC, as borrower, Viper Energy Partners</w:t>
            </w: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54"/>
        </w:trPr>
        <w:tc>
          <w:tcPr>
            <w:tcW w:w="152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10"/>
            <w:shd w:val="clear" w:color="auto" w:fill="CCEEFF"/>
          </w:tcPr>
          <w:p>
            <w:pPr>
              <w:spacing w:after="0" w:line="154" w:lineRule="exact"/>
              <w:rPr>
                <w:sz w:val="20"/>
                <w:szCs w:val="20"/>
                <w:color w:val="auto"/>
              </w:rPr>
            </w:pPr>
            <w:r>
              <w:rPr>
                <w:rFonts w:ascii="Arial" w:cs="Arial" w:eastAsia="Arial" w:hAnsi="Arial"/>
                <w:sz w:val="17"/>
                <w:szCs w:val="17"/>
                <w:color w:val="0000FF"/>
              </w:rPr>
              <w:t>LP, as parent guarantor, Wells Fargo Bank, National Association, as administrative agent, and the lenders party thereto.</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36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10.19</w:t>
            </w:r>
          </w:p>
        </w:tc>
        <w:tc>
          <w:tcPr>
            <w:tcW w:w="9860" w:type="dxa"/>
            <w:vAlign w:val="bottom"/>
            <w:gridSpan w:val="18"/>
          </w:tcPr>
          <w:p>
            <w:pPr>
              <w:spacing w:after="0" w:line="188"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Subordinated Promissory Note, dated as of October 16, 2019, by Viper Energy Partners LLC in favor of Viper Energy Partners LP</w:t>
              </w:r>
            </w:hyperlink>
          </w:p>
        </w:tc>
      </w:tr>
      <w:tr>
        <w:trPr>
          <w:trHeight w:val="167"/>
        </w:trPr>
        <w:tc>
          <w:tcPr>
            <w:tcW w:w="1520" w:type="dxa"/>
            <w:vAlign w:val="bottom"/>
          </w:tcPr>
          <w:p>
            <w:pPr>
              <w:spacing w:after="0"/>
              <w:rPr>
                <w:sz w:val="14"/>
                <w:szCs w:val="14"/>
                <w:color w:val="auto"/>
              </w:rPr>
            </w:pPr>
          </w:p>
        </w:tc>
        <w:tc>
          <w:tcPr>
            <w:tcW w:w="9740" w:type="dxa"/>
            <w:vAlign w:val="bottom"/>
            <w:tcBorders>
              <w:top w:val="single" w:sz="8" w:color="0000FF"/>
              <w:bottom w:val="single" w:sz="8" w:color="0000FF"/>
            </w:tcBorders>
            <w:gridSpan w:val="12"/>
          </w:tcPr>
          <w:p>
            <w:pPr>
              <w:spacing w:after="0" w:line="168"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(incorporated by reference to Exhibit 10.2 of the Partnership’s Current Report on Form 8-K (File 001-36505) filed on October 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1520" w:type="dxa"/>
            <w:vAlign w:val="bottom"/>
          </w:tcPr>
          <w:p>
            <w:pPr>
              <w:spacing w:after="0"/>
              <w:rPr>
                <w:sz w:val="13"/>
                <w:szCs w:val="13"/>
                <w:color w:val="auto"/>
              </w:rPr>
            </w:pPr>
          </w:p>
        </w:tc>
        <w:tc>
          <w:tcPr>
            <w:tcW w:w="460" w:type="dxa"/>
            <w:vAlign w:val="bottom"/>
            <w:tcBorders>
              <w:bottom w:val="single" w:sz="8" w:color="0000FF"/>
            </w:tcBorders>
          </w:tcPr>
          <w:p>
            <w:pPr>
              <w:spacing w:after="0" w:line="154" w:lineRule="exact"/>
              <w:rPr>
                <w:rFonts w:ascii="Arial" w:cs="Arial" w:eastAsia="Arial" w:hAnsi="Arial"/>
                <w:sz w:val="17"/>
                <w:szCs w:val="17"/>
                <w:color w:val="0000FF"/>
                <w:w w:val="91"/>
              </w:rPr>
            </w:pPr>
            <w:hyperlink r:id="rId124">
              <w:r>
                <w:rPr>
                  <w:rFonts w:ascii="Arial" w:cs="Arial" w:eastAsia="Arial" w:hAnsi="Arial"/>
                  <w:sz w:val="17"/>
                  <w:szCs w:val="17"/>
                  <w:color w:val="0000FF"/>
                  <w:w w:val="91"/>
                </w:rPr>
                <w:t>2019).</w:t>
              </w:r>
            </w:hyperlink>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21.1*</w:t>
            </w:r>
          </w:p>
        </w:tc>
        <w:tc>
          <w:tcPr>
            <w:tcW w:w="9860" w:type="dxa"/>
            <w:vAlign w:val="bottom"/>
            <w:gridSpan w:val="18"/>
            <w:shd w:val="clear" w:color="auto" w:fill="CCEEFF"/>
          </w:tcPr>
          <w:p>
            <w:pPr>
              <w:spacing w:after="0" w:line="188" w:lineRule="exact"/>
              <w:rPr>
                <w:sz w:val="20"/>
                <w:szCs w:val="20"/>
                <w:color w:val="auto"/>
              </w:rPr>
            </w:pPr>
            <w:r>
              <w:rPr>
                <w:rFonts w:ascii="Arial" w:cs="Arial" w:eastAsia="Arial" w:hAnsi="Arial"/>
                <w:sz w:val="18"/>
                <w:szCs w:val="18"/>
                <w:color w:val="0000FF"/>
              </w:rPr>
              <w:t>List of Subsidiaries of Viper Energy Partners LP.</w:t>
            </w:r>
          </w:p>
        </w:tc>
      </w:tr>
      <w:tr>
        <w:trPr>
          <w:trHeight w:val="187"/>
        </w:trPr>
        <w:tc>
          <w:tcPr>
            <w:tcW w:w="1520" w:type="dxa"/>
            <w:vAlign w:val="bottom"/>
            <w:tcBorders>
              <w:top w:val="single" w:sz="8" w:color="CCEEFF"/>
            </w:tcBorders>
          </w:tcPr>
          <w:p>
            <w:pPr>
              <w:ind w:left="20"/>
              <w:spacing w:after="0" w:line="188" w:lineRule="exact"/>
              <w:rPr>
                <w:sz w:val="20"/>
                <w:szCs w:val="20"/>
                <w:color w:val="auto"/>
              </w:rPr>
            </w:pPr>
            <w:r>
              <w:rPr>
                <w:rFonts w:ascii="Arial" w:cs="Arial" w:eastAsia="Arial" w:hAnsi="Arial"/>
                <w:sz w:val="18"/>
                <w:szCs w:val="18"/>
                <w:color w:val="auto"/>
              </w:rPr>
              <w:t>23.1*</w:t>
            </w:r>
          </w:p>
        </w:tc>
        <w:tc>
          <w:tcPr>
            <w:tcW w:w="3480" w:type="dxa"/>
            <w:vAlign w:val="bottom"/>
            <w:tcBorders>
              <w:top w:val="single" w:sz="8" w:color="0000FF"/>
            </w:tcBorders>
            <w:gridSpan w:val="5"/>
          </w:tcPr>
          <w:p>
            <w:pPr>
              <w:spacing w:after="0" w:line="188" w:lineRule="exact"/>
              <w:rPr>
                <w:sz w:val="20"/>
                <w:szCs w:val="20"/>
                <w:color w:val="auto"/>
              </w:rPr>
            </w:pPr>
            <w:r>
              <w:rPr>
                <w:rFonts w:ascii="Arial" w:cs="Arial" w:eastAsia="Arial" w:hAnsi="Arial"/>
                <w:sz w:val="18"/>
                <w:szCs w:val="18"/>
                <w:color w:val="0000FF"/>
              </w:rPr>
              <w:t>Consent of Grant Thornton LLP.</w:t>
            </w:r>
          </w:p>
        </w:tc>
        <w:tc>
          <w:tcPr>
            <w:tcW w:w="6380" w:type="dxa"/>
            <w:vAlign w:val="bottom"/>
            <w:tcBorders>
              <w:top w:val="single" w:sz="8" w:color="CCEEFF"/>
            </w:tcBorders>
            <w:gridSpan w:val="13"/>
          </w:tcPr>
          <w:p>
            <w:pPr>
              <w:spacing w:after="0"/>
              <w:rPr>
                <w:sz w:val="16"/>
                <w:szCs w:val="16"/>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520" w:type="dxa"/>
            <w:vAlign w:val="bottom"/>
            <w:tcBorders>
              <w:bottom w:val="single" w:sz="8" w:color="CCEEFF"/>
            </w:tcBorders>
            <w:shd w:val="clear" w:color="auto" w:fill="CCEEFF"/>
          </w:tcPr>
          <w:p>
            <w:pPr>
              <w:ind w:left="20"/>
              <w:spacing w:after="0" w:line="188" w:lineRule="exact"/>
              <w:rPr>
                <w:sz w:val="20"/>
                <w:szCs w:val="20"/>
                <w:color w:val="auto"/>
              </w:rPr>
            </w:pPr>
            <w:r>
              <w:rPr>
                <w:rFonts w:ascii="Arial" w:cs="Arial" w:eastAsia="Arial" w:hAnsi="Arial"/>
                <w:sz w:val="18"/>
                <w:szCs w:val="18"/>
                <w:color w:val="auto"/>
              </w:rPr>
              <w:t>23.2*</w:t>
            </w:r>
          </w:p>
        </w:tc>
        <w:tc>
          <w:tcPr>
            <w:tcW w:w="2720" w:type="dxa"/>
            <w:vAlign w:val="bottom"/>
            <w:tcBorders>
              <w:bottom w:val="single" w:sz="8" w:color="0000FF"/>
            </w:tcBorders>
            <w:gridSpan w:val="4"/>
            <w:shd w:val="clear" w:color="auto" w:fill="CCEEFF"/>
          </w:tcPr>
          <w:p>
            <w:pPr>
              <w:spacing w:after="0" w:line="188" w:lineRule="exact"/>
              <w:rPr>
                <w:sz w:val="20"/>
                <w:szCs w:val="20"/>
                <w:color w:val="auto"/>
              </w:rPr>
            </w:pPr>
            <w:r>
              <w:rPr>
                <w:rFonts w:ascii="Arial" w:cs="Arial" w:eastAsia="Arial" w:hAnsi="Arial"/>
                <w:sz w:val="18"/>
                <w:szCs w:val="18"/>
                <w:color w:val="0000FF"/>
                <w:w w:val="88"/>
              </w:rPr>
              <w:t>Consent of Ryder Scott Company, LP.</w:t>
            </w:r>
          </w:p>
        </w:tc>
        <w:tc>
          <w:tcPr>
            <w:tcW w:w="7140" w:type="dxa"/>
            <w:vAlign w:val="bottom"/>
            <w:tcBorders>
              <w:bottom w:val="single" w:sz="8" w:color="CCEEFF"/>
            </w:tcBorders>
            <w:gridSpan w:val="14"/>
            <w:shd w:val="clear" w:color="auto" w:fill="CCEEFF"/>
          </w:tcPr>
          <w:p>
            <w:pPr>
              <w:spacing w:after="0"/>
              <w:rPr>
                <w:sz w:val="18"/>
                <w:szCs w:val="18"/>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31.1*</w:t>
            </w:r>
          </w:p>
        </w:tc>
        <w:tc>
          <w:tcPr>
            <w:tcW w:w="9860" w:type="dxa"/>
            <w:vAlign w:val="bottom"/>
            <w:gridSpan w:val="18"/>
          </w:tcPr>
          <w:p>
            <w:pPr>
              <w:spacing w:after="0" w:line="188" w:lineRule="exact"/>
              <w:rPr>
                <w:sz w:val="20"/>
                <w:szCs w:val="20"/>
                <w:color w:val="auto"/>
              </w:rPr>
            </w:pPr>
            <w:r>
              <w:rPr>
                <w:rFonts w:ascii="Arial" w:cs="Arial" w:eastAsia="Arial" w:hAnsi="Arial"/>
                <w:sz w:val="18"/>
                <w:szCs w:val="18"/>
                <w:color w:val="0000FF"/>
                <w:w w:val="98"/>
              </w:rPr>
              <w:t>Certification of Chief Executive Officer pursuant to Rule 13a-14(a) promulgated under the Securities Exchange Act of 1934, as</w:t>
            </w:r>
          </w:p>
        </w:tc>
      </w:tr>
      <w:tr>
        <w:trPr>
          <w:trHeight w:val="167"/>
        </w:trPr>
        <w:tc>
          <w:tcPr>
            <w:tcW w:w="1520" w:type="dxa"/>
            <w:vAlign w:val="bottom"/>
          </w:tcPr>
          <w:p>
            <w:pPr>
              <w:spacing w:after="0"/>
              <w:rPr>
                <w:sz w:val="14"/>
                <w:szCs w:val="14"/>
                <w:color w:val="auto"/>
              </w:rPr>
            </w:pPr>
          </w:p>
        </w:tc>
        <w:tc>
          <w:tcPr>
            <w:tcW w:w="9760" w:type="dxa"/>
            <w:vAlign w:val="bottom"/>
            <w:tcBorders>
              <w:top w:val="single" w:sz="8" w:color="0000FF"/>
            </w:tcBorders>
            <w:gridSpan w:val="13"/>
          </w:tcPr>
          <w:p>
            <w:pPr>
              <w:spacing w:after="0" w:line="168" w:lineRule="exact"/>
              <w:rPr>
                <w:sz w:val="20"/>
                <w:szCs w:val="20"/>
                <w:color w:val="auto"/>
              </w:rPr>
            </w:pPr>
            <w:r>
              <w:rPr>
                <w:rFonts w:ascii="Arial" w:cs="Arial" w:eastAsia="Arial" w:hAnsi="Arial"/>
                <w:sz w:val="18"/>
                <w:szCs w:val="18"/>
                <w:color w:val="0000FF"/>
              </w:rPr>
              <w:t>amended.</w:t>
            </w: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31.2*</w:t>
            </w:r>
          </w:p>
        </w:tc>
        <w:tc>
          <w:tcPr>
            <w:tcW w:w="9860" w:type="dxa"/>
            <w:vAlign w:val="bottom"/>
            <w:gridSpan w:val="18"/>
            <w:shd w:val="clear" w:color="auto" w:fill="CCEEFF"/>
          </w:tcPr>
          <w:p>
            <w:pPr>
              <w:spacing w:after="0" w:line="188" w:lineRule="exact"/>
              <w:rPr>
                <w:sz w:val="20"/>
                <w:szCs w:val="20"/>
                <w:color w:val="auto"/>
              </w:rPr>
            </w:pPr>
            <w:r>
              <w:rPr>
                <w:rFonts w:ascii="Arial" w:cs="Arial" w:eastAsia="Arial" w:hAnsi="Arial"/>
                <w:sz w:val="18"/>
                <w:szCs w:val="18"/>
                <w:color w:val="0000FF"/>
                <w:w w:val="98"/>
              </w:rPr>
              <w:t>Certification of Chief Financial Officer pursuant to Rule 13a-14(a) promulgated under the Securities Exchange Act of 1934, as</w:t>
            </w:r>
          </w:p>
        </w:tc>
      </w:tr>
      <w:tr>
        <w:trPr>
          <w:trHeight w:val="188"/>
        </w:trPr>
        <w:tc>
          <w:tcPr>
            <w:tcW w:w="152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0000FF"/>
              <w:bottom w:val="single" w:sz="8" w:color="0000FF"/>
            </w:tcBorders>
            <w:gridSpan w:val="2"/>
            <w:shd w:val="clear" w:color="auto" w:fill="CCEEFF"/>
          </w:tcPr>
          <w:p>
            <w:pPr>
              <w:spacing w:after="0" w:line="168" w:lineRule="exact"/>
              <w:rPr>
                <w:sz w:val="20"/>
                <w:szCs w:val="20"/>
                <w:color w:val="auto"/>
              </w:rPr>
            </w:pPr>
            <w:r>
              <w:rPr>
                <w:rFonts w:ascii="Arial" w:cs="Arial" w:eastAsia="Arial" w:hAnsi="Arial"/>
                <w:sz w:val="18"/>
                <w:szCs w:val="18"/>
                <w:color w:val="0000FF"/>
                <w:w w:val="84"/>
              </w:rPr>
              <w:t>amended.</w:t>
            </w:r>
          </w:p>
        </w:tc>
        <w:tc>
          <w:tcPr>
            <w:tcW w:w="914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1520" w:type="dxa"/>
            <w:vAlign w:val="bottom"/>
          </w:tcPr>
          <w:p>
            <w:pPr>
              <w:ind w:left="20"/>
              <w:spacing w:after="0" w:line="188" w:lineRule="exact"/>
              <w:rPr>
                <w:sz w:val="20"/>
                <w:szCs w:val="20"/>
                <w:color w:val="auto"/>
              </w:rPr>
            </w:pPr>
            <w:r>
              <w:rPr>
                <w:rFonts w:ascii="Arial" w:cs="Arial" w:eastAsia="Arial" w:hAnsi="Arial"/>
                <w:sz w:val="18"/>
                <w:szCs w:val="18"/>
                <w:color w:val="auto"/>
              </w:rPr>
              <w:t>32.1++</w:t>
            </w:r>
          </w:p>
        </w:tc>
        <w:tc>
          <w:tcPr>
            <w:tcW w:w="9860" w:type="dxa"/>
            <w:vAlign w:val="bottom"/>
            <w:gridSpan w:val="18"/>
          </w:tcPr>
          <w:p>
            <w:pPr>
              <w:spacing w:after="0" w:line="188" w:lineRule="exact"/>
              <w:rPr>
                <w:sz w:val="20"/>
                <w:szCs w:val="20"/>
                <w:color w:val="auto"/>
              </w:rPr>
            </w:pPr>
            <w:r>
              <w:rPr>
                <w:rFonts w:ascii="Arial" w:cs="Arial" w:eastAsia="Arial" w:hAnsi="Arial"/>
                <w:sz w:val="18"/>
                <w:szCs w:val="18"/>
                <w:color w:val="0000FF"/>
                <w:w w:val="97"/>
              </w:rPr>
              <w:t>Certification of Chief Executive Officer and Chief Financial Officer pursuant to Rule 13a-14(b) promulgated under the Securities</w:t>
            </w:r>
          </w:p>
        </w:tc>
      </w:tr>
      <w:tr>
        <w:trPr>
          <w:trHeight w:val="167"/>
        </w:trPr>
        <w:tc>
          <w:tcPr>
            <w:tcW w:w="1520" w:type="dxa"/>
            <w:vAlign w:val="bottom"/>
          </w:tcPr>
          <w:p>
            <w:pPr>
              <w:spacing w:after="0"/>
              <w:rPr>
                <w:sz w:val="14"/>
                <w:szCs w:val="14"/>
                <w:color w:val="auto"/>
              </w:rPr>
            </w:pPr>
          </w:p>
        </w:tc>
        <w:tc>
          <w:tcPr>
            <w:tcW w:w="9780" w:type="dxa"/>
            <w:vAlign w:val="bottom"/>
            <w:tcBorders>
              <w:top w:val="single" w:sz="8" w:color="0000FF"/>
            </w:tcBorders>
            <w:gridSpan w:val="14"/>
          </w:tcPr>
          <w:p>
            <w:pPr>
              <w:spacing w:after="0" w:line="168" w:lineRule="exact"/>
              <w:rPr>
                <w:sz w:val="20"/>
                <w:szCs w:val="20"/>
                <w:color w:val="auto"/>
              </w:rPr>
            </w:pPr>
            <w:r>
              <w:rPr>
                <w:rFonts w:ascii="Arial" w:cs="Arial" w:eastAsia="Arial" w:hAnsi="Arial"/>
                <w:sz w:val="18"/>
                <w:szCs w:val="18"/>
                <w:color w:val="0000FF"/>
              </w:rPr>
              <w:t>Exchange Act of 1934, as amended, and Section 1350 of Chapter 63 of Title 18 of the United States Code.</w:t>
            </w:r>
          </w:p>
        </w:tc>
        <w:tc>
          <w:tcPr>
            <w:tcW w:w="80" w:type="dxa"/>
            <w:vAlign w:val="bottom"/>
            <w:gridSpan w:val="4"/>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6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520" w:type="dxa"/>
            <w:vAlign w:val="bottom"/>
            <w:shd w:val="clear" w:color="auto" w:fill="CCEEFF"/>
          </w:tcPr>
          <w:p>
            <w:pPr>
              <w:ind w:left="60"/>
              <w:spacing w:after="0" w:line="188" w:lineRule="exact"/>
              <w:rPr>
                <w:sz w:val="20"/>
                <w:szCs w:val="20"/>
                <w:color w:val="auto"/>
              </w:rPr>
            </w:pPr>
            <w:r>
              <w:rPr>
                <w:rFonts w:ascii="Arial" w:cs="Arial" w:eastAsia="Arial" w:hAnsi="Arial"/>
                <w:sz w:val="18"/>
                <w:szCs w:val="18"/>
                <w:color w:val="auto"/>
              </w:rPr>
              <w:t>99.1*</w:t>
            </w:r>
          </w:p>
        </w:tc>
        <w:tc>
          <w:tcPr>
            <w:tcW w:w="9860" w:type="dxa"/>
            <w:vAlign w:val="bottom"/>
            <w:gridSpan w:val="18"/>
            <w:shd w:val="clear" w:color="auto" w:fill="CCEEFF"/>
          </w:tcPr>
          <w:p>
            <w:pPr>
              <w:spacing w:after="0" w:line="188" w:lineRule="exact"/>
              <w:rPr>
                <w:sz w:val="20"/>
                <w:szCs w:val="20"/>
                <w:color w:val="auto"/>
              </w:rPr>
            </w:pPr>
            <w:r>
              <w:rPr>
                <w:rFonts w:ascii="Arial" w:cs="Arial" w:eastAsia="Arial" w:hAnsi="Arial"/>
                <w:sz w:val="18"/>
                <w:szCs w:val="18"/>
                <w:color w:val="0000FF"/>
              </w:rPr>
              <w:t>Ryder Scott Company, L.P.'s Audit Report on Reserves.</w:t>
            </w:r>
          </w:p>
        </w:tc>
      </w:tr>
      <w:tr>
        <w:trPr>
          <w:trHeight w:val="127"/>
        </w:trPr>
        <w:tc>
          <w:tcPr>
            <w:tcW w:w="15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1620" w:type="dxa"/>
            <w:vAlign w:val="bottom"/>
            <w:tcBorders>
              <w:top w:val="single" w:sz="8" w:color="0000FF"/>
            </w:tcBorders>
            <w:shd w:val="clear" w:color="auto" w:fill="CCEEFF"/>
          </w:tcPr>
          <w:p>
            <w:pPr>
              <w:spacing w:after="0"/>
              <w:rPr>
                <w:sz w:val="11"/>
                <w:szCs w:val="11"/>
                <w:color w:val="auto"/>
              </w:rPr>
            </w:pPr>
          </w:p>
        </w:tc>
        <w:tc>
          <w:tcPr>
            <w:tcW w:w="400" w:type="dxa"/>
            <w:vAlign w:val="bottom"/>
            <w:tcBorders>
              <w:top w:val="single" w:sz="8" w:color="0000FF"/>
            </w:tcBorders>
            <w:shd w:val="clear" w:color="auto" w:fill="CCEEFF"/>
          </w:tcPr>
          <w:p>
            <w:pPr>
              <w:spacing w:after="0"/>
              <w:rPr>
                <w:sz w:val="11"/>
                <w:szCs w:val="11"/>
                <w:color w:val="auto"/>
              </w:rPr>
            </w:pPr>
          </w:p>
        </w:tc>
        <w:tc>
          <w:tcPr>
            <w:tcW w:w="760" w:type="dxa"/>
            <w:vAlign w:val="bottom"/>
            <w:tcBorders>
              <w:top w:val="single" w:sz="8" w:color="0000FF"/>
            </w:tcBorders>
            <w:shd w:val="clear" w:color="auto" w:fill="CCEEFF"/>
          </w:tcPr>
          <w:p>
            <w:pPr>
              <w:spacing w:after="0"/>
              <w:rPr>
                <w:sz w:val="11"/>
                <w:szCs w:val="11"/>
                <w:color w:val="auto"/>
              </w:rPr>
            </w:pPr>
          </w:p>
        </w:tc>
        <w:tc>
          <w:tcPr>
            <w:tcW w:w="500" w:type="dxa"/>
            <w:vAlign w:val="bottom"/>
            <w:tcBorders>
              <w:top w:val="single" w:sz="8" w:color="0000FF"/>
            </w:tcBorders>
            <w:shd w:val="clear" w:color="auto" w:fill="CCEEFF"/>
          </w:tcPr>
          <w:p>
            <w:pPr>
              <w:spacing w:after="0"/>
              <w:rPr>
                <w:sz w:val="11"/>
                <w:szCs w:val="11"/>
                <w:color w:val="auto"/>
              </w:rPr>
            </w:pPr>
          </w:p>
        </w:tc>
        <w:tc>
          <w:tcPr>
            <w:tcW w:w="36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bl>
    <w:p>
      <w:pPr>
        <w:jc w:val="both"/>
        <w:ind w:left="1560" w:right="60" w:hanging="1535"/>
        <w:spacing w:after="0" w:line="263" w:lineRule="auto"/>
        <w:tabs>
          <w:tab w:leader="none" w:pos="1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Annual Report on Form 10-K for the year ended December 31, 2022, formatted in Inline XBRL: (i) Consolidated Balance Sheets, (ii) Consolidated Statements of Operations, (iii) Consolidated Statement of Changes in Unitholders’ Equity, (iv) Consolidated Statements of Cash Flows and (v) Notes to Consolidated Financial Statements.</w:t>
      </w:r>
    </w:p>
    <w:p>
      <w:pPr>
        <w:spacing w:after="0" w:line="23"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3590" cy="212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7133590" cy="212725"/>
                    </a:xfrm>
                    <a:prstGeom prst="rect">
                      <a:avLst/>
                    </a:prstGeom>
                    <a:noFill/>
                  </pic:spPr>
                </pic:pic>
              </a:graphicData>
            </a:graphic>
          </wp:anchor>
        </w:drawing>
      </w:r>
    </w:p>
    <w:p>
      <w:pPr>
        <w:spacing w:after="0" w:line="282" w:lineRule="exact"/>
        <w:rPr>
          <w:sz w:val="20"/>
          <w:szCs w:val="20"/>
          <w:color w:val="auto"/>
        </w:rPr>
      </w:pPr>
    </w:p>
    <w:p>
      <w:pPr>
        <w:ind w:left="540" w:hanging="475"/>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28" w:lineRule="exact"/>
        <w:rPr>
          <w:sz w:val="20"/>
          <w:szCs w:val="20"/>
          <w:color w:val="auto"/>
        </w:rPr>
      </w:pPr>
    </w:p>
    <w:p>
      <w:pPr>
        <w:ind w:left="540" w:hanging="475"/>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28" w:lineRule="exact"/>
        <w:rPr>
          <w:sz w:val="20"/>
          <w:szCs w:val="20"/>
          <w:color w:val="auto"/>
        </w:rPr>
      </w:pPr>
    </w:p>
    <w:p>
      <w:pPr>
        <w:jc w:val="both"/>
        <w:ind w:left="540" w:right="100" w:hanging="475"/>
        <w:spacing w:after="0" w:line="22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109" w:lineRule="exact"/>
        <w:rPr>
          <w:sz w:val="20"/>
          <w:szCs w:val="20"/>
          <w:color w:val="auto"/>
        </w:rPr>
      </w:pPr>
    </w:p>
    <w:p>
      <w:pPr>
        <w:ind w:left="500" w:right="100" w:hanging="435"/>
        <w:spacing w:after="0" w:line="232"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Schedules (or similar attachments) have been omitted pursuant to Item 601(a)(5) of Regulation S-K and will be provided to the Securities and Exchange Commission upon request.</w:t>
      </w:r>
    </w:p>
    <w:p>
      <w:pPr>
        <w:spacing w:after="0" w:line="3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20" w:firstLine="643"/>
        <w:spacing w:after="0" w:line="27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Annual Report to be signed on its behalf by the undersigned thereunto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11220" w:type="dxa"/>
            <w:vAlign w:val="bottom"/>
            <w:gridSpan w:val="2"/>
          </w:tcPr>
          <w:p>
            <w:pPr>
              <w:ind w:left="5260"/>
              <w:spacing w:after="0"/>
              <w:rPr>
                <w:sz w:val="20"/>
                <w:szCs w:val="20"/>
                <w:color w:val="auto"/>
              </w:rPr>
            </w:pPr>
            <w:r>
              <w:rPr>
                <w:rFonts w:ascii="Arial" w:cs="Arial" w:eastAsia="Arial" w:hAnsi="Arial"/>
                <w:sz w:val="18"/>
                <w:szCs w:val="18"/>
                <w:b w:val="1"/>
                <w:bCs w:val="1"/>
                <w:color w:val="auto"/>
              </w:rPr>
              <w:t>VIPER ENERGY PARTNERS LP</w:t>
            </w:r>
          </w:p>
        </w:tc>
      </w:tr>
      <w:tr>
        <w:trPr>
          <w:trHeight w:val="228"/>
        </w:trPr>
        <w:tc>
          <w:tcPr>
            <w:tcW w:w="5960" w:type="dxa"/>
            <w:vAlign w:val="bottom"/>
          </w:tcPr>
          <w:p>
            <w:pPr>
              <w:spacing w:after="0"/>
              <w:rPr>
                <w:sz w:val="20"/>
                <w:szCs w:val="20"/>
                <w:color w:val="auto"/>
              </w:rPr>
            </w:pPr>
            <w:r>
              <w:rPr>
                <w:rFonts w:ascii="Arial" w:cs="Arial" w:eastAsia="Arial" w:hAnsi="Arial"/>
                <w:sz w:val="18"/>
                <w:szCs w:val="18"/>
                <w:color w:val="auto"/>
              </w:rPr>
              <w:t>Date:   February 23, 2023</w:t>
            </w:r>
          </w:p>
        </w:tc>
        <w:tc>
          <w:tcPr>
            <w:tcW w:w="5260" w:type="dxa"/>
            <w:vAlign w:val="bottom"/>
          </w:tcPr>
          <w:p>
            <w:pPr>
              <w:spacing w:after="0"/>
              <w:rPr>
                <w:sz w:val="19"/>
                <w:szCs w:val="19"/>
                <w:color w:val="auto"/>
              </w:rPr>
            </w:pPr>
          </w:p>
        </w:tc>
      </w:tr>
      <w:tr>
        <w:trPr>
          <w:trHeight w:val="228"/>
        </w:trPr>
        <w:tc>
          <w:tcPr>
            <w:tcW w:w="5960" w:type="dxa"/>
            <w:vAlign w:val="bottom"/>
          </w:tcPr>
          <w:p>
            <w:pPr>
              <w:ind w:left="5260"/>
              <w:spacing w:after="0"/>
              <w:rPr>
                <w:sz w:val="20"/>
                <w:szCs w:val="20"/>
                <w:color w:val="auto"/>
              </w:rPr>
            </w:pPr>
            <w:r>
              <w:rPr>
                <w:rFonts w:ascii="Arial" w:cs="Arial" w:eastAsia="Arial" w:hAnsi="Arial"/>
                <w:sz w:val="18"/>
                <w:szCs w:val="18"/>
                <w:color w:val="auto"/>
              </w:rPr>
              <w:t>By:</w:t>
            </w:r>
          </w:p>
        </w:tc>
        <w:tc>
          <w:tcPr>
            <w:tcW w:w="526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28"/>
        </w:trPr>
        <w:tc>
          <w:tcPr>
            <w:tcW w:w="59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82"/>
        </w:trPr>
        <w:tc>
          <w:tcPr>
            <w:tcW w:w="5960" w:type="dxa"/>
            <w:vAlign w:val="bottom"/>
          </w:tcPr>
          <w:p>
            <w:pPr>
              <w:ind w:left="526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960" w:type="dxa"/>
            <w:vAlign w:val="bottom"/>
          </w:tcPr>
          <w:p>
            <w:pPr>
              <w:ind w:left="5260"/>
              <w:spacing w:after="0"/>
              <w:rPr>
                <w:sz w:val="20"/>
                <w:szCs w:val="20"/>
                <w:color w:val="auto"/>
              </w:rPr>
            </w:pPr>
            <w:r>
              <w:rPr>
                <w:rFonts w:ascii="Arial" w:cs="Arial" w:eastAsia="Arial" w:hAnsi="Arial"/>
                <w:sz w:val="18"/>
                <w:szCs w:val="18"/>
                <w:color w:val="auto"/>
              </w:rPr>
              <w:t>Name:</w:t>
            </w:r>
          </w:p>
        </w:tc>
        <w:tc>
          <w:tcPr>
            <w:tcW w:w="526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7"/>
        </w:trPr>
        <w:tc>
          <w:tcPr>
            <w:tcW w:w="5960" w:type="dxa"/>
            <w:vAlign w:val="bottom"/>
          </w:tcPr>
          <w:p>
            <w:pPr>
              <w:ind w:left="5260"/>
              <w:spacing w:after="0"/>
              <w:rPr>
                <w:sz w:val="20"/>
                <w:szCs w:val="20"/>
                <w:color w:val="auto"/>
              </w:rPr>
            </w:pPr>
            <w:r>
              <w:rPr>
                <w:rFonts w:ascii="Arial" w:cs="Arial" w:eastAsia="Arial" w:hAnsi="Arial"/>
                <w:sz w:val="18"/>
                <w:szCs w:val="18"/>
                <w:color w:val="auto"/>
              </w:rPr>
              <w:t>Title:</w:t>
            </w: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322"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Pursuant to the requirements of the Securities and Exchange Act of 1934, this Annual Report has been signed below by the following persons on behalf of the Registrant and in the capacities and on the dates indicated.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314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98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0"/>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Travis D. Stice</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Chief Executive Officer and Director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23, 2023</w:t>
            </w:r>
          </w:p>
        </w:tc>
      </w:tr>
      <w:tr>
        <w:trPr>
          <w:trHeight w:val="222"/>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Travis D. Stice</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(Principal Executive Officer)</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0"/>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Teresa L. Dick</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Chief Financial Officer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23, 2023</w:t>
            </w:r>
          </w:p>
        </w:tc>
      </w:tr>
      <w:tr>
        <w:trPr>
          <w:trHeight w:val="222"/>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Teresa L. Dick</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(Principal Financial and Accounting Officer)</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Steven E. West</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Chairman of the Board and Director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23, 2023</w:t>
            </w:r>
          </w:p>
        </w:tc>
      </w:tr>
      <w:tr>
        <w:trPr>
          <w:trHeight w:val="221"/>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Steven E. West</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W. Wesley Perry</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23, 2023</w:t>
            </w:r>
          </w:p>
        </w:tc>
      </w:tr>
      <w:tr>
        <w:trPr>
          <w:trHeight w:val="221"/>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W. Wesley Perry</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Spencer D. Armour</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23, 2023</w:t>
            </w:r>
          </w:p>
        </w:tc>
      </w:tr>
      <w:tr>
        <w:trPr>
          <w:trHeight w:val="221"/>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Spencer D. Armour</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James L. Rubin</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23, 2023</w:t>
            </w:r>
          </w:p>
        </w:tc>
      </w:tr>
      <w:tr>
        <w:trPr>
          <w:trHeight w:val="221"/>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James L. Rubin</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1"/>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Frank C. Hu</w:t>
            </w:r>
          </w:p>
        </w:tc>
        <w:tc>
          <w:tcPr>
            <w:tcW w:w="53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c>
          <w:tcPr>
            <w:tcW w:w="2820" w:type="dxa"/>
            <w:vAlign w:val="bottom"/>
            <w:gridSpan w:val="3"/>
          </w:tcPr>
          <w:p>
            <w:pPr>
              <w:jc w:val="center"/>
              <w:ind w:left="1411"/>
              <w:spacing w:after="0"/>
              <w:rPr>
                <w:sz w:val="20"/>
                <w:szCs w:val="20"/>
                <w:color w:val="auto"/>
              </w:rPr>
            </w:pPr>
            <w:r>
              <w:rPr>
                <w:rFonts w:ascii="Arial" w:cs="Arial" w:eastAsia="Arial" w:hAnsi="Arial"/>
                <w:sz w:val="18"/>
                <w:szCs w:val="18"/>
                <w:color w:val="auto"/>
                <w:w w:val="89"/>
              </w:rPr>
              <w:t>February 23, 2023</w:t>
            </w:r>
          </w:p>
        </w:tc>
      </w:tr>
      <w:tr>
        <w:trPr>
          <w:trHeight w:val="221"/>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Frank C. Hu</w:t>
            </w:r>
          </w:p>
        </w:tc>
        <w:tc>
          <w:tcPr>
            <w:tcW w:w="3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and Unitholders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Viper Energy Partners LP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have audited the accompanying consolidated balance sheets of Viper Energy Partners LP (a Delaware limited partnership) and subsidiary (the “Partnership”) as of December 31, 2022 and 2021, the related consolidated statements of operations, unitholders’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Partnership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1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Partnership’s internal control over financial reporting as of December 31, 2022,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23, 2023 expressed an unqualified opinion.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Estimation of proved reserves as it relates to the calculation and recognition of depletion expense</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described further in Note 2 to the financial statements, the Partnership accounts for its oil and gas properties using the full cost method of accounting, which requires management to make estimates of proved reserve volumes and future revenues to record depletion expense. To estimate the volume of proved reserves and future revenues, management makes significant estimates and assumptions, including forecasting the timing and volumetric amounts of production and corresponding decline rate of producing properties associated with the operator’s development plan. We identified the estimation of proved reserves of oil and gas properties as it relates to the calculation and recognition of depletion expense as a critical audit matter.</w:t>
      </w:r>
    </w:p>
    <w:p>
      <w:pPr>
        <w:spacing w:after="0" w:line="18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principal considerations for our determination that the estimation of proved reserves is a critical audit matter are that changes in certain inputs and assumptions, which require a high degree of subjectivity, necessary to estimate the volume and future revenues of the Partnership’s proved reserves could have a significant impact on the measurement of depletion expense. In turn, auditing those inputs and assumptions required subjective and complex auditor judgment.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estimation of proved reserves included the following, among others.</w:t>
      </w:r>
    </w:p>
    <w:p>
      <w:pPr>
        <w:spacing w:after="0" w:line="221" w:lineRule="exact"/>
        <w:rPr>
          <w:sz w:val="20"/>
          <w:szCs w:val="20"/>
          <w:color w:val="auto"/>
        </w:rPr>
      </w:pPr>
    </w:p>
    <w:p>
      <w:pPr>
        <w:jc w:val="both"/>
        <w:ind w:left="640" w:hanging="312"/>
        <w:spacing w:after="0" w:line="232"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design and operating effectiveness of key controls relating to management’s estimation of proved reserves for the purpose of estimating depletion expense. Specifically, these controls related to the use of historical information in the estimation of proved reserves derived from the Partnership’s accounting records, the controls on information provided to the reservoir engineering specialists and the management review controls on the final proved reserve report.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43" w:lineRule="exact"/>
        <w:rPr>
          <w:sz w:val="20"/>
          <w:szCs w:val="20"/>
          <w:color w:val="auto"/>
        </w:rPr>
      </w:pPr>
    </w:p>
    <w:p>
      <w:pPr>
        <w:jc w:val="both"/>
        <w:ind w:left="640" w:hanging="312"/>
        <w:spacing w:after="0" w:line="237"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evaluated the level of knowledge, skill, and ability of the Partnership’s reservoir engineering specialists, made inquiries of those reservoir engineers regarding the process followed and judgments made to estimate the Partnership’s proved reserve volumes, and read the reserve report prepared by the Partnership’s specialists.</w:t>
      </w:r>
    </w:p>
    <w:p>
      <w:pPr>
        <w:spacing w:after="0" w:line="16" w:lineRule="exact"/>
        <w:rPr>
          <w:rFonts w:ascii="Arial" w:cs="Arial" w:eastAsia="Arial" w:hAnsi="Arial"/>
          <w:sz w:val="18"/>
          <w:szCs w:val="18"/>
          <w:color w:val="auto"/>
        </w:rPr>
      </w:pPr>
    </w:p>
    <w:p>
      <w:pPr>
        <w:ind w:left="640" w:hanging="312"/>
        <w:spacing w:after="0"/>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Identified inputs and assumptions that were significant to the period end determination of proved reserve volumes and tested management’s process of determining the significant inputs and assumptions, as follows:</w:t>
      </w:r>
    </w:p>
    <w:p>
      <w:pPr>
        <w:spacing w:after="0" w:line="14" w:lineRule="exact"/>
        <w:rPr>
          <w:rFonts w:ascii="Arial" w:cs="Arial" w:eastAsia="Arial" w:hAnsi="Arial"/>
          <w:sz w:val="18"/>
          <w:szCs w:val="18"/>
          <w:color w:val="auto"/>
        </w:rPr>
      </w:pPr>
    </w:p>
    <w:p>
      <w:pPr>
        <w:ind w:left="1300" w:hanging="329"/>
        <w:spacing w:after="0" w:line="256" w:lineRule="auto"/>
        <w:tabs>
          <w:tab w:leader="none" w:pos="1290" w:val="left"/>
        </w:tabs>
        <w:numPr>
          <w:ilvl w:val="1"/>
          <w:numId w:val="33"/>
        </w:numPr>
        <w:rPr>
          <w:rFonts w:ascii="Arial" w:cs="Arial" w:eastAsia="Arial" w:hAnsi="Arial"/>
          <w:sz w:val="16"/>
          <w:szCs w:val="16"/>
          <w:color w:val="auto"/>
        </w:rPr>
      </w:pPr>
      <w:r>
        <w:rPr>
          <w:rFonts w:ascii="Arial" w:cs="Arial" w:eastAsia="Arial" w:hAnsi="Arial"/>
          <w:sz w:val="18"/>
          <w:szCs w:val="18"/>
          <w:color w:val="auto"/>
        </w:rPr>
        <w:t>Compared the estimated pricing and pricing differentials used in the reserve report to actual realized prices related to revenue transactions recorded in the current year;</w:t>
      </w:r>
    </w:p>
    <w:p>
      <w:pPr>
        <w:ind w:left="1280" w:hanging="309"/>
        <w:spacing w:after="0"/>
        <w:tabs>
          <w:tab w:leader="none" w:pos="12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Vouched, on a sample basis, the net revenue interests used in the reserve report to underlying land and division order records;</w:t>
      </w:r>
    </w:p>
    <w:p>
      <w:pPr>
        <w:spacing w:after="0" w:line="45" w:lineRule="exact"/>
        <w:rPr>
          <w:rFonts w:ascii="Arial" w:cs="Arial" w:eastAsia="Arial" w:hAnsi="Arial"/>
          <w:sz w:val="17"/>
          <w:szCs w:val="17"/>
          <w:color w:val="auto"/>
        </w:rPr>
      </w:pPr>
    </w:p>
    <w:p>
      <w:pPr>
        <w:jc w:val="both"/>
        <w:ind w:left="1300" w:hanging="329"/>
        <w:spacing w:after="0" w:line="237" w:lineRule="auto"/>
        <w:tabs>
          <w:tab w:leader="none" w:pos="12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Obtained evidence supporting the amount of development of proved undeveloped properties reflected in the reserve report and compared future development plans to historical conversion rates to evaluate the likelihood of development related to the proved undeveloped properties;</w:t>
      </w:r>
    </w:p>
    <w:p>
      <w:pPr>
        <w:spacing w:after="0" w:line="16" w:lineRule="exact"/>
        <w:rPr>
          <w:rFonts w:ascii="Arial" w:cs="Arial" w:eastAsia="Arial" w:hAnsi="Arial"/>
          <w:sz w:val="18"/>
          <w:szCs w:val="18"/>
          <w:color w:val="auto"/>
        </w:rPr>
      </w:pPr>
    </w:p>
    <w:p>
      <w:pPr>
        <w:ind w:left="1300" w:hanging="329"/>
        <w:spacing w:after="0"/>
        <w:tabs>
          <w:tab w:leader="none" w:pos="12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estimated ultimate recovery of proved undeveloped properties by comparing forecasted amounts on a sample of individual wells to the estimated ultimate recovery of comparable proved developed producing properties; and</w:t>
      </w:r>
    </w:p>
    <w:p>
      <w:pPr>
        <w:spacing w:after="0" w:line="14" w:lineRule="exact"/>
        <w:rPr>
          <w:rFonts w:ascii="Arial" w:cs="Arial" w:eastAsia="Arial" w:hAnsi="Arial"/>
          <w:sz w:val="18"/>
          <w:szCs w:val="18"/>
          <w:color w:val="auto"/>
        </w:rPr>
      </w:pPr>
    </w:p>
    <w:p>
      <w:pPr>
        <w:ind w:left="1280" w:hanging="309"/>
        <w:spacing w:after="0"/>
        <w:tabs>
          <w:tab w:leader="none" w:pos="12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Applied analytical procedures on inputs to the reserve report by comparing to historical actual results and to the prior year reserve report.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Estimation of future taxable income of the Partnership as it relates to the partial release of the deferred tax asset valuation allowance</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As described further in Note 2 to the financial statements, the Partnership recognized discrete income tax benefits related to a partial release of its beginning-of-the-year valuation allowance, based on a change in judgment about the realizability of its deferred tax assets in future years. Management’s assessment of all available evidence, both positive and negative, supporting the realizability of the Partnership’s deferred tax assets, as required by applicable accounting standards, resulted in the recognition of a tax benefit for the portion of the Partnership’s deferred tax assets considered more likely than not to be realized. We identified the estimation of future taxable income of the Partnership as it relates to the realizability of the deferred tax asset and the partial release of the deferred tax asset valuation allowance as a critical audit matter.</w:t>
      </w:r>
    </w:p>
    <w:p>
      <w:pPr>
        <w:spacing w:after="0" w:line="21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principal consideration for our determination that the estimation of future taxable income as it relates to the realizability of the deferred tax asset and the partial release of the deferred tax asset valuation allowance is a critical audit matter is that changes in certain inputs and assumptions, which require a high degree of subjectivity, necessary to estimate the future taxable income could have a significant impact on the measurement of the deferred tax asset and the partial release of the deferred tax asset valuation allowance. In turn, auditing those inputs and assumptions required subjective and complex auditor judgment.</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audit procedures related to the estimation of future taxable income as it relates to the realizability of the deferred tax asset and the partial release of the deferred tax asset valuation allowance included the following, among others.</w:t>
      </w:r>
    </w:p>
    <w:p>
      <w:pPr>
        <w:spacing w:after="0" w:line="202" w:lineRule="exact"/>
        <w:rPr>
          <w:sz w:val="20"/>
          <w:szCs w:val="20"/>
          <w:color w:val="auto"/>
        </w:rPr>
      </w:pPr>
    </w:p>
    <w:p>
      <w:pPr>
        <w:jc w:val="both"/>
        <w:ind w:left="640" w:hanging="312"/>
        <w:spacing w:after="0" w:line="232"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design and operating effectiveness of key controls relating to the income tax provision which includes the periodic evaluation of the valuation allowance, and as applicable, the measurement of any full or partial release of the valuation allowance. Specifically, these controls related to the preparation and review of the tax provision, including the estimation of future taxable income required as part of the evaluation and measurement of the release of the valuation allowance.</w:t>
      </w:r>
    </w:p>
    <w:p>
      <w:pPr>
        <w:spacing w:after="0" w:line="29" w:lineRule="exact"/>
        <w:rPr>
          <w:rFonts w:ascii="Arial" w:cs="Arial" w:eastAsia="Arial" w:hAnsi="Arial"/>
          <w:sz w:val="18"/>
          <w:szCs w:val="18"/>
          <w:color w:val="auto"/>
        </w:rPr>
      </w:pPr>
    </w:p>
    <w:p>
      <w:pPr>
        <w:jc w:val="both"/>
        <w:ind w:left="640" w:hanging="312"/>
        <w:spacing w:after="0" w:line="232"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Identified inputs and assumptions that were significant to the determination of future taxable income and tested management’s process for determining the assumptions, including understanding and testing management’s development plan of oil and gas properties. Specifically, our audit procedures involved testing management’s assumptions as follows:</w:t>
      </w:r>
    </w:p>
    <w:p>
      <w:pPr>
        <w:spacing w:after="0" w:line="15" w:lineRule="exact"/>
        <w:rPr>
          <w:rFonts w:ascii="Arial" w:cs="Arial" w:eastAsia="Arial" w:hAnsi="Arial"/>
          <w:sz w:val="18"/>
          <w:szCs w:val="18"/>
          <w:color w:val="auto"/>
        </w:rPr>
      </w:pPr>
    </w:p>
    <w:p>
      <w:pPr>
        <w:ind w:left="1300" w:hanging="329"/>
        <w:spacing w:after="0" w:line="256" w:lineRule="auto"/>
        <w:tabs>
          <w:tab w:leader="none" w:pos="1303" w:val="left"/>
        </w:tabs>
        <w:numPr>
          <w:ilvl w:val="1"/>
          <w:numId w:val="34"/>
        </w:numPr>
        <w:rPr>
          <w:rFonts w:ascii="Arial" w:cs="Arial" w:eastAsia="Arial" w:hAnsi="Arial"/>
          <w:sz w:val="16"/>
          <w:szCs w:val="16"/>
          <w:color w:val="auto"/>
        </w:rPr>
      </w:pPr>
      <w:r>
        <w:rPr>
          <w:rFonts w:ascii="Arial" w:cs="Arial" w:eastAsia="Arial" w:hAnsi="Arial"/>
          <w:sz w:val="18"/>
          <w:szCs w:val="18"/>
          <w:color w:val="auto"/>
        </w:rPr>
        <w:t>Tested whether the tax basis of depletable properties was in excess of the book basis of those properties and whether the book income before depletion would be greater than tax depletion for the forecasted periods;</w:t>
      </w:r>
    </w:p>
    <w:p>
      <w:pPr>
        <w:ind w:left="1300" w:right="20" w:hanging="329"/>
        <w:spacing w:after="0" w:line="263" w:lineRule="auto"/>
        <w:tabs>
          <w:tab w:leader="none" w:pos="1296"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whether income is forecasted to be recognized in a period no earlier than when the Partnership’s tax depletion deductions are forecasted and evaluated whether the time period in which these deductions would be generated were reasonable;</w:t>
      </w:r>
    </w:p>
    <w:p>
      <w:pPr>
        <w:jc w:val="both"/>
        <w:ind w:left="1300" w:hanging="329"/>
        <w:spacing w:after="0" w:line="237" w:lineRule="auto"/>
        <w:tabs>
          <w:tab w:leader="none" w:pos="13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inputs to the tax depletion calculation, including the initial tax depletable basis of the leaseholds, initial tax basis in the undeveloped leaseholds, estimated transfers of undeveloped to developed properties, production, and reserves volumes used in computing the unit of production ratio;</w:t>
      </w:r>
    </w:p>
    <w:p>
      <w:pPr>
        <w:spacing w:after="0" w:line="16" w:lineRule="exact"/>
        <w:rPr>
          <w:rFonts w:ascii="Arial" w:cs="Arial" w:eastAsia="Arial" w:hAnsi="Arial"/>
          <w:sz w:val="18"/>
          <w:szCs w:val="18"/>
          <w:color w:val="auto"/>
        </w:rPr>
      </w:pPr>
    </w:p>
    <w:p>
      <w:pPr>
        <w:ind w:left="1280" w:hanging="309"/>
        <w:spacing w:after="0"/>
        <w:tabs>
          <w:tab w:leader="none" w:pos="12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Clerically tested the mathematical calculation of the tax depletion;</w:t>
      </w:r>
    </w:p>
    <w:p>
      <w:pPr>
        <w:spacing w:after="0" w:line="34" w:lineRule="exact"/>
        <w:rPr>
          <w:rFonts w:ascii="Arial" w:cs="Arial" w:eastAsia="Arial" w:hAnsi="Arial"/>
          <w:sz w:val="18"/>
          <w:szCs w:val="18"/>
          <w:color w:val="auto"/>
        </w:rPr>
      </w:pPr>
    </w:p>
    <w:p>
      <w:pPr>
        <w:jc w:val="both"/>
        <w:ind w:left="1300" w:hanging="329"/>
        <w:spacing w:after="0" w:line="257" w:lineRule="auto"/>
        <w:tabs>
          <w:tab w:leader="none" w:pos="131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Partnership’s forecasts of future production volumes including the amount of proved undeveloped properties and future reserves to be developed by comparing forecasted future production to historical actual production, historical conversion rates and actual volume decline curves, and by comparing the forecast utilized to the SEC reserve report and evaluating any differences;</w:t>
      </w:r>
    </w:p>
    <w:p>
      <w:pPr>
        <w:spacing w:after="0" w:line="1" w:lineRule="exact"/>
        <w:rPr>
          <w:rFonts w:ascii="Arial" w:cs="Arial" w:eastAsia="Arial" w:hAnsi="Arial"/>
          <w:sz w:val="17"/>
          <w:szCs w:val="17"/>
          <w:color w:val="auto"/>
        </w:rPr>
      </w:pPr>
    </w:p>
    <w:p>
      <w:pPr>
        <w:ind w:left="1280" w:hanging="309"/>
        <w:spacing w:after="0"/>
        <w:tabs>
          <w:tab w:leader="none" w:pos="12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Compared the estimated realized pricing used in the future taxable income forecast to quoted future market pricing for observable periods;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43" w:lineRule="exact"/>
        <w:rPr>
          <w:sz w:val="20"/>
          <w:szCs w:val="20"/>
          <w:color w:val="auto"/>
        </w:rPr>
      </w:pPr>
    </w:p>
    <w:p>
      <w:pPr>
        <w:ind w:left="1300" w:right="20" w:hanging="329"/>
        <w:spacing w:after="0"/>
        <w:tabs>
          <w:tab w:leader="none" w:pos="13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Compared the net revenue interests used in the forecast of producing reserves and related future taxable income to the Partnership’s interim and year-end reserve reports; and</w:t>
      </w:r>
    </w:p>
    <w:p>
      <w:pPr>
        <w:spacing w:after="0" w:line="27" w:lineRule="exact"/>
        <w:rPr>
          <w:rFonts w:ascii="Arial" w:cs="Arial" w:eastAsia="Arial" w:hAnsi="Arial"/>
          <w:sz w:val="18"/>
          <w:szCs w:val="18"/>
          <w:color w:val="auto"/>
        </w:rPr>
      </w:pPr>
    </w:p>
    <w:p>
      <w:pPr>
        <w:ind w:left="1300" w:hanging="329"/>
        <w:spacing w:after="0"/>
        <w:tabs>
          <w:tab w:leader="none" w:pos="12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production tax, ad valorem tax, interest expense, and general and administrative expense included in the estimates of future taxable income forecast by comparing to historical actuals.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2013.</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Viper Energy Partners LP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6"/>
                <w:szCs w:val="16"/>
                <w:b w:val="1"/>
                <w:bCs w:val="1"/>
                <w:color w:val="auto"/>
              </w:rPr>
              <w:t>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8"/>
        </w:trPr>
        <w:tc>
          <w:tcPr>
            <w:tcW w:w="7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w w:val="96"/>
              </w:rPr>
              <w:t>(In thousands, except unit amounts)</w:t>
            </w: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36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39,448</w:t>
            </w:r>
          </w:p>
        </w:tc>
        <w:tc>
          <w:tcPr>
            <w:tcW w:w="0" w:type="dxa"/>
            <w:vAlign w:val="bottom"/>
          </w:tcPr>
          <w:p>
            <w:pPr>
              <w:spacing w:after="0"/>
              <w:rPr>
                <w:sz w:val="1"/>
                <w:szCs w:val="1"/>
                <w:color w:val="auto"/>
              </w:rPr>
            </w:pPr>
          </w:p>
        </w:tc>
      </w:tr>
      <w:tr>
        <w:trPr>
          <w:trHeight w:val="227"/>
        </w:trPr>
        <w:tc>
          <w:tcPr>
            <w:tcW w:w="7660" w:type="dxa"/>
            <w:vAlign w:val="bottom"/>
          </w:tcPr>
          <w:p>
            <w:pPr>
              <w:ind w:left="340"/>
              <w:spacing w:after="0"/>
              <w:rPr>
                <w:sz w:val="20"/>
                <w:szCs w:val="20"/>
                <w:color w:val="auto"/>
              </w:rPr>
            </w:pPr>
            <w:r>
              <w:rPr>
                <w:rFonts w:ascii="Arial" w:cs="Arial" w:eastAsia="Arial" w:hAnsi="Arial"/>
                <w:sz w:val="18"/>
                <w:szCs w:val="18"/>
                <w:color w:val="auto"/>
              </w:rPr>
              <w:t>Royalty income receivable (net of allowance for credit losses)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81,657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68,568</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income receivable—related party</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27"/>
        </w:trPr>
        <w:tc>
          <w:tcPr>
            <w:tcW w:w="7660" w:type="dxa"/>
            <w:vAlign w:val="bottom"/>
          </w:tcPr>
          <w:p>
            <w:pPr>
              <w:ind w:left="340"/>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1"/>
        </w:trPr>
        <w:tc>
          <w:tcPr>
            <w:tcW w:w="76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111,149</w:t>
            </w: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660" w:type="dxa"/>
            <w:vAlign w:val="bottom"/>
          </w:tcPr>
          <w:p>
            <w:pPr>
              <w:ind w:left="340"/>
              <w:spacing w:after="0" w:line="187" w:lineRule="exact"/>
              <w:rPr>
                <w:sz w:val="20"/>
                <w:szCs w:val="20"/>
                <w:color w:val="auto"/>
              </w:rPr>
            </w:pPr>
            <w:r>
              <w:rPr>
                <w:rFonts w:ascii="Arial" w:cs="Arial" w:eastAsia="Arial" w:hAnsi="Arial"/>
                <w:sz w:val="18"/>
                <w:szCs w:val="18"/>
                <w:color w:val="auto"/>
                <w:w w:val="93"/>
              </w:rPr>
              <w:t>Oil and natural gas interests, full cost method of accounting ($1,297,221 and $1,640,172 excluded</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60" w:type="dxa"/>
            <w:vAlign w:val="bottom"/>
          </w:tcPr>
          <w:p>
            <w:pPr>
              <w:ind w:left="340"/>
              <w:spacing w:after="0"/>
              <w:rPr>
                <w:sz w:val="20"/>
                <w:szCs w:val="20"/>
                <w:color w:val="auto"/>
              </w:rPr>
            </w:pPr>
            <w:r>
              <w:rPr>
                <w:rFonts w:ascii="Arial" w:cs="Arial" w:eastAsia="Arial" w:hAnsi="Arial"/>
                <w:sz w:val="18"/>
                <w:szCs w:val="18"/>
                <w:color w:val="auto"/>
              </w:rPr>
              <w:t>from depletion at December 31, 2022 and December 31, 2021, respectively)</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3,464,819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3,513,590</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27"/>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depletion and impairment</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(720,234)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(599,163)</w:t>
            </w:r>
          </w:p>
        </w:tc>
        <w:tc>
          <w:tcPr>
            <w:tcW w:w="0" w:type="dxa"/>
            <w:vAlign w:val="bottom"/>
          </w:tcPr>
          <w:p>
            <w:pPr>
              <w:spacing w:after="0"/>
              <w:rPr>
                <w:sz w:val="1"/>
                <w:szCs w:val="1"/>
                <w:color w:val="auto"/>
              </w:rPr>
            </w:pPr>
          </w:p>
        </w:tc>
      </w:tr>
      <w:tr>
        <w:trPr>
          <w:trHeight w:val="221"/>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Property, net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2,750,273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2,920,115</w:t>
            </w:r>
          </w:p>
        </w:tc>
        <w:tc>
          <w:tcPr>
            <w:tcW w:w="0" w:type="dxa"/>
            <w:vAlign w:val="bottom"/>
          </w:tcPr>
          <w:p>
            <w:pPr>
              <w:spacing w:after="0"/>
              <w:rPr>
                <w:sz w:val="1"/>
                <w:szCs w:val="1"/>
                <w:color w:val="auto"/>
              </w:rPr>
            </w:pPr>
          </w:p>
        </w:tc>
      </w:tr>
      <w:tr>
        <w:trPr>
          <w:trHeight w:val="227"/>
        </w:trPr>
        <w:tc>
          <w:tcPr>
            <w:tcW w:w="766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 of allowances)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46"/>
        </w:trPr>
        <w:tc>
          <w:tcPr>
            <w:tcW w:w="7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2,920,373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3,034,021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640"/>
              <w:spacing w:after="0"/>
              <w:rPr>
                <w:sz w:val="20"/>
                <w:szCs w:val="20"/>
                <w:color w:val="auto"/>
              </w:rPr>
            </w:pPr>
            <w:r>
              <w:rPr>
                <w:rFonts w:ascii="Arial" w:cs="Arial" w:eastAsia="Arial" w:hAnsi="Arial"/>
                <w:sz w:val="16"/>
                <w:szCs w:val="16"/>
                <w:b w:val="1"/>
                <w:bCs w:val="1"/>
                <w:color w:val="auto"/>
              </w:rPr>
              <w:t>Liabilities and Unitholders’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6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9"/>
                <w:szCs w:val="19"/>
                <w:color w:val="auto"/>
              </w:rPr>
            </w:pPr>
          </w:p>
        </w:tc>
        <w:tc>
          <w:tcPr>
            <w:tcW w:w="560" w:type="dxa"/>
            <w:vAlign w:val="bottom"/>
          </w:tcPr>
          <w:p>
            <w:pPr>
              <w:jc w:val="right"/>
              <w:ind w:right="35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payable—related party</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66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20,509</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instruments</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27"/>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1"/>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24,466</w:t>
            </w:r>
          </w:p>
        </w:tc>
        <w:tc>
          <w:tcPr>
            <w:tcW w:w="0" w:type="dxa"/>
            <w:vAlign w:val="bottom"/>
          </w:tcPr>
          <w:p>
            <w:pPr>
              <w:spacing w:after="0"/>
              <w:rPr>
                <w:sz w:val="1"/>
                <w:szCs w:val="1"/>
                <w:color w:val="auto"/>
              </w:rPr>
            </w:pPr>
          </w:p>
        </w:tc>
      </w:tr>
      <w:tr>
        <w:trPr>
          <w:trHeight w:val="227"/>
        </w:trPr>
        <w:tc>
          <w:tcPr>
            <w:tcW w:w="766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576,895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776,727</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66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598,848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801,193</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20"/>
              <w:spacing w:after="0"/>
              <w:rPr>
                <w:sz w:val="20"/>
                <w:szCs w:val="20"/>
                <w:color w:val="auto"/>
              </w:rPr>
            </w:pPr>
            <w:r>
              <w:rPr>
                <w:rFonts w:ascii="Arial" w:cs="Arial" w:eastAsia="Arial" w:hAnsi="Arial"/>
                <w:sz w:val="18"/>
                <w:szCs w:val="18"/>
                <w:color w:val="auto"/>
              </w:rPr>
              <w:t>Unitholders’ equity:</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Partner</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186"/>
        </w:trPr>
        <w:tc>
          <w:tcPr>
            <w:tcW w:w="7660" w:type="dxa"/>
            <w:vAlign w:val="bottom"/>
          </w:tcPr>
          <w:p>
            <w:pPr>
              <w:ind w:left="340"/>
              <w:spacing w:after="0" w:line="187" w:lineRule="exact"/>
              <w:rPr>
                <w:sz w:val="20"/>
                <w:szCs w:val="20"/>
                <w:color w:val="auto"/>
              </w:rPr>
            </w:pPr>
            <w:r>
              <w:rPr>
                <w:rFonts w:ascii="Arial" w:cs="Arial" w:eastAsia="Arial" w:hAnsi="Arial"/>
                <w:sz w:val="18"/>
                <w:szCs w:val="18"/>
                <w:color w:val="auto"/>
                <w:w w:val="92"/>
              </w:rPr>
              <w:t>Common units (73,229,645 units issued and outstanding as of December 31, 2022 and 78,546,403</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60" w:type="dxa"/>
            <w:vAlign w:val="bottom"/>
          </w:tcPr>
          <w:p>
            <w:pPr>
              <w:ind w:left="340"/>
              <w:spacing w:after="0"/>
              <w:rPr>
                <w:sz w:val="20"/>
                <w:szCs w:val="20"/>
                <w:color w:val="auto"/>
              </w:rPr>
            </w:pPr>
            <w:r>
              <w:rPr>
                <w:rFonts w:ascii="Arial" w:cs="Arial" w:eastAsia="Arial" w:hAnsi="Arial"/>
                <w:sz w:val="18"/>
                <w:szCs w:val="18"/>
                <w:color w:val="auto"/>
              </w:rPr>
              <w:t>units issued and outstanding as of December 31, 2021)</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689,178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813,161</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Class B units (90,709,946 units issued and outstanding December 31, 2022 and December 31, 2021)</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1"/>
        </w:trPr>
        <w:tc>
          <w:tcPr>
            <w:tcW w:w="7660" w:type="dxa"/>
            <w:vAlign w:val="bottom"/>
          </w:tcPr>
          <w:p>
            <w:pPr>
              <w:ind w:left="660"/>
              <w:spacing w:after="0"/>
              <w:rPr>
                <w:sz w:val="20"/>
                <w:szCs w:val="20"/>
                <w:color w:val="auto"/>
              </w:rPr>
            </w:pPr>
            <w:r>
              <w:rPr>
                <w:rFonts w:ascii="Arial" w:cs="Arial" w:eastAsia="Arial" w:hAnsi="Arial"/>
                <w:sz w:val="18"/>
                <w:szCs w:val="18"/>
                <w:color w:val="auto"/>
              </w:rPr>
              <w:t>Total Viper Energy Partners LP unitholders’ equity</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690,659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814,821</w:t>
            </w:r>
          </w:p>
        </w:tc>
        <w:tc>
          <w:tcPr>
            <w:tcW w:w="0" w:type="dxa"/>
            <w:vAlign w:val="bottom"/>
          </w:tcPr>
          <w:p>
            <w:pPr>
              <w:spacing w:after="0"/>
              <w:rPr>
                <w:sz w:val="1"/>
                <w:szCs w:val="1"/>
                <w:color w:val="auto"/>
              </w:rPr>
            </w:pPr>
          </w:p>
        </w:tc>
      </w:tr>
      <w:tr>
        <w:trPr>
          <w:trHeight w:val="228"/>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1,630,866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1,418,007</w:t>
            </w:r>
          </w:p>
        </w:tc>
        <w:tc>
          <w:tcPr>
            <w:tcW w:w="0" w:type="dxa"/>
            <w:vAlign w:val="bottom"/>
          </w:tcPr>
          <w:p>
            <w:pPr>
              <w:spacing w:after="0"/>
              <w:rPr>
                <w:sz w:val="1"/>
                <w:szCs w:val="1"/>
                <w:color w:val="auto"/>
              </w:rPr>
            </w:pPr>
          </w:p>
        </w:tc>
      </w:tr>
      <w:tr>
        <w:trPr>
          <w:trHeight w:val="221"/>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2,321,525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2,232,828</w:t>
            </w:r>
          </w:p>
        </w:tc>
        <w:tc>
          <w:tcPr>
            <w:tcW w:w="0" w:type="dxa"/>
            <w:vAlign w:val="bottom"/>
          </w:tcPr>
          <w:p>
            <w:pPr>
              <w:spacing w:after="0"/>
              <w:rPr>
                <w:sz w:val="1"/>
                <w:szCs w:val="1"/>
                <w:color w:val="auto"/>
              </w:rPr>
            </w:pPr>
          </w:p>
        </w:tc>
      </w:tr>
      <w:tr>
        <w:trPr>
          <w:trHeight w:val="246"/>
        </w:trPr>
        <w:tc>
          <w:tcPr>
            <w:tcW w:w="7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unitholders’ equity</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2,920,373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3,034,021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20" w:top="322" w:right="37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322" w:right="37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jc w:val="center"/>
              <w:ind w:left="472"/>
              <w:spacing w:after="0"/>
              <w:rPr>
                <w:sz w:val="20"/>
                <w:szCs w:val="20"/>
                <w:color w:val="auto"/>
              </w:rPr>
            </w:pPr>
            <w:r>
              <w:rPr>
                <w:rFonts w:ascii="Arial" w:cs="Arial" w:eastAsia="Arial" w:hAnsi="Arial"/>
                <w:sz w:val="16"/>
                <w:szCs w:val="16"/>
                <w:b w:val="1"/>
                <w:bCs w:val="1"/>
                <w:color w:val="auto"/>
                <w:w w:val="90"/>
              </w:rPr>
              <w:t>Year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6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84"/>
              </w:rPr>
              <w:t>2020</w:t>
            </w:r>
          </w:p>
        </w:tc>
      </w:tr>
      <w:tr>
        <w:trPr>
          <w:trHeight w:val="208"/>
        </w:trPr>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6"/>
          </w:tcPr>
          <w:p>
            <w:pPr>
              <w:jc w:val="center"/>
              <w:ind w:left="472"/>
              <w:spacing w:after="0"/>
              <w:rPr>
                <w:sz w:val="20"/>
                <w:szCs w:val="20"/>
                <w:color w:val="auto"/>
              </w:rPr>
            </w:pPr>
            <w:r>
              <w:rPr>
                <w:rFonts w:ascii="Arial" w:cs="Arial" w:eastAsia="Arial" w:hAnsi="Arial"/>
                <w:sz w:val="16"/>
                <w:szCs w:val="16"/>
                <w:b w:val="1"/>
                <w:bCs w:val="1"/>
                <w:color w:val="auto"/>
                <w:w w:val="90"/>
              </w:rPr>
              <w:t>(In thousands, except per unit amounts)</w:t>
            </w:r>
          </w:p>
        </w:tc>
        <w:tc>
          <w:tcPr>
            <w:tcW w:w="880" w:type="dxa"/>
            <w:vAlign w:val="bottom"/>
          </w:tcPr>
          <w:p>
            <w:pPr>
              <w:spacing w:after="0"/>
              <w:rPr>
                <w:sz w:val="18"/>
                <w:szCs w:val="18"/>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Royalty income</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837,976</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501,534</w:t>
            </w:r>
          </w:p>
        </w:tc>
        <w:tc>
          <w:tcPr>
            <w:tcW w:w="100" w:type="dxa"/>
            <w:vAlign w:val="bottom"/>
          </w:tcPr>
          <w:p>
            <w:pPr>
              <w:spacing w:after="0"/>
              <w:rPr>
                <w:sz w:val="19"/>
                <w:szCs w:val="19"/>
                <w:color w:val="auto"/>
              </w:rPr>
            </w:pPr>
          </w:p>
        </w:tc>
        <w:tc>
          <w:tcPr>
            <w:tcW w:w="560" w:type="dxa"/>
            <w:vAlign w:val="bottom"/>
          </w:tcPr>
          <w:p>
            <w:pPr>
              <w:jc w:val="right"/>
              <w:ind w:right="3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246,981</w:t>
            </w: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bonus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r>
      <w:tr>
        <w:trPr>
          <w:trHeight w:val="227"/>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operating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w:t>
            </w:r>
          </w:p>
        </w:tc>
      </w:tr>
      <w:tr>
        <w:trPr>
          <w:trHeight w:val="221"/>
        </w:trPr>
        <w:tc>
          <w:tcPr>
            <w:tcW w:w="6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operating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250,626</w:t>
            </w:r>
          </w:p>
        </w:tc>
      </w:tr>
      <w:tr>
        <w:trPr>
          <w:trHeight w:val="212"/>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Production and ad valorem taxes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19,844</w:t>
            </w: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Depletion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102,987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100,501</w:t>
            </w: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69,202</w:t>
            </w:r>
          </w:p>
        </w:tc>
      </w:tr>
      <w:tr>
        <w:trPr>
          <w:trHeight w:val="227"/>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8,165</w:t>
            </w:r>
          </w:p>
        </w:tc>
      </w:tr>
      <w:tr>
        <w:trPr>
          <w:trHeight w:val="221"/>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143,345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197,712</w:t>
            </w:r>
          </w:p>
        </w:tc>
      </w:tr>
      <w:tr>
        <w:trPr>
          <w:trHeight w:val="221"/>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680,482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361,572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52,914</w:t>
            </w:r>
          </w:p>
        </w:tc>
      </w:tr>
      <w:tr>
        <w:trPr>
          <w:trHeight w:val="215"/>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(33,000)</w:t>
            </w: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derivative instruments,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(63,591)</w:t>
            </w:r>
          </w:p>
        </w:tc>
      </w:tr>
      <w:tr>
        <w:trPr>
          <w:trHeight w:val="227"/>
        </w:trPr>
        <w:tc>
          <w:tcPr>
            <w:tcW w:w="6720" w:type="dxa"/>
            <w:vAlign w:val="bottom"/>
          </w:tcPr>
          <w:p>
            <w:pPr>
              <w:ind w:left="340"/>
              <w:spacing w:after="0"/>
              <w:rPr>
                <w:sz w:val="20"/>
                <w:szCs w:val="20"/>
                <w:color w:val="auto"/>
              </w:rPr>
            </w:pPr>
            <w:r>
              <w:rPr>
                <w:rFonts w:ascii="Arial" w:cs="Arial" w:eastAsia="Arial" w:hAnsi="Arial"/>
                <w:sz w:val="18"/>
                <w:szCs w:val="18"/>
                <w:color w:val="auto"/>
              </w:rPr>
              <w:t>Gain (loss) on revaluation of investment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(8,556)</w:t>
            </w:r>
          </w:p>
        </w:tc>
      </w:tr>
      <w:tr>
        <w:trPr>
          <w:trHeight w:val="228"/>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21"/>
        </w:trPr>
        <w:tc>
          <w:tcPr>
            <w:tcW w:w="67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(103,374)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(103,861)</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(50,947)</w:t>
            </w:r>
          </w:p>
        </w:tc>
      </w:tr>
      <w:tr>
        <w:trPr>
          <w:trHeight w:val="22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142,466</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256,677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(193,413)</w:t>
            </w:r>
          </w:p>
        </w:tc>
      </w:tr>
      <w:tr>
        <w:trPr>
          <w:trHeight w:val="22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198,738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r>
      <w:tr>
        <w:trPr>
          <w:trHeight w:val="24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(192,304)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limited partner units: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7"/>
        </w:trPr>
        <w:tc>
          <w:tcPr>
            <w:tcW w:w="6720" w:type="dxa"/>
            <w:vAlign w:val="bottom"/>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560" w:type="dxa"/>
            <w:vAlign w:val="bottom"/>
          </w:tcPr>
          <w:p>
            <w:pPr>
              <w:jc w:val="right"/>
              <w:ind w:right="3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28"/>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12"/>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Weighted average number of common limited partner units outstanding:</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67,686</w:t>
            </w:r>
          </w:p>
        </w:tc>
      </w:tr>
      <w:tr>
        <w:trPr>
          <w:trHeight w:val="227"/>
        </w:trPr>
        <w:tc>
          <w:tcPr>
            <w:tcW w:w="6720" w:type="dxa"/>
            <w:vAlign w:val="bottom"/>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Statement of Consolidated Unitholders’ Equity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General</w:t>
            </w: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Non-</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7" w:lineRule="exact"/>
              <w:rPr>
                <w:sz w:val="20"/>
                <w:szCs w:val="20"/>
                <w:color w:val="auto"/>
              </w:rPr>
            </w:pPr>
            <w:r>
              <w:rPr>
                <w:rFonts w:ascii="Arial" w:cs="Arial" w:eastAsia="Arial" w:hAnsi="Arial"/>
                <w:sz w:val="15"/>
                <w:szCs w:val="15"/>
                <w:b w:val="1"/>
                <w:bCs w:val="1"/>
                <w:color w:val="auto"/>
                <w:w w:val="92"/>
              </w:rPr>
              <w:t>Controlling</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ind w:left="220"/>
              <w:spacing w:after="0"/>
              <w:rPr>
                <w:sz w:val="20"/>
                <w:szCs w:val="20"/>
                <w:color w:val="auto"/>
              </w:rPr>
            </w:pPr>
            <w:r>
              <w:rPr>
                <w:rFonts w:ascii="Arial" w:cs="Arial" w:eastAsia="Arial" w:hAnsi="Arial"/>
                <w:sz w:val="15"/>
                <w:szCs w:val="15"/>
                <w:b w:val="1"/>
                <w:bCs w:val="1"/>
                <w:color w:val="auto"/>
              </w:rPr>
              <w:t>Limited Partners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5"/>
                <w:szCs w:val="15"/>
                <w:b w:val="1"/>
                <w:bCs w:val="1"/>
                <w:color w:val="auto"/>
              </w:rPr>
              <w:t>Partner</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Interest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920" w:type="dxa"/>
            <w:vAlign w:val="bottom"/>
          </w:tcPr>
          <w:p>
            <w:pPr>
              <w:spacing w:after="0"/>
              <w:rPr>
                <w:sz w:val="16"/>
                <w:szCs w:val="16"/>
                <w:color w:val="auto"/>
              </w:rPr>
            </w:pPr>
          </w:p>
        </w:tc>
        <w:tc>
          <w:tcPr>
            <w:tcW w:w="9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92"/>
              </w:rPr>
              <w:t>Common</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87"/>
              </w:rPr>
              <w:t>Class B</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18"/>
                <w:szCs w:val="18"/>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90"/>
              </w:rPr>
              <w:t>Units</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Amount</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90"/>
              </w:rPr>
              <w:t>Units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Amount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5"/>
              </w:rPr>
              <w:t>Amount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5"/>
                <w:szCs w:val="15"/>
                <w:b w:val="1"/>
                <w:bCs w:val="1"/>
                <w:color w:val="auto"/>
                <w:w w:val="88"/>
              </w:rPr>
              <w:t>(In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929,116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1,254,285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2,185,420</w:t>
            </w:r>
          </w:p>
        </w:tc>
        <w:tc>
          <w:tcPr>
            <w:tcW w:w="0" w:type="dxa"/>
            <w:vAlign w:val="bottom"/>
          </w:tcPr>
          <w:p>
            <w:pPr>
              <w:spacing w:after="0"/>
              <w:rPr>
                <w:sz w:val="1"/>
                <w:szCs w:val="1"/>
                <w:color w:val="auto"/>
              </w:rPr>
            </w:pPr>
          </w:p>
        </w:tc>
      </w:tr>
      <w:tr>
        <w:trPr>
          <w:trHeight w:val="211"/>
        </w:trPr>
        <w:tc>
          <w:tcPr>
            <w:tcW w:w="3920" w:type="dxa"/>
            <w:vAlign w:val="bottom"/>
          </w:tcPr>
          <w:p>
            <w:pPr>
              <w:ind w:left="220"/>
              <w:spacing w:after="0"/>
              <w:rPr>
                <w:sz w:val="20"/>
                <w:szCs w:val="20"/>
                <w:color w:val="auto"/>
              </w:rPr>
            </w:pPr>
            <w:r>
              <w:rPr>
                <w:rFonts w:ascii="Arial" w:cs="Arial" w:eastAsia="Arial" w:hAnsi="Arial"/>
                <w:sz w:val="16"/>
                <w:szCs w:val="16"/>
                <w:color w:val="auto"/>
              </w:rPr>
              <w:t>Unit-based compensation</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920" w:type="dxa"/>
            <w:vAlign w:val="bottom"/>
          </w:tcPr>
          <w:p>
            <w:pPr>
              <w:ind w:left="220"/>
              <w:spacing w:after="0"/>
              <w:rPr>
                <w:sz w:val="20"/>
                <w:szCs w:val="20"/>
                <w:color w:val="auto"/>
              </w:rPr>
            </w:pPr>
            <w:r>
              <w:rPr>
                <w:rFonts w:ascii="Arial" w:cs="Arial" w:eastAsia="Arial" w:hAnsi="Arial"/>
                <w:sz w:val="16"/>
                <w:szCs w:val="16"/>
                <w:color w:val="auto"/>
              </w:rPr>
              <w:t>Distribution equivalent rights payments</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Distributions to public</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(45,630)</w:t>
            </w:r>
          </w:p>
        </w:tc>
        <w:tc>
          <w:tcPr>
            <w:tcW w:w="0" w:type="dxa"/>
            <w:vAlign w:val="bottom"/>
          </w:tcPr>
          <w:p>
            <w:pPr>
              <w:spacing w:after="0"/>
              <w:rPr>
                <w:sz w:val="1"/>
                <w:szCs w:val="1"/>
                <w:color w:val="auto"/>
              </w:rPr>
            </w:pPr>
          </w:p>
        </w:tc>
      </w:tr>
      <w:tr>
        <w:trPr>
          <w:trHeight w:val="211"/>
        </w:trPr>
        <w:tc>
          <w:tcPr>
            <w:tcW w:w="3920" w:type="dxa"/>
            <w:vAlign w:val="bottom"/>
          </w:tcPr>
          <w:p>
            <w:pPr>
              <w:ind w:left="240"/>
              <w:spacing w:after="0"/>
              <w:rPr>
                <w:sz w:val="20"/>
                <w:szCs w:val="20"/>
                <w:color w:val="auto"/>
              </w:rPr>
            </w:pPr>
            <w:r>
              <w:rPr>
                <w:rFonts w:ascii="Arial" w:cs="Arial" w:eastAsia="Arial" w:hAnsi="Arial"/>
                <w:sz w:val="16"/>
                <w:szCs w:val="16"/>
                <w:color w:val="auto"/>
              </w:rPr>
              <w:t>Distributions to Diamondback</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(61,685)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(62,282)</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Distributions to General Partner</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1"/>
        </w:trPr>
        <w:tc>
          <w:tcPr>
            <w:tcW w:w="3920" w:type="dxa"/>
            <w:vAlign w:val="bottom"/>
          </w:tcPr>
          <w:p>
            <w:pPr>
              <w:ind w:left="220"/>
              <w:spacing w:after="0"/>
              <w:rPr>
                <w:sz w:val="20"/>
                <w:szCs w:val="20"/>
                <w:color w:val="auto"/>
              </w:rPr>
            </w:pPr>
            <w:r>
              <w:rPr>
                <w:rFonts w:ascii="Arial" w:cs="Arial" w:eastAsia="Arial" w:hAnsi="Arial"/>
                <w:sz w:val="16"/>
                <w:szCs w:val="16"/>
                <w:color w:val="auto"/>
                <w:w w:val="96"/>
              </w:rPr>
              <w:t>Change in ownership of consolidated subsidiaries, net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(34,087)</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34,087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Cash paid for tax withholding on vested common units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1"/>
        </w:trPr>
        <w:tc>
          <w:tcPr>
            <w:tcW w:w="3920" w:type="dxa"/>
            <w:vAlign w:val="bottom"/>
          </w:tcPr>
          <w:p>
            <w:pPr>
              <w:ind w:left="220"/>
              <w:spacing w:after="0"/>
              <w:rPr>
                <w:sz w:val="20"/>
                <w:szCs w:val="20"/>
                <w:color w:val="auto"/>
              </w:rPr>
            </w:pPr>
            <w:r>
              <w:rPr>
                <w:rFonts w:ascii="Arial" w:cs="Arial" w:eastAsia="Arial" w:hAnsi="Arial"/>
                <w:sz w:val="16"/>
                <w:szCs w:val="16"/>
                <w:color w:val="auto"/>
              </w:rPr>
              <w:t>Repurchased units as part of unit buyback</w:t>
            </w:r>
          </w:p>
        </w:tc>
        <w:tc>
          <w:tcPr>
            <w:tcW w:w="860" w:type="dxa"/>
            <w:vAlign w:val="bottom"/>
          </w:tcPr>
          <w:p>
            <w:pPr>
              <w:jc w:val="right"/>
              <w:spacing w:after="0"/>
              <w:rPr>
                <w:sz w:val="20"/>
                <w:szCs w:val="20"/>
                <w:color w:val="auto"/>
              </w:rPr>
            </w:pPr>
            <w:r>
              <w:rPr>
                <w:rFonts w:ascii="Arial" w:cs="Arial" w:eastAsia="Arial" w:hAnsi="Arial"/>
                <w:sz w:val="16"/>
                <w:szCs w:val="16"/>
                <w:color w:val="auto"/>
              </w:rPr>
              <w:t>(2,045)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(24,026)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(24,026)</w:t>
            </w:r>
          </w:p>
        </w:tc>
        <w:tc>
          <w:tcPr>
            <w:tcW w:w="0" w:type="dxa"/>
            <w:vAlign w:val="bottom"/>
          </w:tcPr>
          <w:p>
            <w:pPr>
              <w:spacing w:after="0"/>
              <w:rPr>
                <w:sz w:val="1"/>
                <w:szCs w:val="1"/>
                <w:color w:val="auto"/>
              </w:rPr>
            </w:pPr>
          </w:p>
        </w:tc>
      </w:tr>
      <w:tr>
        <w:trPr>
          <w:trHeight w:val="214"/>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(193,413)</w:t>
            </w:r>
          </w:p>
        </w:tc>
        <w:tc>
          <w:tcPr>
            <w:tcW w:w="0" w:type="dxa"/>
            <w:vAlign w:val="bottom"/>
          </w:tcPr>
          <w:p>
            <w:pPr>
              <w:spacing w:after="0"/>
              <w:rPr>
                <w:sz w:val="1"/>
                <w:szCs w:val="1"/>
                <w:color w:val="auto"/>
              </w:rPr>
            </w:pPr>
          </w:p>
        </w:tc>
      </w:tr>
      <w:tr>
        <w:trPr>
          <w:trHeight w:val="208"/>
        </w:trPr>
        <w:tc>
          <w:tcPr>
            <w:tcW w:w="392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65,817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633,415</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90,710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1,225,578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1,860,833</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Unit-based compensation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11"/>
        </w:trPr>
        <w:tc>
          <w:tcPr>
            <w:tcW w:w="3920" w:type="dxa"/>
            <w:vAlign w:val="bottom"/>
          </w:tcPr>
          <w:p>
            <w:pPr>
              <w:ind w:left="220"/>
              <w:spacing w:after="0"/>
              <w:rPr>
                <w:sz w:val="20"/>
                <w:szCs w:val="20"/>
                <w:color w:val="auto"/>
              </w:rPr>
            </w:pPr>
            <w:r>
              <w:rPr>
                <w:rFonts w:ascii="Arial" w:cs="Arial" w:eastAsia="Arial" w:hAnsi="Arial"/>
                <w:sz w:val="16"/>
                <w:szCs w:val="16"/>
                <w:color w:val="auto"/>
              </w:rPr>
              <w:t>Common units issued for acquisition</w:t>
            </w:r>
          </w:p>
        </w:tc>
        <w:tc>
          <w:tcPr>
            <w:tcW w:w="860" w:type="dxa"/>
            <w:vAlign w:val="bottom"/>
          </w:tcPr>
          <w:p>
            <w:pPr>
              <w:jc w:val="right"/>
              <w:spacing w:after="0"/>
              <w:rPr>
                <w:sz w:val="20"/>
                <w:szCs w:val="20"/>
                <w:color w:val="auto"/>
              </w:rPr>
            </w:pPr>
            <w:r>
              <w:rPr>
                <w:rFonts w:ascii="Arial" w:cs="Arial" w:eastAsia="Arial" w:hAnsi="Arial"/>
                <w:sz w:val="16"/>
                <w:szCs w:val="16"/>
                <w:color w:val="auto"/>
              </w:rPr>
              <w:t>15,250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336,872</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336,872</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Vesting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920" w:type="dxa"/>
            <w:vAlign w:val="bottom"/>
          </w:tcPr>
          <w:p>
            <w:pPr>
              <w:ind w:left="220"/>
              <w:spacing w:after="0"/>
              <w:rPr>
                <w:sz w:val="20"/>
                <w:szCs w:val="20"/>
                <w:color w:val="auto"/>
              </w:rPr>
            </w:pPr>
            <w:r>
              <w:rPr>
                <w:rFonts w:ascii="Arial" w:cs="Arial" w:eastAsia="Arial" w:hAnsi="Arial"/>
                <w:sz w:val="16"/>
                <w:szCs w:val="16"/>
                <w:color w:val="auto"/>
              </w:rPr>
              <w:t>Distribution equivalent rights payments</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Distributions to public</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(75,749)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(75,749)</w:t>
            </w:r>
          </w:p>
        </w:tc>
        <w:tc>
          <w:tcPr>
            <w:tcW w:w="0" w:type="dxa"/>
            <w:vAlign w:val="bottom"/>
          </w:tcPr>
          <w:p>
            <w:pPr>
              <w:spacing w:after="0"/>
              <w:rPr>
                <w:sz w:val="1"/>
                <w:szCs w:val="1"/>
                <w:color w:val="auto"/>
              </w:rPr>
            </w:pPr>
          </w:p>
        </w:tc>
      </w:tr>
      <w:tr>
        <w:trPr>
          <w:trHeight w:val="211"/>
        </w:trPr>
        <w:tc>
          <w:tcPr>
            <w:tcW w:w="3920" w:type="dxa"/>
            <w:vAlign w:val="bottom"/>
          </w:tcPr>
          <w:p>
            <w:pPr>
              <w:ind w:left="220"/>
              <w:spacing w:after="0"/>
              <w:rPr>
                <w:sz w:val="20"/>
                <w:szCs w:val="20"/>
                <w:color w:val="auto"/>
              </w:rPr>
            </w:pPr>
            <w:r>
              <w:rPr>
                <w:rFonts w:ascii="Arial" w:cs="Arial" w:eastAsia="Arial" w:hAnsi="Arial"/>
                <w:sz w:val="16"/>
                <w:szCs w:val="16"/>
                <w:color w:val="auto"/>
              </w:rPr>
              <w:t>Distributions to Diamondback</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(99,782)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(100,685)</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Distributions to General Partner</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1"/>
        </w:trPr>
        <w:tc>
          <w:tcPr>
            <w:tcW w:w="3920" w:type="dxa"/>
            <w:vAlign w:val="bottom"/>
          </w:tcPr>
          <w:p>
            <w:pPr>
              <w:ind w:left="220"/>
              <w:spacing w:after="0"/>
              <w:rPr>
                <w:sz w:val="20"/>
                <w:szCs w:val="20"/>
                <w:color w:val="auto"/>
              </w:rPr>
            </w:pPr>
            <w:r>
              <w:rPr>
                <w:rFonts w:ascii="Arial" w:cs="Arial" w:eastAsia="Arial" w:hAnsi="Arial"/>
                <w:sz w:val="16"/>
                <w:szCs w:val="16"/>
                <w:color w:val="auto"/>
                <w:w w:val="96"/>
              </w:rPr>
              <w:t>Change in ownership of consolidated subsidiaries, net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(93,473)</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93,473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Cash paid for tax withholding on vested common units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1"/>
        </w:trPr>
        <w:tc>
          <w:tcPr>
            <w:tcW w:w="3920" w:type="dxa"/>
            <w:vAlign w:val="bottom"/>
          </w:tcPr>
          <w:p>
            <w:pPr>
              <w:ind w:left="220"/>
              <w:spacing w:after="0"/>
              <w:rPr>
                <w:sz w:val="20"/>
                <w:szCs w:val="20"/>
                <w:color w:val="auto"/>
              </w:rPr>
            </w:pPr>
            <w:r>
              <w:rPr>
                <w:rFonts w:ascii="Arial" w:cs="Arial" w:eastAsia="Arial" w:hAnsi="Arial"/>
                <w:sz w:val="16"/>
                <w:szCs w:val="16"/>
                <w:color w:val="auto"/>
              </w:rPr>
              <w:t>Repurchased units as part of unit buyback</w:t>
            </w:r>
          </w:p>
        </w:tc>
        <w:tc>
          <w:tcPr>
            <w:tcW w:w="860" w:type="dxa"/>
            <w:vAlign w:val="bottom"/>
          </w:tcPr>
          <w:p>
            <w:pPr>
              <w:jc w:val="right"/>
              <w:spacing w:after="0"/>
              <w:rPr>
                <w:sz w:val="20"/>
                <w:szCs w:val="20"/>
                <w:color w:val="auto"/>
              </w:rPr>
            </w:pPr>
            <w:r>
              <w:rPr>
                <w:rFonts w:ascii="Arial" w:cs="Arial" w:eastAsia="Arial" w:hAnsi="Arial"/>
                <w:sz w:val="16"/>
                <w:szCs w:val="16"/>
                <w:color w:val="auto"/>
              </w:rPr>
              <w:t>(2,613)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(45,999)</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(45,999)</w:t>
            </w:r>
          </w:p>
        </w:tc>
        <w:tc>
          <w:tcPr>
            <w:tcW w:w="0" w:type="dxa"/>
            <w:vAlign w:val="bottom"/>
          </w:tcPr>
          <w:p>
            <w:pPr>
              <w:spacing w:after="0"/>
              <w:rPr>
                <w:sz w:val="1"/>
                <w:szCs w:val="1"/>
                <w:color w:val="auto"/>
              </w:rPr>
            </w:pPr>
          </w:p>
        </w:tc>
      </w:tr>
      <w:tr>
        <w:trPr>
          <w:trHeight w:val="214"/>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57,939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256,677</w:t>
            </w:r>
          </w:p>
        </w:tc>
        <w:tc>
          <w:tcPr>
            <w:tcW w:w="0" w:type="dxa"/>
            <w:vAlign w:val="bottom"/>
          </w:tcPr>
          <w:p>
            <w:pPr>
              <w:spacing w:after="0"/>
              <w:rPr>
                <w:sz w:val="1"/>
                <w:szCs w:val="1"/>
                <w:color w:val="auto"/>
              </w:rPr>
            </w:pPr>
          </w:p>
        </w:tc>
      </w:tr>
      <w:tr>
        <w:trPr>
          <w:trHeight w:val="208"/>
        </w:trPr>
        <w:tc>
          <w:tcPr>
            <w:tcW w:w="392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78,546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813,161</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90,710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1,418,007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2,232,828</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Unit-based compensation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211"/>
        </w:trPr>
        <w:tc>
          <w:tcPr>
            <w:tcW w:w="3920" w:type="dxa"/>
            <w:vAlign w:val="bottom"/>
          </w:tcPr>
          <w:p>
            <w:pPr>
              <w:ind w:left="220"/>
              <w:spacing w:after="0"/>
              <w:rPr>
                <w:sz w:val="20"/>
                <w:szCs w:val="20"/>
                <w:color w:val="auto"/>
              </w:rPr>
            </w:pPr>
            <w:r>
              <w:rPr>
                <w:rFonts w:ascii="Arial" w:cs="Arial" w:eastAsia="Arial" w:hAnsi="Arial"/>
                <w:sz w:val="16"/>
                <w:szCs w:val="16"/>
                <w:color w:val="auto"/>
              </w:rPr>
              <w:t>Vesting of restricted stock units</w:t>
            </w: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Distribution equivalent rights payments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1"/>
        </w:trPr>
        <w:tc>
          <w:tcPr>
            <w:tcW w:w="3920" w:type="dxa"/>
            <w:vAlign w:val="bottom"/>
          </w:tcPr>
          <w:p>
            <w:pPr>
              <w:ind w:left="220"/>
              <w:spacing w:after="0"/>
              <w:rPr>
                <w:sz w:val="20"/>
                <w:szCs w:val="20"/>
                <w:color w:val="auto"/>
              </w:rPr>
            </w:pPr>
            <w:r>
              <w:rPr>
                <w:rFonts w:ascii="Arial" w:cs="Arial" w:eastAsia="Arial" w:hAnsi="Arial"/>
                <w:sz w:val="16"/>
                <w:szCs w:val="16"/>
                <w:color w:val="auto"/>
              </w:rPr>
              <w:t>Distributions to public</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(182,470)</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(182,470)</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Distributions to Diamondback</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(234,103)</w:t>
            </w:r>
          </w:p>
        </w:tc>
        <w:tc>
          <w:tcPr>
            <w:tcW w:w="0" w:type="dxa"/>
            <w:vAlign w:val="bottom"/>
          </w:tcPr>
          <w:p>
            <w:pPr>
              <w:spacing w:after="0"/>
              <w:rPr>
                <w:sz w:val="1"/>
                <w:szCs w:val="1"/>
                <w:color w:val="auto"/>
              </w:rPr>
            </w:pPr>
          </w:p>
        </w:tc>
      </w:tr>
      <w:tr>
        <w:trPr>
          <w:trHeight w:val="211"/>
        </w:trPr>
        <w:tc>
          <w:tcPr>
            <w:tcW w:w="3920" w:type="dxa"/>
            <w:vAlign w:val="bottom"/>
          </w:tcPr>
          <w:p>
            <w:pPr>
              <w:ind w:left="220"/>
              <w:spacing w:after="0"/>
              <w:rPr>
                <w:sz w:val="20"/>
                <w:szCs w:val="20"/>
                <w:color w:val="auto"/>
              </w:rPr>
            </w:pPr>
            <w:r>
              <w:rPr>
                <w:rFonts w:ascii="Arial" w:cs="Arial" w:eastAsia="Arial" w:hAnsi="Arial"/>
                <w:sz w:val="16"/>
                <w:szCs w:val="16"/>
                <w:color w:val="auto"/>
              </w:rPr>
              <w:t>Distributions to General Partner</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Change in ownership of consolidated subsidiaries, net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58,253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920" w:type="dxa"/>
            <w:vAlign w:val="bottom"/>
          </w:tcPr>
          <w:p>
            <w:pPr>
              <w:ind w:left="220"/>
              <w:spacing w:after="0"/>
              <w:rPr>
                <w:sz w:val="20"/>
                <w:szCs w:val="20"/>
                <w:color w:val="auto"/>
              </w:rPr>
            </w:pPr>
            <w:r>
              <w:rPr>
                <w:rFonts w:ascii="Arial" w:cs="Arial" w:eastAsia="Arial" w:hAnsi="Arial"/>
                <w:sz w:val="16"/>
                <w:szCs w:val="16"/>
                <w:color w:val="auto"/>
              </w:rPr>
              <w:t>Repurchased units as part of unit buyback</w:t>
            </w:r>
          </w:p>
        </w:tc>
        <w:tc>
          <w:tcPr>
            <w:tcW w:w="860" w:type="dxa"/>
            <w:vAlign w:val="bottom"/>
          </w:tcPr>
          <w:p>
            <w:pPr>
              <w:jc w:val="right"/>
              <w:spacing w:after="0"/>
              <w:rPr>
                <w:sz w:val="20"/>
                <w:szCs w:val="20"/>
                <w:color w:val="auto"/>
              </w:rPr>
            </w:pPr>
            <w:r>
              <w:rPr>
                <w:rFonts w:ascii="Arial" w:cs="Arial" w:eastAsia="Arial" w:hAnsi="Arial"/>
                <w:sz w:val="16"/>
                <w:szCs w:val="16"/>
                <w:color w:val="auto"/>
              </w:rPr>
              <w:t>(5,395)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(150,593)</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(150,593)</w:t>
            </w:r>
          </w:p>
        </w:tc>
        <w:tc>
          <w:tcPr>
            <w:tcW w:w="0" w:type="dxa"/>
            <w:vAlign w:val="bottom"/>
          </w:tcPr>
          <w:p>
            <w:pPr>
              <w:spacing w:after="0"/>
              <w:rPr>
                <w:sz w:val="1"/>
                <w:szCs w:val="1"/>
                <w:color w:val="auto"/>
              </w:rPr>
            </w:pPr>
          </w:p>
        </w:tc>
      </w:tr>
      <w:tr>
        <w:trPr>
          <w:trHeight w:val="217"/>
        </w:trPr>
        <w:tc>
          <w:tcPr>
            <w:tcW w:w="392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151,673</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503,331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655,004</w:t>
            </w: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689,178</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90,710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1,630,866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2,321,525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620"/>
              <w:spacing w:after="0"/>
              <w:rPr>
                <w:sz w:val="20"/>
                <w:szCs w:val="20"/>
                <w:color w:val="auto"/>
              </w:rPr>
            </w:pPr>
            <w:r>
              <w:rPr>
                <w:rFonts w:ascii="Arial" w:cs="Arial" w:eastAsia="Arial" w:hAnsi="Arial"/>
                <w:sz w:val="16"/>
                <w:szCs w:val="16"/>
                <w:b w:val="1"/>
                <w:bCs w:val="1"/>
                <w:color w:val="auto"/>
                <w:w w:val="91"/>
              </w:rPr>
              <w:t>Year Ended December 31,</w:t>
            </w:r>
          </w:p>
        </w:tc>
        <w:tc>
          <w:tcPr>
            <w:tcW w:w="1000" w:type="dxa"/>
            <w:vAlign w:val="bottom"/>
            <w:tcBorders>
              <w:bottom w:val="single" w:sz="8" w:color="auto"/>
            </w:tcBorders>
          </w:tcPr>
          <w:p>
            <w:pPr>
              <w:spacing w:after="0"/>
              <w:rPr>
                <w:sz w:val="18"/>
                <w:szCs w:val="18"/>
                <w:color w:val="auto"/>
              </w:rPr>
            </w:pPr>
          </w:p>
        </w:tc>
      </w:tr>
      <w:tr>
        <w:trPr>
          <w:trHeight w:val="208"/>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08"/>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6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655,004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256,677</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(193,413)</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60" w:type="dxa"/>
            <w:vAlign w:val="bottom"/>
          </w:tcPr>
          <w:p>
            <w:pPr>
              <w:ind w:left="660"/>
              <w:spacing w:after="0"/>
              <w:rPr>
                <w:sz w:val="20"/>
                <w:szCs w:val="20"/>
                <w:color w:val="auto"/>
              </w:rPr>
            </w:pPr>
            <w:r>
              <w:rPr>
                <w:rFonts w:ascii="Arial" w:cs="Arial" w:eastAsia="Arial" w:hAnsi="Arial"/>
                <w:sz w:val="16"/>
                <w:szCs w:val="16"/>
                <w:color w:val="auto"/>
              </w:rPr>
              <w:t>Provision for (benefit from) 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142,466</w:t>
            </w:r>
          </w:p>
        </w:tc>
      </w:tr>
      <w:tr>
        <w:trPr>
          <w:trHeight w:val="217"/>
        </w:trPr>
        <w:tc>
          <w:tcPr>
            <w:tcW w:w="7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Depletion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100,501</w:t>
            </w:r>
          </w:p>
        </w:tc>
      </w:tr>
      <w:tr>
        <w:trPr>
          <w:trHeight w:val="211"/>
        </w:trPr>
        <w:tc>
          <w:tcPr>
            <w:tcW w:w="7060" w:type="dxa"/>
            <w:vAlign w:val="bottom"/>
          </w:tcPr>
          <w:p>
            <w:pPr>
              <w:ind w:left="660"/>
              <w:spacing w:after="0"/>
              <w:rPr>
                <w:sz w:val="20"/>
                <w:szCs w:val="20"/>
                <w:color w:val="auto"/>
              </w:rPr>
            </w:pPr>
            <w:r>
              <w:rPr>
                <w:rFonts w:ascii="Arial" w:cs="Arial" w:eastAsia="Arial" w:hAnsi="Arial"/>
                <w:sz w:val="16"/>
                <w:szCs w:val="16"/>
                <w:color w:val="auto"/>
              </w:rPr>
              <w:t>Impairment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69,202</w:t>
            </w:r>
          </w:p>
        </w:tc>
      </w:tr>
      <w:tr>
        <w:trPr>
          <w:trHeight w:val="217"/>
        </w:trPr>
        <w:tc>
          <w:tcPr>
            <w:tcW w:w="7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loss on derivative instruments,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63,591</w:t>
            </w:r>
          </w:p>
        </w:tc>
      </w:tr>
      <w:tr>
        <w:trPr>
          <w:trHeight w:val="211"/>
        </w:trPr>
        <w:tc>
          <w:tcPr>
            <w:tcW w:w="7060" w:type="dxa"/>
            <w:vAlign w:val="bottom"/>
          </w:tcPr>
          <w:p>
            <w:pPr>
              <w:ind w:left="660"/>
              <w:spacing w:after="0"/>
              <w:rPr>
                <w:sz w:val="20"/>
                <w:szCs w:val="20"/>
                <w:color w:val="auto"/>
              </w:rPr>
            </w:pPr>
            <w:r>
              <w:rPr>
                <w:rFonts w:ascii="Arial" w:cs="Arial" w:eastAsia="Arial" w:hAnsi="Arial"/>
                <w:sz w:val="16"/>
                <w:szCs w:val="16"/>
                <w:color w:val="auto"/>
              </w:rPr>
              <w:t>Net cash receipts (payments) on derivatives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(92,585)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(36,998)</w:t>
            </w:r>
          </w:p>
        </w:tc>
      </w:tr>
      <w:tr>
        <w:trPr>
          <w:trHeight w:val="217"/>
        </w:trPr>
        <w:tc>
          <w:tcPr>
            <w:tcW w:w="7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loss on revaluation of investment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8,556</w:t>
            </w:r>
          </w:p>
        </w:tc>
      </w:tr>
      <w:tr>
        <w:trPr>
          <w:trHeight w:val="211"/>
        </w:trPr>
        <w:tc>
          <w:tcPr>
            <w:tcW w:w="7060" w:type="dxa"/>
            <w:vAlign w:val="bottom"/>
          </w:tcPr>
          <w:p>
            <w:pPr>
              <w:ind w:left="66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3,589</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60" w:type="dxa"/>
            <w:vAlign w:val="bottom"/>
          </w:tcPr>
          <w:p>
            <w:pPr>
              <w:ind w:left="660"/>
              <w:spacing w:after="0"/>
              <w:rPr>
                <w:sz w:val="20"/>
                <w:szCs w:val="20"/>
                <w:color w:val="auto"/>
              </w:rPr>
            </w:pPr>
            <w:r>
              <w:rPr>
                <w:rFonts w:ascii="Arial" w:cs="Arial" w:eastAsia="Arial" w:hAnsi="Arial"/>
                <w:sz w:val="16"/>
                <w:szCs w:val="16"/>
                <w:color w:val="auto"/>
              </w:rPr>
              <w:t>Royalty income receivable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(36,358)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25,879</w:t>
            </w:r>
          </w:p>
        </w:tc>
      </w:tr>
      <w:tr>
        <w:trPr>
          <w:trHeight w:val="217"/>
        </w:trPr>
        <w:tc>
          <w:tcPr>
            <w:tcW w:w="7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Royalty income receivable—related party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8,578</w:t>
            </w:r>
          </w:p>
        </w:tc>
      </w:tr>
      <w:tr>
        <w:trPr>
          <w:trHeight w:val="211"/>
        </w:trPr>
        <w:tc>
          <w:tcPr>
            <w:tcW w:w="7060" w:type="dxa"/>
            <w:vAlign w:val="bottom"/>
          </w:tcPr>
          <w:p>
            <w:pPr>
              <w:ind w:left="66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5,023</w:t>
            </w:r>
          </w:p>
        </w:tc>
      </w:tr>
      <w:tr>
        <w:trPr>
          <w:trHeight w:val="217"/>
        </w:trPr>
        <w:tc>
          <w:tcPr>
            <w:tcW w:w="7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payable—related party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1"/>
        </w:trPr>
        <w:tc>
          <w:tcPr>
            <w:tcW w:w="70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699,796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196,556</w:t>
            </w:r>
          </w:p>
        </w:tc>
      </w:tr>
      <w:tr>
        <w:trPr>
          <w:trHeight w:val="211"/>
        </w:trPr>
        <w:tc>
          <w:tcPr>
            <w:tcW w:w="7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Acquisitions of oil and natural gas interests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(65,678)</w:t>
            </w:r>
          </w:p>
        </w:tc>
      </w:tr>
      <w:tr>
        <w:trPr>
          <w:trHeight w:val="211"/>
        </w:trPr>
        <w:tc>
          <w:tcPr>
            <w:tcW w:w="7060" w:type="dxa"/>
            <w:vAlign w:val="bottom"/>
          </w:tcPr>
          <w:p>
            <w:pPr>
              <w:ind w:left="340"/>
              <w:spacing w:after="0"/>
              <w:rPr>
                <w:sz w:val="20"/>
                <w:szCs w:val="20"/>
                <w:color w:val="auto"/>
              </w:rPr>
            </w:pPr>
            <w:r>
              <w:rPr>
                <w:rFonts w:ascii="Arial" w:cs="Arial" w:eastAsia="Arial" w:hAnsi="Arial"/>
                <w:sz w:val="16"/>
                <w:szCs w:val="16"/>
                <w:color w:val="auto"/>
              </w:rPr>
              <w:t>Proceeds from sale of oil and natural gas interests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111,702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38,594</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10,801</w:t>
            </w:r>
          </w:p>
        </w:tc>
      </w:tr>
      <w:tr>
        <w:trPr>
          <w:trHeight w:val="205"/>
        </w:trPr>
        <w:tc>
          <w:tcPr>
            <w:tcW w:w="70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47,571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(281,176)</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(16,283)</w:t>
            </w:r>
          </w:p>
        </w:tc>
      </w:tr>
      <w:tr>
        <w:trPr>
          <w:trHeight w:val="217"/>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060" w:type="dxa"/>
            <w:vAlign w:val="bottom"/>
          </w:tcPr>
          <w:p>
            <w:pPr>
              <w:ind w:left="340"/>
              <w:spacing w:after="0"/>
              <w:rPr>
                <w:sz w:val="20"/>
                <w:szCs w:val="20"/>
                <w:color w:val="auto"/>
              </w:rPr>
            </w:pPr>
            <w:r>
              <w:rPr>
                <w:rFonts w:ascii="Arial" w:cs="Arial" w:eastAsia="Arial" w:hAnsi="Arial"/>
                <w:sz w:val="16"/>
                <w:szCs w:val="16"/>
                <w:color w:val="auto"/>
              </w:rPr>
              <w:t>Proceeds from borrowings under credit facility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104,000</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 on credit facility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(116,500)</w:t>
            </w:r>
          </w:p>
        </w:tc>
      </w:tr>
      <w:tr>
        <w:trPr>
          <w:trHeight w:val="211"/>
        </w:trPr>
        <w:tc>
          <w:tcPr>
            <w:tcW w:w="7060" w:type="dxa"/>
            <w:vAlign w:val="bottom"/>
          </w:tcPr>
          <w:p>
            <w:pPr>
              <w:ind w:left="340"/>
              <w:spacing w:after="0"/>
              <w:rPr>
                <w:sz w:val="20"/>
                <w:szCs w:val="20"/>
                <w:color w:val="auto"/>
              </w:rPr>
            </w:pPr>
            <w:r>
              <w:rPr>
                <w:rFonts w:ascii="Arial" w:cs="Arial" w:eastAsia="Arial" w:hAnsi="Arial"/>
                <w:sz w:val="16"/>
                <w:szCs w:val="16"/>
                <w:color w:val="auto"/>
              </w:rPr>
              <w:t>Repayment of senior notes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(48,963)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(19,697)</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Repurchased units as part of unit buyback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(24,026)</w:t>
            </w:r>
          </w:p>
        </w:tc>
      </w:tr>
      <w:tr>
        <w:trPr>
          <w:trHeight w:val="211"/>
        </w:trPr>
        <w:tc>
          <w:tcPr>
            <w:tcW w:w="7060" w:type="dxa"/>
            <w:vAlign w:val="bottom"/>
          </w:tcPr>
          <w:p>
            <w:pPr>
              <w:ind w:left="340"/>
              <w:spacing w:after="0"/>
              <w:rPr>
                <w:sz w:val="20"/>
                <w:szCs w:val="20"/>
                <w:color w:val="auto"/>
              </w:rPr>
            </w:pPr>
            <w:r>
              <w:rPr>
                <w:rFonts w:ascii="Arial" w:cs="Arial" w:eastAsia="Arial" w:hAnsi="Arial"/>
                <w:sz w:val="16"/>
                <w:szCs w:val="16"/>
                <w:color w:val="auto"/>
              </w:rPr>
              <w:t>Distributions to public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(182,835)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(75,942)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(45,674)</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to Diamondback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(62,282)</w:t>
            </w:r>
          </w:p>
        </w:tc>
      </w:tr>
      <w:tr>
        <w:trPr>
          <w:trHeight w:val="211"/>
        </w:trPr>
        <w:tc>
          <w:tcPr>
            <w:tcW w:w="7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(768,636)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(164,754)</w:t>
            </w:r>
          </w:p>
        </w:tc>
      </w:tr>
      <w:tr>
        <w:trPr>
          <w:trHeight w:val="205"/>
        </w:trPr>
        <w:tc>
          <w:tcPr>
            <w:tcW w:w="70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20,327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15,519</w:t>
            </w:r>
          </w:p>
        </w:tc>
      </w:tr>
      <w:tr>
        <w:trPr>
          <w:trHeight w:val="214"/>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3,602</w:t>
            </w:r>
          </w:p>
        </w:tc>
      </w:tr>
      <w:tr>
        <w:trPr>
          <w:trHeight w:val="210"/>
        </w:trPr>
        <w:tc>
          <w:tcPr>
            <w:tcW w:w="70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39,448</w:t>
            </w:r>
          </w:p>
        </w:tc>
        <w:tc>
          <w:tcPr>
            <w:tcW w:w="10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19,121</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4"/>
        </w:trPr>
        <w:tc>
          <w:tcPr>
            <w:tcW w:w="70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12"/>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paid</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33,121</w:t>
            </w:r>
          </w:p>
        </w:tc>
      </w:tr>
      <w:tr>
        <w:trPr>
          <w:trHeight w:val="227"/>
        </w:trPr>
        <w:tc>
          <w:tcPr>
            <w:tcW w:w="7060" w:type="dxa"/>
            <w:vAlign w:val="bottom"/>
          </w:tcPr>
          <w:p>
            <w:pPr>
              <w:ind w:left="220"/>
              <w:spacing w:after="0"/>
              <w:rPr>
                <w:sz w:val="20"/>
                <w:szCs w:val="20"/>
                <w:color w:val="auto"/>
              </w:rPr>
            </w:pPr>
            <w:r>
              <w:rPr>
                <w:rFonts w:ascii="Arial" w:cs="Arial" w:eastAsia="Arial" w:hAnsi="Arial"/>
                <w:sz w:val="16"/>
                <w:szCs w:val="16"/>
                <w:color w:val="auto"/>
              </w:rPr>
              <w:t>Cash paid (received) for income taxes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16,990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transactions: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060" w:type="dxa"/>
            <w:vAlign w:val="bottom"/>
          </w:tcPr>
          <w:p>
            <w:pPr>
              <w:ind w:left="220"/>
              <w:spacing w:after="0"/>
              <w:rPr>
                <w:sz w:val="20"/>
                <w:szCs w:val="20"/>
                <w:color w:val="auto"/>
              </w:rPr>
            </w:pPr>
            <w:r>
              <w:rPr>
                <w:rFonts w:ascii="Arial" w:cs="Arial" w:eastAsia="Arial" w:hAnsi="Arial"/>
                <w:sz w:val="16"/>
                <w:szCs w:val="16"/>
                <w:color w:val="auto"/>
              </w:rPr>
              <w:t>Common units issued for acquisition</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336,872</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48"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Viper Energy Partners LP (the “Partnership”) is a publicly traded Delaware limited partnership focused on owning and acquiring mineral interests and royalty interests in oil and natural gas properties primarily in the Permian Basin.</w:t>
      </w:r>
    </w:p>
    <w:p>
      <w:pPr>
        <w:spacing w:after="0" w:line="20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As of December 31, 2022, Viper Energy Partners GP LLC (the “General Partner”) held a 100% general partner interest in the Partnership and Diamondback Energy, Inc. (“Diamondback”) beneficially owned approximately 56% of the Partnership’s total limited partner units outstanding. Diamondback owns and controls the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8" w:lineRule="exact"/>
        <w:rPr>
          <w:sz w:val="20"/>
          <w:szCs w:val="20"/>
          <w:color w:val="auto"/>
        </w:rPr>
      </w:pPr>
    </w:p>
    <w:p>
      <w:pPr>
        <w:jc w:val="both"/>
        <w:ind w:right="20" w:firstLine="643"/>
        <w:spacing w:after="0" w:line="301" w:lineRule="auto"/>
        <w:rPr>
          <w:sz w:val="20"/>
          <w:szCs w:val="20"/>
          <w:color w:val="auto"/>
        </w:rPr>
      </w:pPr>
      <w:r>
        <w:rPr>
          <w:rFonts w:ascii="Arial" w:cs="Arial" w:eastAsia="Arial" w:hAnsi="Arial"/>
          <w:sz w:val="17"/>
          <w:szCs w:val="17"/>
          <w:color w:val="auto"/>
        </w:rPr>
        <w:t>The accompanying consolidated financial statements and related notes thereto were prepared in conformity with accounting principles generally accepted in the United States (“GAAP”). All material intercompany balances and transactions are eliminated in consolidation.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48"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as of the date of the financial statements.</w:t>
      </w:r>
    </w:p>
    <w:p>
      <w:pPr>
        <w:spacing w:after="0" w:line="215"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Making accurate estimates and assumptions is particularly difficult in the oil and natural gas industry given the challenges resulting from volatility in oil and natural gas prices. For instance, the effects of COVID-19, the war in Ukraine and actions by OPEC members and other exporting nations on the supply and demand in global oil and natural gas markets continued to contribute to economic and pricing volatility. The financial results of companies in the oil and natural gas industry have been impacted materially as a result of changing market conditions. Such circumstances generally increase uncertainty in the Partnership’s accounting estimates, particularly those involving financial forecasts.</w:t>
      </w:r>
    </w:p>
    <w:p>
      <w:pPr>
        <w:spacing w:after="0" w:line="204"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The Partnership evaluates these estimates on an ongoing basis, using historical experience, consultation with experts and other methods the Partnership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estimates of third party operated royalty income related to expected sales volumes and prices, the recoverability of costs of unevaluated properties, the fair value determination of assets and liabilities, including those acquired by the Partnership, fair value estimates of commodity derivatives and estimates of income taxes, including deferred tax valuation allowances.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Cash and cash equivalents represent unrestricted cash on hand and include all highly liquid investments purchased with a maturity of three months or less and money market funds. The Partnership maintains cash and cash equivalents in bank deposit accounts which, at times, may exceed the federally insured limits. The Partnership has not experienced any significant losses from such investments.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48" w:lineRule="exact"/>
        <w:rPr>
          <w:sz w:val="20"/>
          <w:szCs w:val="20"/>
          <w:color w:val="auto"/>
        </w:rPr>
      </w:pPr>
    </w:p>
    <w:p>
      <w:pPr>
        <w:jc w:val="both"/>
        <w:ind w:right="20" w:firstLine="643"/>
        <w:spacing w:after="0" w:line="282" w:lineRule="auto"/>
        <w:rPr>
          <w:sz w:val="20"/>
          <w:szCs w:val="20"/>
          <w:color w:val="auto"/>
        </w:rPr>
      </w:pPr>
      <w:r>
        <w:rPr>
          <w:rFonts w:ascii="Arial" w:cs="Arial" w:eastAsia="Arial" w:hAnsi="Arial"/>
          <w:sz w:val="17"/>
          <w:szCs w:val="17"/>
          <w:color w:val="auto"/>
        </w:rPr>
        <w:t>Accounts receivable consist of receivables from oil and natural gas sales. The operators remit payment for production directly to the Partnership. Most payments for production are received within three months after the production date. Payments on new wells added organically or through acquisition may be further delayed due to title opinion work which is required to be completed by the operator before payments are released.</w:t>
      </w:r>
    </w:p>
    <w:p>
      <w:pPr>
        <w:spacing w:after="0" w:line="195" w:lineRule="exact"/>
        <w:rPr>
          <w:sz w:val="20"/>
          <w:szCs w:val="20"/>
          <w:color w:val="auto"/>
        </w:rPr>
      </w:pPr>
    </w:p>
    <w:p>
      <w:pPr>
        <w:jc w:val="both"/>
        <w:ind w:firstLine="643"/>
        <w:spacing w:after="0" w:line="280" w:lineRule="auto"/>
        <w:rPr>
          <w:sz w:val="20"/>
          <w:szCs w:val="20"/>
          <w:color w:val="auto"/>
        </w:rPr>
      </w:pPr>
      <w:r>
        <w:rPr>
          <w:rFonts w:ascii="Arial" w:cs="Arial" w:eastAsia="Arial" w:hAnsi="Arial"/>
          <w:sz w:val="16"/>
          <w:szCs w:val="16"/>
          <w:color w:val="auto"/>
        </w:rPr>
        <w:t>Accounts receivable are stated at amounts due from purchasers, net of an allowance for expected losses as estimated by the Partnership when collection is deemed doubtful. Accounts receivable outstanding longer than the contractual payment terms are considered past due. The Partnership determines its allowance utilizing the loss-rate method, which considers a number of factors, including the Partnership’s previous loss history, the debtor’s current ability to pay its obligation to the Partnership, the condition of the general economy and the industry as a whole. The Partnership writes off specific accounts receivable when they become uncollectible, and payments subsequently received on such receivables are credited to the allowance for expected losses. At December 31, 2022 and December 31, 2021, the Partnership’s allowance for expected losses was immaterial.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35"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The Partnership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The Partnership has not designated its derivative instruments as hedges for accounting purposes and, as a result, marks its derivative instruments to fair value and recognizes the cash and non-cash change in fair value on derivative instruments for each period in the consolidated statements of operations under the caption “Gain (loss) on derivative instruments,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Virtually all of the pricing provisions in the Partnership’s contracts are tied to a market index.</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Royalty income from oil, natural gas and natural gas liquids sales</w:t>
      </w:r>
    </w:p>
    <w:p>
      <w:pPr>
        <w:spacing w:after="0" w:line="248"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The Partnership’s oil, natural gas and natural gas liquids sales contracts are generally structured whereby the producer of the properties in which the Partnership owns a royalty interest sells the Partnership’s proportionate share of oil, natural gas and natural gas liquids production to the purchaser and the Partnership collects its percentage royalty based on the revenue generated by the sale of the oil, natural gas and natural gas liquids. In this scenario, the Partnership recognizes revenue when control transfers to the purchaser at the wellhead or at the gas processing facility based on the Partnership’s percentage ownership share of the revenue, net of any deductions for gathering and transportation.</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Partnership’s right to royalty income does not originate until production occurs and, therefore, is not considered to exist beyond each day’s production. Therefore, there are no remaining performance obligations under any of our royalty income contracts.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Contract balances</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Under the Partnership’s royalty income contracts, it would have the right to receive royalty income from the producer once production has occurred, at which point payment is unconditional. Accordingly, the Partnership’s royalty income contracts do not give rise to contract assets or liabilities under Accounting Standards Codification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Prior-period performance obligations</w:t>
      </w:r>
    </w:p>
    <w:p>
      <w:pPr>
        <w:spacing w:after="0" w:line="248" w:lineRule="exact"/>
        <w:rPr>
          <w:sz w:val="20"/>
          <w:szCs w:val="20"/>
          <w:color w:val="auto"/>
        </w:rPr>
      </w:pPr>
    </w:p>
    <w:p>
      <w:pPr>
        <w:jc w:val="both"/>
        <w:ind w:firstLine="643"/>
        <w:spacing w:after="0" w:line="251" w:lineRule="auto"/>
        <w:rPr>
          <w:sz w:val="20"/>
          <w:szCs w:val="20"/>
          <w:color w:val="auto"/>
        </w:rPr>
      </w:pPr>
      <w:r>
        <w:rPr>
          <w:rFonts w:ascii="Arial" w:cs="Arial" w:eastAsia="Arial" w:hAnsi="Arial"/>
          <w:sz w:val="18"/>
          <w:szCs w:val="18"/>
          <w:color w:val="auto"/>
        </w:rPr>
        <w:t>The Partnership records revenue in the month production is delivered to the purchaser. However, settlement statements for certain oil, natural gas and natural gas liquids sales may not be received for 30 to 90 days after the date production is delivered, and as a result, the Partnership is required to estimate the amount of royalty income to be received based upon the Partnership’s interest. The Partnership records the differences between its estimates and the actual amounts received for royalties in the month that payment is received from the producer. Any identified differences between its revenue estimates and actual revenue received historically have not been significant. The Partnership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248"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The Partnership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All internal costs not directly associated with exploration and development activities were charged to expense as they were incurred.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 At December 31, 2022 and 2021, the Partnership’s oil and natural gas properties consist solely of mineral interests in oil and natural gas properties.</w:t>
      </w:r>
    </w:p>
    <w:p>
      <w:pPr>
        <w:spacing w:after="0" w:line="219"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Depletion of evaluated oil and natural gas properties is computed on the units of production method, whereby capitalized costs are amortized over total proved reserves. The average depletion rate per barrel equivalent unit of production was $9.86, $10.04 and $10.34 for the years ended December 31, 2022, 2021 and 2020, respectively. Depletion for oil and natural gas properties was $121.1 million, $103.0 million and $100.5 million for the years ended December 31, 2022, 2021 and 2020, respectively.</w:t>
      </w:r>
    </w:p>
    <w:p>
      <w:pPr>
        <w:spacing w:after="0" w:line="215" w:lineRule="exact"/>
        <w:rPr>
          <w:sz w:val="20"/>
          <w:szCs w:val="20"/>
          <w:color w:val="auto"/>
        </w:rPr>
      </w:pPr>
    </w:p>
    <w:p>
      <w:pPr>
        <w:jc w:val="both"/>
        <w:ind w:firstLine="643"/>
        <w:spacing w:after="0" w:line="287" w:lineRule="auto"/>
        <w:rPr>
          <w:sz w:val="20"/>
          <w:szCs w:val="20"/>
          <w:color w:val="auto"/>
        </w:rPr>
      </w:pPr>
      <w:r>
        <w:rPr>
          <w:rFonts w:ascii="Arial" w:cs="Arial" w:eastAsia="Arial" w:hAnsi="Arial"/>
          <w:sz w:val="16"/>
          <w:szCs w:val="16"/>
          <w:color w:val="auto"/>
        </w:rPr>
        <w:t>Under the full cost method of accounting, the Partnership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See Note 5—</w:t>
      </w:r>
      <w:r>
        <w:rPr>
          <w:rFonts w:ascii="Arial" w:cs="Arial" w:eastAsia="Arial" w:hAnsi="Arial"/>
          <w:sz w:val="16"/>
          <w:szCs w:val="16"/>
          <w:u w:val="single" w:color="auto"/>
          <w:color w:val="0000FF"/>
        </w:rPr>
        <w:t>Oil and Natural Gas Interests</w:t>
      </w:r>
      <w:r>
        <w:rPr>
          <w:rFonts w:ascii="Arial" w:cs="Arial" w:eastAsia="Arial" w:hAnsi="Arial"/>
          <w:sz w:val="16"/>
          <w:szCs w:val="16"/>
          <w:color w:val="auto"/>
        </w:rPr>
        <w:t xml:space="preserve"> for additional discussion of our oil and natural gas properties.</w:t>
      </w:r>
    </w:p>
    <w:p>
      <w:pPr>
        <w:spacing w:after="0" w:line="195"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7"/>
          <w:szCs w:val="17"/>
          <w:color w:val="auto"/>
        </w:rPr>
        <w:t>Costs associated with unevaluated properties are excluded from the full cost pool until the Partnership has made a determination as to the existence of proved reserves. The Partnership assesses all items classified as unevaluated property at least annually for possible impairment. The Partnership assesses properties on an individual basis or as a group if properties are individually insignificant. The assessment includes consideration of the following factors, among others: intent of the operator to drill; remaining lease term with the current operator;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Other assets include capitalized costs related to the credit facility of $9.7 million and $9.6 million, and accumulated amortization of those costs over the term of the credit agreement of $9.5 million and $6.8 million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Long-term debt includes insignificant capitalized costs related to the Partnership’s 5.375% senior notes due 2027 (the “Notes”). The costs associated with the Notes are being netted against the Notes balances and amortized over the term of the Notes using the effective interest method. See Note 6—</w:t>
      </w:r>
      <w:r>
        <w:rPr>
          <w:rFonts w:ascii="Arial" w:cs="Arial" w:eastAsia="Arial" w:hAnsi="Arial"/>
          <w:sz w:val="18"/>
          <w:szCs w:val="18"/>
          <w:u w:val="single" w:color="auto"/>
          <w:color w:val="0000FF"/>
        </w:rPr>
        <w:t>Debt</w:t>
      </w:r>
      <w:r>
        <w:rPr>
          <w:rFonts w:ascii="Arial" w:cs="Arial" w:eastAsia="Arial" w:hAnsi="Arial"/>
          <w:sz w:val="18"/>
          <w:szCs w:val="18"/>
          <w:color w:val="auto"/>
        </w:rPr>
        <w:t xml:space="preserve"> for further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During the year ended December 31, 2022, Diamondback, either directly or through its consolidated subsidiaries, paid the Partnership $23.4 million of lease bonus income primarily related to lease ratification and certain leases acquired in the Swallowtail Acquisition. During the year ended December 31, 2021, Diamondback, either directly or through its consolidated subsidiaries, paid the Partnership $1.3 million of lease bonus income related to two new leases.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accrued liabilities are financial instruments for which the carrying value approximates fair value.</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 of the following at December 31, 2022, and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6"/>
                <w:szCs w:val="16"/>
                <w:color w:val="auto"/>
              </w:rPr>
            </w:pPr>
          </w:p>
        </w:tc>
      </w:tr>
      <w:tr>
        <w:trPr>
          <w:trHeight w:val="25"/>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193"/>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r>
      <w:tr>
        <w:trPr>
          <w:trHeight w:val="235"/>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r>
      <w:tr>
        <w:trPr>
          <w:trHeight w:val="227"/>
        </w:trPr>
        <w:tc>
          <w:tcPr>
            <w:tcW w:w="850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6,201</w:t>
            </w:r>
          </w:p>
        </w:tc>
      </w:tr>
      <w:tr>
        <w:trPr>
          <w:trHeight w:val="228"/>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instruments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r>
      <w:tr>
        <w:trPr>
          <w:trHeight w:val="22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r>
      <w:tr>
        <w:trPr>
          <w:trHeight w:val="246"/>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liabilities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20,509</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48"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6"/>
          <w:szCs w:val="16"/>
          <w:color w:val="auto"/>
        </w:rPr>
        <w:t>The Partnership is subject to risk resulting from the concentration of the Partnership’s royalty income in producing oil and natural gas properties and receivables with several significant purchasers. For the year ended December 31, 2022, two purchasers each accounted for more than 10% of royalty income: Shell Trading (US) Company (14%) and Vitol Midstream Pipeline LLC (14%). For the year ended December 31, 2021, three purchasers each accounted for more than 10% of royalty income: Trafigura Trading LLC (17%), Shell Trading (US) Company (16%) and Vitol Midstream Pipeline LLC (12%). For the year ended December 31, 2020, four purchasers each accounted for more than 10% of royalty interest revenue: Trafigura Trading LLC</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(23%), Vitol Midstream Pipeline LLC (14%), Shell Trading (US) Company (13%) and Concho Resources (11%). The Partnership does not require collateral and does not believe the loss of any single purchaser would materially impact the Partnership’s operating results, as crude oil and natural gas are fungible products with well-established markets and numerous purchasers.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8"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The Partnership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217" w:lineRule="exact"/>
        <w:rPr>
          <w:sz w:val="20"/>
          <w:szCs w:val="20"/>
          <w:color w:val="auto"/>
        </w:rPr>
      </w:pPr>
    </w:p>
    <w:p>
      <w:pPr>
        <w:jc w:val="both"/>
        <w:ind w:firstLine="643"/>
        <w:spacing w:after="0" w:line="282" w:lineRule="auto"/>
        <w:rPr>
          <w:sz w:val="20"/>
          <w:szCs w:val="20"/>
          <w:color w:val="auto"/>
        </w:rPr>
      </w:pPr>
      <w:r>
        <w:rPr>
          <w:rFonts w:ascii="Arial" w:cs="Arial" w:eastAsia="Arial" w:hAnsi="Arial"/>
          <w:sz w:val="17"/>
          <w:szCs w:val="17"/>
          <w:color w:val="auto"/>
        </w:rPr>
        <w:t>The Partnership is continuing its practice of recognizing interest and penalties related to income tax matters as interest expense and general and administrative expenses, respectively. During the years ended December 31, 2022, 2021 and 2020, there was no interest or penalties associated with uncertain tax positions recognized in the Partnership’s consolidated financial statements. See Note 9—</w:t>
      </w:r>
      <w:r>
        <w:rPr>
          <w:rFonts w:ascii="Arial" w:cs="Arial" w:eastAsia="Arial" w:hAnsi="Arial"/>
          <w:sz w:val="17"/>
          <w:szCs w:val="17"/>
          <w:u w:val="single" w:color="auto"/>
          <w:color w:val="0000FF"/>
        </w:rPr>
        <w:t>Income Taxes</w:t>
      </w:r>
      <w:r>
        <w:rPr>
          <w:rFonts w:ascii="Arial" w:cs="Arial" w:eastAsia="Arial" w:hAnsi="Arial"/>
          <w:sz w:val="17"/>
          <w:szCs w:val="17"/>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48"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Non-controlling interest in the accompanying consolidated financial statements represents Diamondback’s ownership in the net assets of the Operating Company. When Diamondback’s relative ownership interest in the Operating Company changes, adjustments to non-controlling interest and common unitholder equity, tax effected, will occur. Because these changes in the Partnership’s ownership interest in the Operating Company did not result in a change of control, the transactions were accounted for as equity transactions under ASC Topic 810, “Consolidation.” This guidance requires that any differences between the carrying value of the Partnership’s basis in the Operating Company and the fair value of the consideration received are recognized directly in equity and attributed to the controlling interest. See Note 7—</w:t>
      </w:r>
      <w:r>
        <w:rPr>
          <w:rFonts w:ascii="Arial" w:cs="Arial" w:eastAsia="Arial" w:hAnsi="Arial"/>
          <w:sz w:val="18"/>
          <w:szCs w:val="18"/>
          <w:u w:val="single" w:color="auto"/>
          <w:color w:val="0000FF"/>
        </w:rPr>
        <w:t>Unitholders' Equity and Distributions</w:t>
      </w:r>
      <w:r>
        <w:rPr>
          <w:rFonts w:ascii="Arial" w:cs="Arial" w:eastAsia="Arial" w:hAnsi="Arial"/>
          <w:sz w:val="18"/>
          <w:szCs w:val="18"/>
          <w:color w:val="auto"/>
        </w:rPr>
        <w:t xml:space="preserve"> for further discussion of changes in ownership interest.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Recently Adopted Pronouncements</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In December 2022, the FASB issued ASU 2022-06, "Reference Rate Reform (Topic 848) – Deferral of the Sunset Date of Topic 848.” This update extended the use of the optional expedient through December 31, 2024. The Company adopted this update effective December 31, 2022. The adoption of this update did not have a material impact on its financial position, results of operations or liquidity.</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Partnership considers the applicability and impact of all ASUs. ASUs not listed above were assessed and determined to be either not applicable, previously disclosed, or not material upon adoption.</w:t>
      </w:r>
    </w:p>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REVENUE FROM CONTRACTS WITH CUSTOMERS</w:t>
      </w:r>
    </w:p>
    <w:p>
      <w:pPr>
        <w:spacing w:after="0" w:line="25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w:t>
      </w:r>
    </w:p>
    <w:p>
      <w:pPr>
        <w:spacing w:after="0" w:line="215" w:lineRule="exact"/>
        <w:rPr>
          <w:sz w:val="20"/>
          <w:szCs w:val="20"/>
          <w:color w:val="auto"/>
        </w:rPr>
      </w:pPr>
    </w:p>
    <w:p>
      <w:pPr>
        <w:jc w:val="both"/>
        <w:ind w:right="20" w:firstLine="643"/>
        <w:spacing w:after="0" w:line="271" w:lineRule="auto"/>
        <w:rPr>
          <w:sz w:val="20"/>
          <w:szCs w:val="20"/>
          <w:color w:val="auto"/>
        </w:rPr>
      </w:pPr>
      <w:r>
        <w:rPr>
          <w:rFonts w:ascii="Arial" w:cs="Arial" w:eastAsia="Arial" w:hAnsi="Arial"/>
          <w:sz w:val="18"/>
          <w:szCs w:val="18"/>
          <w:color w:val="auto"/>
        </w:rPr>
        <w:t>For the years ended December 31, 2022, 2021 and 2020, any revenues recognized in the current reporting period for performance obligations satisfied in prior reporting periods was not material.</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disaggregates the Partnership’s total royalty income by product type: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8"/>
        </w:trPr>
        <w:tc>
          <w:tcPr>
            <w:tcW w:w="6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193"/>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5"/>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income</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667,281</w:t>
            </w:r>
          </w:p>
        </w:tc>
        <w:tc>
          <w:tcPr>
            <w:tcW w:w="3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397,513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217,859</w:t>
            </w: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Natural gas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83,149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49,197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9,024</w:t>
            </w:r>
          </w:p>
        </w:tc>
      </w:tr>
      <w:tr>
        <w:trPr>
          <w:trHeight w:val="228"/>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20,098</w:t>
            </w:r>
          </w:p>
        </w:tc>
      </w:tr>
      <w:tr>
        <w:trPr>
          <w:trHeight w:val="221"/>
        </w:trPr>
        <w:tc>
          <w:tcPr>
            <w:tcW w:w="6480" w:type="dxa"/>
            <w:vAlign w:val="bottom"/>
          </w:tcPr>
          <w:p>
            <w:pPr>
              <w:ind w:left="20"/>
              <w:spacing w:after="0"/>
              <w:rPr>
                <w:sz w:val="20"/>
                <w:szCs w:val="20"/>
                <w:color w:val="auto"/>
              </w:rPr>
            </w:pPr>
            <w:r>
              <w:rPr>
                <w:rFonts w:ascii="Arial" w:cs="Arial" w:eastAsia="Arial" w:hAnsi="Arial"/>
                <w:sz w:val="18"/>
                <w:szCs w:val="18"/>
                <w:color w:val="auto"/>
              </w:rPr>
              <w:t>Total royalty income</w:t>
            </w: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837,976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501,534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246,981</w:t>
            </w: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tab/>
        <w:t>ACQUISITIONS AND 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Activity</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Acquisitions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During the year ended December 31, 2022, in individually insignificant transactions, the Partnership acquired from unrelated third-party sellers mineral and royalty interests representing 375 net royalty acres in the Permian Basin for an aggregate net purchase price of approximately $65.9 million, including certain customary closing adjustments. The Partnership funded these acquisitions with cash on hand and borrowings under the Operating Company’s revolving credit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Divestitures</w:t>
      </w:r>
    </w:p>
    <w:p>
      <w:pPr>
        <w:spacing w:after="0" w:line="23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In the first quarter of 2022, the Partnership divested 325 net royalty acres of third party operated acreage located entirely in Upton and Reagan counties in the Midland Basin for an aggregate net sales price of $29.3 million, including customary closing adjustments.</w:t>
      </w:r>
    </w:p>
    <w:p>
      <w:pPr>
        <w:spacing w:after="0" w:line="215"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the third quarter of 2022, the Partnership divested 93 net royalty acres of third party operated acreage located entirely in Loving county in the Delaware Basin for an aggregate net sales price of $29.9 million, including customary closing adjustments.</w:t>
      </w:r>
    </w:p>
    <w:p>
      <w:pPr>
        <w:spacing w:after="0" w:line="20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In the fourth quarter of 2022, the Partnership divested its entire position in the Eagle Ford Shale consisting of 681 net royalty acres of third party operated acreage for an aggregate net sales price of $53.8 million, including certain customary closing adjustments.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Swallowtail Acquisition</w:t>
      </w:r>
    </w:p>
    <w:p>
      <w:pPr>
        <w:spacing w:after="0" w:line="235" w:lineRule="exact"/>
        <w:rPr>
          <w:sz w:val="20"/>
          <w:szCs w:val="20"/>
          <w:color w:val="auto"/>
        </w:rPr>
      </w:pPr>
    </w:p>
    <w:p>
      <w:pPr>
        <w:jc w:val="both"/>
        <w:ind w:firstLine="643"/>
        <w:spacing w:after="0" w:line="270" w:lineRule="auto"/>
        <w:rPr>
          <w:sz w:val="20"/>
          <w:szCs w:val="20"/>
          <w:color w:val="auto"/>
        </w:rPr>
      </w:pPr>
      <w:r>
        <w:rPr>
          <w:rFonts w:ascii="Arial" w:cs="Arial" w:eastAsia="Arial" w:hAnsi="Arial"/>
          <w:sz w:val="17"/>
          <w:szCs w:val="17"/>
          <w:color w:val="auto"/>
        </w:rPr>
        <w:t>On October 1, 2021, the Partnership and the Operating Company acquired certain mineral and royalty interests from Swallowtail Royalties LLC and Swallowtail Royalties II LLC (the “Swallowtail entities”) pursuant to a definitive purchase and sale agreement for approximately 15.25 million common units and approximately $225.3 million in cash (the “Swallowtail Acquisition”). The mineral and royalty interests acquired in the Swallowtail Acquisition represent 2,313 net royalty acres primarily in the Northern Midland Basin, of which 62% are operated by Diamondback. The Swallowtail Acquisition had an effective date of August 1, 2021. The cash portion of this transaction was funded through a combination of cash on hand and approximately of $190.0 million borrowings under the Operating Company’s revolving credit facility.</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2021 Acquisitions</w:t>
      </w:r>
    </w:p>
    <w:p>
      <w:pPr>
        <w:spacing w:after="0" w:line="248"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Additionally during the year ended December 31, 2021, the Partnership acquired, from unrelated third party sellers, mineral and royalty interests representing 1,277 gross (392 net royalty) acres in the Permian Basin for an aggregate purchase price of approximately $55.1 million, after post-closing adjustments. The Partnership funded these acquisitions with cash on hand and borrowings under the Operating Company’s revolving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248"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During the year ended December 31, 2020, the Partnership acquired, from unrelated third party sellers, mineral and royalty interests representing 4,948 gross (417 net royalty) acres in the Permian Basin for an aggregate purchase price of approximately $64.2 million, after post-closing adjustments. The Partnership funded these acquisitions with cash on hand and borrowings under the Operating Company’s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OIL AND NATURAL GAS INTERESTS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Oil and natural gas interests include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1"/>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8"/>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193"/>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51"/>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6"/>
                <w:szCs w:val="16"/>
                <w:color w:val="auto"/>
              </w:rPr>
            </w:pPr>
          </w:p>
        </w:tc>
      </w:tr>
      <w:tr>
        <w:trPr>
          <w:trHeight w:val="23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interests: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7"/>
        </w:trPr>
        <w:tc>
          <w:tcPr>
            <w:tcW w:w="784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2,167,598</w:t>
            </w:r>
          </w:p>
        </w:tc>
        <w:tc>
          <w:tcPr>
            <w:tcW w:w="64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1,873,418</w:t>
            </w:r>
          </w:p>
        </w:tc>
      </w:tr>
      <w:tr>
        <w:trPr>
          <w:trHeight w:val="228"/>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1,297,221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1,640,172</w:t>
            </w:r>
          </w:p>
        </w:tc>
      </w:tr>
      <w:tr>
        <w:trPr>
          <w:trHeight w:val="221"/>
        </w:trPr>
        <w:tc>
          <w:tcPr>
            <w:tcW w:w="7840" w:type="dxa"/>
            <w:vAlign w:val="bottom"/>
          </w:tcPr>
          <w:p>
            <w:pPr>
              <w:ind w:left="20"/>
              <w:spacing w:after="0"/>
              <w:rPr>
                <w:sz w:val="20"/>
                <w:szCs w:val="20"/>
                <w:color w:val="auto"/>
              </w:rPr>
            </w:pPr>
            <w:r>
              <w:rPr>
                <w:rFonts w:ascii="Arial" w:cs="Arial" w:eastAsia="Arial" w:hAnsi="Arial"/>
                <w:sz w:val="18"/>
                <w:szCs w:val="18"/>
                <w:color w:val="auto"/>
              </w:rPr>
              <w:t>Gross oil and natural gas interests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3,464,819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3,513,590</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depletion and impairment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(720,234)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(599,163)</w:t>
            </w:r>
          </w:p>
        </w:tc>
      </w:tr>
      <w:tr>
        <w:trPr>
          <w:trHeight w:val="221"/>
        </w:trPr>
        <w:tc>
          <w:tcPr>
            <w:tcW w:w="7840" w:type="dxa"/>
            <w:vAlign w:val="bottom"/>
          </w:tcPr>
          <w:p>
            <w:pPr>
              <w:ind w:left="20"/>
              <w:spacing w:after="0"/>
              <w:rPr>
                <w:sz w:val="20"/>
                <w:szCs w:val="20"/>
                <w:color w:val="auto"/>
              </w:rPr>
            </w:pPr>
            <w:r>
              <w:rPr>
                <w:rFonts w:ascii="Arial" w:cs="Arial" w:eastAsia="Arial" w:hAnsi="Arial"/>
                <w:sz w:val="18"/>
                <w:szCs w:val="18"/>
                <w:color w:val="auto"/>
              </w:rPr>
              <w:t>Oil and natural gas interests,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2,744,585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2,914,427</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221"/>
        </w:trPr>
        <w:tc>
          <w:tcPr>
            <w:tcW w:w="7840" w:type="dxa"/>
            <w:vAlign w:val="bottom"/>
          </w:tcPr>
          <w:p>
            <w:pPr>
              <w:ind w:left="20"/>
              <w:spacing w:after="0"/>
              <w:rPr>
                <w:sz w:val="20"/>
                <w:szCs w:val="20"/>
                <w:color w:val="auto"/>
              </w:rPr>
            </w:pPr>
            <w:r>
              <w:rPr>
                <w:rFonts w:ascii="Arial" w:cs="Arial" w:eastAsia="Arial" w:hAnsi="Arial"/>
                <w:sz w:val="18"/>
                <w:szCs w:val="18"/>
                <w:color w:val="auto"/>
              </w:rPr>
              <w:t>Property, net of accumulated depletion and impairment</w:t>
            </w: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2,750,273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2,920,115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1"/>
        </w:trPr>
        <w:tc>
          <w:tcPr>
            <w:tcW w:w="7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8"/>
                <w:szCs w:val="18"/>
                <w:color w:val="auto"/>
              </w:rPr>
              <w:t>Balance of costs not subject to depletion:</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Incurred in 2022</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7840" w:type="dxa"/>
            <w:vAlign w:val="bottom"/>
          </w:tcPr>
          <w:p>
            <w:pPr>
              <w:ind w:left="140"/>
              <w:spacing w:after="0"/>
              <w:rPr>
                <w:sz w:val="20"/>
                <w:szCs w:val="20"/>
                <w:color w:val="auto"/>
              </w:rPr>
            </w:pPr>
            <w:r>
              <w:rPr>
                <w:rFonts w:ascii="Arial" w:cs="Arial" w:eastAsia="Arial" w:hAnsi="Arial"/>
                <w:sz w:val="18"/>
                <w:szCs w:val="18"/>
                <w:color w:val="auto"/>
              </w:rPr>
              <w:t>Incurred in 2021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478,747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Incurred in 2020</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725,977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r>
      <w:tr>
        <w:trPr>
          <w:trHeight w:val="246"/>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not subject to depletion</w:t>
            </w: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1,297,221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307"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As of December 31, 2022 and December 31, 2021, the Partnership had mineral and royalty interests representing 26,315 and 27,027 net royalty acres, respectively.</w:t>
      </w:r>
    </w:p>
    <w:p>
      <w:pPr>
        <w:spacing w:after="0" w:line="202" w:lineRule="exact"/>
        <w:rPr>
          <w:sz w:val="20"/>
          <w:szCs w:val="20"/>
          <w:color w:val="auto"/>
        </w:rPr>
      </w:pPr>
    </w:p>
    <w:p>
      <w:pPr>
        <w:jc w:val="both"/>
        <w:ind w:firstLine="643"/>
        <w:spacing w:after="0" w:line="335" w:lineRule="auto"/>
        <w:rPr>
          <w:sz w:val="20"/>
          <w:szCs w:val="20"/>
          <w:color w:val="auto"/>
        </w:rPr>
      </w:pPr>
      <w:r>
        <w:rPr>
          <w:rFonts w:ascii="Arial" w:cs="Arial" w:eastAsia="Arial" w:hAnsi="Arial"/>
          <w:sz w:val="16"/>
          <w:szCs w:val="16"/>
          <w:color w:val="auto"/>
        </w:rPr>
        <w:t>Costs associated with unevaluated properties are excluded from the full cost pool until a determination as to the existence of proved reserves can be made. The inclusion of the Partnership’s unevaluated costs into the amortization base is expected to be completed within eight to ten years.</w:t>
      </w:r>
    </w:p>
    <w:p>
      <w:pPr>
        <w:spacing w:after="0" w:line="156"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Based on the results of the quarterly ceiling tests, the Partnership was not required to record an impairment on our proved oil and natural gas interests for the years ended December 31, 2022 and 2021, respectively. The Partnership recorded an impairment expense of $69.2 million as a result of the decline in commodity prices for the year ended December 31, 2020. In addition to commodity prices, the Partnership’s production rates, levels of proved reserves, transfers of unevaluated properties and other factors will determine its actual ceiling test limitations and impairment analysis in future periods. If the trailing 12-month commodity prices were to fall as compared to the commodity prices used in prior quarters, the Partnership will have write-downs in subsequent quarters, which may be material.</w:t>
      </w:r>
    </w:p>
    <w:p>
      <w:pPr>
        <w:spacing w:after="0" w:line="21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DEBT</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gridSpan w:val="3"/>
          </w:tcPr>
          <w:p>
            <w:pPr>
              <w:jc w:val="right"/>
              <w:ind w:right="151"/>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Pr>
          <w:p>
            <w:pPr>
              <w:spacing w:after="0"/>
              <w:rPr>
                <w:sz w:val="16"/>
                <w:szCs w:val="16"/>
                <w:color w:val="auto"/>
              </w:rPr>
            </w:pPr>
          </w:p>
        </w:tc>
      </w:tr>
      <w:tr>
        <w:trPr>
          <w:trHeight w:val="25"/>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8"/>
        </w:trPr>
        <w:tc>
          <w:tcPr>
            <w:tcW w:w="7200" w:type="dxa"/>
            <w:vAlign w:val="bottom"/>
          </w:tcPr>
          <w:p>
            <w:pPr>
              <w:spacing w:after="0"/>
              <w:rPr>
                <w:sz w:val="16"/>
                <w:szCs w:val="16"/>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2021</w:t>
            </w:r>
          </w:p>
        </w:tc>
      </w:tr>
      <w:tr>
        <w:trPr>
          <w:trHeight w:val="193"/>
        </w:trPr>
        <w:tc>
          <w:tcPr>
            <w:tcW w:w="7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gridSpan w:val="3"/>
          </w:tcPr>
          <w:p>
            <w:pPr>
              <w:jc w:val="right"/>
              <w:ind w:right="131"/>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6"/>
                <w:szCs w:val="16"/>
                <w:color w:val="auto"/>
              </w:rPr>
            </w:pPr>
          </w:p>
        </w:tc>
      </w:tr>
      <w:tr>
        <w:trPr>
          <w:trHeight w:val="235"/>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senior unsecured notes due 2027</w:t>
            </w:r>
          </w:p>
        </w:tc>
        <w:tc>
          <w:tcPr>
            <w:tcW w:w="122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430,350</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479,938</w:t>
            </w:r>
          </w:p>
        </w:tc>
      </w:tr>
      <w:tr>
        <w:trPr>
          <w:trHeight w:val="227"/>
        </w:trPr>
        <w:tc>
          <w:tcPr>
            <w:tcW w:w="72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152,000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304,000</w:t>
            </w:r>
          </w:p>
        </w:tc>
      </w:tr>
      <w:tr>
        <w:trPr>
          <w:trHeight w:val="228"/>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27"/>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w:t>
            </w:r>
          </w:p>
        </w:tc>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w:t>
            </w:r>
          </w:p>
        </w:tc>
      </w:tr>
      <w:tr>
        <w:trPr>
          <w:trHeight w:val="246"/>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576,895</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776,727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Notes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During the year ended December 31, 2022, the Partnership repurchased an aggregate $49.6 million principal amount of the outstanding Notes for total cash consideration of $49.0 million, which resulted in an immaterial loss on extinguishment of debt after including accrued interest and the write-off of related unamortized costs. The Partnership funded the debt repurchases through a combination of cash on hand and borrowings under the Operating Company’s revolving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3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7"/>
          <w:szCs w:val="17"/>
          <w:color w:val="auto"/>
        </w:rPr>
        <w:t>The Operating Company, as borrower, and the Partnership, as parent guarantor, maintain a credit agreement, as amended, which provides for a maximum credit amount of $2.0 billion and a borrowing base of $580.0 million. As of December 31, 2022, the Operating Company had elected a commitment amount of $500.0 million, with $152.0 million of outstanding borrowings and $348.0 million available for future borrowings under the Operating Company’s revolving credit facility. For the years ended December 31, 2022, 2021 and 2020, the weighted average interest rate on borrowings under the Operating Company’s revolving credit facility was 4.22%, 2.35%, and 2.20%, respectively.</w:t>
      </w:r>
    </w:p>
    <w:p>
      <w:pPr>
        <w:spacing w:after="0" w:line="203" w:lineRule="exact"/>
        <w:rPr>
          <w:sz w:val="20"/>
          <w:szCs w:val="20"/>
          <w:color w:val="auto"/>
        </w:rPr>
      </w:pPr>
    </w:p>
    <w:p>
      <w:pPr>
        <w:jc w:val="both"/>
        <w:ind w:firstLine="643"/>
        <w:spacing w:after="0" w:line="235" w:lineRule="auto"/>
        <w:rPr>
          <w:sz w:val="20"/>
          <w:szCs w:val="20"/>
          <w:color w:val="auto"/>
        </w:rPr>
      </w:pPr>
      <w:r>
        <w:rPr>
          <w:rFonts w:ascii="Arial" w:cs="Arial" w:eastAsia="Arial" w:hAnsi="Arial"/>
          <w:sz w:val="18"/>
          <w:szCs w:val="18"/>
          <w:color w:val="auto"/>
        </w:rPr>
        <w:t>On November 18, 2022, the Operating Company entered into the ninth amendment to the existing credit agreement, which, among other things, (i) maintained the maximum amount of the revolving credit facility at $2.0 billion, (ii) reaffirmed the borrowing base of $580.0 million based on the Operating Company’s oil and natural gas reserves and other factors, (iii) maintained the Operating Company’s ability to elect a commitment amount that is less than its borrowing base as determined by the lenders, and (iv) replaced the London interbank offered rate benchmark with the secured overnight financing rate (“SOFR”).</w:t>
      </w:r>
    </w:p>
    <w:p>
      <w:pPr>
        <w:spacing w:after="0" w:line="218" w:lineRule="exact"/>
        <w:rPr>
          <w:sz w:val="20"/>
          <w:szCs w:val="20"/>
          <w:color w:val="auto"/>
        </w:rPr>
      </w:pPr>
    </w:p>
    <w:p>
      <w:pPr>
        <w:jc w:val="both"/>
        <w:ind w:firstLine="643"/>
        <w:spacing w:after="0" w:line="269" w:lineRule="auto"/>
        <w:rPr>
          <w:sz w:val="20"/>
          <w:szCs w:val="20"/>
          <w:color w:val="auto"/>
        </w:rPr>
      </w:pPr>
      <w:r>
        <w:rPr>
          <w:rFonts w:ascii="Arial" w:cs="Arial" w:eastAsia="Arial" w:hAnsi="Arial"/>
          <w:sz w:val="16"/>
          <w:szCs w:val="16"/>
          <w:color w:val="auto"/>
        </w:rPr>
        <w:t>The outstanding borrowings under the credit agreement bear interest at a rate elected by the Operating Company that is equal to (i) term SOFR plus 0.10% (“Adjusted Term SOFR”) or (ii) an alternate base rate (which is equal to the greatest of the prime rate, the Federal Funds effective rate plus 0.50%, and 1-month Adjusted Term SOFR plus 1.00%),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The Operating Company is obligated to pay a quarterly commitment fee ranging from 0.375% to 0.500% per year on the unused portion of the commitment. The credit agreement is secured by substantially all the assets of the Partnership and the Operating Company. The Partnership applied the optional expedient in ASU 2020-04, “Reference Rate Reform (Topic 848) - Facilitation of the Effects of Reference Rate Reform on Financial Reporting” for this contract modification, which did not have an impact on its financial position, results of operations or liquidity.</w:t>
      </w:r>
    </w:p>
    <w:p>
      <w:pPr>
        <w:spacing w:after="0" w:line="206"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excess cash and entering into certain swap agreements and require the maintenance of the financial ratios described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Financial Covenant</w:t>
            </w:r>
          </w:p>
        </w:tc>
        <w:tc>
          <w:tcPr>
            <w:tcW w:w="4160" w:type="dxa"/>
            <w:vAlign w:val="bottom"/>
          </w:tcPr>
          <w:p>
            <w:pPr>
              <w:jc w:val="center"/>
              <w:ind w:left="1615"/>
              <w:spacing w:after="0"/>
              <w:rPr>
                <w:sz w:val="20"/>
                <w:szCs w:val="20"/>
                <w:color w:val="auto"/>
              </w:rPr>
            </w:pPr>
            <w:r>
              <w:rPr>
                <w:rFonts w:ascii="Arial" w:cs="Arial" w:eastAsia="Arial" w:hAnsi="Arial"/>
                <w:sz w:val="14"/>
                <w:szCs w:val="14"/>
                <w:b w:val="1"/>
                <w:bCs w:val="1"/>
                <w:color w:val="auto"/>
                <w:w w:val="94"/>
              </w:rPr>
              <w:t>Required Ratio</w:t>
            </w:r>
          </w:p>
        </w:tc>
      </w:tr>
      <w:tr>
        <w:trPr>
          <w:trHeight w:val="25"/>
        </w:trPr>
        <w:tc>
          <w:tcPr>
            <w:tcW w:w="70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21"/>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160" w:type="dxa"/>
            <w:vAlign w:val="bottom"/>
            <w:shd w:val="clear" w:color="auto" w:fill="CCEEFF"/>
          </w:tcPr>
          <w:p>
            <w:pPr>
              <w:jc w:val="center"/>
              <w:ind w:left="1595"/>
              <w:spacing w:after="0"/>
              <w:rPr>
                <w:sz w:val="20"/>
                <w:szCs w:val="20"/>
                <w:color w:val="auto"/>
              </w:rPr>
            </w:pPr>
            <w:r>
              <w:rPr>
                <w:rFonts w:ascii="Arial" w:cs="Arial" w:eastAsia="Arial" w:hAnsi="Arial"/>
                <w:sz w:val="18"/>
                <w:szCs w:val="18"/>
                <w:color w:val="auto"/>
                <w:w w:val="89"/>
              </w:rPr>
              <w:t>Not greater than 4.0 to 1.0</w:t>
            </w:r>
          </w:p>
        </w:tc>
      </w:tr>
      <w:tr>
        <w:trPr>
          <w:trHeight w:val="227"/>
        </w:trPr>
        <w:tc>
          <w:tcPr>
            <w:tcW w:w="7080" w:type="dxa"/>
            <w:vAlign w:val="bottom"/>
          </w:tcPr>
          <w:p>
            <w:pPr>
              <w:ind w:left="2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160" w:type="dxa"/>
            <w:vAlign w:val="bottom"/>
          </w:tcPr>
          <w:p>
            <w:pPr>
              <w:jc w:val="center"/>
              <w:ind w:left="1595"/>
              <w:spacing w:after="0"/>
              <w:rPr>
                <w:sz w:val="20"/>
                <w:szCs w:val="20"/>
                <w:color w:val="auto"/>
              </w:rPr>
            </w:pPr>
            <w:r>
              <w:rPr>
                <w:rFonts w:ascii="Arial" w:cs="Arial" w:eastAsia="Arial" w:hAnsi="Arial"/>
                <w:sz w:val="18"/>
                <w:szCs w:val="18"/>
                <w:color w:val="auto"/>
                <w:w w:val="88"/>
              </w:rPr>
              <w:t>Not less than 1.0 to 1.0</w:t>
            </w:r>
          </w:p>
        </w:tc>
      </w:tr>
      <w:tr>
        <w:trPr>
          <w:trHeight w:val="228"/>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secured debt to EBITDAX, as defined in the credit agreement</w:t>
            </w:r>
          </w:p>
        </w:tc>
        <w:tc>
          <w:tcPr>
            <w:tcW w:w="4160" w:type="dxa"/>
            <w:vAlign w:val="bottom"/>
            <w:shd w:val="clear" w:color="auto" w:fill="CCEEFF"/>
          </w:tcPr>
          <w:p>
            <w:pPr>
              <w:jc w:val="center"/>
              <w:ind w:left="1595"/>
              <w:spacing w:after="0"/>
              <w:rPr>
                <w:sz w:val="20"/>
                <w:szCs w:val="20"/>
                <w:color w:val="auto"/>
              </w:rPr>
            </w:pPr>
            <w:r>
              <w:rPr>
                <w:rFonts w:ascii="Arial" w:cs="Arial" w:eastAsia="Arial" w:hAnsi="Arial"/>
                <w:sz w:val="18"/>
                <w:szCs w:val="18"/>
                <w:color w:val="auto"/>
                <w:w w:val="89"/>
              </w:rPr>
              <w:t>Not greater than 2.5 to 1.0</w:t>
            </w:r>
          </w:p>
        </w:tc>
      </w:tr>
    </w:tbl>
    <w:p>
      <w:pPr>
        <w:spacing w:after="0" w:line="3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2022, the Operating Company was in compliance with all financial maintenance covenants under its credit agreement.</w:t>
      </w:r>
    </w:p>
    <w:p>
      <w:pPr>
        <w:spacing w:after="0" w:line="25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UNITHOLDERS’ EQUITY AND DISTRIBUTIONS</w:t>
      </w:r>
    </w:p>
    <w:p>
      <w:pPr>
        <w:spacing w:after="0" w:line="252" w:lineRule="exact"/>
        <w:rPr>
          <w:sz w:val="20"/>
          <w:szCs w:val="20"/>
          <w:color w:val="auto"/>
        </w:rPr>
      </w:pPr>
    </w:p>
    <w:p>
      <w:pPr>
        <w:jc w:val="both"/>
        <w:ind w:firstLine="643"/>
        <w:spacing w:after="0" w:line="290" w:lineRule="auto"/>
        <w:rPr>
          <w:sz w:val="20"/>
          <w:szCs w:val="20"/>
          <w:color w:val="auto"/>
        </w:rPr>
      </w:pPr>
      <w:r>
        <w:rPr>
          <w:rFonts w:ascii="Arial" w:cs="Arial" w:eastAsia="Arial" w:hAnsi="Arial"/>
          <w:sz w:val="16"/>
          <w:szCs w:val="16"/>
          <w:color w:val="auto"/>
        </w:rPr>
        <w:t>The Partnership has General Partner and limited partner units. At December 31, 2022, the Partnership had a total of 73,229,645 common units issued and outstanding and 90,709,946 Class B units issued and outstanding, of which 731,500 common units and 90,709,946 Class B units were beneficially owned by Diamondback, representing approximately 56% of the Partnership’s total units outstanding. Diamondback also beneficially owns 90,709,946 Operating Company units, representing a 55% non-controlling ownership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35" w:lineRule="exact"/>
        <w:rPr>
          <w:sz w:val="20"/>
          <w:szCs w:val="20"/>
          <w:color w:val="auto"/>
        </w:rPr>
      </w:pPr>
    </w:p>
    <w:p>
      <w:pPr>
        <w:jc w:val="both"/>
        <w:ind w:firstLine="643"/>
        <w:spacing w:after="0" w:line="237" w:lineRule="auto"/>
        <w:rPr>
          <w:sz w:val="20"/>
          <w:szCs w:val="20"/>
          <w:color w:val="auto"/>
        </w:rPr>
      </w:pPr>
      <w:r>
        <w:rPr>
          <w:rFonts w:ascii="Arial" w:cs="Arial" w:eastAsia="Arial" w:hAnsi="Arial"/>
          <w:sz w:val="18"/>
          <w:szCs w:val="18"/>
          <w:color w:val="auto"/>
        </w:rPr>
        <w:t>The board of directors of the Partnership’s General Partner has approved a common unit repurchase program to acquire up to $750.0 million of the Partnership’s outstanding common units over an indefinite period of time. The Partnership intends to purchase common units under the repurchase program opportunistically with funds from cash on hand, free cash flow from operations and potential liquidity events such as the sale of assets. This repurchase program may be suspended from time to time, modified, extended or discontinued by the board of directors of the Partnership’s General Partner at any time. During the years ended December 31, 2022, 2021 and 2020, the Partnership repurchased approximately $150.6 million, $46.0 million, and $24.0 million of common units under the repurchase program, respectively. As of December 31, 2022, $529.4 million remains available for use under the repurchase program.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Ownership of Consolidated Subsidiaries</w:t>
      </w:r>
    </w:p>
    <w:p>
      <w:pPr>
        <w:spacing w:after="0" w:line="248" w:lineRule="exact"/>
        <w:rPr>
          <w:sz w:val="20"/>
          <w:szCs w:val="20"/>
          <w:color w:val="auto"/>
        </w:rPr>
      </w:pPr>
    </w:p>
    <w:p>
      <w:pPr>
        <w:jc w:val="both"/>
        <w:ind w:firstLine="643"/>
        <w:spacing w:after="0" w:line="272" w:lineRule="auto"/>
        <w:rPr>
          <w:sz w:val="20"/>
          <w:szCs w:val="20"/>
          <w:color w:val="auto"/>
        </w:rPr>
      </w:pPr>
      <w:r>
        <w:rPr>
          <w:rFonts w:ascii="Arial" w:cs="Arial" w:eastAsia="Arial" w:hAnsi="Arial"/>
          <w:sz w:val="17"/>
          <w:szCs w:val="17"/>
          <w:color w:val="auto"/>
        </w:rPr>
        <w:t>Non-controlling interest in the accompanying consolidated financial statements represents Diamondback’s ownership in the net assets of the Operating Company. Diamondback’s relative ownership interest in the Operating Company can change due to the Partnership’s public offerings, issuance of units for acquisitions, issuance of unit-based compensation, repurchases of common units and distribution equivalent rights paid on the Partnership’s units. These changes in ownership percentage and the disproportionate allocation of net income (loss) to Diamondback discussed below result in adjustments to non-controlling interest and common unitholder equity, tax effected, but do not impact earnings.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common unitholder equity due to changes in ownership interest during the period: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3"/>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Partnership</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151,673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538"/>
              <w:spacing w:after="0"/>
              <w:rPr>
                <w:sz w:val="20"/>
                <w:szCs w:val="20"/>
                <w:color w:val="auto"/>
              </w:rPr>
            </w:pPr>
            <w:r>
              <w:rPr>
                <w:rFonts w:ascii="Arial" w:cs="Arial" w:eastAsia="Arial" w:hAnsi="Arial"/>
                <w:sz w:val="18"/>
                <w:szCs w:val="18"/>
                <w:color w:val="auto"/>
                <w:w w:val="87"/>
              </w:rPr>
              <w:t>57,939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(192,304)</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18"/>
              <w:spacing w:after="0"/>
              <w:rPr>
                <w:sz w:val="20"/>
                <w:szCs w:val="20"/>
                <w:color w:val="auto"/>
              </w:rPr>
            </w:pPr>
            <w:r>
              <w:rPr>
                <w:rFonts w:ascii="Arial" w:cs="Arial" w:eastAsia="Arial" w:hAnsi="Arial"/>
                <w:sz w:val="18"/>
                <w:szCs w:val="18"/>
                <w:color w:val="auto"/>
                <w:w w:val="92"/>
              </w:rPr>
              <w:t>(93,473)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(34,087)</w:t>
            </w:r>
          </w:p>
        </w:tc>
        <w:tc>
          <w:tcPr>
            <w:tcW w:w="0" w:type="dxa"/>
            <w:vAlign w:val="bottom"/>
          </w:tcPr>
          <w:p>
            <w:pPr>
              <w:spacing w:after="0"/>
              <w:rPr>
                <w:sz w:val="1"/>
                <w:szCs w:val="1"/>
                <w:color w:val="auto"/>
              </w:rPr>
            </w:pPr>
          </w:p>
        </w:tc>
      </w:tr>
      <w:tr>
        <w:trPr>
          <w:trHeight w:val="167"/>
        </w:trPr>
        <w:tc>
          <w:tcPr>
            <w:tcW w:w="672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w w:val="92"/>
              </w:rPr>
              <w:t>Change from net income (loss) attributable to the Partnership's unitholders and transfers to</w:t>
            </w:r>
          </w:p>
        </w:tc>
        <w:tc>
          <w:tcPr>
            <w:tcW w:w="34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209,926</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center"/>
              <w:ind w:left="518"/>
              <w:spacing w:after="0"/>
              <w:rPr>
                <w:sz w:val="20"/>
                <w:szCs w:val="20"/>
                <w:color w:val="auto"/>
              </w:rPr>
            </w:pPr>
            <w:r>
              <w:rPr>
                <w:rFonts w:ascii="Arial" w:cs="Arial" w:eastAsia="Arial" w:hAnsi="Arial"/>
                <w:sz w:val="18"/>
                <w:szCs w:val="18"/>
                <w:color w:val="auto"/>
                <w:w w:val="92"/>
              </w:rPr>
              <w:t>(35,534)</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(226,391)</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non-controlling interest</w:t>
            </w: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w:t>
      </w:r>
    </w:p>
    <w:p>
      <w:pPr>
        <w:spacing w:after="0" w:line="235"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6"/>
          <w:szCs w:val="16"/>
          <w:color w:val="auto"/>
        </w:rPr>
        <w:t>The board of directors of the General Partner has established a distribution policy, as amended, whereby the Operating Company distributes all or a portion of its available cash on a quarterly basis to its unitholders (including Diamondback and the Partnership). The Partnership in turn distributes all or a portion of the available cash it receives from the Operating Company to its common unitholders. The Partnership’s available cash and the available cash of the Operating Company for each quarter is determined by the board of directors of the General Partner following the end of such quarter. The cash available for distribution by the Operating Company, a non-GAAP measure, generally equals the Partnership’s consolidated Adjusted EBITDA for the applicable quarter, less cash needed for income taxes payable, debt service, contractual obligations, fixed charges and reserves for future operating or capital needs that the board of directors of the General Partner deems necessary or appropriate, lease bonus income, distribution equivalent rights payments and preferred distributions, if any. The Partnership’s cash available for distribution for each quarter generally equals the Partnership’s proportional share of the cash distributed by the Operating Company for the quarter, less cash needed by the Partnership for the payment of income taxes, if any, and the preferred distribution. Further, in July 2022, the board of directors of the General Partner approved a distribution policy, effective with the Partnership’s distribution payable for the third quarter of 2022, consisting of a base and variable distribution, that takes into account capital returned to unitholders via our common unit repurchase program. The board of directors updated the distribution policy in November 2022, providing that lease bonus payments and other similar, one-time, non-recurring payments will be excluded from the calculation of the Partnership’s and the Operating Company’s available cash.</w:t>
      </w:r>
    </w:p>
    <w:p>
      <w:pPr>
        <w:spacing w:after="0" w:line="211"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The percentage of cash available for distribution pursuant to the distribution policy discussed above may change quarterly to enable the Operating Company to retain cash flow to help strengthen the Partnership’s balance sheet while also expanding the return of capital program through the Partnership’s common unit repurchase program. The Partnership is not required to pay distributions to its common unitholders on a quarterly or other basis.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following table presents information regarding cash distributions paid during the years ended December 31, 2022, 2021 and 2020 (in thousands, except for per share amounts):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per</w:t>
            </w: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 per</w:t>
            </w:r>
          </w:p>
        </w:tc>
        <w:tc>
          <w:tcPr>
            <w:tcW w:w="160" w:type="dxa"/>
            <w:vAlign w:val="bottom"/>
          </w:tcPr>
          <w:p>
            <w:pPr>
              <w:spacing w:after="0"/>
              <w:rPr>
                <w:sz w:val="12"/>
                <w:szCs w:val="1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Common</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2"/>
              </w:rPr>
              <w:t>Distributions to</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Declaration Date</w:t>
            </w:r>
          </w:p>
        </w:tc>
        <w:tc>
          <w:tcPr>
            <w:tcW w:w="80" w:type="dxa"/>
            <w:vAlign w:val="bottom"/>
            <w:vMerge w:val="restart"/>
          </w:tcPr>
          <w:p>
            <w:pPr>
              <w:spacing w:after="0"/>
              <w:rPr>
                <w:sz w:val="12"/>
                <w:szCs w:val="12"/>
                <w:color w:val="auto"/>
              </w:rPr>
            </w:pPr>
          </w:p>
        </w:tc>
        <w:tc>
          <w:tcPr>
            <w:tcW w:w="16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9"/>
              </w:rPr>
              <w:t>Unitholder Record Date</w:t>
            </w:r>
          </w:p>
        </w:tc>
        <w:tc>
          <w:tcPr>
            <w:tcW w:w="100" w:type="dxa"/>
            <w:vAlign w:val="bottom"/>
            <w:vMerge w:val="restart"/>
          </w:tcPr>
          <w:p>
            <w:pPr>
              <w:spacing w:after="0"/>
              <w:rPr>
                <w:sz w:val="12"/>
                <w:szCs w:val="12"/>
                <w:color w:val="auto"/>
              </w:rPr>
            </w:pPr>
          </w:p>
        </w:tc>
        <w:tc>
          <w:tcPr>
            <w:tcW w:w="17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94"/>
        </w:trPr>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Company Unit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Diamondback</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3"/>
              </w:rPr>
              <w:t>Common Unit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Unitholders</w:t>
            </w:r>
            <w:r>
              <w:rPr>
                <w:rFonts w:ascii="Arial" w:cs="Arial" w:eastAsia="Arial" w:hAnsi="Arial"/>
                <w:sz w:val="9"/>
                <w:szCs w:val="9"/>
                <w:b w:val="1"/>
                <w:bCs w:val="1"/>
                <w:color w:val="auto"/>
                <w:w w:val="96"/>
              </w:rPr>
              <w:t>(1)</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2019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February 7, 2020</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21, 2020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28, 2020</w:t>
            </w:r>
          </w:p>
        </w:tc>
        <w:tc>
          <w:tcPr>
            <w:tcW w:w="0" w:type="dxa"/>
            <w:vAlign w:val="bottom"/>
          </w:tcPr>
          <w:p>
            <w:pPr>
              <w:spacing w:after="0"/>
              <w:rPr>
                <w:sz w:val="1"/>
                <w:szCs w:val="1"/>
                <w:color w:val="auto"/>
              </w:rPr>
            </w:pPr>
          </w:p>
        </w:tc>
      </w:tr>
      <w:tr>
        <w:trPr>
          <w:trHeight w:val="211"/>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Q1 2020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April 30, 2020</w:t>
            </w: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May 14, 2020</w:t>
            </w:r>
          </w:p>
        </w:tc>
        <w:tc>
          <w:tcPr>
            <w:tcW w:w="1720" w:type="dxa"/>
            <w:vAlign w:val="bottom"/>
          </w:tcPr>
          <w:p>
            <w:pPr>
              <w:jc w:val="right"/>
              <w:spacing w:after="0"/>
              <w:rPr>
                <w:sz w:val="20"/>
                <w:szCs w:val="20"/>
                <w:color w:val="auto"/>
              </w:rPr>
            </w:pPr>
            <w:r>
              <w:rPr>
                <w:rFonts w:ascii="Arial" w:cs="Arial" w:eastAsia="Arial" w:hAnsi="Arial"/>
                <w:sz w:val="16"/>
                <w:szCs w:val="16"/>
                <w:color w:val="auto"/>
              </w:rPr>
              <w:t>May 21, 2020</w:t>
            </w:r>
          </w:p>
        </w:tc>
        <w:tc>
          <w:tcPr>
            <w:tcW w:w="0" w:type="dxa"/>
            <w:vAlign w:val="bottom"/>
          </w:tcPr>
          <w:p>
            <w:pPr>
              <w:spacing w:after="0"/>
              <w:rPr>
                <w:sz w:val="1"/>
                <w:szCs w:val="1"/>
                <w:color w:val="auto"/>
              </w:rPr>
            </w:pPr>
          </w:p>
        </w:tc>
      </w:tr>
      <w:tr>
        <w:trPr>
          <w:trHeight w:val="217"/>
        </w:trPr>
        <w:tc>
          <w:tcPr>
            <w:tcW w:w="1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Q2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July 29, 2020</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August 13, 2020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 2020</w:t>
            </w:r>
          </w:p>
        </w:tc>
        <w:tc>
          <w:tcPr>
            <w:tcW w:w="0" w:type="dxa"/>
            <w:vAlign w:val="bottom"/>
          </w:tcPr>
          <w:p>
            <w:pPr>
              <w:spacing w:after="0"/>
              <w:rPr>
                <w:sz w:val="1"/>
                <w:szCs w:val="1"/>
                <w:color w:val="auto"/>
              </w:rPr>
            </w:pPr>
          </w:p>
        </w:tc>
      </w:tr>
      <w:tr>
        <w:trPr>
          <w:trHeight w:val="211"/>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Q3 2020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9,072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6,805</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28, 2020</w:t>
            </w: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12, 2020</w:t>
            </w:r>
          </w:p>
        </w:tc>
        <w:tc>
          <w:tcPr>
            <w:tcW w:w="1720" w:type="dxa"/>
            <w:vAlign w:val="bottom"/>
          </w:tcPr>
          <w:p>
            <w:pPr>
              <w:jc w:val="right"/>
              <w:spacing w:after="0"/>
              <w:rPr>
                <w:sz w:val="20"/>
                <w:szCs w:val="20"/>
                <w:color w:val="auto"/>
              </w:rPr>
            </w:pPr>
            <w:r>
              <w:rPr>
                <w:rFonts w:ascii="Arial" w:cs="Arial" w:eastAsia="Arial" w:hAnsi="Arial"/>
                <w:sz w:val="16"/>
                <w:szCs w:val="16"/>
                <w:color w:val="auto"/>
              </w:rPr>
              <w:t>November 19, 2020</w:t>
            </w:r>
          </w:p>
        </w:tc>
        <w:tc>
          <w:tcPr>
            <w:tcW w:w="0" w:type="dxa"/>
            <w:vAlign w:val="bottom"/>
          </w:tcPr>
          <w:p>
            <w:pPr>
              <w:spacing w:after="0"/>
              <w:rPr>
                <w:sz w:val="1"/>
                <w:szCs w:val="1"/>
                <w:color w:val="auto"/>
              </w:rPr>
            </w:pPr>
          </w:p>
        </w:tc>
      </w:tr>
      <w:tr>
        <w:trPr>
          <w:trHeight w:val="217"/>
        </w:trPr>
        <w:tc>
          <w:tcPr>
            <w:tcW w:w="1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February 19, 2021</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March 4, 2021</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11, 2021</w:t>
            </w:r>
          </w:p>
        </w:tc>
        <w:tc>
          <w:tcPr>
            <w:tcW w:w="0" w:type="dxa"/>
            <w:vAlign w:val="bottom"/>
          </w:tcPr>
          <w:p>
            <w:pPr>
              <w:spacing w:after="0"/>
              <w:rPr>
                <w:sz w:val="1"/>
                <w:szCs w:val="1"/>
                <w:color w:val="auto"/>
              </w:rPr>
            </w:pPr>
          </w:p>
        </w:tc>
      </w:tr>
      <w:tr>
        <w:trPr>
          <w:trHeight w:val="211"/>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Q1 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22,678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0.25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16,230</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April 27, 2021</w:t>
            </w: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May 13, 2021</w:t>
            </w:r>
          </w:p>
        </w:tc>
        <w:tc>
          <w:tcPr>
            <w:tcW w:w="1720" w:type="dxa"/>
            <w:vAlign w:val="bottom"/>
          </w:tcPr>
          <w:p>
            <w:pPr>
              <w:jc w:val="right"/>
              <w:spacing w:after="0"/>
              <w:rPr>
                <w:sz w:val="20"/>
                <w:szCs w:val="20"/>
                <w:color w:val="auto"/>
              </w:rPr>
            </w:pPr>
            <w:r>
              <w:rPr>
                <w:rFonts w:ascii="Arial" w:cs="Arial" w:eastAsia="Arial" w:hAnsi="Arial"/>
                <w:sz w:val="16"/>
                <w:szCs w:val="16"/>
                <w:color w:val="auto"/>
              </w:rPr>
              <w:t>May 20, 2021</w:t>
            </w:r>
          </w:p>
        </w:tc>
        <w:tc>
          <w:tcPr>
            <w:tcW w:w="0" w:type="dxa"/>
            <w:vAlign w:val="bottom"/>
          </w:tcPr>
          <w:p>
            <w:pPr>
              <w:spacing w:after="0"/>
              <w:rPr>
                <w:sz w:val="1"/>
                <w:szCs w:val="1"/>
                <w:color w:val="auto"/>
              </w:rPr>
            </w:pPr>
          </w:p>
        </w:tc>
      </w:tr>
      <w:tr>
        <w:trPr>
          <w:trHeight w:val="217"/>
        </w:trPr>
        <w:tc>
          <w:tcPr>
            <w:tcW w:w="1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Q2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July 28, 2021</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August 12, 2021</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19, 2021</w:t>
            </w:r>
          </w:p>
        </w:tc>
        <w:tc>
          <w:tcPr>
            <w:tcW w:w="0" w:type="dxa"/>
            <w:vAlign w:val="bottom"/>
          </w:tcPr>
          <w:p>
            <w:pPr>
              <w:spacing w:after="0"/>
              <w:rPr>
                <w:sz w:val="1"/>
                <w:szCs w:val="1"/>
                <w:color w:val="auto"/>
              </w:rPr>
            </w:pPr>
          </w:p>
        </w:tc>
      </w:tr>
      <w:tr>
        <w:trPr>
          <w:trHeight w:val="211"/>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Q3 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34,469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0.38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30,118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27, 2021</w:t>
            </w: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11, 2021</w:t>
            </w:r>
          </w:p>
        </w:tc>
        <w:tc>
          <w:tcPr>
            <w:tcW w:w="1720" w:type="dxa"/>
            <w:vAlign w:val="bottom"/>
          </w:tcPr>
          <w:p>
            <w:pPr>
              <w:jc w:val="right"/>
              <w:spacing w:after="0"/>
              <w:rPr>
                <w:sz w:val="20"/>
                <w:szCs w:val="20"/>
                <w:color w:val="auto"/>
              </w:rPr>
            </w:pPr>
            <w:r>
              <w:rPr>
                <w:rFonts w:ascii="Arial" w:cs="Arial" w:eastAsia="Arial" w:hAnsi="Arial"/>
                <w:sz w:val="16"/>
                <w:szCs w:val="16"/>
                <w:color w:val="auto"/>
              </w:rPr>
              <w:t>November 18, 2021</w:t>
            </w:r>
          </w:p>
        </w:tc>
        <w:tc>
          <w:tcPr>
            <w:tcW w:w="0" w:type="dxa"/>
            <w:vAlign w:val="bottom"/>
          </w:tcPr>
          <w:p>
            <w:pPr>
              <w:spacing w:after="0"/>
              <w:rPr>
                <w:sz w:val="1"/>
                <w:szCs w:val="1"/>
                <w:color w:val="auto"/>
              </w:rPr>
            </w:pPr>
          </w:p>
        </w:tc>
      </w:tr>
      <w:tr>
        <w:trPr>
          <w:trHeight w:val="217"/>
        </w:trPr>
        <w:tc>
          <w:tcPr>
            <w:tcW w:w="1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Q4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36,238</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February 16, 2022</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March 4, 2022</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11, 2022</w:t>
            </w:r>
          </w:p>
        </w:tc>
        <w:tc>
          <w:tcPr>
            <w:tcW w:w="0" w:type="dxa"/>
            <w:vAlign w:val="bottom"/>
          </w:tcPr>
          <w:p>
            <w:pPr>
              <w:spacing w:after="0"/>
              <w:rPr>
                <w:sz w:val="1"/>
                <w:szCs w:val="1"/>
                <w:color w:val="auto"/>
              </w:rPr>
            </w:pPr>
          </w:p>
        </w:tc>
      </w:tr>
      <w:tr>
        <w:trPr>
          <w:trHeight w:val="211"/>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Q1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63,497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0.67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51,680</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April 27, 2022</w:t>
            </w: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May 12, 2022</w:t>
            </w:r>
          </w:p>
        </w:tc>
        <w:tc>
          <w:tcPr>
            <w:tcW w:w="1720" w:type="dxa"/>
            <w:vAlign w:val="bottom"/>
          </w:tcPr>
          <w:p>
            <w:pPr>
              <w:jc w:val="right"/>
              <w:spacing w:after="0"/>
              <w:rPr>
                <w:sz w:val="20"/>
                <w:szCs w:val="20"/>
                <w:color w:val="auto"/>
              </w:rPr>
            </w:pPr>
            <w:r>
              <w:rPr>
                <w:rFonts w:ascii="Arial" w:cs="Arial" w:eastAsia="Arial" w:hAnsi="Arial"/>
                <w:sz w:val="16"/>
                <w:szCs w:val="16"/>
                <w:color w:val="auto"/>
              </w:rPr>
              <w:t>May 19, 2022</w:t>
            </w:r>
          </w:p>
        </w:tc>
        <w:tc>
          <w:tcPr>
            <w:tcW w:w="0" w:type="dxa"/>
            <w:vAlign w:val="bottom"/>
          </w:tcPr>
          <w:p>
            <w:pPr>
              <w:spacing w:after="0"/>
              <w:rPr>
                <w:sz w:val="1"/>
                <w:szCs w:val="1"/>
                <w:color w:val="auto"/>
              </w:rPr>
            </w:pPr>
          </w:p>
        </w:tc>
      </w:tr>
      <w:tr>
        <w:trPr>
          <w:trHeight w:val="217"/>
        </w:trPr>
        <w:tc>
          <w:tcPr>
            <w:tcW w:w="1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Q2 2022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60,626</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July 26, 2022</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August 16, 2022</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23, 2022</w:t>
            </w:r>
          </w:p>
        </w:tc>
        <w:tc>
          <w:tcPr>
            <w:tcW w:w="0" w:type="dxa"/>
            <w:vAlign w:val="bottom"/>
          </w:tcPr>
          <w:p>
            <w:pPr>
              <w:spacing w:after="0"/>
              <w:rPr>
                <w:sz w:val="1"/>
                <w:szCs w:val="1"/>
                <w:color w:val="auto"/>
              </w:rPr>
            </w:pPr>
          </w:p>
        </w:tc>
      </w:tr>
      <w:tr>
        <w:trPr>
          <w:trHeight w:val="209"/>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Q3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47,170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0.49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36,076</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November 3, 2022</w:t>
            </w: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17, 2022</w:t>
            </w:r>
          </w:p>
        </w:tc>
        <w:tc>
          <w:tcPr>
            <w:tcW w:w="1720" w:type="dxa"/>
            <w:vAlign w:val="bottom"/>
          </w:tcPr>
          <w:p>
            <w:pPr>
              <w:jc w:val="right"/>
              <w:spacing w:after="0"/>
              <w:rPr>
                <w:sz w:val="20"/>
                <w:szCs w:val="20"/>
                <w:color w:val="auto"/>
              </w:rPr>
            </w:pPr>
            <w:r>
              <w:rPr>
                <w:rFonts w:ascii="Arial" w:cs="Arial" w:eastAsia="Arial" w:hAnsi="Arial"/>
                <w:sz w:val="16"/>
                <w:szCs w:val="16"/>
                <w:color w:val="auto"/>
              </w:rPr>
              <w:t>November 25, 2022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(1) Includes amounts paid to Diamondback for the 731,500 common units beneficially owned by Diamondback and distribution equivalent rights payments.</w:t>
      </w:r>
    </w:p>
    <w:p>
      <w:pPr>
        <w:spacing w:after="0" w:line="2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Cash distributions will be made to the common unitholders of record on the applicable record date, generally within 60 days after the end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each quarter.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Net Income</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Partnership, as managing member of the Operating Company, had an agreement, as amended on December 28, 2021, whereby special allocations of the Operating Company’s income and gains over losses and deductions (but before depletion) were made to Diamondback through December 31, 2022. These special income allocations reduced the taxable income allocated to the Partnership’s common unitholders during the reporting periods.</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EARNINGS PER COMMON UNIT</w:t>
      </w:r>
    </w:p>
    <w:p>
      <w:pPr>
        <w:spacing w:after="0" w:line="25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The net income (loss) per common unit on the consolidated statements of operations is based on the net income (loss) attributable to the Partnership’s common units for the years ended December 31, 2022, 2021 and 2020. The Partnership’s net income (loss) is allocated wholly to the common units, as the General Partner does not have an economic interest. Payments made to the Partnership’s unitholders are determined in relation to the cash distribution policy described in Note 7—</w:t>
      </w:r>
      <w:r>
        <w:rPr>
          <w:rFonts w:ascii="Arial" w:cs="Arial" w:eastAsia="Arial" w:hAnsi="Arial"/>
          <w:sz w:val="18"/>
          <w:szCs w:val="18"/>
          <w:u w:val="single" w:color="auto"/>
          <w:color w:val="0000FF"/>
        </w:rPr>
        <w:t>Unitholders' Equity and Distributions</w:t>
      </w:r>
      <w:r>
        <w:rPr>
          <w:rFonts w:ascii="Arial" w:cs="Arial" w:eastAsia="Arial" w:hAnsi="Arial"/>
          <w:sz w:val="18"/>
          <w:szCs w:val="18"/>
          <w:color w:val="auto"/>
        </w:rPr>
        <w:t>.</w:t>
      </w:r>
    </w:p>
    <w:p>
      <w:pPr>
        <w:spacing w:after="0" w:line="215"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Basic and diluted earnings per common unit is calculated using the two-class method. The two class method is an earnings allocation proportional to the respective ownership among holders of common units and participating securities. Basic net income (loss) per common unit is calculated by dividing net income (loss) by the weighted-average number of common units outstanding during the period. Diluted net income (loss) per common unit gives effect, when applicable, to unvested common units granted under the LTIP.</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components of basic and diluted earnings per common unit is presented in the table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3"/>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8"/>
          </w:tcPr>
          <w:p>
            <w:pPr>
              <w:jc w:val="center"/>
              <w:ind w:left="474"/>
              <w:spacing w:after="0"/>
              <w:rPr>
                <w:sz w:val="20"/>
                <w:szCs w:val="20"/>
                <w:color w:val="auto"/>
              </w:rPr>
            </w:pPr>
            <w:r>
              <w:rPr>
                <w:rFonts w:ascii="Arial" w:cs="Arial" w:eastAsia="Arial" w:hAnsi="Arial"/>
                <w:sz w:val="14"/>
                <w:szCs w:val="14"/>
                <w:b w:val="1"/>
                <w:bCs w:val="1"/>
                <w:color w:val="auto"/>
                <w:w w:val="91"/>
              </w:rPr>
              <w:t>(In thousands, except per unit amounts)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period</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151,673</w:t>
            </w:r>
          </w:p>
        </w:tc>
        <w:tc>
          <w:tcPr>
            <w:tcW w:w="46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(192,304)</w:t>
            </w:r>
          </w:p>
        </w:tc>
        <w:tc>
          <w:tcPr>
            <w:tcW w:w="0" w:type="dxa"/>
            <w:vAlign w:val="bottom"/>
          </w:tcPr>
          <w:p>
            <w:pPr>
              <w:spacing w:after="0"/>
              <w:rPr>
                <w:sz w:val="1"/>
                <w:szCs w:val="1"/>
                <w:color w:val="auto"/>
              </w:rPr>
            </w:pPr>
          </w:p>
        </w:tc>
      </w:tr>
      <w:tr>
        <w:trPr>
          <w:trHeight w:val="228"/>
        </w:trPr>
        <w:tc>
          <w:tcPr>
            <w:tcW w:w="6960" w:type="dxa"/>
            <w:vAlign w:val="bottom"/>
            <w:tcBorders>
              <w:bottom w:val="single" w:sz="8" w:color="CCEEFF"/>
            </w:tcBorders>
          </w:tcPr>
          <w:p>
            <w:pPr>
              <w:ind w:left="20"/>
              <w:spacing w:after="0" w:line="228" w:lineRule="exact"/>
              <w:rPr>
                <w:sz w:val="20"/>
                <w:szCs w:val="20"/>
                <w:color w:val="auto"/>
              </w:rPr>
            </w:pPr>
            <w:r>
              <w:rPr>
                <w:rFonts w:ascii="Arial" w:cs="Arial" w:eastAsia="Arial" w:hAnsi="Arial"/>
                <w:sz w:val="18"/>
                <w:szCs w:val="18"/>
                <w:color w:val="auto"/>
              </w:rPr>
              <w:t>Less: net income (loss) allocated to participating securities</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6"/>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unitholders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(192,348)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units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67,686</w:t>
            </w:r>
          </w:p>
        </w:tc>
        <w:tc>
          <w:tcPr>
            <w:tcW w:w="0" w:type="dxa"/>
            <w:vAlign w:val="bottom"/>
          </w:tcPr>
          <w:p>
            <w:pPr>
              <w:spacing w:after="0"/>
              <w:rPr>
                <w:sz w:val="1"/>
                <w:szCs w:val="1"/>
                <w:color w:val="auto"/>
              </w:rPr>
            </w:pPr>
          </w:p>
        </w:tc>
      </w:tr>
      <w:tr>
        <w:trPr>
          <w:trHeight w:val="227"/>
        </w:trPr>
        <w:tc>
          <w:tcPr>
            <w:tcW w:w="696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460"/>
              <w:spacing w:after="0" w:line="228" w:lineRule="exact"/>
              <w:rPr>
                <w:sz w:val="20"/>
                <w:szCs w:val="20"/>
                <w:color w:val="auto"/>
              </w:rPr>
            </w:pPr>
            <w:r>
              <w:rPr>
                <w:rFonts w:ascii="Arial" w:cs="Arial" w:eastAsia="Arial" w:hAnsi="Arial"/>
                <w:sz w:val="18"/>
                <w:szCs w:val="18"/>
                <w:color w:val="auto"/>
              </w:rPr>
              <w:t>Potential common units issuable</w:t>
            </w:r>
            <w:r>
              <w:rPr>
                <w:rFonts w:ascii="Arial" w:cs="Arial" w:eastAsia="Arial" w:hAnsi="Arial"/>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960" w:type="dxa"/>
            <w:vAlign w:val="bottom"/>
          </w:tcPr>
          <w:p>
            <w:pPr>
              <w:ind w:left="220"/>
              <w:spacing w:after="0"/>
              <w:rPr>
                <w:sz w:val="20"/>
                <w:szCs w:val="20"/>
                <w:color w:val="auto"/>
              </w:rPr>
            </w:pPr>
            <w:r>
              <w:rPr>
                <w:rFonts w:ascii="Arial" w:cs="Arial" w:eastAsia="Arial" w:hAnsi="Arial"/>
                <w:sz w:val="18"/>
                <w:szCs w:val="18"/>
                <w:color w:val="auto"/>
              </w:rPr>
              <w:t>Diluted weighted average common units outstanding</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75,679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68,391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67,686</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unit, basic</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7"/>
        </w:trPr>
        <w:tc>
          <w:tcPr>
            <w:tcW w:w="6960" w:type="dxa"/>
            <w:vAlign w:val="bottom"/>
          </w:tcPr>
          <w:p>
            <w:pPr>
              <w:ind w:left="20"/>
              <w:spacing w:after="0"/>
              <w:rPr>
                <w:sz w:val="20"/>
                <w:szCs w:val="20"/>
                <w:color w:val="auto"/>
              </w:rPr>
            </w:pPr>
            <w:r>
              <w:rPr>
                <w:rFonts w:ascii="Arial" w:cs="Arial" w:eastAsia="Arial" w:hAnsi="Arial"/>
                <w:sz w:val="18"/>
                <w:szCs w:val="18"/>
                <w:color w:val="auto"/>
              </w:rPr>
              <w:t>Net income (loss) per common unit, diluted</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c>
          <w:tcPr>
            <w:tcW w:w="460" w:type="dxa"/>
            <w:vAlign w:val="bottom"/>
            <w:gridSpan w:val="3"/>
          </w:tcPr>
          <w:p>
            <w:pPr>
              <w:jc w:val="right"/>
              <w:ind w:right="13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0" w:hanging="393"/>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Restricted stock units with non-forfeitable distribution equivalent rights granted to employees are considered participating securities.</w:t>
      </w:r>
    </w:p>
    <w:p>
      <w:pPr>
        <w:spacing w:after="0" w:line="20" w:lineRule="exact"/>
        <w:rPr>
          <w:rFonts w:ascii="Arial" w:cs="Arial" w:eastAsia="Arial" w:hAnsi="Arial"/>
          <w:sz w:val="18"/>
          <w:szCs w:val="18"/>
          <w:color w:val="auto"/>
        </w:rPr>
      </w:pPr>
    </w:p>
    <w:p>
      <w:pPr>
        <w:jc w:val="both"/>
        <w:ind w:left="320" w:hanging="313"/>
        <w:spacing w:after="0" w:line="268" w:lineRule="auto"/>
        <w:tabs>
          <w:tab w:leader="none" w:pos="4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the year ended December 31, 2022, no significant potential common units were excluded from the computation of diluted earnings per common unit because their inclusion would have been anti-dilutive. For the year ended December 31, 2021, 10,160 potential common units were excluded from the computation of diluted earnings per common unit because their inclusion would have been anti-dilutive. For the year ended December 31, 2020, no potential common units were included in the computation of diluted earnings per common unit because their inclusion would have been anti-dilutive as a result of recording a net loss attributable to the common unitholders for the period.</w:t>
      </w:r>
    </w:p>
    <w:p>
      <w:pPr>
        <w:spacing w:after="0" w:line="2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39" w:lineRule="exact"/>
        <w:rPr>
          <w:sz w:val="20"/>
          <w:szCs w:val="20"/>
          <w:color w:val="auto"/>
        </w:rPr>
      </w:pPr>
    </w:p>
    <w:p>
      <w:pPr>
        <w:jc w:val="both"/>
        <w:ind w:firstLine="643"/>
        <w:spacing w:after="0" w:line="235" w:lineRule="auto"/>
        <w:rPr>
          <w:sz w:val="20"/>
          <w:szCs w:val="20"/>
          <w:color w:val="auto"/>
        </w:rPr>
      </w:pPr>
      <w:r>
        <w:rPr>
          <w:rFonts w:ascii="Arial" w:cs="Arial" w:eastAsia="Arial" w:hAnsi="Arial"/>
          <w:sz w:val="18"/>
          <w:szCs w:val="18"/>
          <w:color w:val="auto"/>
        </w:rPr>
        <w:t>The Partnership’s total income tax benefit and expense for the years ended December 31, 2022 and 2021, respectively, differed from amounts computed by applying the United States federal statutory tax rate to pre-tax income for the period primarily due to net income attributable to the non-controlling interest and the impact of a reduction to its valuation allowance in 2022 and maintaining a valuation allowance on the Partnership’s deferred tax assets in 2021. For the year ended December 31, 2020, total income tax expense differed from amounts computed by applying the United States federal statutory rate to pre-tax loss for the period primarily due to net loss attributable to the non-controlling interest and the impact of recording a valuation allowance on the Partnership’s deferred tax assets.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components of the provision for income taxes and effective tax rates for the years ended December 31, 2022, 2021 and 2020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60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193"/>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provision (benefit):</w:t>
            </w: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7"/>
        </w:trPr>
        <w:tc>
          <w:tcPr>
            <w:tcW w:w="6020" w:type="dxa"/>
            <w:vAlign w:val="bottom"/>
          </w:tcPr>
          <w:p>
            <w:pPr>
              <w:ind w:left="22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15,929</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8"/>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1"/>
        </w:trPr>
        <w:tc>
          <w:tcPr>
            <w:tcW w:w="6020" w:type="dxa"/>
            <w:vAlign w:val="bottom"/>
          </w:tcPr>
          <w:p>
            <w:pPr>
              <w:ind w:left="660"/>
              <w:spacing w:after="0"/>
              <w:rPr>
                <w:sz w:val="20"/>
                <w:szCs w:val="20"/>
                <w:color w:val="auto"/>
              </w:rPr>
            </w:pPr>
            <w:r>
              <w:rPr>
                <w:rFonts w:ascii="Arial" w:cs="Arial" w:eastAsia="Arial" w:hAnsi="Arial"/>
                <w:sz w:val="18"/>
                <w:szCs w:val="18"/>
                <w:color w:val="auto"/>
              </w:rPr>
              <w:t>Total current income tax provision (benefit)</w:t>
            </w:r>
          </w:p>
        </w:tc>
        <w:tc>
          <w:tcPr>
            <w:tcW w:w="4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17,003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1,521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8"/>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provision (benefit):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6020" w:type="dxa"/>
            <w:vAlign w:val="bottom"/>
          </w:tcPr>
          <w:p>
            <w:pPr>
              <w:ind w:left="220"/>
              <w:spacing w:after="0"/>
              <w:rPr>
                <w:sz w:val="20"/>
                <w:szCs w:val="20"/>
                <w:color w:val="auto"/>
              </w:rPr>
            </w:pPr>
            <w:r>
              <w:rPr>
                <w:rFonts w:ascii="Arial" w:cs="Arial" w:eastAsia="Arial" w:hAnsi="Arial"/>
                <w:sz w:val="18"/>
                <w:szCs w:val="18"/>
                <w:color w:val="auto"/>
              </w:rPr>
              <w:t>Federal</w:t>
            </w:r>
          </w:p>
        </w:tc>
        <w:tc>
          <w:tcPr>
            <w:tcW w:w="400" w:type="dxa"/>
            <w:vAlign w:val="bottom"/>
          </w:tcPr>
          <w:p>
            <w:pPr>
              <w:spacing w:after="0"/>
              <w:rPr>
                <w:sz w:val="19"/>
                <w:szCs w:val="19"/>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(49,656)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142,466</w:t>
            </w:r>
          </w:p>
        </w:tc>
      </w:tr>
      <w:tr>
        <w:trPr>
          <w:trHeight w:val="228"/>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1"/>
        </w:trPr>
        <w:tc>
          <w:tcPr>
            <w:tcW w:w="60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deferred income tax provision (benefit)</w:t>
            </w: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(49,656)</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142,466</w:t>
            </w:r>
          </w:p>
        </w:tc>
      </w:tr>
      <w:tr>
        <w:trPr>
          <w:trHeight w:val="246"/>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(benefit) from income taxes</w:t>
            </w: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(32,653)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1,521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142,466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8"/>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statutory federal income tax amount to the recorded expense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6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8"/>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93"/>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5"/>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 at the federal statutory rate (21%)</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130,694</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w:t>
            </w:r>
          </w:p>
        </w:tc>
      </w:tr>
      <w:tr>
        <w:trPr>
          <w:trHeight w:val="227"/>
        </w:trPr>
        <w:tc>
          <w:tcPr>
            <w:tcW w:w="6300" w:type="dxa"/>
            <w:vAlign w:val="bottom"/>
          </w:tcPr>
          <w:p>
            <w:pPr>
              <w:ind w:left="20"/>
              <w:spacing w:after="0"/>
              <w:rPr>
                <w:sz w:val="20"/>
                <w:szCs w:val="20"/>
                <w:color w:val="auto"/>
              </w:rPr>
            </w:pPr>
            <w:r>
              <w:rPr>
                <w:rFonts w:ascii="Arial" w:cs="Arial" w:eastAsia="Arial" w:hAnsi="Arial"/>
                <w:sz w:val="18"/>
                <w:szCs w:val="18"/>
                <w:color w:val="auto"/>
              </w:rPr>
              <w:t>Impact of nontaxable noncontrolling interest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(105,699)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(41,735)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8"/>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 expense (benefit), net of federal tax effect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30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152,898</w:t>
            </w:r>
          </w:p>
        </w:tc>
      </w:tr>
      <w:tr>
        <w:trPr>
          <w:trHeight w:val="228"/>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1"/>
        </w:trPr>
        <w:tc>
          <w:tcPr>
            <w:tcW w:w="630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142,466</w:t>
            </w:r>
          </w:p>
        </w:tc>
      </w:tr>
      <w:tr>
        <w:trPr>
          <w:trHeight w:val="20"/>
        </w:trPr>
        <w:tc>
          <w:tcPr>
            <w:tcW w:w="6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Partnership’s deferred tax assets and liabilities as of December 31, 2022 and 2021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8"/>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193"/>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right"/>
              <w:ind w:right="51"/>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6"/>
                <w:szCs w:val="16"/>
                <w:color w:val="auto"/>
              </w:rPr>
            </w:pPr>
          </w:p>
        </w:tc>
      </w:tr>
      <w:tr>
        <w:trPr>
          <w:trHeight w:val="235"/>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7"/>
        </w:trPr>
        <w:tc>
          <w:tcPr>
            <w:tcW w:w="7980" w:type="dxa"/>
            <w:vAlign w:val="bottom"/>
          </w:tcPr>
          <w:p>
            <w:pPr>
              <w:ind w:left="540"/>
              <w:spacing w:after="0"/>
              <w:rPr>
                <w:sz w:val="20"/>
                <w:szCs w:val="20"/>
                <w:color w:val="auto"/>
              </w:rPr>
            </w:pPr>
            <w:r>
              <w:rPr>
                <w:rFonts w:ascii="Arial" w:cs="Arial" w:eastAsia="Arial" w:hAnsi="Arial"/>
                <w:sz w:val="18"/>
                <w:szCs w:val="18"/>
                <w:color w:val="auto"/>
              </w:rPr>
              <w:t>Net operating loss and capital loss carryforwards</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6,014</w:t>
            </w:r>
          </w:p>
        </w:tc>
      </w:tr>
      <w:tr>
        <w:trPr>
          <w:trHeight w:val="228"/>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Investment in the Operating Company</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163,065</w:t>
            </w:r>
          </w:p>
        </w:tc>
      </w:tr>
      <w:tr>
        <w:trPr>
          <w:trHeight w:val="221"/>
        </w:trPr>
        <w:tc>
          <w:tcPr>
            <w:tcW w:w="7980" w:type="dxa"/>
            <w:vAlign w:val="bottom"/>
          </w:tcPr>
          <w:p>
            <w:pPr>
              <w:ind w:left="780"/>
              <w:spacing w:after="0"/>
              <w:rPr>
                <w:sz w:val="20"/>
                <w:szCs w:val="20"/>
                <w:color w:val="auto"/>
              </w:rPr>
            </w:pPr>
            <w:r>
              <w:rPr>
                <w:rFonts w:ascii="Arial" w:cs="Arial" w:eastAsia="Arial" w:hAnsi="Arial"/>
                <w:sz w:val="18"/>
                <w:szCs w:val="18"/>
                <w:color w:val="auto"/>
              </w:rPr>
              <w:t>Total deferred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148,073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169,079</w:t>
            </w:r>
          </w:p>
        </w:tc>
      </w:tr>
      <w:tr>
        <w:trPr>
          <w:trHeight w:val="228"/>
        </w:trPr>
        <w:tc>
          <w:tcPr>
            <w:tcW w:w="79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(169,079)</w:t>
            </w:r>
          </w:p>
        </w:tc>
      </w:tr>
      <w:tr>
        <w:trPr>
          <w:trHeight w:val="221"/>
        </w:trPr>
        <w:tc>
          <w:tcPr>
            <w:tcW w:w="7980" w:type="dxa"/>
            <w:vAlign w:val="bottom"/>
          </w:tcPr>
          <w:p>
            <w:pPr>
              <w:ind w:left="980"/>
              <w:spacing w:after="0"/>
              <w:rPr>
                <w:sz w:val="20"/>
                <w:szCs w:val="20"/>
                <w:color w:val="auto"/>
              </w:rPr>
            </w:pPr>
            <w:r>
              <w:rPr>
                <w:rFonts w:ascii="Arial" w:cs="Arial" w:eastAsia="Arial" w:hAnsi="Arial"/>
                <w:sz w:val="18"/>
                <w:szCs w:val="18"/>
                <w:color w:val="auto"/>
              </w:rPr>
              <w:t>Net deferred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49,656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3"/>
        </w:trPr>
        <w:tc>
          <w:tcPr>
            <w:tcW w:w="798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Net deferred tax assets (liabilities)</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At December 31, 2022, the Partnership has net deferred tax assets of approximately $49.7 million, including federal capital loss carryforwards expiring in 2026-2027 of approximately $0.1 million, and immaterial state operating loss carryforwards. Deferred taxes are provided on the difference between the Partnership’s basis for financial accounting purposes and basis for federal income tax purposes in its investment in the Operating Company.</w:t>
      </w:r>
    </w:p>
    <w:p>
      <w:pPr>
        <w:spacing w:after="0" w:line="178" w:lineRule="exact"/>
        <w:rPr>
          <w:sz w:val="20"/>
          <w:szCs w:val="20"/>
          <w:color w:val="auto"/>
        </w:rPr>
      </w:pPr>
    </w:p>
    <w:p>
      <w:pPr>
        <w:jc w:val="both"/>
        <w:ind w:right="20" w:firstLine="643"/>
        <w:spacing w:after="0" w:line="335" w:lineRule="auto"/>
        <w:rPr>
          <w:sz w:val="20"/>
          <w:szCs w:val="20"/>
          <w:color w:val="auto"/>
        </w:rPr>
      </w:pPr>
      <w:r>
        <w:rPr>
          <w:rFonts w:ascii="Arial" w:cs="Arial" w:eastAsia="Arial" w:hAnsi="Arial"/>
          <w:sz w:val="16"/>
          <w:szCs w:val="16"/>
          <w:color w:val="auto"/>
        </w:rPr>
        <w:t>During the year ended December 31, 2022, the Partnership recognized discrete income tax benefit of $49.7 million related to a partial release of its beginning-of-the-year valuation allowance, based on a change in judgment about the realizability of its deferred tax assets in future years.</w:t>
      </w:r>
    </w:p>
    <w:p>
      <w:pPr>
        <w:spacing w:after="0" w:line="142"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At December 31, 2021, the Partnership had a full valuation allowance against its deferred tax assets, based on its assessment of all available evidence, both positive and negative, supporting realizability of the Partnership’s deferred tax assets.</w:t>
      </w:r>
    </w:p>
    <w:p>
      <w:pPr>
        <w:spacing w:after="0" w:line="188" w:lineRule="exact"/>
        <w:rPr>
          <w:sz w:val="20"/>
          <w:szCs w:val="20"/>
          <w:color w:val="auto"/>
        </w:rPr>
      </w:pPr>
    </w:p>
    <w:p>
      <w:pPr>
        <w:jc w:val="both"/>
        <w:ind w:firstLine="643"/>
        <w:spacing w:after="0" w:line="280" w:lineRule="auto"/>
        <w:rPr>
          <w:sz w:val="20"/>
          <w:szCs w:val="20"/>
          <w:color w:val="auto"/>
        </w:rPr>
      </w:pPr>
      <w:r>
        <w:rPr>
          <w:rFonts w:ascii="Arial" w:cs="Arial" w:eastAsia="Arial" w:hAnsi="Arial"/>
          <w:sz w:val="16"/>
          <w:szCs w:val="16"/>
          <w:color w:val="auto"/>
        </w:rPr>
        <w:t>The Partnership principally operates in the state of Texas. For the years ended December 31, 2022 and 2021, the Partnership recognized $1.1 million and $0.3 million, respectively, in state income tax expense primarily for its share of Texas margin tax attributable to the Partnership’s results which are included in a combined tax return filed by Diamondback. At December 31, 2022, the Partnership did not have any significant uncertain tax positions requiring recognition in the financial statements. The Partnership’s 2018 through 2022 tax years remain open to examination by tax authorities.</w:t>
      </w:r>
    </w:p>
    <w:p>
      <w:pPr>
        <w:spacing w:after="0" w:line="186"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6"/>
          <w:szCs w:val="16"/>
          <w:color w:val="auto"/>
        </w:rPr>
        <w:t>The CHIPS and Science Act of 2022 (“CHIPS”) was enacted on August 9, 2022, and the Inflation Reduction Act of 2022 (“IRA”) was enacted on August 16, 2022, which imposes a 15% corporate alternative minimum tax on the “adjusted financial statement income” of certain large corporations (generally, corporations reporting at least $1 billion average adjusted pre-tax net income on their consolidated financial statements) as well as an excise tax of 1% on the fair market value of certain public company stock/unit repurchases for tax years beginning after December 31, 2022, and included several other</w:t>
      </w:r>
    </w:p>
    <w:p>
      <w:pPr>
        <w:jc w:val="both"/>
        <w:spacing w:after="0" w:line="256" w:lineRule="auto"/>
        <w:rPr>
          <w:sz w:val="20"/>
          <w:szCs w:val="20"/>
          <w:color w:val="auto"/>
        </w:rPr>
      </w:pPr>
      <w:r>
        <w:rPr>
          <w:rFonts w:ascii="Arial" w:cs="Arial" w:eastAsia="Arial" w:hAnsi="Arial"/>
          <w:sz w:val="18"/>
          <w:szCs w:val="18"/>
          <w:color w:val="auto"/>
        </w:rPr>
        <w:t>provisions applicable to U.S. income taxes for corporations. The Partnership considered the impact of this legislation in the period of enactment and concluded there was not a material impact to the Partnership’s current or deferred income tax balances.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DERIVATIVES</w:t>
      </w:r>
    </w:p>
    <w:p>
      <w:pPr>
        <w:spacing w:after="0" w:line="252" w:lineRule="exact"/>
        <w:rPr>
          <w:sz w:val="20"/>
          <w:szCs w:val="20"/>
          <w:color w:val="auto"/>
        </w:rPr>
      </w:pPr>
    </w:p>
    <w:p>
      <w:pPr>
        <w:jc w:val="both"/>
        <w:ind w:firstLine="643"/>
        <w:spacing w:after="0" w:line="252" w:lineRule="auto"/>
        <w:rPr>
          <w:sz w:val="20"/>
          <w:szCs w:val="20"/>
          <w:color w:val="auto"/>
        </w:rPr>
      </w:pPr>
      <w:r>
        <w:rPr>
          <w:rFonts w:ascii="Arial" w:cs="Arial" w:eastAsia="Arial" w:hAnsi="Arial"/>
          <w:sz w:val="18"/>
          <w:szCs w:val="18"/>
          <w:color w:val="auto"/>
        </w:rPr>
        <w:t>During 2022, the Partnership used fixed price swap contracts, fixed price basis swap contracts and costless collars with corresponding put and call options to reduce price volatility associated with certain of its royalty income. At December 31, 2022, the Partnership has puts and fixed price basis swap contracts outstanding.</w:t>
      </w:r>
    </w:p>
    <w:p>
      <w:pPr>
        <w:spacing w:after="0" w:line="205"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 Partnership’s put contracts for oil are based upon reported settlement prices based on New York Mercantile Exchange West Texas Intermediate (“Cushing WTI”). The Partnership’s fixed price basis swaps for oil are for the spread between the Cushing WTI crude oil price and the Midland WTI crude oil price. The Partnership’s fixed price basis swaps for natural gas are for the spread between the Waha Hub natural gas price and the Henry Hub natural gas price. The weighted average differential represents the amount of reduction to the Cushing WTI oil price and the Waha Hub natural gas price for the notional volumes covered by the basis swap contracts.</w:t>
      </w:r>
    </w:p>
    <w:p>
      <w:pPr>
        <w:spacing w:after="0" w:line="217" w:lineRule="exact"/>
        <w:rPr>
          <w:sz w:val="20"/>
          <w:szCs w:val="20"/>
          <w:color w:val="auto"/>
        </w:rPr>
      </w:pPr>
    </w:p>
    <w:p>
      <w:pPr>
        <w:jc w:val="both"/>
        <w:ind w:firstLine="643"/>
        <w:spacing w:after="0" w:line="243" w:lineRule="auto"/>
        <w:rPr>
          <w:sz w:val="20"/>
          <w:szCs w:val="20"/>
          <w:color w:val="auto"/>
        </w:rPr>
      </w:pPr>
      <w:r>
        <w:rPr>
          <w:rFonts w:ascii="Arial" w:cs="Arial" w:eastAsia="Arial" w:hAnsi="Arial"/>
          <w:sz w:val="18"/>
          <w:szCs w:val="18"/>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amended and restated credit agreement, which is secured by substantially all of the assets of the guarantor subsidiaries; therefore, the Partnership is not required to post any collateral. The Partnership’s counterparties have been determined to have an acceptable credit risk; therefore, the Partnership does not require collateral from its counterparties.</w:t>
      </w:r>
    </w:p>
    <w:p>
      <w:pPr>
        <w:spacing w:after="0" w:line="215"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8"/>
          <w:szCs w:val="18"/>
          <w:color w:val="auto"/>
        </w:rPr>
        <w:t>As of December 31, 2022, the Partnership had the following outstanding derivative contracts. When aggregating multiple contracts, the weighted average contract price is disclosed.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380" w:type="dxa"/>
            <w:vAlign w:val="bottom"/>
            <w:gridSpan w:val="3"/>
          </w:tcPr>
          <w:p>
            <w:pPr>
              <w:ind w:left="940"/>
              <w:spacing w:after="0"/>
              <w:rPr>
                <w:sz w:val="20"/>
                <w:szCs w:val="20"/>
                <w:color w:val="auto"/>
              </w:rPr>
            </w:pPr>
            <w:r>
              <w:rPr>
                <w:rFonts w:ascii="Arial" w:cs="Arial" w:eastAsia="Arial" w:hAnsi="Arial"/>
                <w:sz w:val="14"/>
                <w:szCs w:val="14"/>
                <w:b w:val="1"/>
                <w:bCs w:val="1"/>
                <w:color w:val="auto"/>
              </w:rPr>
              <w:t>Swaps</w:t>
            </w:r>
          </w:p>
        </w:tc>
        <w:tc>
          <w:tcPr>
            <w:tcW w:w="2600" w:type="dxa"/>
            <w:vAlign w:val="bottom"/>
            <w:gridSpan w:val="3"/>
          </w:tcPr>
          <w:p>
            <w:pPr>
              <w:ind w:left="1020"/>
              <w:spacing w:after="0"/>
              <w:rPr>
                <w:sz w:val="20"/>
                <w:szCs w:val="20"/>
                <w:color w:val="auto"/>
              </w:rPr>
            </w:pPr>
            <w:r>
              <w:rPr>
                <w:rFonts w:ascii="Arial" w:cs="Arial" w:eastAsia="Arial" w:hAnsi="Arial"/>
                <w:sz w:val="14"/>
                <w:szCs w:val="14"/>
                <w:b w:val="1"/>
                <w:bCs w:val="1"/>
                <w:color w:val="auto"/>
              </w:rPr>
              <w:t>Collars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Puts</w:t>
            </w:r>
          </w:p>
        </w:tc>
        <w:tc>
          <w:tcPr>
            <w:tcW w:w="0" w:type="dxa"/>
            <w:vAlign w:val="bottom"/>
          </w:tcPr>
          <w:p>
            <w:pPr>
              <w:spacing w:after="0"/>
              <w:rPr>
                <w:sz w:val="1"/>
                <w:szCs w:val="1"/>
                <w:color w:val="auto"/>
              </w:rPr>
            </w:pPr>
          </w:p>
        </w:tc>
      </w:tr>
      <w:tr>
        <w:trPr>
          <w:trHeight w:val="25"/>
        </w:trPr>
        <w:tc>
          <w:tcPr>
            <w:tcW w:w="1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Settlement</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Type of</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Bbls/Mcf Per</w:t>
            </w:r>
          </w:p>
        </w:tc>
        <w:tc>
          <w:tcPr>
            <w:tcW w:w="124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10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Settlement Month</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Index</w:t>
            </w:r>
          </w:p>
        </w:tc>
        <w:tc>
          <w:tcPr>
            <w:tcW w:w="1240" w:type="dxa"/>
            <w:vAlign w:val="bottom"/>
            <w:vMerge w:val="continue"/>
          </w:tcPr>
          <w:p>
            <w:pPr>
              <w:spacing w:after="0"/>
              <w:rPr>
                <w:sz w:val="12"/>
                <w:szCs w:val="12"/>
                <w:color w:val="auto"/>
              </w:rPr>
            </w:pPr>
          </w:p>
        </w:tc>
        <w:tc>
          <w:tcPr>
            <w:tcW w:w="11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9"/>
              </w:rPr>
              <w:t>Average Fixed</w:t>
            </w:r>
          </w:p>
        </w:tc>
        <w:tc>
          <w:tcPr>
            <w:tcW w:w="126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Strike Price</w:t>
            </w:r>
          </w:p>
        </w:tc>
        <w:tc>
          <w:tcPr>
            <w:tcW w:w="0" w:type="dxa"/>
            <w:vAlign w:val="bottom"/>
          </w:tcPr>
          <w:p>
            <w:pPr>
              <w:spacing w:after="0"/>
              <w:rPr>
                <w:sz w:val="1"/>
                <w:szCs w:val="1"/>
                <w:color w:val="auto"/>
              </w:rPr>
            </w:pPr>
          </w:p>
        </w:tc>
      </w:tr>
      <w:tr>
        <w:trPr>
          <w:trHeight w:val="195"/>
        </w:trPr>
        <w:tc>
          <w:tcPr>
            <w:tcW w:w="1280" w:type="dxa"/>
            <w:vAlign w:val="bottom"/>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Day</w:t>
            </w:r>
          </w:p>
        </w:tc>
        <w:tc>
          <w:tcPr>
            <w:tcW w:w="1240" w:type="dxa"/>
            <w:vAlign w:val="bottom"/>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Differential</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Floor Price</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Ceiling Price</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rPr>
              <w:t>OIL</w:t>
            </w:r>
          </w:p>
        </w:tc>
        <w:tc>
          <w:tcPr>
            <w:tcW w:w="8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80" w:type="dxa"/>
            <w:vAlign w:val="bottom"/>
          </w:tcPr>
          <w:p>
            <w:pPr>
              <w:jc w:val="center"/>
              <w:spacing w:after="0"/>
              <w:rPr>
                <w:sz w:val="20"/>
                <w:szCs w:val="20"/>
                <w:color w:val="auto"/>
              </w:rPr>
            </w:pPr>
            <w:r>
              <w:rPr>
                <w:rFonts w:ascii="Arial" w:cs="Arial" w:eastAsia="Arial" w:hAnsi="Arial"/>
                <w:sz w:val="18"/>
                <w:szCs w:val="18"/>
                <w:color w:val="auto"/>
                <w:w w:val="88"/>
              </w:rPr>
              <w:t>Jan. - Mar.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60" w:type="dxa"/>
            <w:vAlign w:val="bottom"/>
          </w:tcPr>
          <w:p>
            <w:pPr>
              <w:jc w:val="center"/>
              <w:spacing w:after="0" w:line="228" w:lineRule="exact"/>
              <w:rPr>
                <w:sz w:val="20"/>
                <w:szCs w:val="20"/>
                <w:color w:val="auto"/>
              </w:rPr>
            </w:pPr>
            <w:r>
              <w:rPr>
                <w:rFonts w:ascii="Arial" w:cs="Arial" w:eastAsia="Arial" w:hAnsi="Arial"/>
                <w:sz w:val="18"/>
                <w:szCs w:val="18"/>
                <w:color w:val="auto"/>
                <w:w w:val="80"/>
              </w:rPr>
              <w:t>Puts</w:t>
            </w:r>
            <w:r>
              <w:rPr>
                <w:rFonts w:ascii="Arial" w:cs="Arial" w:eastAsia="Arial" w:hAnsi="Arial"/>
                <w:sz w:val="23"/>
                <w:szCs w:val="23"/>
                <w:color w:val="auto"/>
                <w:w w:val="80"/>
                <w:vertAlign w:val="superscript"/>
              </w:rPr>
              <w:t>(1)</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12,000</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WTI Cushing</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$54.50</w:t>
            </w:r>
          </w:p>
        </w:tc>
        <w:tc>
          <w:tcPr>
            <w:tcW w:w="0" w:type="dxa"/>
            <w:vAlign w:val="bottom"/>
          </w:tcPr>
          <w:p>
            <w:pPr>
              <w:spacing w:after="0"/>
              <w:rPr>
                <w:sz w:val="1"/>
                <w:szCs w:val="1"/>
                <w:color w:val="auto"/>
              </w:rPr>
            </w:pPr>
          </w:p>
        </w:tc>
      </w:tr>
      <w:tr>
        <w:trPr>
          <w:trHeight w:val="228"/>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 - Jun.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60" w:type="dxa"/>
            <w:vAlign w:val="bottom"/>
            <w:shd w:val="clear" w:color="auto" w:fill="CCEEFF"/>
          </w:tcPr>
          <w:p>
            <w:pPr>
              <w:jc w:val="center"/>
              <w:spacing w:after="0" w:line="228" w:lineRule="exact"/>
              <w:rPr>
                <w:sz w:val="20"/>
                <w:szCs w:val="20"/>
                <w:color w:val="auto"/>
              </w:rPr>
            </w:pPr>
            <w:r>
              <w:rPr>
                <w:rFonts w:ascii="Arial" w:cs="Arial" w:eastAsia="Arial" w:hAnsi="Arial"/>
                <w:sz w:val="18"/>
                <w:szCs w:val="18"/>
                <w:color w:val="auto"/>
                <w:w w:val="80"/>
              </w:rPr>
              <w:t>Puts</w:t>
            </w:r>
            <w:r>
              <w:rPr>
                <w:rFonts w:ascii="Arial" w:cs="Arial" w:eastAsia="Arial" w:hAnsi="Arial"/>
                <w:sz w:val="23"/>
                <w:szCs w:val="23"/>
                <w:color w:val="auto"/>
                <w:w w:val="80"/>
                <w:vertAlign w:val="superscript"/>
              </w:rPr>
              <w:t>(2)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$55.00</w:t>
            </w: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jc w:val="center"/>
              <w:spacing w:after="0" w:line="174" w:lineRule="exact"/>
              <w:rPr>
                <w:sz w:val="20"/>
                <w:szCs w:val="20"/>
                <w:color w:val="auto"/>
              </w:rPr>
            </w:pPr>
            <w:r>
              <w:rPr>
                <w:rFonts w:ascii="Arial" w:cs="Arial" w:eastAsia="Arial" w:hAnsi="Arial"/>
                <w:sz w:val="18"/>
                <w:szCs w:val="18"/>
                <w:color w:val="auto"/>
                <w:w w:val="96"/>
              </w:rPr>
              <w:t>Argus WTI</w:t>
            </w: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Jan. - Dec.</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Basis Swaps</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Midland</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8"/>
              </w:rPr>
              <w:t>NATURAL GAS</w:t>
            </w: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80" w:type="dxa"/>
            <w:vAlign w:val="bottom"/>
          </w:tcPr>
          <w:p>
            <w:pPr>
              <w:jc w:val="center"/>
              <w:spacing w:after="0"/>
              <w:rPr>
                <w:sz w:val="20"/>
                <w:szCs w:val="20"/>
                <w:color w:val="auto"/>
              </w:rPr>
            </w:pPr>
            <w:r>
              <w:rPr>
                <w:rFonts w:ascii="Arial" w:cs="Arial" w:eastAsia="Arial" w:hAnsi="Arial"/>
                <w:sz w:val="18"/>
                <w:szCs w:val="18"/>
                <w:color w:val="auto"/>
                <w:w w:val="87"/>
              </w:rPr>
              <w:t>Jan. - Dec.</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Basis Swaps</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30,000</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Waha Hub</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$(1.33)</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8"/>
        </w:trPr>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 Dec.</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Basis Swaps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Waha Hub</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$(1.23)</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60" w:hanging="253"/>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a deferred premium at a weighted average price of $1.82/Bbl.</w:t>
      </w:r>
    </w:p>
    <w:p>
      <w:pPr>
        <w:spacing w:after="0" w:line="20" w:lineRule="exact"/>
        <w:rPr>
          <w:rFonts w:ascii="Arial" w:cs="Arial" w:eastAsia="Arial" w:hAnsi="Arial"/>
          <w:sz w:val="18"/>
          <w:szCs w:val="18"/>
          <w:color w:val="auto"/>
        </w:rPr>
      </w:pPr>
    </w:p>
    <w:p>
      <w:pPr>
        <w:ind w:left="260" w:hanging="253"/>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a deferred premium at a weighted average price of $1.79/Bbl.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48" w:lineRule="exact"/>
        <w:rPr>
          <w:sz w:val="20"/>
          <w:szCs w:val="20"/>
          <w:color w:val="auto"/>
        </w:rPr>
      </w:pPr>
    </w:p>
    <w:p>
      <w:pPr>
        <w:jc w:val="both"/>
        <w:ind w:firstLine="643"/>
        <w:spacing w:after="0" w:line="307" w:lineRule="auto"/>
        <w:rPr>
          <w:sz w:val="20"/>
          <w:szCs w:val="20"/>
          <w:color w:val="auto"/>
        </w:rPr>
      </w:pPr>
      <w:r>
        <w:rPr>
          <w:rFonts w:ascii="Arial" w:cs="Arial" w:eastAsia="Arial" w:hAnsi="Arial"/>
          <w:sz w:val="16"/>
          <w:szCs w:val="16"/>
          <w:color w:val="auto"/>
        </w:rPr>
        <w:t>The fair value of swaps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r>
        <w:rPr>
          <w:rFonts w:ascii="Arial" w:cs="Arial" w:eastAsia="Arial" w:hAnsi="Arial"/>
          <w:sz w:val="16"/>
          <w:szCs w:val="16"/>
          <w:u w:val="single" w:color="auto"/>
          <w:color w:val="0000FF"/>
        </w:rPr>
        <w:t>Fair Value Measurements</w:t>
      </w:r>
      <w:r>
        <w:rPr>
          <w:rFonts w:ascii="Arial" w:cs="Arial" w:eastAsia="Arial" w:hAnsi="Arial"/>
          <w:sz w:val="16"/>
          <w:szCs w:val="16"/>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following table summarizes the gains and losses on derivative instruments included in the consolidated statements of operations and the net cash receipts (payments) on derivatives for the periods presented: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193"/>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5"/>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5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(63,591)</w:t>
            </w:r>
          </w:p>
        </w:tc>
      </w:tr>
      <w:tr>
        <w:trPr>
          <w:trHeight w:val="302"/>
        </w:trPr>
        <w:tc>
          <w:tcPr>
            <w:tcW w:w="670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r>
              <w:rPr>
                <w:rFonts w:ascii="Arial" w:cs="Arial" w:eastAsia="Arial" w:hAnsi="Arial"/>
                <w:sz w:val="23"/>
                <w:szCs w:val="23"/>
                <w:color w:val="auto"/>
                <w:vertAlign w:val="superscript"/>
              </w:rPr>
              <w:t>(1)</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(31,319)</w:t>
            </w:r>
          </w:p>
        </w:tc>
        <w:tc>
          <w:tcPr>
            <w:tcW w:w="560" w:type="dxa"/>
            <w:vAlign w:val="bottom"/>
          </w:tcPr>
          <w:p>
            <w:pPr>
              <w:jc w:val="right"/>
              <w:ind w:right="29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(92,585)</w:t>
            </w:r>
          </w:p>
        </w:tc>
        <w:tc>
          <w:tcPr>
            <w:tcW w:w="120" w:type="dxa"/>
            <w:vAlign w:val="bottom"/>
          </w:tcPr>
          <w:p>
            <w:pPr>
              <w:spacing w:after="0"/>
              <w:rPr>
                <w:sz w:val="24"/>
                <w:szCs w:val="24"/>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(36,998)</w:t>
            </w:r>
          </w:p>
        </w:tc>
      </w:tr>
    </w:tbl>
    <w:p>
      <w:pPr>
        <w:spacing w:after="0"/>
        <w:rPr>
          <w:sz w:val="20"/>
          <w:szCs w:val="20"/>
          <w:color w:val="auto"/>
        </w:rPr>
      </w:pPr>
      <w:r>
        <w:rPr>
          <w:rFonts w:ascii="Arial" w:cs="Arial" w:eastAsia="Arial" w:hAnsi="Arial"/>
          <w:sz w:val="17"/>
          <w:szCs w:val="17"/>
          <w:color w:val="auto"/>
        </w:rPr>
        <w:t>(1) The year ended December 31, 2022 includes cash paid on commodity contracts terminated prior to their contractual maturity of $6.6 million.</w:t>
      </w:r>
    </w:p>
    <w:p>
      <w:pPr>
        <w:spacing w:after="0" w:line="24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FAIR VALUE MEASUREMENTS</w:t>
      </w:r>
    </w:p>
    <w:p>
      <w:pPr>
        <w:spacing w:after="0" w:line="252"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47" w:lineRule="exact"/>
        <w:rPr>
          <w:sz w:val="20"/>
          <w:szCs w:val="20"/>
          <w:color w:val="auto"/>
        </w:rPr>
      </w:pPr>
    </w:p>
    <w:p>
      <w:pPr>
        <w:ind w:left="640"/>
        <w:spacing w:after="0" w:line="271"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202" w:lineRule="exact"/>
        <w:rPr>
          <w:sz w:val="20"/>
          <w:szCs w:val="20"/>
          <w:color w:val="auto"/>
        </w:rPr>
      </w:pPr>
    </w:p>
    <w:p>
      <w:pPr>
        <w:ind w:left="640"/>
        <w:spacing w:after="0" w:line="271"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Certain assets and liabilities are reported at fair value on a recurring basis, including the Partnership’s derivative instruments. The fair values of the Partnership’s derivative contracts are measured internally using established commodity futures price strips for the underlying commodity provided by a reputable third party, the contracted notional volumes, and time to maturity. These valuations are Level 2 inputs.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3" w:lineRule="exact"/>
        <w:rPr>
          <w:sz w:val="20"/>
          <w:szCs w:val="20"/>
          <w:color w:val="auto"/>
        </w:rPr>
      </w:pPr>
    </w:p>
    <w:p>
      <w:pPr>
        <w:jc w:val="both"/>
        <w:ind w:firstLine="7"/>
        <w:spacing w:after="0" w:line="252" w:lineRule="auto"/>
        <w:tabs>
          <w:tab w:leader="none" w:pos="2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gross amounts of recognized derivative assets and liabilities, (iii) the amounts offset under master netting arrangements with counterparties, and (iv) the resulting net amounts presented in the Partnership’s consolidated balance sheets as of December 31, 2022 and December 31, 2021. The net amounts are classified as current or noncurrent based on their anticipated settlement dates.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3"/>
          </w:tcPr>
          <w:p>
            <w:pPr>
              <w:jc w:val="center"/>
              <w:ind w:left="560"/>
              <w:spacing w:after="0"/>
              <w:rPr>
                <w:sz w:val="20"/>
                <w:szCs w:val="20"/>
                <w:color w:val="auto"/>
              </w:rPr>
            </w:pPr>
            <w:r>
              <w:rPr>
                <w:rFonts w:ascii="Arial" w:cs="Arial" w:eastAsia="Arial" w:hAnsi="Arial"/>
                <w:sz w:val="14"/>
                <w:szCs w:val="14"/>
                <w:b w:val="1"/>
                <w:bCs w:val="1"/>
                <w:color w:val="auto"/>
                <w:w w:val="90"/>
              </w:rPr>
              <w:t>As of December 31, 2022</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2"/>
            <w:vMerge w:val="restart"/>
          </w:tcPr>
          <w:p>
            <w:pPr>
              <w:jc w:val="center"/>
              <w:ind w:left="740"/>
              <w:spacing w:after="0"/>
              <w:rPr>
                <w:sz w:val="20"/>
                <w:szCs w:val="20"/>
                <w:color w:val="auto"/>
              </w:rPr>
            </w:pPr>
            <w:r>
              <w:rPr>
                <w:rFonts w:ascii="Arial" w:cs="Arial" w:eastAsia="Arial" w:hAnsi="Arial"/>
                <w:sz w:val="14"/>
                <w:szCs w:val="14"/>
                <w:b w:val="1"/>
                <w:bCs w:val="1"/>
                <w:color w:val="auto"/>
                <w:w w:val="93"/>
              </w:rPr>
              <w:t>Total Gross Fair</w:t>
            </w: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Gross Amounts Offset</w:t>
            </w:r>
          </w:p>
        </w:tc>
        <w:tc>
          <w:tcPr>
            <w:tcW w:w="120" w:type="dxa"/>
            <w:vAlign w:val="bottom"/>
          </w:tcPr>
          <w:p>
            <w:pPr>
              <w:spacing w:after="0"/>
              <w:rPr>
                <w:sz w:val="11"/>
                <w:szCs w:val="11"/>
                <w:color w:val="auto"/>
              </w:rPr>
            </w:pPr>
          </w:p>
        </w:tc>
        <w:tc>
          <w:tcPr>
            <w:tcW w:w="1400" w:type="dxa"/>
            <w:vAlign w:val="bottom"/>
          </w:tcPr>
          <w:p>
            <w:pPr>
              <w:jc w:val="center"/>
              <w:ind w:right="40"/>
              <w:spacing w:after="0" w:line="131" w:lineRule="exact"/>
              <w:rPr>
                <w:sz w:val="20"/>
                <w:szCs w:val="20"/>
                <w:color w:val="auto"/>
              </w:rPr>
            </w:pPr>
            <w:r>
              <w:rPr>
                <w:rFonts w:ascii="Arial" w:cs="Arial" w:eastAsia="Arial" w:hAnsi="Arial"/>
                <w:sz w:val="14"/>
                <w:szCs w:val="14"/>
                <w:b w:val="1"/>
                <w:bCs w:val="1"/>
                <w:color w:val="auto"/>
                <w:w w:val="94"/>
              </w:rPr>
              <w:t>Net Fair Value</w:t>
            </w:r>
          </w:p>
        </w:tc>
        <w:tc>
          <w:tcPr>
            <w:tcW w:w="0" w:type="dxa"/>
            <w:vAlign w:val="bottom"/>
          </w:tcPr>
          <w:p>
            <w:pPr>
              <w:spacing w:after="0"/>
              <w:rPr>
                <w:sz w:val="1"/>
                <w:szCs w:val="1"/>
                <w:color w:val="auto"/>
              </w:rPr>
            </w:pPr>
          </w:p>
        </w:tc>
      </w:tr>
      <w:tr>
        <w:trPr>
          <w:trHeight w:val="143"/>
        </w:trPr>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7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40"/>
              <w:spacing w:after="0" w:line="143" w:lineRule="exact"/>
              <w:rPr>
                <w:sz w:val="20"/>
                <w:szCs w:val="20"/>
                <w:color w:val="auto"/>
              </w:rPr>
            </w:pPr>
            <w:r>
              <w:rPr>
                <w:rFonts w:ascii="Arial" w:cs="Arial" w:eastAsia="Arial" w:hAnsi="Arial"/>
                <w:sz w:val="14"/>
                <w:szCs w:val="14"/>
                <w:b w:val="1"/>
                <w:bCs w:val="1"/>
                <w:color w:val="auto"/>
                <w:w w:val="90"/>
              </w:rPr>
              <w:t>Presented in Balance</w:t>
            </w: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in Balance Sheet</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13,296</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13,296</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9,328</w:t>
            </w:r>
          </w:p>
        </w:tc>
        <w:tc>
          <w:tcPr>
            <w:tcW w:w="0" w:type="dxa"/>
            <w:vAlign w:val="bottom"/>
          </w:tcPr>
          <w:p>
            <w:pPr>
              <w:spacing w:after="0"/>
              <w:rPr>
                <w:sz w:val="1"/>
                <w:szCs w:val="1"/>
                <w:color w:val="auto"/>
              </w:rPr>
            </w:pPr>
          </w:p>
        </w:tc>
      </w:tr>
      <w:tr>
        <w:trPr>
          <w:trHeight w:val="227"/>
        </w:trPr>
        <w:tc>
          <w:tcPr>
            <w:tcW w:w="398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1,911</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3"/>
              </w:rPr>
              <w:t>1,911</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8"/>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540"/>
              <w:spacing w:after="0"/>
              <w:rPr>
                <w:sz w:val="20"/>
                <w:szCs w:val="20"/>
                <w:color w:val="auto"/>
              </w:rPr>
            </w:pPr>
            <w:r>
              <w:rPr>
                <w:rFonts w:ascii="Arial" w:cs="Arial" w:eastAsia="Arial" w:hAnsi="Arial"/>
                <w:sz w:val="18"/>
                <w:szCs w:val="18"/>
                <w:color w:val="auto"/>
              </w:rPr>
              <w:t>— $</w:t>
            </w:r>
          </w:p>
        </w:tc>
        <w:tc>
          <w:tcPr>
            <w:tcW w:w="780" w:type="dxa"/>
            <w:vAlign w:val="bottom"/>
          </w:tcPr>
          <w:p>
            <w:pPr>
              <w:ind w:left="320"/>
              <w:spacing w:after="0"/>
              <w:rPr>
                <w:sz w:val="20"/>
                <w:szCs w:val="20"/>
                <w:color w:val="auto"/>
              </w:rPr>
            </w:pPr>
            <w:r>
              <w:rPr>
                <w:rFonts w:ascii="Arial" w:cs="Arial" w:eastAsia="Arial" w:hAnsi="Arial"/>
                <w:sz w:val="18"/>
                <w:szCs w:val="18"/>
                <w:color w:val="auto"/>
                <w:w w:val="97"/>
              </w:rPr>
              <w:t>3,968</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rPr>
              <w:t>— $</w:t>
            </w:r>
          </w:p>
        </w:tc>
        <w:tc>
          <w:tcPr>
            <w:tcW w:w="1020" w:type="dxa"/>
            <w:vAlign w:val="bottom"/>
          </w:tcPr>
          <w:p>
            <w:pPr>
              <w:ind w:left="580"/>
              <w:spacing w:after="0"/>
              <w:rPr>
                <w:sz w:val="20"/>
                <w:szCs w:val="20"/>
                <w:color w:val="auto"/>
              </w:rPr>
            </w:pPr>
            <w:r>
              <w:rPr>
                <w:rFonts w:ascii="Arial" w:cs="Arial" w:eastAsia="Arial" w:hAnsi="Arial"/>
                <w:sz w:val="18"/>
                <w:szCs w:val="18"/>
                <w:color w:val="auto"/>
                <w:w w:val="93"/>
              </w:rPr>
              <w:t>3,968</w:t>
            </w:r>
          </w:p>
        </w:tc>
        <w:tc>
          <w:tcPr>
            <w:tcW w:w="2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540"/>
              <w:spacing w:after="0"/>
              <w:rPr>
                <w:sz w:val="20"/>
                <w:szCs w:val="20"/>
                <w:color w:val="auto"/>
              </w:rPr>
            </w:pPr>
            <w:r>
              <w:rPr>
                <w:rFonts w:ascii="Arial" w:cs="Arial" w:eastAsia="Arial" w:hAnsi="Arial"/>
                <w:sz w:val="18"/>
                <w:szCs w:val="18"/>
                <w:color w:val="auto"/>
              </w:rPr>
              <w:t>— $</w:t>
            </w:r>
          </w:p>
        </w:tc>
        <w:tc>
          <w:tcPr>
            <w:tcW w:w="780" w:type="dxa"/>
            <w:vAlign w:val="bottom"/>
          </w:tcPr>
          <w:p>
            <w:pPr>
              <w:ind w:left="320"/>
              <w:spacing w:after="0"/>
              <w:rPr>
                <w:sz w:val="20"/>
                <w:szCs w:val="20"/>
                <w:color w:val="auto"/>
              </w:rPr>
            </w:pPr>
            <w:r>
              <w:rPr>
                <w:rFonts w:ascii="Arial" w:cs="Arial" w:eastAsia="Arial" w:hAnsi="Arial"/>
                <w:sz w:val="18"/>
                <w:szCs w:val="18"/>
                <w:color w:val="auto"/>
                <w:w w:val="97"/>
              </w:rPr>
              <w:t>1,476</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60"/>
              <w:spacing w:after="0"/>
              <w:rPr>
                <w:sz w:val="20"/>
                <w:szCs w:val="20"/>
                <w:color w:val="auto"/>
              </w:rPr>
            </w:pPr>
            <w:r>
              <w:rPr>
                <w:rFonts w:ascii="Arial" w:cs="Arial" w:eastAsia="Arial" w:hAnsi="Arial"/>
                <w:sz w:val="18"/>
                <w:szCs w:val="18"/>
                <w:color w:val="auto"/>
              </w:rPr>
              <w:t>— $</w:t>
            </w:r>
          </w:p>
        </w:tc>
        <w:tc>
          <w:tcPr>
            <w:tcW w:w="1020" w:type="dxa"/>
            <w:vAlign w:val="bottom"/>
          </w:tcPr>
          <w:p>
            <w:pPr>
              <w:ind w:left="580"/>
              <w:spacing w:after="0"/>
              <w:rPr>
                <w:sz w:val="20"/>
                <w:szCs w:val="20"/>
                <w:color w:val="auto"/>
              </w:rPr>
            </w:pPr>
            <w:r>
              <w:rPr>
                <w:rFonts w:ascii="Arial" w:cs="Arial" w:eastAsia="Arial" w:hAnsi="Arial"/>
                <w:sz w:val="18"/>
                <w:szCs w:val="18"/>
                <w:color w:val="auto"/>
                <w:w w:val="93"/>
              </w:rPr>
              <w:t>1,476</w:t>
            </w:r>
          </w:p>
        </w:tc>
        <w:tc>
          <w:tcPr>
            <w:tcW w:w="2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538"/>
        </w:trPr>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3"/>
          </w:tcPr>
          <w:p>
            <w:pPr>
              <w:jc w:val="center"/>
              <w:ind w:left="560"/>
              <w:spacing w:after="0"/>
              <w:rPr>
                <w:sz w:val="20"/>
                <w:szCs w:val="20"/>
                <w:color w:val="auto"/>
              </w:rPr>
            </w:pPr>
            <w:r>
              <w:rPr>
                <w:rFonts w:ascii="Arial" w:cs="Arial" w:eastAsia="Arial" w:hAnsi="Arial"/>
                <w:sz w:val="14"/>
                <w:szCs w:val="14"/>
                <w:b w:val="1"/>
                <w:bCs w:val="1"/>
                <w:color w:val="auto"/>
                <w:w w:val="90"/>
              </w:rPr>
              <w:t>As of December 31, 2021</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2"/>
            <w:vMerge w:val="restart"/>
          </w:tcPr>
          <w:p>
            <w:pPr>
              <w:jc w:val="center"/>
              <w:ind w:left="780"/>
              <w:spacing w:after="0"/>
              <w:rPr>
                <w:sz w:val="20"/>
                <w:szCs w:val="20"/>
                <w:color w:val="auto"/>
              </w:rPr>
            </w:pPr>
            <w:r>
              <w:rPr>
                <w:rFonts w:ascii="Arial" w:cs="Arial" w:eastAsia="Arial" w:hAnsi="Arial"/>
                <w:sz w:val="14"/>
                <w:szCs w:val="14"/>
                <w:b w:val="1"/>
                <w:bCs w:val="1"/>
                <w:color w:val="auto"/>
                <w:w w:val="93"/>
              </w:rPr>
              <w:t>Total Gross Fair</w:t>
            </w: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Gross Amounts Offset</w:t>
            </w:r>
          </w:p>
        </w:tc>
        <w:tc>
          <w:tcPr>
            <w:tcW w:w="120" w:type="dxa"/>
            <w:vAlign w:val="bottom"/>
          </w:tcPr>
          <w:p>
            <w:pPr>
              <w:spacing w:after="0"/>
              <w:rPr>
                <w:sz w:val="11"/>
                <w:szCs w:val="11"/>
                <w:color w:val="auto"/>
              </w:rPr>
            </w:pPr>
          </w:p>
        </w:tc>
        <w:tc>
          <w:tcPr>
            <w:tcW w:w="1400" w:type="dxa"/>
            <w:vAlign w:val="bottom"/>
          </w:tcPr>
          <w:p>
            <w:pPr>
              <w:jc w:val="center"/>
              <w:ind w:right="40"/>
              <w:spacing w:after="0" w:line="127" w:lineRule="exact"/>
              <w:rPr>
                <w:sz w:val="20"/>
                <w:szCs w:val="20"/>
                <w:color w:val="auto"/>
              </w:rPr>
            </w:pPr>
            <w:r>
              <w:rPr>
                <w:rFonts w:ascii="Arial" w:cs="Arial" w:eastAsia="Arial" w:hAnsi="Arial"/>
                <w:sz w:val="14"/>
                <w:szCs w:val="14"/>
                <w:b w:val="1"/>
                <w:bCs w:val="1"/>
                <w:color w:val="auto"/>
                <w:w w:val="94"/>
              </w:rPr>
              <w:t>Net Fair Value</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7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Presented in Balance</w:t>
            </w:r>
          </w:p>
        </w:tc>
        <w:tc>
          <w:tcPr>
            <w:tcW w:w="0" w:type="dxa"/>
            <w:vAlign w:val="bottom"/>
          </w:tcPr>
          <w:p>
            <w:pPr>
              <w:spacing w:after="0"/>
              <w:rPr>
                <w:sz w:val="1"/>
                <w:szCs w:val="1"/>
                <w:color w:val="auto"/>
              </w:rPr>
            </w:pPr>
          </w:p>
        </w:tc>
      </w:tr>
      <w:tr>
        <w:trPr>
          <w:trHeight w:val="194"/>
        </w:trPr>
        <w:tc>
          <w:tcPr>
            <w:tcW w:w="3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in Balance Sheet</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193"/>
        </w:trPr>
        <w:tc>
          <w:tcPr>
            <w:tcW w:w="3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1,921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3"/>
              </w:rPr>
              <w:t>1,921</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60"/>
              <w:spacing w:after="0"/>
              <w:rPr>
                <w:sz w:val="20"/>
                <w:szCs w:val="20"/>
                <w:color w:val="auto"/>
              </w:rPr>
            </w:pPr>
            <w:r>
              <w:rPr>
                <w:rFonts w:ascii="Arial" w:cs="Arial" w:eastAsia="Arial" w:hAnsi="Arial"/>
                <w:sz w:val="18"/>
                <w:szCs w:val="18"/>
                <w:color w:val="auto"/>
              </w:rPr>
              <w:t>— $</w:t>
            </w:r>
          </w:p>
        </w:tc>
        <w:tc>
          <w:tcPr>
            <w:tcW w:w="780" w:type="dxa"/>
            <w:vAlign w:val="bottom"/>
          </w:tcPr>
          <w:p>
            <w:pPr>
              <w:ind w:left="340"/>
              <w:spacing w:after="0"/>
              <w:rPr>
                <w:sz w:val="20"/>
                <w:szCs w:val="20"/>
                <w:color w:val="auto"/>
              </w:rPr>
            </w:pPr>
            <w:r>
              <w:rPr>
                <w:rFonts w:ascii="Arial" w:cs="Arial" w:eastAsia="Arial" w:hAnsi="Arial"/>
                <w:sz w:val="18"/>
                <w:szCs w:val="18"/>
                <w:color w:val="auto"/>
                <w:w w:val="93"/>
              </w:rPr>
              <w:t>5,338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560"/>
              <w:spacing w:after="0"/>
              <w:rPr>
                <w:sz w:val="20"/>
                <w:szCs w:val="20"/>
                <w:color w:val="auto"/>
              </w:rPr>
            </w:pPr>
            <w:r>
              <w:rPr>
                <w:rFonts w:ascii="Arial" w:cs="Arial" w:eastAsia="Arial" w:hAnsi="Arial"/>
                <w:sz w:val="18"/>
                <w:szCs w:val="18"/>
                <w:color w:val="auto"/>
              </w:rPr>
              <w:t>— $</w:t>
            </w:r>
          </w:p>
        </w:tc>
        <w:tc>
          <w:tcPr>
            <w:tcW w:w="1020" w:type="dxa"/>
            <w:vAlign w:val="bottom"/>
          </w:tcPr>
          <w:p>
            <w:pPr>
              <w:ind w:left="580"/>
              <w:spacing w:after="0"/>
              <w:rPr>
                <w:sz w:val="20"/>
                <w:szCs w:val="20"/>
                <w:color w:val="auto"/>
              </w:rPr>
            </w:pPr>
            <w:r>
              <w:rPr>
                <w:rFonts w:ascii="Arial" w:cs="Arial" w:eastAsia="Arial" w:hAnsi="Arial"/>
                <w:sz w:val="18"/>
                <w:szCs w:val="18"/>
                <w:color w:val="auto"/>
                <w:w w:val="93"/>
              </w:rPr>
              <w:t>5,338</w:t>
            </w:r>
          </w:p>
        </w:tc>
        <w:tc>
          <w:tcPr>
            <w:tcW w:w="2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4"/>
          </w:tcPr>
          <w:p>
            <w:pPr>
              <w:ind w:left="88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6"/>
                <w:szCs w:val="16"/>
                <w:color w:val="auto"/>
              </w:rPr>
            </w:pPr>
          </w:p>
        </w:tc>
        <w:tc>
          <w:tcPr>
            <w:tcW w:w="3140" w:type="dxa"/>
            <w:vAlign w:val="bottom"/>
            <w:gridSpan w:val="3"/>
          </w:tcPr>
          <w:p>
            <w:pPr>
              <w:jc w:val="right"/>
              <w:ind w:right="1017"/>
              <w:spacing w:after="0"/>
              <w:rPr>
                <w:sz w:val="20"/>
                <w:szCs w:val="20"/>
                <w:color w:val="auto"/>
              </w:rPr>
            </w:pPr>
            <w:r>
              <w:rPr>
                <w:rFonts w:ascii="Arial" w:cs="Arial" w:eastAsia="Arial" w:hAnsi="Arial"/>
                <w:sz w:val="14"/>
                <w:szCs w:val="14"/>
                <w:b w:val="1"/>
                <w:bCs w:val="1"/>
                <w:color w:val="auto"/>
              </w:rPr>
              <w:t>December 31, 2021</w:t>
            </w:r>
          </w:p>
        </w:tc>
      </w:tr>
      <w:tr>
        <w:trPr>
          <w:trHeight w:val="25"/>
        </w:trPr>
        <w:tc>
          <w:tcPr>
            <w:tcW w:w="4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8"/>
        </w:trPr>
        <w:tc>
          <w:tcPr>
            <w:tcW w:w="4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Carrying Value</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Carrying Value</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Fair Value</w:t>
            </w:r>
          </w:p>
        </w:tc>
      </w:tr>
      <w:tr>
        <w:trPr>
          <w:trHeight w:val="193"/>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5"/>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7"/>
        </w:trPr>
        <w:tc>
          <w:tcPr>
            <w:tcW w:w="44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20"/>
              <w:spacing w:after="0"/>
              <w:rPr>
                <w:sz w:val="20"/>
                <w:szCs w:val="20"/>
                <w:color w:val="auto"/>
              </w:rPr>
            </w:pPr>
            <w:r>
              <w:rPr>
                <w:rFonts w:ascii="Arial" w:cs="Arial" w:eastAsia="Arial" w:hAnsi="Arial"/>
                <w:sz w:val="18"/>
                <w:szCs w:val="18"/>
                <w:color w:val="auto"/>
              </w:rPr>
              <w:t>152,000</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152,000</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304,000</w:t>
            </w:r>
          </w:p>
        </w:tc>
        <w:tc>
          <w:tcPr>
            <w:tcW w:w="3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304,000</w:t>
            </w:r>
          </w:p>
        </w:tc>
      </w:tr>
      <w:tr>
        <w:trPr>
          <w:trHeight w:val="228"/>
        </w:trPr>
        <w:tc>
          <w:tcPr>
            <w:tcW w:w="44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5.375% senior notes due 2027</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424,895</w:t>
            </w:r>
          </w:p>
        </w:tc>
        <w:tc>
          <w:tcPr>
            <w:tcW w:w="3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472,727</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498,992</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discount.</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December 31, 2022 quoted market price, a Level 1 classification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48"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Certain assets and liabilities are measured at fair value on a nonrecurring basis in certain circumstances. These assets and liabilities can include mineral and royalty interests acquired in asset acquisitions and subsequent write-downs of our proved oil and natural gas interests to fair value when they are impaired or held for sale. See Note 2—</w:t>
      </w:r>
      <w:r>
        <w:rPr>
          <w:rFonts w:ascii="Arial" w:cs="Arial" w:eastAsia="Arial" w:hAnsi="Arial"/>
          <w:sz w:val="18"/>
          <w:szCs w:val="18"/>
          <w:u w:val="single" w:color="auto"/>
          <w:color w:val="0000FF"/>
        </w:rPr>
        <w:t>Summary of Significant Accounting Policies</w:t>
      </w:r>
      <w:r>
        <w:rPr>
          <w:rFonts w:ascii="Arial" w:cs="Arial" w:eastAsia="Arial" w:hAnsi="Arial"/>
          <w:sz w:val="18"/>
          <w:szCs w:val="18"/>
          <w:color w:val="auto"/>
        </w:rPr>
        <w:t xml:space="preserve"> and Note 5—</w:t>
      </w:r>
      <w:r>
        <w:rPr>
          <w:rFonts w:ascii="Arial" w:cs="Arial" w:eastAsia="Arial" w:hAnsi="Arial"/>
          <w:sz w:val="18"/>
          <w:szCs w:val="18"/>
          <w:u w:val="single" w:color="auto"/>
          <w:color w:val="0000FF"/>
        </w:rPr>
        <w:t>Oil and Natural Gas Interests</w:t>
      </w:r>
      <w:r>
        <w:rPr>
          <w:rFonts w:ascii="Arial" w:cs="Arial" w:eastAsia="Arial" w:hAnsi="Arial"/>
          <w:sz w:val="18"/>
          <w:szCs w:val="18"/>
          <w:color w:val="auto"/>
        </w:rPr>
        <w:t xml:space="preserve"> for further discussion of non-recurring fair value adjustments.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4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The Partnership has other financial instruments consisting of cash and cash equivalents, royalty income receivable, other current assets, other assets, accounts payable and accrued liabilities. The carrying value of these instruments approximate their fair value because of the short-term nature of the instruments.</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52" w:lineRule="exact"/>
        <w:rPr>
          <w:sz w:val="20"/>
          <w:szCs w:val="20"/>
          <w:color w:val="auto"/>
        </w:rPr>
      </w:pPr>
    </w:p>
    <w:p>
      <w:pPr>
        <w:jc w:val="both"/>
        <w:ind w:right="80" w:firstLine="643"/>
        <w:spacing w:after="0" w:line="269" w:lineRule="auto"/>
        <w:rPr>
          <w:sz w:val="20"/>
          <w:szCs w:val="20"/>
          <w:color w:val="auto"/>
        </w:rPr>
      </w:pPr>
      <w:r>
        <w:rPr>
          <w:rFonts w:ascii="Arial" w:cs="Arial" w:eastAsia="Arial" w:hAnsi="Arial"/>
          <w:sz w:val="17"/>
          <w:szCs w:val="17"/>
          <w:color w:val="auto"/>
        </w:rPr>
        <w:t>The Partnership is a party to various routine legal proceedings, disputes and claims from time to time arising in the ordinary course of its business. While the ultimate outcome of any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pacing w:after="0" w:line="203" w:lineRule="exact"/>
        <w:rPr>
          <w:sz w:val="20"/>
          <w:szCs w:val="20"/>
          <w:color w:val="auto"/>
        </w:rPr>
      </w:pPr>
    </w:p>
    <w:p>
      <w:pPr>
        <w:ind w:left="640" w:right="8880" w:hanging="633"/>
        <w:spacing w:after="0" w:line="561" w:lineRule="auto"/>
        <w:tabs>
          <w:tab w:leader="none" w:pos="399"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Cash Distribution</w:t>
      </w:r>
    </w:p>
    <w:p>
      <w:pPr>
        <w:spacing w:after="0" w:line="1"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On February 15, 2023, the board of directors of the General Partner approved a cash distribution for the fourth quarter of 2022 of $0.49 per common unit, payable on March 10, 2023, to unitholders of record at the close of business on March 3, 2023. The distribution consists of a base quarterly distribution of $0.25 per common unit and a variable quarterly distribution of $0.24 per common unit.</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SUPPLEMENTAL INFORMATION ON OIL AND NATURAL GAS OPERATIONS (Unaudited)</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Partnership’s oil and natural gas reserves are attributable solely to properties within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oil and natural gas costs</w:t>
      </w:r>
    </w:p>
    <w:p>
      <w:pPr>
        <w:spacing w:after="0" w:line="248" w:lineRule="exact"/>
        <w:rPr>
          <w:sz w:val="20"/>
          <w:szCs w:val="20"/>
          <w:color w:val="auto"/>
        </w:rPr>
      </w:pPr>
    </w:p>
    <w:p>
      <w:pPr>
        <w:jc w:val="both"/>
        <w:ind w:firstLine="643"/>
        <w:spacing w:after="0" w:line="266" w:lineRule="auto"/>
        <w:rPr>
          <w:sz w:val="20"/>
          <w:szCs w:val="20"/>
          <w:color w:val="auto"/>
        </w:rPr>
      </w:pPr>
      <w:r>
        <w:rPr>
          <w:rFonts w:ascii="Arial" w:cs="Arial" w:eastAsia="Arial" w:hAnsi="Arial"/>
          <w:sz w:val="18"/>
          <w:szCs w:val="18"/>
          <w:color w:val="auto"/>
        </w:rPr>
        <w:t>Aggregate capitalized costs related to oil and natural gas production activities with applicable accumulated depreciation, depletion and amortization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1"/>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r>
      <w:tr>
        <w:trPr>
          <w:trHeight w:val="25"/>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8"/>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r>
      <w:tr>
        <w:trPr>
          <w:trHeight w:val="193"/>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51"/>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6"/>
                <w:szCs w:val="16"/>
                <w:color w:val="auto"/>
              </w:rPr>
            </w:pPr>
          </w:p>
        </w:tc>
      </w:tr>
      <w:tr>
        <w:trPr>
          <w:trHeight w:val="23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interests:</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7"/>
        </w:trPr>
        <w:tc>
          <w:tcPr>
            <w:tcW w:w="7840" w:type="dxa"/>
            <w:vAlign w:val="bottom"/>
          </w:tcPr>
          <w:p>
            <w:pPr>
              <w:ind w:left="220"/>
              <w:spacing w:after="0"/>
              <w:rPr>
                <w:sz w:val="20"/>
                <w:szCs w:val="20"/>
                <w:color w:val="auto"/>
              </w:rPr>
            </w:pPr>
            <w:r>
              <w:rPr>
                <w:rFonts w:ascii="Arial" w:cs="Arial" w:eastAsia="Arial" w:hAnsi="Arial"/>
                <w:sz w:val="18"/>
                <w:szCs w:val="18"/>
                <w:color w:val="auto"/>
              </w:rPr>
              <w:t>Proved</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2,167,598</w:t>
            </w:r>
          </w:p>
        </w:tc>
        <w:tc>
          <w:tcPr>
            <w:tcW w:w="12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1,873,418</w:t>
            </w:r>
          </w:p>
        </w:tc>
      </w:tr>
      <w:tr>
        <w:trPr>
          <w:trHeight w:val="228"/>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Unproved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1,297,221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1,640,172</w:t>
            </w:r>
          </w:p>
        </w:tc>
      </w:tr>
      <w:tr>
        <w:trPr>
          <w:trHeight w:val="221"/>
        </w:trPr>
        <w:tc>
          <w:tcPr>
            <w:tcW w:w="7840" w:type="dxa"/>
            <w:vAlign w:val="bottom"/>
          </w:tcPr>
          <w:p>
            <w:pPr>
              <w:ind w:left="20"/>
              <w:spacing w:after="0"/>
              <w:rPr>
                <w:sz w:val="20"/>
                <w:szCs w:val="20"/>
                <w:color w:val="auto"/>
              </w:rPr>
            </w:pPr>
            <w:r>
              <w:rPr>
                <w:rFonts w:ascii="Arial" w:cs="Arial" w:eastAsia="Arial" w:hAnsi="Arial"/>
                <w:sz w:val="18"/>
                <w:szCs w:val="18"/>
                <w:color w:val="auto"/>
              </w:rPr>
              <w:t>Total oil and natural gas interests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3,464,819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3,513,590</w:t>
            </w:r>
          </w:p>
        </w:tc>
      </w:tr>
      <w:tr>
        <w:trPr>
          <w:trHeight w:val="228"/>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depletion and impairment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(720,234)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(599,163)</w:t>
            </w:r>
          </w:p>
        </w:tc>
      </w:tr>
      <w:tr>
        <w:trPr>
          <w:trHeight w:val="221"/>
        </w:trPr>
        <w:tc>
          <w:tcPr>
            <w:tcW w:w="7840" w:type="dxa"/>
            <w:vAlign w:val="bottom"/>
          </w:tcPr>
          <w:p>
            <w:pPr>
              <w:ind w:left="20"/>
              <w:spacing w:after="0"/>
              <w:rPr>
                <w:sz w:val="20"/>
                <w:szCs w:val="20"/>
                <w:color w:val="auto"/>
              </w:rPr>
            </w:pPr>
            <w:r>
              <w:rPr>
                <w:rFonts w:ascii="Arial" w:cs="Arial" w:eastAsia="Arial" w:hAnsi="Arial"/>
                <w:sz w:val="18"/>
                <w:szCs w:val="18"/>
                <w:color w:val="auto"/>
              </w:rPr>
              <w:t>Net oil and natural gas interests capitalized</w:t>
            </w: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2,744,585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2,914,427</w:t>
            </w: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 in oil and natural gas activities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Costs incurred in oil and natural gas property acquisition activities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8"/>
        </w:trPr>
        <w:tc>
          <w:tcPr>
            <w:tcW w:w="63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93"/>
        </w:trPr>
        <w:tc>
          <w:tcPr>
            <w:tcW w:w="6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5"/>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costs: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7"/>
        </w:trPr>
        <w:tc>
          <w:tcPr>
            <w:tcW w:w="6380" w:type="dxa"/>
            <w:vAlign w:val="bottom"/>
          </w:tcPr>
          <w:p>
            <w:pPr>
              <w:ind w:left="460"/>
              <w:spacing w:after="0"/>
              <w:rPr>
                <w:sz w:val="20"/>
                <w:szCs w:val="20"/>
                <w:color w:val="auto"/>
              </w:rPr>
            </w:pPr>
            <w:r>
              <w:rPr>
                <w:rFonts w:ascii="Arial" w:cs="Arial" w:eastAsia="Arial" w:hAnsi="Arial"/>
                <w:sz w:val="18"/>
                <w:szCs w:val="18"/>
                <w:color w:val="auto"/>
              </w:rPr>
              <w:t>Proved properties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46,307</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138,882</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9,509</w:t>
            </w:r>
          </w:p>
        </w:tc>
      </w:tr>
      <w:tr>
        <w:trPr>
          <w:trHeight w:val="228"/>
        </w:trPr>
        <w:tc>
          <w:tcPr>
            <w:tcW w:w="6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Unproved properties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16,624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56,169</w:t>
            </w:r>
          </w:p>
        </w:tc>
      </w:tr>
      <w:tr>
        <w:trPr>
          <w:trHeight w:val="221"/>
        </w:trPr>
        <w:tc>
          <w:tcPr>
            <w:tcW w:w="6380" w:type="dxa"/>
            <w:vAlign w:val="bottom"/>
          </w:tcPr>
          <w:p>
            <w:pPr>
              <w:ind w:left="46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62,931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65,678</w:t>
            </w:r>
          </w:p>
        </w:tc>
      </w:tr>
      <w:tr>
        <w:trPr>
          <w:trHeight w:val="20"/>
        </w:trPr>
        <w:tc>
          <w:tcPr>
            <w:tcW w:w="6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from Oil and Natural Gas Producing Activities</w:t>
      </w:r>
    </w:p>
    <w:p>
      <w:pPr>
        <w:spacing w:after="0" w:line="248"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 xml:space="preserve">Substantially all of the Partnership’s producing activities are from oil and natural gas activities and are included in the </w:t>
      </w:r>
      <w:r>
        <w:rPr>
          <w:rFonts w:ascii="Arial" w:cs="Arial" w:eastAsia="Arial" w:hAnsi="Arial"/>
          <w:sz w:val="18"/>
          <w:szCs w:val="18"/>
          <w:u w:val="single" w:color="auto"/>
          <w:color w:val="0000FF"/>
        </w:rPr>
        <w:t>Consolidated Statements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Operations</w:t>
      </w:r>
      <w:r>
        <w:rPr>
          <w:rFonts w:ascii="Arial" w:cs="Arial" w:eastAsia="Arial" w:hAnsi="Arial"/>
          <w:sz w:val="18"/>
          <w:szCs w:val="18"/>
          <w:color w:val="0000FF"/>
        </w:rPr>
        <w:t xml:space="preserve"> </w:t>
      </w:r>
      <w:r>
        <w:rPr>
          <w:rFonts w:ascii="Arial" w:cs="Arial" w:eastAsia="Arial" w:hAnsi="Arial"/>
          <w:sz w:val="18"/>
          <w:szCs w:val="18"/>
          <w:color w:val="000000"/>
        </w:rPr>
        <w:t>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Reserves</w:t>
      </w:r>
    </w:p>
    <w:p>
      <w:pPr>
        <w:spacing w:after="0" w:line="248"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Proved oil and natural gas reserve estimates and their associated future net cash flows were prepared by our internal reservoir engineers and audited by Ryder Scott Company, L.P., independent petroleum engineers, as of December 31, 2022 and prepared by Ryder Scott as of December 31, 2021 and 2020. Proved reserves were estimated in accordance with guidelines established by the SEC, which require that reserve estimates be prepared under existing economic and operating conditions based upon the 12-month unweighted average of the first-day-of-the-month prices.</w:t>
      </w:r>
    </w:p>
    <w:p>
      <w:pPr>
        <w:spacing w:after="0" w:line="184"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changes in estimated proved reserves are as follows: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Oil</w:t>
            </w:r>
          </w:p>
        </w:tc>
        <w:tc>
          <w:tcPr>
            <w:tcW w:w="1480" w:type="dxa"/>
            <w:vAlign w:val="bottom"/>
            <w:gridSpan w:val="2"/>
          </w:tcPr>
          <w:p>
            <w:pPr>
              <w:ind w:left="320"/>
              <w:spacing w:after="0"/>
              <w:rPr>
                <w:sz w:val="20"/>
                <w:szCs w:val="20"/>
                <w:color w:val="auto"/>
              </w:rPr>
            </w:pPr>
            <w:r>
              <w:rPr>
                <w:rFonts w:ascii="Arial" w:cs="Arial" w:eastAsia="Arial" w:hAnsi="Arial"/>
                <w:sz w:val="14"/>
                <w:szCs w:val="14"/>
                <w:b w:val="1"/>
                <w:bCs w:val="1"/>
                <w:color w:val="auto"/>
              </w:rPr>
              <w:t>Natural Gas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Natural Gas Liquids</w:t>
            </w:r>
          </w:p>
        </w:tc>
        <w:tc>
          <w:tcPr>
            <w:tcW w:w="13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 (MBOE)</w:t>
            </w:r>
          </w:p>
        </w:tc>
        <w:tc>
          <w:tcPr>
            <w:tcW w:w="0" w:type="dxa"/>
            <w:vAlign w:val="bottom"/>
          </w:tcPr>
          <w:p>
            <w:pPr>
              <w:spacing w:after="0"/>
              <w:rPr>
                <w:sz w:val="1"/>
                <w:szCs w:val="1"/>
                <w:color w:val="auto"/>
              </w:rPr>
            </w:pPr>
          </w:p>
        </w:tc>
      </w:tr>
      <w:tr>
        <w:trPr>
          <w:trHeight w:val="194"/>
        </w:trPr>
        <w:tc>
          <w:tcPr>
            <w:tcW w:w="5240" w:type="dxa"/>
            <w:vAlign w:val="bottom"/>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(MBbls)</w:t>
            </w:r>
          </w:p>
        </w:tc>
        <w:tc>
          <w:tcPr>
            <w:tcW w:w="14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(MMcf)</w:t>
            </w: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(MBbls)</w:t>
            </w: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Proved Developed and Undeveloped Reserves:</w:t>
            </w: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360" w:type="dxa"/>
            <w:vAlign w:val="bottom"/>
          </w:tcPr>
          <w:p>
            <w:pPr>
              <w:jc w:val="right"/>
              <w:spacing w:after="0"/>
              <w:rPr>
                <w:sz w:val="20"/>
                <w:szCs w:val="20"/>
                <w:color w:val="auto"/>
              </w:rPr>
            </w:pPr>
            <w:r>
              <w:rPr>
                <w:rFonts w:ascii="Arial" w:cs="Arial" w:eastAsia="Arial" w:hAnsi="Arial"/>
                <w:sz w:val="18"/>
                <w:szCs w:val="18"/>
                <w:color w:val="auto"/>
              </w:rPr>
              <w:t>54,420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95,774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18,564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88,946</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reserves in place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27"/>
        </w:trPr>
        <w:tc>
          <w:tcPr>
            <w:tcW w:w="5240" w:type="dxa"/>
            <w:vAlign w:val="bottom"/>
          </w:tcPr>
          <w:p>
            <w:pPr>
              <w:ind w:left="340"/>
              <w:spacing w:after="0"/>
              <w:rPr>
                <w:sz w:val="20"/>
                <w:szCs w:val="20"/>
                <w:color w:val="auto"/>
              </w:rPr>
            </w:pPr>
            <w:r>
              <w:rPr>
                <w:rFonts w:ascii="Arial" w:cs="Arial" w:eastAsia="Arial" w:hAnsi="Arial"/>
                <w:sz w:val="18"/>
                <w:szCs w:val="18"/>
                <w:color w:val="auto"/>
              </w:rPr>
              <w:t>Extensions and discoveries</w:t>
            </w:r>
          </w:p>
        </w:tc>
        <w:tc>
          <w:tcPr>
            <w:tcW w:w="1360" w:type="dxa"/>
            <w:vAlign w:val="bottom"/>
          </w:tcPr>
          <w:p>
            <w:pPr>
              <w:jc w:val="right"/>
              <w:spacing w:after="0"/>
              <w:rPr>
                <w:sz w:val="20"/>
                <w:szCs w:val="20"/>
                <w:color w:val="auto"/>
              </w:rPr>
            </w:pPr>
            <w:r>
              <w:rPr>
                <w:rFonts w:ascii="Arial" w:cs="Arial" w:eastAsia="Arial" w:hAnsi="Arial"/>
                <w:sz w:val="18"/>
                <w:szCs w:val="18"/>
                <w:color w:val="auto"/>
              </w:rPr>
              <w:t>15,415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23,982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23,836</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of previous estimates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27"/>
        </w:trPr>
        <w:tc>
          <w:tcPr>
            <w:tcW w:w="5240" w:type="dxa"/>
            <w:vAlign w:val="bottom"/>
          </w:tcPr>
          <w:p>
            <w:pPr>
              <w:ind w:left="340"/>
              <w:spacing w:after="0"/>
              <w:rPr>
                <w:sz w:val="20"/>
                <w:szCs w:val="20"/>
                <w:color w:val="auto"/>
              </w:rPr>
            </w:pPr>
            <w:r>
              <w:rPr>
                <w:rFonts w:ascii="Arial" w:cs="Arial" w:eastAsia="Arial" w:hAnsi="Arial"/>
                <w:sz w:val="18"/>
                <w:szCs w:val="18"/>
                <w:color w:val="auto"/>
              </w:rPr>
              <w:t>Divestitures</w:t>
            </w:r>
          </w:p>
        </w:tc>
        <w:tc>
          <w:tcPr>
            <w:tcW w:w="13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Production</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0" w:type="dxa"/>
            <w:vAlign w:val="bottom"/>
          </w:tcPr>
          <w:p>
            <w:pPr>
              <w:spacing w:after="0"/>
              <w:rPr>
                <w:sz w:val="1"/>
                <w:szCs w:val="1"/>
                <w:color w:val="auto"/>
              </w:rPr>
            </w:pPr>
          </w:p>
        </w:tc>
      </w:tr>
      <w:tr>
        <w:trPr>
          <w:trHeight w:val="221"/>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57,530</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119,450</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21,953</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99,392</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reserves in place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27"/>
        </w:trPr>
        <w:tc>
          <w:tcPr>
            <w:tcW w:w="5240" w:type="dxa"/>
            <w:vAlign w:val="bottom"/>
          </w:tcPr>
          <w:p>
            <w:pPr>
              <w:ind w:left="340"/>
              <w:spacing w:after="0"/>
              <w:rPr>
                <w:sz w:val="20"/>
                <w:szCs w:val="20"/>
                <w:color w:val="auto"/>
              </w:rPr>
            </w:pPr>
            <w:r>
              <w:rPr>
                <w:rFonts w:ascii="Arial" w:cs="Arial" w:eastAsia="Arial" w:hAnsi="Arial"/>
                <w:sz w:val="18"/>
                <w:szCs w:val="18"/>
                <w:color w:val="auto"/>
              </w:rPr>
              <w:t>Extensions and discoveries</w:t>
            </w:r>
          </w:p>
        </w:tc>
        <w:tc>
          <w:tcPr>
            <w:tcW w:w="1360" w:type="dxa"/>
            <w:vAlign w:val="bottom"/>
          </w:tcPr>
          <w:p>
            <w:pPr>
              <w:jc w:val="right"/>
              <w:spacing w:after="0"/>
              <w:rPr>
                <w:sz w:val="20"/>
                <w:szCs w:val="20"/>
                <w:color w:val="auto"/>
              </w:rPr>
            </w:pPr>
            <w:r>
              <w:rPr>
                <w:rFonts w:ascii="Arial" w:cs="Arial" w:eastAsia="Arial" w:hAnsi="Arial"/>
                <w:sz w:val="18"/>
                <w:szCs w:val="18"/>
                <w:color w:val="auto"/>
              </w:rPr>
              <w:t>17,256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39,256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7,182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30,981</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of previous estimates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7"/>
        </w:trPr>
        <w:tc>
          <w:tcPr>
            <w:tcW w:w="5240" w:type="dxa"/>
            <w:vAlign w:val="bottom"/>
          </w:tcPr>
          <w:p>
            <w:pPr>
              <w:ind w:left="340"/>
              <w:spacing w:after="0"/>
              <w:rPr>
                <w:sz w:val="20"/>
                <w:szCs w:val="20"/>
                <w:color w:val="auto"/>
              </w:rPr>
            </w:pPr>
            <w:r>
              <w:rPr>
                <w:rFonts w:ascii="Arial" w:cs="Arial" w:eastAsia="Arial" w:hAnsi="Arial"/>
                <w:sz w:val="18"/>
                <w:szCs w:val="18"/>
                <w:color w:val="auto"/>
              </w:rPr>
              <w:t>Divestitures</w:t>
            </w:r>
          </w:p>
        </w:tc>
        <w:tc>
          <w:tcPr>
            <w:tcW w:w="13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Production</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21"/>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69,240</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183,690</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28,033</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127,888</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reserves in place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27"/>
        </w:trPr>
        <w:tc>
          <w:tcPr>
            <w:tcW w:w="5240" w:type="dxa"/>
            <w:vAlign w:val="bottom"/>
          </w:tcPr>
          <w:p>
            <w:pPr>
              <w:ind w:left="340"/>
              <w:spacing w:after="0"/>
              <w:rPr>
                <w:sz w:val="20"/>
                <w:szCs w:val="20"/>
                <w:color w:val="auto"/>
              </w:rPr>
            </w:pPr>
            <w:r>
              <w:rPr>
                <w:rFonts w:ascii="Arial" w:cs="Arial" w:eastAsia="Arial" w:hAnsi="Arial"/>
                <w:sz w:val="18"/>
                <w:szCs w:val="18"/>
                <w:color w:val="auto"/>
              </w:rPr>
              <w:t>Extensions and discoveries</w:t>
            </w:r>
          </w:p>
        </w:tc>
        <w:tc>
          <w:tcPr>
            <w:tcW w:w="1360" w:type="dxa"/>
            <w:vAlign w:val="bottom"/>
          </w:tcPr>
          <w:p>
            <w:pPr>
              <w:jc w:val="right"/>
              <w:spacing w:after="0"/>
              <w:rPr>
                <w:sz w:val="20"/>
                <w:szCs w:val="20"/>
                <w:color w:val="auto"/>
              </w:rPr>
            </w:pPr>
            <w:r>
              <w:rPr>
                <w:rFonts w:ascii="Arial" w:cs="Arial" w:eastAsia="Arial" w:hAnsi="Arial"/>
                <w:sz w:val="18"/>
                <w:szCs w:val="18"/>
                <w:color w:val="auto"/>
              </w:rPr>
              <w:t>15,714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29,177</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25,858</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Revisions of previous estimates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27"/>
        </w:trPr>
        <w:tc>
          <w:tcPr>
            <w:tcW w:w="5240" w:type="dxa"/>
            <w:vAlign w:val="bottom"/>
          </w:tcPr>
          <w:p>
            <w:pPr>
              <w:ind w:left="340"/>
              <w:spacing w:after="0"/>
              <w:rPr>
                <w:sz w:val="20"/>
                <w:szCs w:val="20"/>
                <w:color w:val="auto"/>
              </w:rPr>
            </w:pPr>
            <w:r>
              <w:rPr>
                <w:rFonts w:ascii="Arial" w:cs="Arial" w:eastAsia="Arial" w:hAnsi="Arial"/>
                <w:sz w:val="18"/>
                <w:szCs w:val="18"/>
                <w:color w:val="auto"/>
              </w:rPr>
              <w:t>Divestitures</w:t>
            </w:r>
          </w:p>
        </w:tc>
        <w:tc>
          <w:tcPr>
            <w:tcW w:w="136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Production</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(15,868)</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(12,282)</w:t>
            </w:r>
          </w:p>
        </w:tc>
        <w:tc>
          <w:tcPr>
            <w:tcW w:w="0" w:type="dxa"/>
            <w:vAlign w:val="bottom"/>
          </w:tcPr>
          <w:p>
            <w:pPr>
              <w:spacing w:after="0"/>
              <w:rPr>
                <w:sz w:val="1"/>
                <w:szCs w:val="1"/>
                <w:color w:val="auto"/>
              </w:rPr>
            </w:pPr>
          </w:p>
        </w:tc>
      </w:tr>
      <w:tr>
        <w:trPr>
          <w:trHeight w:val="221"/>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209,964</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34,902</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148,900</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Proved Developed Reserves: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72,547</w:t>
            </w:r>
          </w:p>
        </w:tc>
        <w:tc>
          <w:tcPr>
            <w:tcW w:w="0" w:type="dxa"/>
            <w:vAlign w:val="bottom"/>
          </w:tcPr>
          <w:p>
            <w:pPr>
              <w:spacing w:after="0"/>
              <w:rPr>
                <w:sz w:val="1"/>
                <w:szCs w:val="1"/>
                <w:color w:val="auto"/>
              </w:rPr>
            </w:pPr>
          </w:p>
        </w:tc>
      </w:tr>
      <w:tr>
        <w:trPr>
          <w:trHeight w:val="227"/>
        </w:trPr>
        <w:tc>
          <w:tcPr>
            <w:tcW w:w="5240" w:type="dxa"/>
            <w:vAlign w:val="bottom"/>
          </w:tcPr>
          <w:p>
            <w:pPr>
              <w:ind w:left="340"/>
              <w:spacing w:after="0"/>
              <w:rPr>
                <w:sz w:val="20"/>
                <w:szCs w:val="20"/>
                <w:color w:val="auto"/>
              </w:rPr>
            </w:pPr>
            <w:r>
              <w:rPr>
                <w:rFonts w:ascii="Arial" w:cs="Arial" w:eastAsia="Arial" w:hAnsi="Arial"/>
                <w:sz w:val="18"/>
                <w:szCs w:val="18"/>
                <w:color w:val="auto"/>
              </w:rPr>
              <w:t>December 31, 2021</w:t>
            </w:r>
          </w:p>
        </w:tc>
        <w:tc>
          <w:tcPr>
            <w:tcW w:w="1360" w:type="dxa"/>
            <w:vAlign w:val="bottom"/>
          </w:tcPr>
          <w:p>
            <w:pPr>
              <w:jc w:val="right"/>
              <w:spacing w:after="0"/>
              <w:rPr>
                <w:sz w:val="20"/>
                <w:szCs w:val="20"/>
                <w:color w:val="auto"/>
              </w:rPr>
            </w:pPr>
            <w:r>
              <w:rPr>
                <w:rFonts w:ascii="Arial" w:cs="Arial" w:eastAsia="Arial" w:hAnsi="Arial"/>
                <w:sz w:val="18"/>
                <w:szCs w:val="18"/>
                <w:color w:val="auto"/>
              </w:rPr>
              <w:t>49,280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134,485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19,476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91,170</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161,119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107,291</w:t>
            </w:r>
          </w:p>
        </w:tc>
        <w:tc>
          <w:tcPr>
            <w:tcW w:w="0" w:type="dxa"/>
            <w:vAlign w:val="bottom"/>
          </w:tcPr>
          <w:p>
            <w:pPr>
              <w:spacing w:after="0"/>
              <w:rPr>
                <w:sz w:val="1"/>
                <w:szCs w:val="1"/>
                <w:color w:val="auto"/>
              </w:rPr>
            </w:pPr>
          </w:p>
        </w:tc>
      </w:tr>
      <w:tr>
        <w:trPr>
          <w:trHeight w:val="214"/>
        </w:trPr>
        <w:tc>
          <w:tcPr>
            <w:tcW w:w="5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Proved Undeveloped Reserves: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tcPr>
          <w:p>
            <w:pPr>
              <w:ind w:left="340"/>
              <w:spacing w:after="0"/>
              <w:rPr>
                <w:sz w:val="20"/>
                <w:szCs w:val="20"/>
                <w:color w:val="auto"/>
              </w:rPr>
            </w:pPr>
            <w:r>
              <w:rPr>
                <w:rFonts w:ascii="Arial" w:cs="Arial" w:eastAsia="Arial" w:hAnsi="Arial"/>
                <w:sz w:val="18"/>
                <w:szCs w:val="18"/>
                <w:color w:val="auto"/>
              </w:rPr>
              <w:t>December 31, 2020</w:t>
            </w:r>
          </w:p>
        </w:tc>
        <w:tc>
          <w:tcPr>
            <w:tcW w:w="1360" w:type="dxa"/>
            <w:vAlign w:val="bottom"/>
          </w:tcPr>
          <w:p>
            <w:pPr>
              <w:jc w:val="right"/>
              <w:spacing w:after="0"/>
              <w:rPr>
                <w:sz w:val="20"/>
                <w:szCs w:val="20"/>
                <w:color w:val="auto"/>
              </w:rPr>
            </w:pPr>
            <w:r>
              <w:rPr>
                <w:rFonts w:ascii="Arial" w:cs="Arial" w:eastAsia="Arial" w:hAnsi="Arial"/>
                <w:sz w:val="18"/>
                <w:szCs w:val="18"/>
                <w:color w:val="auto"/>
              </w:rPr>
              <w:t>17,310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25,833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26,845</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36,718</w:t>
            </w:r>
          </w:p>
        </w:tc>
        <w:tc>
          <w:tcPr>
            <w:tcW w:w="0" w:type="dxa"/>
            <w:vAlign w:val="bottom"/>
          </w:tcPr>
          <w:p>
            <w:pPr>
              <w:spacing w:after="0"/>
              <w:rPr>
                <w:sz w:val="1"/>
                <w:szCs w:val="1"/>
                <w:color w:val="auto"/>
              </w:rPr>
            </w:pPr>
          </w:p>
        </w:tc>
      </w:tr>
      <w:tr>
        <w:trPr>
          <w:trHeight w:val="227"/>
        </w:trPr>
        <w:tc>
          <w:tcPr>
            <w:tcW w:w="5240" w:type="dxa"/>
            <w:vAlign w:val="bottom"/>
          </w:tcPr>
          <w:p>
            <w:pPr>
              <w:ind w:left="340"/>
              <w:spacing w:after="0"/>
              <w:rPr>
                <w:sz w:val="20"/>
                <w:szCs w:val="20"/>
                <w:color w:val="auto"/>
              </w:rPr>
            </w:pPr>
            <w:r>
              <w:rPr>
                <w:rFonts w:ascii="Arial" w:cs="Arial" w:eastAsia="Arial" w:hAnsi="Arial"/>
                <w:sz w:val="18"/>
                <w:szCs w:val="18"/>
                <w:color w:val="auto"/>
              </w:rPr>
              <w:t>December 31, 2022</w:t>
            </w:r>
          </w:p>
        </w:tc>
        <w:tc>
          <w:tcPr>
            <w:tcW w:w="1360" w:type="dxa"/>
            <w:vAlign w:val="bottom"/>
          </w:tcPr>
          <w:p>
            <w:pPr>
              <w:jc w:val="right"/>
              <w:spacing w:after="0"/>
              <w:rPr>
                <w:sz w:val="20"/>
                <w:szCs w:val="20"/>
                <w:color w:val="auto"/>
              </w:rPr>
            </w:pPr>
            <w:r>
              <w:rPr>
                <w:rFonts w:ascii="Arial" w:cs="Arial" w:eastAsia="Arial" w:hAnsi="Arial"/>
                <w:sz w:val="18"/>
                <w:szCs w:val="18"/>
                <w:color w:val="auto"/>
              </w:rPr>
              <w:t>24,187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48,845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9,281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41,609</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firstLine="643"/>
        <w:spacing w:after="0" w:line="260" w:lineRule="auto"/>
        <w:rPr>
          <w:sz w:val="20"/>
          <w:szCs w:val="20"/>
          <w:color w:val="auto"/>
        </w:rPr>
      </w:pPr>
      <w:r>
        <w:rPr>
          <w:rFonts w:ascii="Arial" w:cs="Arial" w:eastAsia="Arial" w:hAnsi="Arial"/>
          <w:sz w:val="18"/>
          <w:szCs w:val="18"/>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211" w:lineRule="exact"/>
        <w:rPr>
          <w:sz w:val="20"/>
          <w:szCs w:val="20"/>
          <w:color w:val="auto"/>
        </w:rPr>
      </w:pPr>
    </w:p>
    <w:p>
      <w:pPr>
        <w:jc w:val="both"/>
        <w:ind w:firstLine="643"/>
        <w:spacing w:after="0" w:line="298" w:lineRule="auto"/>
        <w:rPr>
          <w:sz w:val="20"/>
          <w:szCs w:val="20"/>
          <w:color w:val="auto"/>
        </w:rPr>
      </w:pPr>
      <w:r>
        <w:rPr>
          <w:rFonts w:ascii="Arial" w:cs="Arial" w:eastAsia="Arial" w:hAnsi="Arial"/>
          <w:sz w:val="16"/>
          <w:szCs w:val="16"/>
          <w:color w:val="auto"/>
        </w:rPr>
        <w:t>During the year ended December 31, 2022, the Partnership’s total extensions and discoveries of 25,858 MBOE resulted primarily from the drilling of 636 new wells and from 199 new proved undeveloped locations added. The Partnership’s total positive revisions of previous estimated quantities of 8,477 MBOE were due to positive revisions of 15,484 MBOE attributable to price and performance revisions which were largely offset by PUD downgrades of 7,007 MBOE. Total purchases of reserves in place of 1,006 MBOE resulted from multiple acquisitions of certain mineral and royalty interests.</w:t>
      </w:r>
    </w:p>
    <w:p>
      <w:pPr>
        <w:spacing w:after="0" w:line="184"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18"/>
          <w:szCs w:val="18"/>
          <w:color w:val="auto"/>
        </w:rPr>
        <w:t>During the year ended December 31, 2021, the Partnership’s total extensions and discoveries of 30,981 MBOE resulted primarily from the drilling of 407 new wells and from 336 new proved undeveloped locations added. The Partnership’s total negative revisions of previous estimated quantities of 918 MBOE were due to PUD downgrades of 11,263 MBOE which were largely offset by positive revisions of 10,345 MBOE attributable to price and performance revisions. Total purchases of reserves in place of 9,102 MBOE resulted from multiple acquisitions of certain mineral and royalty interests, including the Swallowtail Acquisition.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56" w:lineRule="exact"/>
        <w:rPr>
          <w:sz w:val="20"/>
          <w:szCs w:val="20"/>
          <w:color w:val="auto"/>
        </w:rPr>
      </w:pPr>
    </w:p>
    <w:p>
      <w:pPr>
        <w:jc w:val="both"/>
        <w:ind w:firstLine="643"/>
        <w:spacing w:after="0" w:line="293" w:lineRule="auto"/>
        <w:rPr>
          <w:sz w:val="20"/>
          <w:szCs w:val="20"/>
          <w:color w:val="auto"/>
        </w:rPr>
      </w:pPr>
      <w:r>
        <w:rPr>
          <w:rFonts w:ascii="Arial" w:cs="Arial" w:eastAsia="Arial" w:hAnsi="Arial"/>
          <w:sz w:val="16"/>
          <w:szCs w:val="16"/>
          <w:color w:val="auto"/>
        </w:rPr>
        <w:t>During the year ended December 31, 2020, the Partnership’s extensions and discoveries of 23,836 MBOE resulted primarily from the drilling of 652 new wells and from 299 new proved undeveloped locations added. The Partnership’s negative revisions of previous estimated quantities of 4,082 MBOE were due to negative price revisions and PUD downgrades. 114 MBOE of PUDs were downgraded from non-operated properties and 804 MBOE of PUDs were downgraded from Diamondback-operated properties, with the Diamondback-operated downgrades due to changes in the development plan and optimization of the inventory. The purchase of reserves in place of 689 MBOE were due to multiple acquisitions of certain mineral and royalty interests.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248" w:lineRule="exact"/>
        <w:rPr>
          <w:sz w:val="20"/>
          <w:szCs w:val="20"/>
          <w:color w:val="auto"/>
        </w:rPr>
      </w:pPr>
    </w:p>
    <w:p>
      <w:pPr>
        <w:jc w:val="both"/>
        <w:ind w:firstLine="643"/>
        <w:spacing w:after="0" w:line="275" w:lineRule="auto"/>
        <w:rPr>
          <w:sz w:val="20"/>
          <w:szCs w:val="20"/>
          <w:color w:val="auto"/>
        </w:rPr>
      </w:pPr>
      <w:r>
        <w:rPr>
          <w:rFonts w:ascii="Arial" w:cs="Arial" w:eastAsia="Arial" w:hAnsi="Arial"/>
          <w:sz w:val="17"/>
          <w:szCs w:val="17"/>
          <w:color w:val="auto"/>
        </w:rPr>
        <w:t>The standardized measure of discounted future net cash flows are based on the unweighted average, first-day-of-the-month price. The projections should not be viewed as realistic estimates of future cash flows, nor should the “standardized measure” be interpreted as representing current value to the Partnership.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202"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following table sets forth the standardized measure of discounted future net cash flows attributable to the Partnership’s proved oil and natural gas reserves as of December 31, 2022, 2021 and 2020:</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193"/>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5"/>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10,072,969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5,763,433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2,460,052</w:t>
            </w:r>
          </w:p>
        </w:tc>
      </w:tr>
      <w:tr>
        <w:trPr>
          <w:trHeight w:val="227"/>
        </w:trPr>
        <w:tc>
          <w:tcPr>
            <w:tcW w:w="6060" w:type="dxa"/>
            <w:vAlign w:val="bottom"/>
          </w:tcPr>
          <w:p>
            <w:pPr>
              <w:ind w:left="20"/>
              <w:spacing w:after="0"/>
              <w:rPr>
                <w:sz w:val="20"/>
                <w:szCs w:val="20"/>
                <w:color w:val="auto"/>
              </w:rPr>
            </w:pPr>
            <w:r>
              <w:rPr>
                <w:rFonts w:ascii="Arial" w:cs="Arial" w:eastAsia="Arial" w:hAnsi="Arial"/>
                <w:sz w:val="18"/>
                <w:szCs w:val="18"/>
                <w:color w:val="auto"/>
              </w:rPr>
              <w:t>Future production taxes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(729,256)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(416,761)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(181,067)</w:t>
            </w: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(1,465,160)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(22,993)</w:t>
            </w:r>
          </w:p>
        </w:tc>
      </w:tr>
      <w:tr>
        <w:trPr>
          <w:trHeight w:val="221"/>
        </w:trPr>
        <w:tc>
          <w:tcPr>
            <w:tcW w:w="6060" w:type="dxa"/>
            <w:vAlign w:val="bottom"/>
          </w:tcPr>
          <w:p>
            <w:pPr>
              <w:ind w:left="220"/>
              <w:spacing w:after="0"/>
              <w:rPr>
                <w:sz w:val="20"/>
                <w:szCs w:val="20"/>
                <w:color w:val="auto"/>
              </w:rPr>
            </w:pPr>
            <w:r>
              <w:rPr>
                <w:rFonts w:ascii="Arial" w:cs="Arial" w:eastAsia="Arial" w:hAnsi="Arial"/>
                <w:sz w:val="18"/>
                <w:szCs w:val="18"/>
                <w:color w:val="auto"/>
              </w:rPr>
              <w:t>Future net cash flows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7,878,553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4,773,681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2,255,992</w:t>
            </w: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discount to reflect timing of cash flows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(4,424,457)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(2,680,564)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(1,232,398)</w:t>
            </w:r>
          </w:p>
        </w:tc>
      </w:tr>
      <w:tr>
        <w:trPr>
          <w:trHeight w:val="221"/>
        </w:trPr>
        <w:tc>
          <w:tcPr>
            <w:tcW w:w="6060" w:type="dxa"/>
            <w:vAlign w:val="bottom"/>
          </w:tcPr>
          <w:p>
            <w:pPr>
              <w:ind w:left="220"/>
              <w:spacing w:after="0"/>
              <w:rPr>
                <w:sz w:val="20"/>
                <w:szCs w:val="20"/>
                <w:color w:val="auto"/>
              </w:rPr>
            </w:pPr>
            <w:r>
              <w:rPr>
                <w:rFonts w:ascii="Arial" w:cs="Arial" w:eastAsia="Arial" w:hAnsi="Arial"/>
                <w:sz w:val="18"/>
                <w:szCs w:val="18"/>
                <w:color w:val="auto"/>
              </w:rPr>
              <w:t>Standardized measure of discounted future net cash flows</w:t>
            </w: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3,454,096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2,093,117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1,023,594</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firstLine="643"/>
        <w:spacing w:after="0" w:line="271" w:lineRule="auto"/>
        <w:rPr>
          <w:sz w:val="20"/>
          <w:szCs w:val="20"/>
          <w:color w:val="auto"/>
        </w:rPr>
      </w:pPr>
      <w:r>
        <w:rPr>
          <w:rFonts w:ascii="Arial" w:cs="Arial" w:eastAsia="Arial" w:hAnsi="Arial"/>
          <w:sz w:val="18"/>
          <w:szCs w:val="18"/>
          <w:color w:val="auto"/>
        </w:rPr>
        <w:t>The following table presents the weighted average first-day-of–the-month prices for oil, natural gas and natural gas liquids utilized in the computation of future cash inflows: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(per Bbl)</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r>
      <w:tr>
        <w:trPr>
          <w:trHeight w:val="227"/>
        </w:trPr>
        <w:tc>
          <w:tcPr>
            <w:tcW w:w="6060" w:type="dxa"/>
            <w:vAlign w:val="bottom"/>
          </w:tcPr>
          <w:p>
            <w:pPr>
              <w:ind w:left="20"/>
              <w:spacing w:after="0"/>
              <w:rPr>
                <w:sz w:val="20"/>
                <w:szCs w:val="20"/>
                <w:color w:val="auto"/>
              </w:rPr>
            </w:pPr>
            <w:r>
              <w:rPr>
                <w:rFonts w:ascii="Arial" w:cs="Arial" w:eastAsia="Arial" w:hAnsi="Arial"/>
                <w:sz w:val="18"/>
                <w:szCs w:val="18"/>
                <w:color w:val="auto"/>
              </w:rPr>
              <w:t>Natural gas (per Mcf)</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(per Bbl)</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bl>
    <w:p>
      <w:pPr>
        <w:spacing w:after="0" w:line="32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Principal changes in the standardized measure of discounted future net cash flows attributable to the Partnership’s proved reserves are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
        </w:trPr>
        <w:tc>
          <w:tcPr>
            <w:tcW w:w="7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8"/>
        </w:trPr>
        <w:tc>
          <w:tcPr>
            <w:tcW w:w="7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193"/>
        </w:trPr>
        <w:tc>
          <w:tcPr>
            <w:tcW w:w="7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5"/>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Standardized measure of discounted future net cash flows at the beginning of the period</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2,093,117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1,023,594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1,318,388</w:t>
            </w:r>
          </w:p>
        </w:tc>
      </w:tr>
      <w:tr>
        <w:trPr>
          <w:trHeight w:val="227"/>
        </w:trPr>
        <w:tc>
          <w:tcPr>
            <w:tcW w:w="7460" w:type="dxa"/>
            <w:vAlign w:val="bottom"/>
          </w:tcPr>
          <w:p>
            <w:pPr>
              <w:ind w:left="20"/>
              <w:spacing w:after="0"/>
              <w:rPr>
                <w:sz w:val="20"/>
                <w:szCs w:val="20"/>
                <w:color w:val="auto"/>
              </w:rPr>
            </w:pPr>
            <w:r>
              <w:rPr>
                <w:rFonts w:ascii="Arial" w:cs="Arial" w:eastAsia="Arial" w:hAnsi="Arial"/>
                <w:sz w:val="17"/>
                <w:szCs w:val="17"/>
                <w:color w:val="auto"/>
              </w:rPr>
              <w:t>Purchase of minerals in place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170,205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10,781</w:t>
            </w:r>
          </w:p>
        </w:tc>
      </w:tr>
      <w:tr>
        <w:trPr>
          <w:trHeight w:val="228"/>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Divestiture of reserves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r>
      <w:tr>
        <w:trPr>
          <w:trHeight w:val="227"/>
        </w:trPr>
        <w:tc>
          <w:tcPr>
            <w:tcW w:w="7460" w:type="dxa"/>
            <w:vAlign w:val="bottom"/>
          </w:tcPr>
          <w:p>
            <w:pPr>
              <w:ind w:left="20"/>
              <w:spacing w:after="0"/>
              <w:rPr>
                <w:sz w:val="20"/>
                <w:szCs w:val="20"/>
                <w:color w:val="auto"/>
              </w:rPr>
            </w:pPr>
            <w:r>
              <w:rPr>
                <w:rFonts w:ascii="Arial" w:cs="Arial" w:eastAsia="Arial" w:hAnsi="Arial"/>
                <w:sz w:val="17"/>
                <w:szCs w:val="17"/>
                <w:color w:val="auto"/>
              </w:rPr>
              <w:t>Sales of oil and natural gas, net of production costs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(781,604)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(468,976)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(227,137)</w:t>
            </w:r>
          </w:p>
        </w:tc>
      </w:tr>
      <w:tr>
        <w:trPr>
          <w:trHeight w:val="228"/>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Extensions and discoveries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280,486</w:t>
            </w:r>
          </w:p>
        </w:tc>
      </w:tr>
      <w:tr>
        <w:trPr>
          <w:trHeight w:val="227"/>
        </w:trPr>
        <w:tc>
          <w:tcPr>
            <w:tcW w:w="7460" w:type="dxa"/>
            <w:vAlign w:val="bottom"/>
          </w:tcPr>
          <w:p>
            <w:pPr>
              <w:ind w:left="20"/>
              <w:spacing w:after="0"/>
              <w:rPr>
                <w:sz w:val="20"/>
                <w:szCs w:val="20"/>
                <w:color w:val="auto"/>
              </w:rPr>
            </w:pPr>
            <w:r>
              <w:rPr>
                <w:rFonts w:ascii="Arial" w:cs="Arial" w:eastAsia="Arial" w:hAnsi="Arial"/>
                <w:sz w:val="17"/>
                <w:szCs w:val="17"/>
                <w:color w:val="auto"/>
              </w:rPr>
              <w:t>Net changes in prices and production costs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1,131,202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863,458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(465,582)</w:t>
            </w:r>
          </w:p>
        </w:tc>
      </w:tr>
      <w:tr>
        <w:trPr>
          <w:trHeight w:val="228"/>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Revisions of previous quantity estimates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(87,614)</w:t>
            </w:r>
          </w:p>
        </w:tc>
      </w:tr>
      <w:tr>
        <w:trPr>
          <w:trHeight w:val="227"/>
        </w:trPr>
        <w:tc>
          <w:tcPr>
            <w:tcW w:w="7460" w:type="dxa"/>
            <w:vAlign w:val="bottom"/>
          </w:tcPr>
          <w:p>
            <w:pPr>
              <w:ind w:left="20"/>
              <w:spacing w:after="0"/>
              <w:rPr>
                <w:sz w:val="20"/>
                <w:szCs w:val="20"/>
                <w:color w:val="auto"/>
              </w:rPr>
            </w:pPr>
            <w:r>
              <w:rPr>
                <w:rFonts w:ascii="Arial" w:cs="Arial" w:eastAsia="Arial" w:hAnsi="Arial"/>
                <w:sz w:val="17"/>
                <w:szCs w:val="17"/>
                <w:color w:val="auto"/>
              </w:rPr>
              <w:t>Net changes in income taxes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(393,652)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59,754</w:t>
            </w:r>
          </w:p>
        </w:tc>
      </w:tr>
      <w:tr>
        <w:trPr>
          <w:trHeight w:val="228"/>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Accretion of discount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138,901</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changes in timing of production and other</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r>
      <w:tr>
        <w:trPr>
          <w:trHeight w:val="246"/>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Standardized measure of discounted future net cash flows at the end of the period</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3,454,096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2,093,117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1,023,594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40"/>
          </w:cols>
          <w:pgMar w:left="320" w:top="121" w:right="33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NINTH AMENDMENT</w:t>
      </w:r>
    </w:p>
    <w:p>
      <w:pPr>
        <w:spacing w:after="0" w:line="227"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TO</w:t>
      </w:r>
    </w:p>
    <w:p>
      <w:pPr>
        <w:spacing w:after="0" w:line="214" w:lineRule="exact"/>
        <w:rPr>
          <w:sz w:val="20"/>
          <w:szCs w:val="20"/>
          <w:color w:val="auto"/>
        </w:rPr>
      </w:pPr>
    </w:p>
    <w:p>
      <w:pPr>
        <w:ind w:left="480"/>
        <w:spacing w:after="0"/>
        <w:rPr>
          <w:sz w:val="20"/>
          <w:szCs w:val="20"/>
          <w:color w:val="auto"/>
        </w:rPr>
      </w:pPr>
      <w:r>
        <w:rPr>
          <w:rFonts w:ascii="Arial" w:cs="Arial" w:eastAsia="Arial" w:hAnsi="Arial"/>
          <w:sz w:val="21"/>
          <w:szCs w:val="21"/>
          <w:color w:val="auto"/>
        </w:rPr>
        <w:t>AMENDED AND RESTATED SENIOR SECURED REVOLVING CREDIT AGREEMENT</w:t>
      </w:r>
    </w:p>
    <w:p>
      <w:pPr>
        <w:spacing w:after="0" w:line="187" w:lineRule="exact"/>
        <w:rPr>
          <w:sz w:val="20"/>
          <w:szCs w:val="20"/>
          <w:color w:val="auto"/>
        </w:rPr>
      </w:pPr>
    </w:p>
    <w:p>
      <w:pPr>
        <w:ind w:left="2800"/>
        <w:spacing w:after="0"/>
        <w:rPr>
          <w:sz w:val="20"/>
          <w:szCs w:val="20"/>
          <w:color w:val="auto"/>
        </w:rPr>
      </w:pPr>
      <w:r>
        <w:rPr>
          <w:rFonts w:ascii="Arial" w:cs="Arial" w:eastAsia="Arial" w:hAnsi="Arial"/>
          <w:sz w:val="21"/>
          <w:szCs w:val="21"/>
          <w:color w:val="auto"/>
        </w:rPr>
        <w:t>DATED AS OF NOVEMBER 18, 2022</w:t>
      </w:r>
    </w:p>
    <w:p>
      <w:pPr>
        <w:spacing w:after="0" w:line="187"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AMONG</w:t>
      </w:r>
    </w:p>
    <w:p>
      <w:pPr>
        <w:spacing w:after="0" w:line="178" w:lineRule="exact"/>
        <w:rPr>
          <w:sz w:val="20"/>
          <w:szCs w:val="20"/>
          <w:color w:val="auto"/>
        </w:rPr>
      </w:pPr>
    </w:p>
    <w:p>
      <w:pPr>
        <w:ind w:left="2920"/>
        <w:spacing w:after="0"/>
        <w:rPr>
          <w:sz w:val="20"/>
          <w:szCs w:val="20"/>
          <w:color w:val="auto"/>
        </w:rPr>
      </w:pPr>
      <w:r>
        <w:rPr>
          <w:rFonts w:ascii="Arial" w:cs="Arial" w:eastAsia="Arial" w:hAnsi="Arial"/>
          <w:sz w:val="21"/>
          <w:szCs w:val="21"/>
          <w:color w:val="auto"/>
        </w:rPr>
        <w:t>VIPER ENERGY PARTNERS LLC,</w:t>
      </w:r>
    </w:p>
    <w:p>
      <w:pPr>
        <w:ind w:left="3700"/>
        <w:spacing w:after="0"/>
        <w:rPr>
          <w:sz w:val="20"/>
          <w:szCs w:val="20"/>
          <w:color w:val="auto"/>
        </w:rPr>
      </w:pPr>
      <w:r>
        <w:rPr>
          <w:rFonts w:ascii="Arial" w:cs="Arial" w:eastAsia="Arial" w:hAnsi="Arial"/>
          <w:sz w:val="21"/>
          <w:szCs w:val="21"/>
          <w:color w:val="auto"/>
        </w:rPr>
        <w:t>AS BORROWER,</w:t>
      </w:r>
    </w:p>
    <w:p>
      <w:pPr>
        <w:spacing w:after="0" w:line="160" w:lineRule="exact"/>
        <w:rPr>
          <w:sz w:val="20"/>
          <w:szCs w:val="20"/>
          <w:color w:val="auto"/>
        </w:rPr>
      </w:pPr>
    </w:p>
    <w:p>
      <w:pPr>
        <w:ind w:left="3020"/>
        <w:spacing w:after="0"/>
        <w:rPr>
          <w:sz w:val="20"/>
          <w:szCs w:val="20"/>
          <w:color w:val="auto"/>
        </w:rPr>
      </w:pPr>
      <w:r>
        <w:rPr>
          <w:rFonts w:ascii="Arial" w:cs="Arial" w:eastAsia="Arial" w:hAnsi="Arial"/>
          <w:sz w:val="21"/>
          <w:szCs w:val="21"/>
          <w:color w:val="auto"/>
        </w:rPr>
        <w:t>VIPER ENERGY PARTNERS LP</w:t>
      </w:r>
    </w:p>
    <w:p>
      <w:pPr>
        <w:ind w:left="3200"/>
        <w:spacing w:after="0"/>
        <w:rPr>
          <w:sz w:val="20"/>
          <w:szCs w:val="20"/>
          <w:color w:val="auto"/>
        </w:rPr>
      </w:pPr>
      <w:r>
        <w:rPr>
          <w:rFonts w:ascii="Arial" w:cs="Arial" w:eastAsia="Arial" w:hAnsi="Arial"/>
          <w:sz w:val="21"/>
          <w:szCs w:val="21"/>
          <w:color w:val="auto"/>
        </w:rPr>
        <w:t>AS PARENT GUARANTOR,</w:t>
      </w:r>
    </w:p>
    <w:p>
      <w:pPr>
        <w:spacing w:after="0" w:line="160" w:lineRule="exact"/>
        <w:rPr>
          <w:sz w:val="20"/>
          <w:szCs w:val="20"/>
          <w:color w:val="auto"/>
        </w:rPr>
      </w:pPr>
    </w:p>
    <w:p>
      <w:pPr>
        <w:ind w:left="2080"/>
        <w:spacing w:after="0"/>
        <w:rPr>
          <w:sz w:val="20"/>
          <w:szCs w:val="20"/>
          <w:color w:val="auto"/>
        </w:rPr>
      </w:pPr>
      <w:r>
        <w:rPr>
          <w:rFonts w:ascii="Arial" w:cs="Arial" w:eastAsia="Arial" w:hAnsi="Arial"/>
          <w:sz w:val="21"/>
          <w:szCs w:val="21"/>
          <w:color w:val="auto"/>
        </w:rPr>
        <w:t>WELLS FARGO BANK, NATIONAL ASSOCIATION,</w:t>
      </w:r>
    </w:p>
    <w:p>
      <w:pPr>
        <w:jc w:val="center"/>
        <w:ind w:right="1120"/>
        <w:spacing w:after="0"/>
        <w:rPr>
          <w:sz w:val="20"/>
          <w:szCs w:val="20"/>
          <w:color w:val="auto"/>
        </w:rPr>
      </w:pPr>
      <w:r>
        <w:rPr>
          <w:rFonts w:ascii="Arial" w:cs="Arial" w:eastAsia="Arial" w:hAnsi="Arial"/>
          <w:sz w:val="21"/>
          <w:szCs w:val="21"/>
          <w:color w:val="auto"/>
        </w:rPr>
        <w:t>AS ADMINISTRATIVE AGENT,</w:t>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AND</w:t>
      </w:r>
    </w:p>
    <w:p>
      <w:pPr>
        <w:spacing w:after="0" w:line="241" w:lineRule="exact"/>
        <w:rPr>
          <w:sz w:val="20"/>
          <w:szCs w:val="20"/>
          <w:color w:val="auto"/>
        </w:rPr>
      </w:pPr>
    </w:p>
    <w:p>
      <w:pPr>
        <w:ind w:left="2960"/>
        <w:spacing w:after="0"/>
        <w:rPr>
          <w:sz w:val="20"/>
          <w:szCs w:val="20"/>
          <w:color w:val="auto"/>
        </w:rPr>
      </w:pPr>
      <w:r>
        <w:rPr>
          <w:rFonts w:ascii="Arial" w:cs="Arial" w:eastAsia="Arial" w:hAnsi="Arial"/>
          <w:sz w:val="21"/>
          <w:szCs w:val="21"/>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251460</wp:posOffset>
            </wp:positionV>
            <wp:extent cx="46253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4625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WELLS FARGO SECURITIES, LLC,</w:t>
      </w:r>
    </w:p>
    <w:p>
      <w:pPr>
        <w:jc w:val="center"/>
        <w:ind w:right="1120"/>
        <w:spacing w:after="0"/>
        <w:rPr>
          <w:sz w:val="20"/>
          <w:szCs w:val="20"/>
          <w:color w:val="auto"/>
        </w:rPr>
      </w:pPr>
      <w:r>
        <w:rPr>
          <w:rFonts w:ascii="Arial" w:cs="Arial" w:eastAsia="Arial" w:hAnsi="Arial"/>
          <w:sz w:val="21"/>
          <w:szCs w:val="21"/>
          <w:color w:val="auto"/>
        </w:rPr>
        <w:t>AS SOLE BOOK RUNNER AND SOLE LEAD ARRANGER</w:t>
      </w:r>
    </w:p>
    <w:p>
      <w:pPr>
        <w:spacing w:after="0" w:line="160"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PNC BANK, NATIONAL ASSOCIATION AND TRUSIT BANK,</w:t>
      </w:r>
    </w:p>
    <w:p>
      <w:pPr>
        <w:jc w:val="center"/>
        <w:ind w:right="1120"/>
        <w:spacing w:after="0"/>
        <w:rPr>
          <w:sz w:val="20"/>
          <w:szCs w:val="20"/>
          <w:color w:val="auto"/>
        </w:rPr>
      </w:pPr>
      <w:r>
        <w:rPr>
          <w:rFonts w:ascii="Arial" w:cs="Arial" w:eastAsia="Arial" w:hAnsi="Arial"/>
          <w:sz w:val="21"/>
          <w:szCs w:val="21"/>
          <w:color w:val="auto"/>
        </w:rPr>
        <w:t>AS CO-SYNDICATION AGENTS</w:t>
      </w:r>
    </w:p>
    <w:p>
      <w:pPr>
        <w:sectPr>
          <w:pgSz w:w="11900" w:h="16838" w:orient="portrait"/>
          <w:cols w:equalWidth="0" w:num="1">
            <w:col w:w="10120"/>
          </w:cols>
          <w:pgMar w:left="1440" w:top="104" w:right="339" w:bottom="1440" w:gutter="0" w:footer="0" w:header="0"/>
        </w:sectPr>
      </w:pPr>
    </w:p>
    <w:bookmarkStart w:id="100" w:name="page101"/>
    <w:bookmarkEnd w:id="100"/>
    <w:p>
      <w:pPr>
        <w:spacing w:after="0" w:line="105" w:lineRule="exact"/>
        <w:rPr>
          <w:sz w:val="20"/>
          <w:szCs w:val="20"/>
          <w:color w:val="auto"/>
        </w:rPr>
      </w:pPr>
    </w:p>
    <w:p>
      <w:pPr>
        <w:jc w:val="both"/>
        <w:ind w:firstLine="643"/>
        <w:spacing w:after="0" w:line="223"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NINTH AMENDMENT TO AMENDED AND RESTATED SENIOR SECURED REVOLVING CREDIT</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AGREEMENT </w:t>
      </w:r>
      <w:r>
        <w:rPr>
          <w:rFonts w:ascii="Arial" w:cs="Arial" w:eastAsia="Arial" w:hAnsi="Arial"/>
          <w:sz w:val="21"/>
          <w:szCs w:val="21"/>
          <w:color w:val="auto"/>
        </w:rPr>
        <w:t>(this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 November 18, 2022, is among: VIPER ENERGY PARTNERS LLC, a Delaware</w:t>
      </w:r>
      <w:r>
        <w:rPr>
          <w:rFonts w:ascii="Arial" w:cs="Arial" w:eastAsia="Arial" w:hAnsi="Arial"/>
          <w:sz w:val="21"/>
          <w:szCs w:val="21"/>
          <w:b w:val="1"/>
          <w:bCs w:val="1"/>
          <w:color w:val="auto"/>
        </w:rPr>
        <w:t xml:space="preserve"> </w:t>
      </w:r>
      <w:r>
        <w:rPr>
          <w:rFonts w:ascii="Arial" w:cs="Arial" w:eastAsia="Arial" w:hAnsi="Arial"/>
          <w:sz w:val="21"/>
          <w:szCs w:val="21"/>
          <w:color w:val="auto"/>
        </w:rPr>
        <w:t>limited liability company (the “</w:t>
      </w:r>
      <w:r>
        <w:rPr>
          <w:rFonts w:ascii="Arial" w:cs="Arial" w:eastAsia="Arial" w:hAnsi="Arial"/>
          <w:sz w:val="21"/>
          <w:szCs w:val="21"/>
          <w:u w:val="single" w:color="auto"/>
          <w:color w:val="auto"/>
        </w:rPr>
        <w:t>Borrower</w:t>
      </w:r>
      <w:r>
        <w:rPr>
          <w:rFonts w:ascii="Arial" w:cs="Arial" w:eastAsia="Arial" w:hAnsi="Arial"/>
          <w:sz w:val="21"/>
          <w:szCs w:val="21"/>
          <w:color w:val="auto"/>
        </w:rPr>
        <w:t xml:space="preserve"> ”); VIPER ENERGY PARTNERS LP, a Delaware limited partnership (the “</w:t>
      </w:r>
      <w:r>
        <w:rPr>
          <w:rFonts w:ascii="Arial" w:cs="Arial" w:eastAsia="Arial" w:hAnsi="Arial"/>
          <w:sz w:val="21"/>
          <w:szCs w:val="21"/>
          <w:u w:val="single" w:color="auto"/>
          <w:color w:val="auto"/>
        </w:rPr>
        <w:t>Parent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Guarantor</w:t>
      </w:r>
      <w:r>
        <w:rPr>
          <w:rFonts w:ascii="Arial" w:cs="Arial" w:eastAsia="Arial" w:hAnsi="Arial"/>
          <w:sz w:val="21"/>
          <w:szCs w:val="21"/>
          <w:color w:val="auto"/>
        </w:rPr>
        <w:t>”); each of the Lenders, as such term is defined in the Credit Agreement referred to below, party hereto; and WELLS FARGO BANK, NATIONAL ASSOCIATION, as administrative agent for the Lenders (in such capacity, together with its successors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 E C I T A L S</w:t>
      </w:r>
    </w:p>
    <w:p>
      <w:pPr>
        <w:spacing w:after="0" w:line="193" w:lineRule="exact"/>
        <w:rPr>
          <w:sz w:val="20"/>
          <w:szCs w:val="20"/>
          <w:color w:val="auto"/>
        </w:rPr>
      </w:pPr>
    </w:p>
    <w:p>
      <w:pPr>
        <w:jc w:val="both"/>
        <w:ind w:firstLine="650"/>
        <w:spacing w:after="0" w:line="245" w:lineRule="auto"/>
        <w:tabs>
          <w:tab w:leader="none" w:pos="115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Borrower, the Administrative Agent and the Lenders are parties to that certain Amended and Restated Senior Secured Revolving Credit Agreement, dated as of July 20, 2018 (as amended and supplemented prior to the date hereof,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pursuant to which the Lenders have made certain credit available to and on behalf of the Borrower.</w:t>
      </w:r>
    </w:p>
    <w:p>
      <w:pPr>
        <w:spacing w:after="0" w:line="152" w:lineRule="exact"/>
        <w:rPr>
          <w:rFonts w:ascii="Arial" w:cs="Arial" w:eastAsia="Arial" w:hAnsi="Arial"/>
          <w:sz w:val="20"/>
          <w:szCs w:val="20"/>
          <w:color w:val="auto"/>
        </w:rPr>
      </w:pPr>
    </w:p>
    <w:p>
      <w:pPr>
        <w:jc w:val="both"/>
        <w:ind w:firstLine="650"/>
        <w:spacing w:after="0" w:line="238" w:lineRule="auto"/>
        <w:tabs>
          <w:tab w:leader="none" w:pos="1098"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The parties hereto desire to enter into this Amendment to, among other things, (1) evidence the reaffirmation by the Required Lenders of the Borrowing Base at $580,000,000 in respect to the November 1, 2022 Scheduled Redetermination as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effective as of the Amendment Effective Date (as defined below), and (2) amend certain terms of the Credit Agreement, in each case, effective as of the Amendment Effective Date (as defined below).</w:t>
      </w:r>
    </w:p>
    <w:p>
      <w:pPr>
        <w:spacing w:after="0" w:line="158" w:lineRule="exact"/>
        <w:rPr>
          <w:rFonts w:ascii="Arial" w:cs="Arial" w:eastAsia="Arial" w:hAnsi="Arial"/>
          <w:sz w:val="20"/>
          <w:szCs w:val="20"/>
          <w:color w:val="auto"/>
        </w:rPr>
      </w:pPr>
    </w:p>
    <w:p>
      <w:pPr>
        <w:jc w:val="both"/>
        <w:ind w:firstLine="650"/>
        <w:spacing w:after="0" w:line="232" w:lineRule="auto"/>
        <w:tabs>
          <w:tab w:leader="none" w:pos="1292" w:val="left"/>
        </w:tabs>
        <w:numPr>
          <w:ilvl w:val="0"/>
          <w:numId w:val="40"/>
        </w:numPr>
        <w:rPr>
          <w:rFonts w:ascii="Arial" w:cs="Arial" w:eastAsia="Arial" w:hAnsi="Arial"/>
          <w:sz w:val="21"/>
          <w:szCs w:val="21"/>
          <w:color w:val="auto"/>
        </w:rPr>
      </w:pPr>
      <w:r>
        <w:rPr>
          <w:rFonts w:ascii="Arial" w:cs="Arial" w:eastAsia="Arial" w:hAnsi="Arial"/>
          <w:sz w:val="21"/>
          <w:szCs w:val="21"/>
          <w:color w:val="auto"/>
        </w:rPr>
        <w:t>Now, therefore, to induce the Administrative Agent and the Lenders to enter into this Amendment and in consideration of the premises and the mutual covenants herein contained, for good and valuable consideration, the receipt and sufficiency of which are hereby acknowledged, the parties hereto agree as follows:</w:t>
      </w:r>
    </w:p>
    <w:p>
      <w:pPr>
        <w:spacing w:after="0" w:line="15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010000"/>
        </w:rPr>
        <w:t xml:space="preserve">Section 1. </w:t>
      </w:r>
      <w:r>
        <w:rPr>
          <w:rFonts w:ascii="Arial" w:cs="Arial" w:eastAsia="Arial" w:hAnsi="Arial"/>
          <w:sz w:val="21"/>
          <w:szCs w:val="21"/>
          <w:u w:val="single" w:color="auto"/>
          <w:color w:val="000000"/>
        </w:rPr>
        <w:t>Defined Terms</w:t>
      </w:r>
      <w:r>
        <w:rPr>
          <w:rFonts w:ascii="Arial" w:cs="Arial" w:eastAsia="Arial" w:hAnsi="Arial"/>
          <w:sz w:val="21"/>
          <w:szCs w:val="21"/>
          <w:color w:val="000000"/>
        </w:rPr>
        <w:t>. Each capitalized term used herein but not otherwise defined herein has the meaning given</w:t>
      </w:r>
      <w:r>
        <w:rPr>
          <w:rFonts w:ascii="Arial" w:cs="Arial" w:eastAsia="Arial" w:hAnsi="Arial"/>
          <w:sz w:val="21"/>
          <w:szCs w:val="21"/>
          <w:color w:val="010000"/>
        </w:rPr>
        <w:t xml:space="preserve"> </w:t>
      </w:r>
      <w:r>
        <w:rPr>
          <w:rFonts w:ascii="Arial" w:cs="Arial" w:eastAsia="Arial" w:hAnsi="Arial"/>
          <w:sz w:val="21"/>
          <w:szCs w:val="21"/>
          <w:color w:val="000000"/>
        </w:rPr>
        <w:t>such term in the Credit Agreement, as amended by this Amendment. Unless otherwise indicated, all section references in this Amendment refer to sections of the Credit Agreement.</w:t>
      </w:r>
    </w:p>
    <w:p>
      <w:pPr>
        <w:spacing w:after="0" w:line="157" w:lineRule="exact"/>
        <w:rPr>
          <w:sz w:val="20"/>
          <w:szCs w:val="20"/>
          <w:color w:val="auto"/>
        </w:rPr>
      </w:pPr>
    </w:p>
    <w:p>
      <w:pPr>
        <w:jc w:val="both"/>
        <w:ind w:firstLine="643"/>
        <w:spacing w:after="0" w:line="295" w:lineRule="auto"/>
        <w:rPr>
          <w:sz w:val="20"/>
          <w:szCs w:val="20"/>
          <w:color w:val="auto"/>
        </w:rPr>
      </w:pPr>
      <w:r>
        <w:rPr>
          <w:rFonts w:ascii="Arial" w:cs="Arial" w:eastAsia="Arial" w:hAnsi="Arial"/>
          <w:sz w:val="19"/>
          <w:szCs w:val="19"/>
          <w:color w:val="010000"/>
        </w:rPr>
        <w:t xml:space="preserve">Section 2. </w:t>
      </w:r>
      <w:r>
        <w:rPr>
          <w:rFonts w:ascii="Arial" w:cs="Arial" w:eastAsia="Arial" w:hAnsi="Arial"/>
          <w:sz w:val="19"/>
          <w:szCs w:val="19"/>
          <w:u w:val="single" w:color="auto"/>
          <w:color w:val="000000"/>
        </w:rPr>
        <w:t>Amendments to Credit Agreement</w:t>
      </w:r>
      <w:r>
        <w:rPr>
          <w:rFonts w:ascii="Arial" w:cs="Arial" w:eastAsia="Arial" w:hAnsi="Arial"/>
          <w:sz w:val="19"/>
          <w:szCs w:val="19"/>
          <w:color w:val="000000"/>
        </w:rPr>
        <w:t>. In reliance on the representations, warranties, covenants and agreements</w:t>
      </w:r>
      <w:r>
        <w:rPr>
          <w:rFonts w:ascii="Arial" w:cs="Arial" w:eastAsia="Arial" w:hAnsi="Arial"/>
          <w:sz w:val="19"/>
          <w:szCs w:val="19"/>
          <w:color w:val="010000"/>
        </w:rPr>
        <w:t xml:space="preserve"> </w:t>
      </w:r>
      <w:r>
        <w:rPr>
          <w:rFonts w:ascii="Arial" w:cs="Arial" w:eastAsia="Arial" w:hAnsi="Arial"/>
          <w:sz w:val="19"/>
          <w:szCs w:val="19"/>
          <w:color w:val="000000"/>
        </w:rPr>
        <w:t xml:space="preserve">contained in this Amendment, and subject to the satisfaction of the conditions precedent set forth in </w:t>
      </w:r>
      <w:r>
        <w:rPr>
          <w:rFonts w:ascii="Arial" w:cs="Arial" w:eastAsia="Arial" w:hAnsi="Arial"/>
          <w:sz w:val="19"/>
          <w:szCs w:val="19"/>
          <w:u w:val="single" w:color="auto"/>
          <w:color w:val="000000"/>
        </w:rPr>
        <w:t>Section 5</w:t>
      </w:r>
      <w:r>
        <w:rPr>
          <w:rFonts w:ascii="Arial" w:cs="Arial" w:eastAsia="Arial" w:hAnsi="Arial"/>
          <w:sz w:val="19"/>
          <w:szCs w:val="19"/>
          <w:color w:val="000000"/>
        </w:rPr>
        <w:t xml:space="preserve"> hereof:</w:t>
      </w:r>
    </w:p>
    <w:p>
      <w:pPr>
        <w:spacing w:after="0" w:line="106"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010000"/>
        </w:rPr>
        <w:t xml:space="preserve">2.1 </w:t>
      </w:r>
      <w:r>
        <w:rPr>
          <w:rFonts w:ascii="Arial" w:cs="Arial" w:eastAsia="Arial" w:hAnsi="Arial"/>
          <w:sz w:val="21"/>
          <w:szCs w:val="21"/>
          <w:color w:val="000000"/>
        </w:rPr>
        <w:t>The Credit Agreement (other than the signature pages, Annexes, Exhibits and Schedules thereto) is hereby amended</w:t>
      </w:r>
      <w:r>
        <w:rPr>
          <w:rFonts w:ascii="Arial" w:cs="Arial" w:eastAsia="Arial" w:hAnsi="Arial"/>
          <w:sz w:val="21"/>
          <w:szCs w:val="21"/>
          <w:color w:val="010000"/>
        </w:rPr>
        <w:t xml:space="preserve"> </w:t>
      </w:r>
      <w:r>
        <w:rPr>
          <w:rFonts w:ascii="Arial" w:cs="Arial" w:eastAsia="Arial" w:hAnsi="Arial"/>
          <w:sz w:val="21"/>
          <w:szCs w:val="21"/>
          <w:color w:val="000000"/>
        </w:rPr>
        <w:t xml:space="preserve">and restated, effective as of the Amendment Effective Date, in its entirety as set forth in </w:t>
      </w:r>
      <w:r>
        <w:rPr>
          <w:rFonts w:ascii="Arial" w:cs="Arial" w:eastAsia="Arial" w:hAnsi="Arial"/>
          <w:sz w:val="21"/>
          <w:szCs w:val="21"/>
          <w:u w:val="single" w:color="auto"/>
          <w:color w:val="000000"/>
        </w:rPr>
        <w:t>Annex A</w:t>
      </w:r>
      <w:r>
        <w:rPr>
          <w:rFonts w:ascii="Arial" w:cs="Arial" w:eastAsia="Arial" w:hAnsi="Arial"/>
          <w:sz w:val="21"/>
          <w:szCs w:val="21"/>
          <w:color w:val="000000"/>
        </w:rPr>
        <w:t xml:space="preserve"> hereto;</w:t>
      </w:r>
    </w:p>
    <w:p>
      <w:pPr>
        <w:spacing w:after="0" w:line="152"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010000"/>
        </w:rPr>
        <w:t xml:space="preserve">2.2 </w:t>
      </w:r>
      <w:r>
        <w:rPr>
          <w:rFonts w:ascii="Arial" w:cs="Arial" w:eastAsia="Arial" w:hAnsi="Arial"/>
          <w:sz w:val="21"/>
          <w:szCs w:val="21"/>
          <w:color w:val="000000"/>
        </w:rPr>
        <w:t>Exhibit B of the Credit Agreement is hereby amended and restated, effective as of the Amendment Effective Date, in</w:t>
      </w:r>
      <w:r>
        <w:rPr>
          <w:rFonts w:ascii="Arial" w:cs="Arial" w:eastAsia="Arial" w:hAnsi="Arial"/>
          <w:sz w:val="21"/>
          <w:szCs w:val="21"/>
          <w:color w:val="010000"/>
        </w:rPr>
        <w:t xml:space="preserve"> </w:t>
      </w:r>
      <w:r>
        <w:rPr>
          <w:rFonts w:ascii="Arial" w:cs="Arial" w:eastAsia="Arial" w:hAnsi="Arial"/>
          <w:sz w:val="21"/>
          <w:szCs w:val="21"/>
          <w:color w:val="000000"/>
        </w:rPr>
        <w:t xml:space="preserve">its entirety as set forth in </w:t>
      </w:r>
      <w:r>
        <w:rPr>
          <w:rFonts w:ascii="Arial" w:cs="Arial" w:eastAsia="Arial" w:hAnsi="Arial"/>
          <w:sz w:val="21"/>
          <w:szCs w:val="21"/>
          <w:u w:val="single" w:color="auto"/>
          <w:color w:val="000000"/>
        </w:rPr>
        <w:t>Exhibit B</w:t>
      </w:r>
      <w:r>
        <w:rPr>
          <w:rFonts w:ascii="Arial" w:cs="Arial" w:eastAsia="Arial" w:hAnsi="Arial"/>
          <w:sz w:val="21"/>
          <w:szCs w:val="21"/>
          <w:color w:val="000000"/>
        </w:rPr>
        <w:t xml:space="preserve"> hereto; and</w:t>
      </w:r>
    </w:p>
    <w:p>
      <w:pPr>
        <w:spacing w:after="0" w:line="152"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010000"/>
        </w:rPr>
        <w:t xml:space="preserve">2.3 </w:t>
      </w:r>
      <w:r>
        <w:rPr>
          <w:rFonts w:ascii="Arial" w:cs="Arial" w:eastAsia="Arial" w:hAnsi="Arial"/>
          <w:sz w:val="21"/>
          <w:szCs w:val="21"/>
          <w:color w:val="000000"/>
        </w:rPr>
        <w:t>Exhibit C of the Credit Agreement is hereby amended and restated, effective as of the Amendment Effective Date, in</w:t>
      </w:r>
      <w:r>
        <w:rPr>
          <w:rFonts w:ascii="Arial" w:cs="Arial" w:eastAsia="Arial" w:hAnsi="Arial"/>
          <w:sz w:val="21"/>
          <w:szCs w:val="21"/>
          <w:color w:val="010000"/>
        </w:rPr>
        <w:t xml:space="preserve"> </w:t>
      </w:r>
      <w:r>
        <w:rPr>
          <w:rFonts w:ascii="Arial" w:cs="Arial" w:eastAsia="Arial" w:hAnsi="Arial"/>
          <w:sz w:val="21"/>
          <w:szCs w:val="21"/>
          <w:color w:val="000000"/>
        </w:rPr>
        <w:t xml:space="preserve">its entirety as set forth in </w:t>
      </w:r>
      <w:r>
        <w:rPr>
          <w:rFonts w:ascii="Arial" w:cs="Arial" w:eastAsia="Arial" w:hAnsi="Arial"/>
          <w:sz w:val="21"/>
          <w:szCs w:val="21"/>
          <w:u w:val="single" w:color="auto"/>
          <w:color w:val="000000"/>
        </w:rPr>
        <w:t>Exhibit C</w:t>
      </w:r>
      <w:r>
        <w:rPr>
          <w:rFonts w:ascii="Arial" w:cs="Arial" w:eastAsia="Arial" w:hAnsi="Arial"/>
          <w:sz w:val="21"/>
          <w:szCs w:val="21"/>
          <w:color w:val="000000"/>
        </w:rPr>
        <w:t xml:space="preserve"> hereto.</w:t>
      </w:r>
    </w:p>
    <w:p>
      <w:pPr>
        <w:spacing w:after="0" w:line="152"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010000"/>
        </w:rPr>
        <w:t xml:space="preserve">Section 3. </w:t>
      </w:r>
      <w:r>
        <w:rPr>
          <w:rFonts w:ascii="Arial" w:cs="Arial" w:eastAsia="Arial" w:hAnsi="Arial"/>
          <w:sz w:val="21"/>
          <w:szCs w:val="21"/>
          <w:u w:val="single" w:color="auto"/>
          <w:color w:val="000000"/>
        </w:rPr>
        <w:t>Borrowing Base Reaffirmation and Aggregate Elected Commitment Amounts</w:t>
      </w:r>
      <w:r>
        <w:rPr>
          <w:rFonts w:ascii="Arial" w:cs="Arial" w:eastAsia="Arial" w:hAnsi="Arial"/>
          <w:sz w:val="21"/>
          <w:szCs w:val="21"/>
          <w:color w:val="000000"/>
        </w:rPr>
        <w:t>. In reliance on the covenants</w:t>
      </w:r>
      <w:r>
        <w:rPr>
          <w:rFonts w:ascii="Arial" w:cs="Arial" w:eastAsia="Arial" w:hAnsi="Arial"/>
          <w:sz w:val="21"/>
          <w:szCs w:val="21"/>
          <w:color w:val="010000"/>
        </w:rPr>
        <w:t xml:space="preserve"> </w:t>
      </w:r>
      <w:r>
        <w:rPr>
          <w:rFonts w:ascii="Arial" w:cs="Arial" w:eastAsia="Arial" w:hAnsi="Arial"/>
          <w:sz w:val="21"/>
          <w:szCs w:val="21"/>
          <w:color w:val="000000"/>
        </w:rPr>
        <w:t xml:space="preserve">and agreements contained in this Amendment, and subject to the satisfaction of the conditions precedent set forth in </w:t>
      </w:r>
      <w:r>
        <w:rPr>
          <w:rFonts w:ascii="Arial" w:cs="Arial" w:eastAsia="Arial" w:hAnsi="Arial"/>
          <w:sz w:val="21"/>
          <w:szCs w:val="21"/>
          <w:u w:val="single" w:color="auto"/>
          <w:color w:val="000000"/>
        </w:rPr>
        <w:t>Section 5</w:t>
      </w:r>
      <w:r>
        <w:rPr>
          <w:rFonts w:ascii="Arial" w:cs="Arial" w:eastAsia="Arial" w:hAnsi="Arial"/>
          <w:sz w:val="21"/>
          <w:szCs w:val="21"/>
          <w:color w:val="000000"/>
        </w:rPr>
        <w:t xml:space="preserve"> hereof, the Administrative Agent and the Required Lenders hereby agree that the Borrowing Base is hereby reaffirmed at $580,000,000, and the Borrowing Base shall remain at $580,000,000 until the next Scheduled Redetermination, Interim Redetermination, or other redetermination or adjustment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11"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 xml:space="preserve">the Borrowing Base thereafter, whichever occurs first pursuant to the terms of the Credit Agreement. The Borrower, the Administrative Agent and the Lenders hereby agree that the redetermination of the Borrowing Base provided for in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shall constitute the Scheduled Redetermination scheduled for November 1, 2022 for purposes of Section 2.07(b) of the Credit Agreement. This Section 3 constitutes a New Borrowing Base Notice received by the Borrower in accordance with Section 2.07(d) of the Credit Agreement. The new Borrowing Base determined pursuant to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shall be effective as of the Amendment Effective Date, notwithstanding the effective date that would otherwise be applicable to a redetermination pursuant to Section 2.07(d) of the Credit Agreement. The Borrower agrees and confirms that, as of the Amendment Effective Date, the Aggregate Elected Commitment Amounts remain at $500,000,000.</w:t>
      </w:r>
    </w:p>
    <w:p>
      <w:pPr>
        <w:spacing w:after="0" w:line="157" w:lineRule="exact"/>
        <w:rPr>
          <w:sz w:val="20"/>
          <w:szCs w:val="20"/>
          <w:color w:val="auto"/>
        </w:rPr>
      </w:pPr>
    </w:p>
    <w:p>
      <w:pPr>
        <w:jc w:val="both"/>
        <w:ind w:firstLine="643"/>
        <w:spacing w:after="0" w:line="218" w:lineRule="auto"/>
        <w:rPr>
          <w:sz w:val="20"/>
          <w:szCs w:val="20"/>
          <w:color w:val="auto"/>
        </w:rPr>
      </w:pPr>
      <w:r>
        <w:rPr>
          <w:rFonts w:ascii="Arial" w:cs="Arial" w:eastAsia="Arial" w:hAnsi="Arial"/>
          <w:sz w:val="21"/>
          <w:szCs w:val="21"/>
          <w:color w:val="010000"/>
        </w:rPr>
        <w:t xml:space="preserve">Section 4. </w:t>
      </w:r>
      <w:r>
        <w:rPr>
          <w:rFonts w:ascii="Arial" w:cs="Arial" w:eastAsia="Arial" w:hAnsi="Arial"/>
          <w:sz w:val="21"/>
          <w:szCs w:val="21"/>
          <w:u w:val="single" w:color="auto"/>
          <w:color w:val="000000"/>
        </w:rPr>
        <w:t>Existing Eurodollar Loans</w:t>
      </w:r>
      <w:r>
        <w:rPr>
          <w:rFonts w:ascii="Arial" w:cs="Arial" w:eastAsia="Arial" w:hAnsi="Arial"/>
          <w:sz w:val="21"/>
          <w:szCs w:val="21"/>
          <w:color w:val="000000"/>
        </w:rPr>
        <w:t>. Notwithstanding anything to the contrary in this Amendment or in the Credit</w:t>
      </w:r>
      <w:r>
        <w:rPr>
          <w:rFonts w:ascii="Arial" w:cs="Arial" w:eastAsia="Arial" w:hAnsi="Arial"/>
          <w:sz w:val="21"/>
          <w:szCs w:val="21"/>
          <w:color w:val="010000"/>
        </w:rPr>
        <w:t xml:space="preserve"> </w:t>
      </w:r>
      <w:r>
        <w:rPr>
          <w:rFonts w:ascii="Arial" w:cs="Arial" w:eastAsia="Arial" w:hAnsi="Arial"/>
          <w:sz w:val="21"/>
          <w:szCs w:val="21"/>
          <w:color w:val="000000"/>
        </w:rPr>
        <w:t xml:space="preserve">Agreement (as amended hereby), all “Eurodollar Loans” (under and as defined in the Credit Agreement as in effect immediately prior to giving effect to this Amendment) outstanding immediately prior to the effectiveness of this Amendment shall, on the Amendment Effective Date, be rearranged and converted into a new SOFR Borrowing consisting of SOFR Loans with an Interest Period of one-month’s duration (commencing on the Amendment Effective Date), and which SOFR Loans shall thereafter be subject to the terms and conditions of the Credit Agreement (as amended hereby). In connection with such rearrangement and conversion, the Borrower shall deliver any such Interest Election Request as the Administrative Agent may reasonably request. Each Lender hereby waives any payments owing to such Lender that would otherwise be required under Section 5.02 of the Credit Agreement (prior to giving effect to this Amendment) in connection with or as a result of the rearrangement and conversion contemplated by this </w:t>
      </w:r>
      <w:r>
        <w:rPr>
          <w:rFonts w:ascii="Arial" w:cs="Arial" w:eastAsia="Arial" w:hAnsi="Arial"/>
          <w:sz w:val="21"/>
          <w:szCs w:val="21"/>
          <w:u w:val="single" w:color="auto"/>
          <w:color w:val="000000"/>
        </w:rPr>
        <w:t>Section 4</w:t>
      </w:r>
      <w:r>
        <w:rPr>
          <w:rFonts w:ascii="Arial" w:cs="Arial" w:eastAsia="Arial" w:hAnsi="Arial"/>
          <w:sz w:val="21"/>
          <w:szCs w:val="21"/>
          <w:color w:val="000000"/>
        </w:rPr>
        <w:t>.</w:t>
      </w:r>
    </w:p>
    <w:p>
      <w:pPr>
        <w:spacing w:after="0" w:line="163"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010000"/>
        </w:rPr>
        <w:t xml:space="preserve">Section 5. </w:t>
      </w:r>
      <w:r>
        <w:rPr>
          <w:rFonts w:ascii="Arial" w:cs="Arial" w:eastAsia="Arial" w:hAnsi="Arial"/>
          <w:sz w:val="21"/>
          <w:szCs w:val="21"/>
          <w:u w:val="single" w:color="auto"/>
          <w:color w:val="000000"/>
        </w:rPr>
        <w:t>Conditions Precedent to Amendment Effective Date</w:t>
      </w:r>
      <w:r>
        <w:rPr>
          <w:rFonts w:ascii="Arial" w:cs="Arial" w:eastAsia="Arial" w:hAnsi="Arial"/>
          <w:sz w:val="21"/>
          <w:szCs w:val="21"/>
          <w:color w:val="000000"/>
        </w:rPr>
        <w:t>. This Amendment shall become effective on the date</w:t>
      </w:r>
      <w:r>
        <w:rPr>
          <w:rFonts w:ascii="Arial" w:cs="Arial" w:eastAsia="Arial" w:hAnsi="Arial"/>
          <w:sz w:val="21"/>
          <w:szCs w:val="21"/>
          <w:color w:val="010000"/>
        </w:rPr>
        <w:t xml:space="preserve"> </w:t>
      </w:r>
      <w:r>
        <w:rPr>
          <w:rFonts w:ascii="Arial" w:cs="Arial" w:eastAsia="Arial" w:hAnsi="Arial"/>
          <w:sz w:val="21"/>
          <w:szCs w:val="21"/>
          <w:color w:val="000000"/>
        </w:rPr>
        <w:t>(such date, the “</w:t>
      </w:r>
      <w:r>
        <w:rPr>
          <w:rFonts w:ascii="Arial" w:cs="Arial" w:eastAsia="Arial" w:hAnsi="Arial"/>
          <w:sz w:val="21"/>
          <w:szCs w:val="21"/>
          <w:u w:val="single" w:color="auto"/>
          <w:color w:val="000000"/>
        </w:rPr>
        <w:t>Amendment Effective Date</w:t>
      </w:r>
      <w:r>
        <w:rPr>
          <w:rFonts w:ascii="Arial" w:cs="Arial" w:eastAsia="Arial" w:hAnsi="Arial"/>
          <w:sz w:val="21"/>
          <w:szCs w:val="21"/>
          <w:color w:val="000000"/>
        </w:rPr>
        <w:t>”), when each of the following conditions is satisfied (or waived in accordance with Section 12.02 of the Credit Agreement):</w:t>
      </w:r>
    </w:p>
    <w:p>
      <w:pPr>
        <w:spacing w:after="0" w:line="15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010000"/>
        </w:rPr>
        <w:t xml:space="preserve">5.1 </w:t>
      </w:r>
      <w:r>
        <w:rPr>
          <w:rFonts w:ascii="Arial" w:cs="Arial" w:eastAsia="Arial" w:hAnsi="Arial"/>
          <w:sz w:val="21"/>
          <w:szCs w:val="21"/>
          <w:color w:val="000000"/>
        </w:rPr>
        <w:t>The Administrative Agent shall have received from each of the Lenders, the Parent Guarantor, and the Borrower,</w:t>
      </w:r>
      <w:r>
        <w:rPr>
          <w:rFonts w:ascii="Arial" w:cs="Arial" w:eastAsia="Arial" w:hAnsi="Arial"/>
          <w:sz w:val="21"/>
          <w:szCs w:val="21"/>
          <w:color w:val="010000"/>
        </w:rPr>
        <w:t xml:space="preserve"> </w:t>
      </w:r>
      <w:r>
        <w:rPr>
          <w:rFonts w:ascii="Arial" w:cs="Arial" w:eastAsia="Arial" w:hAnsi="Arial"/>
          <w:sz w:val="21"/>
          <w:szCs w:val="21"/>
          <w:color w:val="000000"/>
        </w:rPr>
        <w:t>counterparts (in such number as may be requested by the Administrative Agent) of this Amendment signed on behalf of such Person.</w:t>
      </w:r>
    </w:p>
    <w:p>
      <w:pPr>
        <w:spacing w:after="0" w:line="157" w:lineRule="exact"/>
        <w:rPr>
          <w:sz w:val="20"/>
          <w:szCs w:val="20"/>
          <w:color w:val="auto"/>
        </w:rPr>
      </w:pPr>
    </w:p>
    <w:p>
      <w:pPr>
        <w:jc w:val="both"/>
        <w:ind w:right="20" w:firstLine="643"/>
        <w:spacing w:after="0" w:line="232" w:lineRule="auto"/>
        <w:rPr>
          <w:sz w:val="20"/>
          <w:szCs w:val="20"/>
          <w:color w:val="auto"/>
        </w:rPr>
      </w:pPr>
      <w:r>
        <w:rPr>
          <w:rFonts w:ascii="Arial" w:cs="Arial" w:eastAsia="Arial" w:hAnsi="Arial"/>
          <w:sz w:val="21"/>
          <w:szCs w:val="21"/>
          <w:color w:val="010000"/>
        </w:rPr>
        <w:t xml:space="preserve">5.2 </w:t>
      </w:r>
      <w:r>
        <w:rPr>
          <w:rFonts w:ascii="Arial" w:cs="Arial" w:eastAsia="Arial" w:hAnsi="Arial"/>
          <w:sz w:val="21"/>
          <w:szCs w:val="21"/>
          <w:color w:val="000000"/>
        </w:rPr>
        <w:t>The Administrative Agent and the Lenders shall have received all fees and other amounts due and payable on or prior</w:t>
      </w:r>
      <w:r>
        <w:rPr>
          <w:rFonts w:ascii="Arial" w:cs="Arial" w:eastAsia="Arial" w:hAnsi="Arial"/>
          <w:sz w:val="21"/>
          <w:szCs w:val="21"/>
          <w:color w:val="010000"/>
        </w:rPr>
        <w:t xml:space="preserve"> </w:t>
      </w:r>
      <w:r>
        <w:rPr>
          <w:rFonts w:ascii="Arial" w:cs="Arial" w:eastAsia="Arial" w:hAnsi="Arial"/>
          <w:sz w:val="21"/>
          <w:szCs w:val="21"/>
          <w:color w:val="000000"/>
        </w:rPr>
        <w:t>to the date hereof, including, to the extent invoiced, reimbursement or payment of all documented out-of-pocket expenses required to be reimbursed or paid by the Borrower under the Credit Agreement.</w:t>
      </w:r>
    </w:p>
    <w:p>
      <w:pPr>
        <w:spacing w:after="0" w:line="15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010000"/>
        </w:rPr>
        <w:t xml:space="preserve">5.3 </w:t>
      </w:r>
      <w:r>
        <w:rPr>
          <w:rFonts w:ascii="Arial" w:cs="Arial" w:eastAsia="Arial" w:hAnsi="Arial"/>
          <w:sz w:val="21"/>
          <w:szCs w:val="21"/>
          <w:color w:val="000000"/>
        </w:rPr>
        <w:t>No Default shall have occurred and be continuing as of the date hereof, after giving effect to the terms of this</w:t>
      </w:r>
      <w:r>
        <w:rPr>
          <w:rFonts w:ascii="Arial" w:cs="Arial" w:eastAsia="Arial" w:hAnsi="Arial"/>
          <w:sz w:val="21"/>
          <w:szCs w:val="21"/>
          <w:color w:val="010000"/>
        </w:rPr>
        <w:t xml:space="preserve"> </w:t>
      </w:r>
      <w:r>
        <w:rPr>
          <w:rFonts w:ascii="Arial" w:cs="Arial" w:eastAsia="Arial" w:hAnsi="Arial"/>
          <w:sz w:val="21"/>
          <w:szCs w:val="21"/>
          <w:color w:val="000000"/>
        </w:rPr>
        <w:t>Amendment.</w:t>
      </w:r>
    </w:p>
    <w:p>
      <w:pPr>
        <w:spacing w:after="0" w:line="152"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 xml:space="preserve">The Administrative Agent is hereby authorized and directed to declare the Amendment Effective Date to have occurred when it has received documents confirming or certifying, to the satisfaction of the Administrative Agent, compliance with the conditions set forth in this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or the waiver of such conditions as permitted in Section 12.02 of the Credit Agreement. Such declaration shall be final, conclusive and binding upon all parties to the Credit Agreement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11"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21"/>
          <w:szCs w:val="21"/>
          <w:color w:val="010000"/>
        </w:rPr>
        <w:t>Section 6.</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87" w:lineRule="exact"/>
        <w:rPr>
          <w:sz w:val="20"/>
          <w:szCs w:val="20"/>
          <w:color w:val="auto"/>
        </w:rPr>
      </w:pPr>
    </w:p>
    <w:p>
      <w:pPr>
        <w:ind w:right="20" w:firstLine="643"/>
        <w:spacing w:after="0" w:line="244" w:lineRule="auto"/>
        <w:rPr>
          <w:sz w:val="20"/>
          <w:szCs w:val="20"/>
          <w:color w:val="auto"/>
        </w:rPr>
      </w:pPr>
      <w:r>
        <w:rPr>
          <w:rFonts w:ascii="Arial" w:cs="Arial" w:eastAsia="Arial" w:hAnsi="Arial"/>
          <w:sz w:val="21"/>
          <w:szCs w:val="21"/>
          <w:color w:val="010000"/>
        </w:rPr>
        <w:t xml:space="preserve">6.1 </w:t>
      </w:r>
      <w:r>
        <w:rPr>
          <w:rFonts w:ascii="Arial" w:cs="Arial" w:eastAsia="Arial" w:hAnsi="Arial"/>
          <w:sz w:val="21"/>
          <w:szCs w:val="21"/>
          <w:u w:val="single" w:color="auto"/>
          <w:color w:val="000000"/>
        </w:rPr>
        <w:t>Confirmation</w:t>
      </w:r>
      <w:r>
        <w:rPr>
          <w:rFonts w:ascii="Arial" w:cs="Arial" w:eastAsia="Arial" w:hAnsi="Arial"/>
          <w:sz w:val="21"/>
          <w:szCs w:val="21"/>
          <w:color w:val="000000"/>
        </w:rPr>
        <w:t>. The provisions of the Credit Agreement, as amended by this Amendment, shall remain in full force</w:t>
      </w:r>
      <w:r>
        <w:rPr>
          <w:rFonts w:ascii="Arial" w:cs="Arial" w:eastAsia="Arial" w:hAnsi="Arial"/>
          <w:sz w:val="21"/>
          <w:szCs w:val="21"/>
          <w:color w:val="010000"/>
        </w:rPr>
        <w:t xml:space="preserve"> </w:t>
      </w:r>
      <w:r>
        <w:rPr>
          <w:rFonts w:ascii="Arial" w:cs="Arial" w:eastAsia="Arial" w:hAnsi="Arial"/>
          <w:sz w:val="21"/>
          <w:szCs w:val="21"/>
          <w:color w:val="000000"/>
        </w:rPr>
        <w:t>and effect following the effectiveness of this Amendment.</w:t>
      </w:r>
    </w:p>
    <w:p>
      <w:pPr>
        <w:spacing w:after="0" w:line="142"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21"/>
          <w:szCs w:val="21"/>
          <w:color w:val="010000"/>
        </w:rPr>
        <w:t>6.2</w:t>
      </w:r>
      <w:r>
        <w:rPr>
          <w:sz w:val="20"/>
          <w:szCs w:val="20"/>
          <w:color w:val="auto"/>
        </w:rPr>
        <w:tab/>
      </w:r>
      <w:r>
        <w:rPr>
          <w:rFonts w:ascii="Arial" w:cs="Arial" w:eastAsia="Arial" w:hAnsi="Arial"/>
          <w:sz w:val="19"/>
          <w:szCs w:val="19"/>
          <w:u w:val="single" w:color="auto"/>
          <w:color w:val="auto"/>
        </w:rPr>
        <w:t>Ratification and Affirmation; Representations and Warranties</w:t>
      </w:r>
      <w:r>
        <w:rPr>
          <w:rFonts w:ascii="Arial" w:cs="Arial" w:eastAsia="Arial" w:hAnsi="Arial"/>
          <w:sz w:val="19"/>
          <w:szCs w:val="19"/>
          <w:color w:val="auto"/>
        </w:rPr>
        <w:t>. Each of the Parent Guarantor and the Borrower hereby</w:t>
      </w:r>
    </w:p>
    <w:p>
      <w:pPr>
        <w:jc w:val="both"/>
        <w:ind w:firstLine="7"/>
        <w:spacing w:after="0" w:line="235" w:lineRule="auto"/>
        <w:tabs>
          <w:tab w:leader="none" w:pos="3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ratifies and affirms its obligations under, and acknowledges its continued liability under, each Loan Document to which it is a party and agrees that each Loan Document to which it is a party remains in full force and effect as expressly amended hereby and</w:t>
      </w:r>
    </w:p>
    <w:p>
      <w:pPr>
        <w:ind w:left="320" w:hanging="313"/>
        <w:spacing w:after="0"/>
        <w:tabs>
          <w:tab w:leader="none" w:pos="3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represents and warrants to the Lenders that as of the date hereof, after giving effect to the terms of this Amendment:</w:t>
      </w:r>
    </w:p>
    <w:p>
      <w:pPr>
        <w:spacing w:after="0" w:line="168" w:lineRule="exact"/>
        <w:rPr>
          <w:rFonts w:ascii="Arial" w:cs="Arial" w:eastAsia="Arial" w:hAnsi="Arial"/>
          <w:sz w:val="21"/>
          <w:szCs w:val="21"/>
          <w:color w:val="auto"/>
        </w:rPr>
      </w:pPr>
    </w:p>
    <w:p>
      <w:pPr>
        <w:jc w:val="both"/>
        <w:ind w:left="640" w:firstLine="653"/>
        <w:spacing w:after="0" w:line="222" w:lineRule="auto"/>
        <w:tabs>
          <w:tab w:leader="none" w:pos="1739" w:val="left"/>
        </w:tabs>
        <w:numPr>
          <w:ilvl w:val="1"/>
          <w:numId w:val="41"/>
        </w:numPr>
        <w:rPr>
          <w:rFonts w:ascii="Arial" w:cs="Arial" w:eastAsia="Arial" w:hAnsi="Arial"/>
          <w:sz w:val="21"/>
          <w:szCs w:val="21"/>
          <w:color w:val="010000"/>
        </w:rPr>
      </w:pPr>
      <w:r>
        <w:rPr>
          <w:rFonts w:ascii="Arial" w:cs="Arial" w:eastAsia="Arial" w:hAnsi="Arial"/>
          <w:sz w:val="21"/>
          <w:szCs w:val="21"/>
          <w:color w:val="auto"/>
        </w:rPr>
        <w:t>all of the representations and warranties contained in each Loan Document to which it is a party are true and correct in all material respects (or, if already qualified by materiality, Material Adverse Effect or a similar qualification, true and correct in all respects), except to the extent any such representations and warranties are expressly limited to an earlier date, in which case such representations and warranties shall be true and correct in all material respects (or, if already qualified by materiality, Material Adverse Effect or a similar qualification, true and correct in all respects) as of such specified earlier date; and</w:t>
      </w:r>
    </w:p>
    <w:p>
      <w:pPr>
        <w:spacing w:after="0" w:line="159" w:lineRule="exact"/>
        <w:rPr>
          <w:rFonts w:ascii="Arial" w:cs="Arial" w:eastAsia="Arial" w:hAnsi="Arial"/>
          <w:sz w:val="21"/>
          <w:szCs w:val="21"/>
          <w:color w:val="010000"/>
        </w:rPr>
      </w:pPr>
    </w:p>
    <w:p>
      <w:pPr>
        <w:ind w:left="1760" w:hanging="467"/>
        <w:spacing w:after="0"/>
        <w:tabs>
          <w:tab w:leader="none" w:pos="1760" w:val="left"/>
        </w:tabs>
        <w:numPr>
          <w:ilvl w:val="1"/>
          <w:numId w:val="41"/>
        </w:numPr>
        <w:rPr>
          <w:rFonts w:ascii="Arial" w:cs="Arial" w:eastAsia="Arial" w:hAnsi="Arial"/>
          <w:sz w:val="21"/>
          <w:szCs w:val="21"/>
          <w:color w:val="010000"/>
        </w:rPr>
      </w:pPr>
      <w:r>
        <w:rPr>
          <w:rFonts w:ascii="Arial" w:cs="Arial" w:eastAsia="Arial" w:hAnsi="Arial"/>
          <w:sz w:val="21"/>
          <w:szCs w:val="21"/>
          <w:color w:val="auto"/>
        </w:rPr>
        <w:t>no Default or Event of Default has occurred and is continuing.</w:t>
      </w:r>
    </w:p>
    <w:p>
      <w:pPr>
        <w:spacing w:after="0" w:line="187"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9"/>
          <w:szCs w:val="19"/>
          <w:color w:val="010000"/>
        </w:rPr>
        <w:t xml:space="preserve">6.3 </w:t>
      </w:r>
      <w:r>
        <w:rPr>
          <w:rFonts w:ascii="Arial" w:cs="Arial" w:eastAsia="Arial" w:hAnsi="Arial"/>
          <w:sz w:val="19"/>
          <w:szCs w:val="19"/>
          <w:u w:val="single" w:color="auto"/>
          <w:color w:val="000000"/>
        </w:rPr>
        <w:t>Counterparts</w:t>
      </w:r>
      <w:r>
        <w:rPr>
          <w:rFonts w:ascii="Arial" w:cs="Arial" w:eastAsia="Arial" w:hAnsi="Arial"/>
          <w:sz w:val="19"/>
          <w:szCs w:val="19"/>
          <w:color w:val="000000"/>
        </w:rPr>
        <w:t>. This Amendment may be executed by one or more of the parties hereto in any number of separate</w:t>
      </w:r>
      <w:r>
        <w:rPr>
          <w:rFonts w:ascii="Arial" w:cs="Arial" w:eastAsia="Arial" w:hAnsi="Arial"/>
          <w:sz w:val="19"/>
          <w:szCs w:val="19"/>
          <w:color w:val="010000"/>
        </w:rPr>
        <w:t xml:space="preserve"> </w:t>
      </w:r>
      <w:r>
        <w:rPr>
          <w:rFonts w:ascii="Arial" w:cs="Arial" w:eastAsia="Arial" w:hAnsi="Arial"/>
          <w:sz w:val="19"/>
          <w:szCs w:val="19"/>
          <w:color w:val="000000"/>
        </w:rPr>
        <w:t>counterparts, and all of such counterparts taken together shall be deemed to constitute one and the same instrument. Delivery of this Amendment by facsimile or electronic transmission shall be effective as delivery of a manually executed counterpart hereof.</w:t>
      </w:r>
    </w:p>
    <w:p>
      <w:pPr>
        <w:spacing w:after="0" w:line="127" w:lineRule="exact"/>
        <w:rPr>
          <w:sz w:val="20"/>
          <w:szCs w:val="20"/>
          <w:color w:val="auto"/>
        </w:rPr>
      </w:pPr>
    </w:p>
    <w:p>
      <w:pPr>
        <w:jc w:val="both"/>
        <w:ind w:firstLine="643"/>
        <w:spacing w:after="0" w:line="225" w:lineRule="auto"/>
        <w:rPr>
          <w:sz w:val="20"/>
          <w:szCs w:val="20"/>
          <w:color w:val="auto"/>
        </w:rPr>
      </w:pPr>
      <w:r>
        <w:rPr>
          <w:rFonts w:ascii="Arial" w:cs="Arial" w:eastAsia="Arial" w:hAnsi="Arial"/>
          <w:sz w:val="21"/>
          <w:szCs w:val="21"/>
          <w:color w:val="010000"/>
        </w:rPr>
        <w:t xml:space="preserve">6.4 </w:t>
      </w:r>
      <w:r>
        <w:rPr>
          <w:rFonts w:ascii="Arial" w:cs="Arial" w:eastAsia="Arial" w:hAnsi="Arial"/>
          <w:sz w:val="21"/>
          <w:szCs w:val="21"/>
          <w:b w:val="1"/>
          <w:bCs w:val="1"/>
          <w:u w:val="single" w:color="auto"/>
          <w:color w:val="000000"/>
        </w:rPr>
        <w:t>NO ORAL AGREEMENT</w:t>
      </w:r>
      <w:r>
        <w:rPr>
          <w:rFonts w:ascii="Arial" w:cs="Arial" w:eastAsia="Arial" w:hAnsi="Arial"/>
          <w:sz w:val="21"/>
          <w:szCs w:val="21"/>
          <w:b w:val="1"/>
          <w:bCs w:val="1"/>
          <w:color w:val="000000"/>
        </w:rPr>
        <w:t>. THIS AMENDMENT, THE CREDIT AGREEMENT AND THE OTHER LOAN</w:t>
      </w:r>
      <w:r>
        <w:rPr>
          <w:rFonts w:ascii="Arial" w:cs="Arial" w:eastAsia="Arial" w:hAnsi="Arial"/>
          <w:sz w:val="21"/>
          <w:szCs w:val="21"/>
          <w:color w:val="010000"/>
        </w:rPr>
        <w:t xml:space="preserve"> </w:t>
      </w:r>
      <w:r>
        <w:rPr>
          <w:rFonts w:ascii="Arial" w:cs="Arial" w:eastAsia="Arial" w:hAnsi="Arial"/>
          <w:sz w:val="21"/>
          <w:szCs w:val="21"/>
          <w:b w:val="1"/>
          <w:bCs w:val="1"/>
          <w:color w:val="000000"/>
        </w:rPr>
        <w:t>DOCUMENTS EXECUTED IN CONNECTION HEREWITH AND THEREWITH REPRESENT THE FINAL AGREEMENT BETWEEN THE PARTIES AND MAY NOT BE CONTRADICTED BY EVIDENCE OF PRIOR, CONTEMPORANEOUS, OR SUBSEQUENT UNWRITTEN ORAL AGREEMENTS OF THE PARTIES. THERE ARE NO UNWRITTEN ORAL AGREEMENTS BETWEEN THE PARTIES.</w:t>
      </w:r>
    </w:p>
    <w:p>
      <w:pPr>
        <w:spacing w:after="0" w:line="159"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010000"/>
        </w:rPr>
        <w:t xml:space="preserve">6.5 </w:t>
      </w:r>
      <w:r>
        <w:rPr>
          <w:rFonts w:ascii="Arial" w:cs="Arial" w:eastAsia="Arial" w:hAnsi="Arial"/>
          <w:sz w:val="21"/>
          <w:szCs w:val="21"/>
          <w:u w:val="single" w:color="auto"/>
          <w:color w:val="000000"/>
        </w:rPr>
        <w:t>GOVERNING LAW</w:t>
      </w:r>
      <w:r>
        <w:rPr>
          <w:rFonts w:ascii="Arial" w:cs="Arial" w:eastAsia="Arial" w:hAnsi="Arial"/>
          <w:sz w:val="21"/>
          <w:szCs w:val="21"/>
          <w:color w:val="000000"/>
        </w:rPr>
        <w:t>. THIS AMENDMENT SHALL BE GOVERNED BY, AND CONSTRUED IN</w:t>
      </w:r>
      <w:r>
        <w:rPr>
          <w:rFonts w:ascii="Arial" w:cs="Arial" w:eastAsia="Arial" w:hAnsi="Arial"/>
          <w:sz w:val="21"/>
          <w:szCs w:val="21"/>
          <w:color w:val="010000"/>
        </w:rPr>
        <w:t xml:space="preserve"> </w:t>
      </w:r>
      <w:r>
        <w:rPr>
          <w:rFonts w:ascii="Arial" w:cs="Arial" w:eastAsia="Arial" w:hAnsi="Arial"/>
          <w:sz w:val="21"/>
          <w:szCs w:val="21"/>
          <w:color w:val="000000"/>
        </w:rPr>
        <w:t>ACCORDANCE WITH, THE LAWS OF THE STATE OF NEW YORK.</w:t>
      </w:r>
    </w:p>
    <w:p>
      <w:pPr>
        <w:spacing w:after="0" w:line="152"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010000"/>
        </w:rPr>
        <w:t xml:space="preserve">6.6 </w:t>
      </w:r>
      <w:r>
        <w:rPr>
          <w:rFonts w:ascii="Arial" w:cs="Arial" w:eastAsia="Arial" w:hAnsi="Arial"/>
          <w:sz w:val="20"/>
          <w:szCs w:val="20"/>
          <w:u w:val="single" w:color="auto"/>
          <w:color w:val="000000"/>
        </w:rPr>
        <w:t>Payment of Expenses</w:t>
      </w:r>
      <w:r>
        <w:rPr>
          <w:rFonts w:ascii="Arial" w:cs="Arial" w:eastAsia="Arial" w:hAnsi="Arial"/>
          <w:sz w:val="20"/>
          <w:szCs w:val="20"/>
          <w:color w:val="000000"/>
        </w:rPr>
        <w:t>. To the extent required pursuant to Section 12.03 of the Credit Agreement, the Borrower agrees</w:t>
      </w:r>
      <w:r>
        <w:rPr>
          <w:rFonts w:ascii="Arial" w:cs="Arial" w:eastAsia="Arial" w:hAnsi="Arial"/>
          <w:sz w:val="20"/>
          <w:szCs w:val="20"/>
          <w:color w:val="010000"/>
        </w:rPr>
        <w:t xml:space="preserve"> </w:t>
      </w:r>
      <w:r>
        <w:rPr>
          <w:rFonts w:ascii="Arial" w:cs="Arial" w:eastAsia="Arial" w:hAnsi="Arial"/>
          <w:sz w:val="20"/>
          <w:szCs w:val="20"/>
          <w:color w:val="000000"/>
        </w:rPr>
        <w:t>to pay or reimburse the Administrative Agent for all of its reasonable out-of-pocket expenses incurred in connection with this Amendment, any other documents prepared in connection herewith and the transactions contemplated hereby, including, without limitation, the reasonable fees, charges and disbursements of counsel to the Administrative Agent.</w:t>
      </w:r>
    </w:p>
    <w:p>
      <w:pPr>
        <w:spacing w:after="0" w:line="159"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010000"/>
        </w:rPr>
        <w:t xml:space="preserve">6.7 </w:t>
      </w:r>
      <w:r>
        <w:rPr>
          <w:rFonts w:ascii="Arial" w:cs="Arial" w:eastAsia="Arial" w:hAnsi="Arial"/>
          <w:sz w:val="21"/>
          <w:szCs w:val="21"/>
          <w:u w:val="single" w:color="auto"/>
          <w:color w:val="000000"/>
        </w:rPr>
        <w:t>Severability</w:t>
      </w:r>
      <w:r>
        <w:rPr>
          <w:rFonts w:ascii="Arial" w:cs="Arial" w:eastAsia="Arial" w:hAnsi="Arial"/>
          <w:sz w:val="21"/>
          <w:szCs w:val="21"/>
          <w:color w:val="000000"/>
        </w:rPr>
        <w:t>. Any provision of this Amendment that is prohibited or unenforceable in any jurisdiction shall, as to such</w:t>
      </w:r>
      <w:r>
        <w:rPr>
          <w:rFonts w:ascii="Arial" w:cs="Arial" w:eastAsia="Arial" w:hAnsi="Arial"/>
          <w:sz w:val="21"/>
          <w:szCs w:val="21"/>
          <w:color w:val="010000"/>
        </w:rPr>
        <w:t xml:space="preserve"> </w:t>
      </w:r>
      <w:r>
        <w:rPr>
          <w:rFonts w:ascii="Arial" w:cs="Arial" w:eastAsia="Arial" w:hAnsi="Arial"/>
          <w:sz w:val="21"/>
          <w:szCs w:val="21"/>
          <w:color w:val="000000"/>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11" w:lineRule="exact"/>
        <w:rPr>
          <w:sz w:val="20"/>
          <w:szCs w:val="20"/>
          <w:color w:val="auto"/>
        </w:rPr>
      </w:pPr>
    </w:p>
    <w:p>
      <w:pPr>
        <w:ind w:firstLine="643"/>
        <w:spacing w:after="0" w:line="244" w:lineRule="auto"/>
        <w:rPr>
          <w:sz w:val="20"/>
          <w:szCs w:val="20"/>
          <w:color w:val="auto"/>
        </w:rPr>
      </w:pPr>
      <w:r>
        <w:rPr>
          <w:rFonts w:ascii="Arial" w:cs="Arial" w:eastAsia="Arial" w:hAnsi="Arial"/>
          <w:sz w:val="21"/>
          <w:szCs w:val="21"/>
          <w:color w:val="010000"/>
        </w:rPr>
        <w:t xml:space="preserve">6.8 </w:t>
      </w:r>
      <w:r>
        <w:rPr>
          <w:rFonts w:ascii="Arial" w:cs="Arial" w:eastAsia="Arial" w:hAnsi="Arial"/>
          <w:sz w:val="21"/>
          <w:szCs w:val="21"/>
          <w:u w:val="single" w:color="auto"/>
          <w:color w:val="000000"/>
        </w:rPr>
        <w:t>Successors and Assigns</w:t>
      </w:r>
      <w:r>
        <w:rPr>
          <w:rFonts w:ascii="Arial" w:cs="Arial" w:eastAsia="Arial" w:hAnsi="Arial"/>
          <w:sz w:val="21"/>
          <w:szCs w:val="21"/>
          <w:color w:val="000000"/>
        </w:rPr>
        <w:t>. This Amendment shall be binding upon and inure to the benefit of the parties hereto and</w:t>
      </w:r>
      <w:r>
        <w:rPr>
          <w:rFonts w:ascii="Arial" w:cs="Arial" w:eastAsia="Arial" w:hAnsi="Arial"/>
          <w:sz w:val="21"/>
          <w:szCs w:val="21"/>
          <w:color w:val="010000"/>
        </w:rPr>
        <w:t xml:space="preserve"> </w:t>
      </w:r>
      <w:r>
        <w:rPr>
          <w:rFonts w:ascii="Arial" w:cs="Arial" w:eastAsia="Arial" w:hAnsi="Arial"/>
          <w:sz w:val="21"/>
          <w:szCs w:val="21"/>
          <w:color w:val="000000"/>
        </w:rPr>
        <w:t>their respective successors and assigns.</w:t>
      </w:r>
    </w:p>
    <w:p>
      <w:pPr>
        <w:spacing w:after="0" w:line="152"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21"/>
          <w:szCs w:val="21"/>
          <w:color w:val="010000"/>
        </w:rPr>
        <w:t>6.9</w:t>
      </w:r>
      <w:r>
        <w:rPr>
          <w:sz w:val="20"/>
          <w:szCs w:val="20"/>
          <w:color w:val="auto"/>
        </w:rPr>
        <w:tab/>
      </w:r>
      <w:r>
        <w:rPr>
          <w:rFonts w:ascii="Arial" w:cs="Arial" w:eastAsia="Arial" w:hAnsi="Arial"/>
          <w:sz w:val="19"/>
          <w:szCs w:val="19"/>
          <w:u w:val="single" w:color="auto"/>
          <w:color w:val="auto"/>
        </w:rPr>
        <w:t>Loan Document</w:t>
      </w:r>
      <w:r>
        <w:rPr>
          <w:rFonts w:ascii="Arial" w:cs="Arial" w:eastAsia="Arial" w:hAnsi="Arial"/>
          <w:sz w:val="19"/>
          <w:szCs w:val="19"/>
          <w:color w:val="auto"/>
        </w:rPr>
        <w:t>. This Amendment is a Loan Document.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104" w:name="page105"/>
    <w:bookmarkEnd w:id="104"/>
    <w:p>
      <w:pPr>
        <w:ind w:left="640"/>
        <w:spacing w:after="0"/>
        <w:rPr>
          <w:sz w:val="20"/>
          <w:szCs w:val="20"/>
          <w:color w:val="auto"/>
        </w:rPr>
      </w:pPr>
      <w:r>
        <w:rPr>
          <w:rFonts w:ascii="Arial" w:cs="Arial" w:eastAsia="Arial" w:hAnsi="Arial"/>
          <w:sz w:val="19"/>
          <w:szCs w:val="19"/>
          <w:color w:val="auto"/>
        </w:rPr>
        <w:t>IN WITNESS WHEREOF, the parties hereto have caused this Amendment to be duly executed as of the date first written</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200" w:lineRule="exact"/>
        <w:rPr>
          <w:sz w:val="20"/>
          <w:szCs w:val="20"/>
          <w:color w:val="auto"/>
        </w:rPr>
      </w:pPr>
    </w:p>
    <w:p>
      <w:pPr>
        <w:spacing w:after="0" w:line="26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VIPER ENERGY PARTNERS LLC, as Borrower</w:t>
      </w:r>
    </w:p>
    <w:p>
      <w:pPr>
        <w:spacing w:after="0" w:line="200" w:lineRule="exact"/>
        <w:rPr>
          <w:sz w:val="20"/>
          <w:szCs w:val="20"/>
          <w:color w:val="auto"/>
        </w:rPr>
      </w:pPr>
    </w:p>
    <w:p>
      <w:pPr>
        <w:spacing w:after="0" w:line="389" w:lineRule="exact"/>
        <w:rPr>
          <w:sz w:val="20"/>
          <w:szCs w:val="20"/>
          <w:color w:val="auto"/>
        </w:rPr>
      </w:pPr>
    </w:p>
    <w:p>
      <w:pPr>
        <w:ind w:left="5040"/>
        <w:spacing w:after="0"/>
        <w:tabs>
          <w:tab w:leader="none" w:pos="55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-11430</wp:posOffset>
            </wp:positionV>
            <wp:extent cx="11010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73"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Teresa L. Dick</w:t>
      </w:r>
    </w:p>
    <w:p>
      <w:pPr>
        <w:spacing w:after="0" w:line="31" w:lineRule="exact"/>
        <w:rPr>
          <w:sz w:val="20"/>
          <w:szCs w:val="20"/>
          <w:color w:val="auto"/>
        </w:rPr>
      </w:pPr>
    </w:p>
    <w:p>
      <w:pPr>
        <w:ind w:left="5040" w:right="200" w:hanging="2"/>
        <w:spacing w:after="0" w:line="239" w:lineRule="auto"/>
        <w:rPr>
          <w:sz w:val="20"/>
          <w:szCs w:val="20"/>
          <w:color w:val="auto"/>
        </w:rPr>
      </w:pPr>
      <w:r>
        <w:rPr>
          <w:rFonts w:ascii="Arial" w:cs="Arial" w:eastAsia="Arial" w:hAnsi="Arial"/>
          <w:sz w:val="21"/>
          <w:szCs w:val="21"/>
          <w:color w:val="auto"/>
        </w:rPr>
        <w:t>Title: Executive Vice President, Chief Financial Officer and Assistant Secretary</w:t>
      </w:r>
    </w:p>
    <w:p>
      <w:pPr>
        <w:spacing w:after="0" w:line="38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VIPER ENERGY PARTNERS LP, as Parent Guarantor</w:t>
      </w:r>
    </w:p>
    <w:p>
      <w:pPr>
        <w:spacing w:after="0" w:line="25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By: Viper Energy Partners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40"/>
        <w:spacing w:after="0"/>
        <w:tabs>
          <w:tab w:leader="none" w:pos="55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-11430</wp:posOffset>
            </wp:positionV>
            <wp:extent cx="11010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Teresa L. Dick</w:t>
      </w:r>
    </w:p>
    <w:p>
      <w:pPr>
        <w:spacing w:after="0" w:line="29"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Title: Executive Vice President, Chief Financial Officer and Assistant</w:t>
      </w:r>
    </w:p>
    <w:p>
      <w:pPr>
        <w:jc w:val="center"/>
        <w:ind w:right="320"/>
        <w:spacing w:after="0"/>
        <w:rPr>
          <w:sz w:val="20"/>
          <w:szCs w:val="20"/>
          <w:color w:val="auto"/>
        </w:rPr>
      </w:pPr>
      <w:r>
        <w:rPr>
          <w:rFonts w:ascii="Arial" w:cs="Arial" w:eastAsia="Arial" w:hAnsi="Arial"/>
          <w:sz w:val="21"/>
          <w:szCs w:val="2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jc w:val="center"/>
        <w:ind w:right="-19"/>
        <w:spacing w:after="0"/>
        <w:rPr>
          <w:sz w:val="20"/>
          <w:szCs w:val="20"/>
          <w:color w:val="auto"/>
        </w:rPr>
      </w:pPr>
      <w:r>
        <w:rPr>
          <w:rFonts w:ascii="Arial" w:cs="Arial" w:eastAsia="Arial" w:hAnsi="Arial"/>
          <w:sz w:val="18"/>
          <w:szCs w:val="18"/>
          <w:color w:val="auto"/>
        </w:rPr>
        <w:t>NINTH AMENDMENT TO CREDIT AGREEMENT</w:t>
      </w:r>
    </w:p>
    <w:p>
      <w:pPr>
        <w:sectPr>
          <w:pgSz w:w="11900" w:h="16838" w:orient="portrait"/>
          <w:cols w:equalWidth="0" w:num="1">
            <w:col w:w="11220"/>
          </w:cols>
          <w:pgMar w:left="320" w:top="1390" w:right="359" w:bottom="1440" w:gutter="0" w:footer="0" w:header="0"/>
        </w:sectPr>
      </w:pPr>
    </w:p>
    <w:bookmarkStart w:id="105" w:name="page106"/>
    <w:bookmarkEnd w:id="105"/>
    <w:p>
      <w:pPr>
        <w:ind w:left="3920" w:right="259"/>
        <w:spacing w:after="0" w:line="274" w:lineRule="auto"/>
        <w:rPr>
          <w:sz w:val="20"/>
          <w:szCs w:val="20"/>
          <w:color w:val="auto"/>
        </w:rPr>
      </w:pPr>
      <w:r>
        <w:rPr>
          <w:rFonts w:ascii="Arial" w:cs="Arial" w:eastAsia="Arial" w:hAnsi="Arial"/>
          <w:sz w:val="20"/>
          <w:szCs w:val="20"/>
          <w:color w:val="auto"/>
        </w:rPr>
        <w:t>WELLS FARGO BANK, NATIONAL ASSOCIATION</w:t>
      </w:r>
      <w:r>
        <w:rPr>
          <w:rFonts w:ascii="Arial" w:cs="Arial" w:eastAsia="Arial" w:hAnsi="Arial"/>
          <w:sz w:val="20"/>
          <w:szCs w:val="20"/>
          <w:b w:val="1"/>
          <w:bCs w:val="1"/>
          <w:color w:val="auto"/>
        </w:rPr>
        <w:t>,</w:t>
      </w:r>
      <w:r>
        <w:rPr>
          <w:rFonts w:ascii="Arial" w:cs="Arial" w:eastAsia="Arial" w:hAnsi="Arial"/>
          <w:sz w:val="20"/>
          <w:szCs w:val="20"/>
          <w:color w:val="auto"/>
        </w:rPr>
        <w:t xml:space="preserve"> as Administrative Agent and a Lender</w:t>
      </w:r>
    </w:p>
    <w:p>
      <w:pPr>
        <w:spacing w:after="0" w:line="200" w:lineRule="exact"/>
        <w:rPr>
          <w:sz w:val="20"/>
          <w:szCs w:val="20"/>
          <w:color w:val="auto"/>
        </w:rPr>
      </w:pPr>
    </w:p>
    <w:p>
      <w:pPr>
        <w:spacing w:after="0" w:line="298" w:lineRule="exact"/>
        <w:rPr>
          <w:sz w:val="20"/>
          <w:szCs w:val="20"/>
          <w:color w:val="auto"/>
        </w:rPr>
      </w:pPr>
    </w:p>
    <w:p>
      <w:pPr>
        <w:ind w:left="3920"/>
        <w:spacing w:after="0"/>
        <w:tabs>
          <w:tab w:leader="none" w:pos="4460" w:val="left"/>
        </w:tabs>
        <w:rPr>
          <w:sz w:val="20"/>
          <w:szCs w:val="20"/>
          <w:color w:val="auto"/>
        </w:rPr>
      </w:pPr>
      <w:r>
        <w:rPr>
          <w:rFonts w:ascii="Arial" w:cs="Arial" w:eastAsia="Arial" w:hAnsi="Arial"/>
          <w:sz w:val="21"/>
          <w:szCs w:val="21"/>
          <w:color w:val="auto"/>
        </w:rPr>
        <w:t>By:</w:t>
        <w:tab/>
        <w:t>/s/ Michael Real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-11430</wp:posOffset>
            </wp:positionV>
            <wp:extent cx="10274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11"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Name: Michael Real</w:t>
      </w:r>
    </w:p>
    <w:p>
      <w:pPr>
        <w:spacing w:after="0" w:line="26"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jc w:val="center"/>
        <w:ind w:right="19"/>
        <w:spacing w:after="0"/>
        <w:rPr>
          <w:sz w:val="20"/>
          <w:szCs w:val="20"/>
          <w:color w:val="auto"/>
        </w:rPr>
      </w:pPr>
      <w:r>
        <w:rPr>
          <w:rFonts w:ascii="Arial" w:cs="Arial" w:eastAsia="Arial" w:hAnsi="Arial"/>
          <w:sz w:val="17"/>
          <w:szCs w:val="17"/>
          <w:color w:val="auto"/>
        </w:rPr>
        <w:t>NINTH AMENDMENT TO CREDIT AGREEMENT</w:t>
      </w:r>
    </w:p>
    <w:p>
      <w:pPr>
        <w:sectPr>
          <w:pgSz w:w="11900" w:h="16838" w:orient="portrait"/>
          <w:cols w:equalWidth="0" w:num="1">
            <w:col w:w="9019"/>
          </w:cols>
          <w:pgMar w:left="1440" w:top="1438" w:right="1440" w:bottom="1440" w:gutter="0" w:footer="0" w:header="0"/>
        </w:sectPr>
      </w:pPr>
    </w:p>
    <w:bookmarkStart w:id="106" w:name="page107"/>
    <w:bookmarkEnd w:id="106"/>
    <w:p>
      <w:pPr>
        <w:spacing w:after="0" w:line="17"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PNC BANK, NATIONAL ASSOCIATION,</w:t>
      </w:r>
    </w:p>
    <w:p>
      <w:pPr>
        <w:spacing w:after="0" w:line="29" w:lineRule="exact"/>
        <w:rPr>
          <w:sz w:val="20"/>
          <w:szCs w:val="20"/>
          <w:color w:val="auto"/>
        </w:rPr>
      </w:pPr>
    </w:p>
    <w:p>
      <w:pPr>
        <w:ind w:left="376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371" w:lineRule="exact"/>
        <w:rPr>
          <w:sz w:val="20"/>
          <w:szCs w:val="20"/>
          <w:color w:val="auto"/>
        </w:rPr>
      </w:pPr>
    </w:p>
    <w:p>
      <w:pPr>
        <w:ind w:left="3760"/>
        <w:spacing w:after="0"/>
        <w:tabs>
          <w:tab w:leader="none" w:pos="4300" w:val="left"/>
        </w:tabs>
        <w:rPr>
          <w:sz w:val="20"/>
          <w:szCs w:val="20"/>
          <w:color w:val="auto"/>
        </w:rPr>
      </w:pPr>
      <w:r>
        <w:rPr>
          <w:rFonts w:ascii="Arial" w:cs="Arial" w:eastAsia="Arial" w:hAnsi="Arial"/>
          <w:sz w:val="21"/>
          <w:szCs w:val="21"/>
          <w:color w:val="auto"/>
        </w:rPr>
        <w:t>By:</w:t>
        <w:tab/>
        <w:t>/s/ Brittany Lehr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-11430</wp:posOffset>
            </wp:positionV>
            <wp:extent cx="13074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Name: Brittany Lehr</w:t>
      </w:r>
    </w:p>
    <w:p>
      <w:pPr>
        <w:spacing w:after="0" w:line="26"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jc w:val="center"/>
        <w:ind w:right="19"/>
        <w:spacing w:after="0"/>
        <w:rPr>
          <w:sz w:val="20"/>
          <w:szCs w:val="20"/>
          <w:color w:val="auto"/>
        </w:rPr>
      </w:pPr>
      <w:r>
        <w:rPr>
          <w:rFonts w:ascii="Arial" w:cs="Arial" w:eastAsia="Arial" w:hAnsi="Arial"/>
          <w:sz w:val="17"/>
          <w:szCs w:val="17"/>
          <w:color w:val="auto"/>
        </w:rPr>
        <w:t>NINTH AMENDMENT TO CREDIT AGREEMENT</w:t>
      </w:r>
    </w:p>
    <w:p>
      <w:pPr>
        <w:sectPr>
          <w:pgSz w:w="11900" w:h="16838" w:orient="portrait"/>
          <w:cols w:equalWidth="0" w:num="1">
            <w:col w:w="9019"/>
          </w:cols>
          <w:pgMar w:left="1440" w:top="1440" w:right="1440" w:bottom="1440" w:gutter="0" w:footer="0" w:header="0"/>
        </w:sectPr>
      </w:pPr>
    </w:p>
    <w:bookmarkStart w:id="107" w:name="page108"/>
    <w:bookmarkEnd w:id="107"/>
    <w:p>
      <w:pPr>
        <w:ind w:left="3920"/>
        <w:spacing w:after="0"/>
        <w:rPr>
          <w:sz w:val="20"/>
          <w:szCs w:val="20"/>
          <w:color w:val="auto"/>
        </w:rPr>
      </w:pPr>
      <w:r>
        <w:rPr>
          <w:rFonts w:ascii="Arial" w:cs="Arial" w:eastAsia="Arial" w:hAnsi="Arial"/>
          <w:sz w:val="21"/>
          <w:szCs w:val="21"/>
          <w:color w:val="auto"/>
        </w:rPr>
        <w:t>COMERICA BANK,</w:t>
      </w:r>
    </w:p>
    <w:p>
      <w:pPr>
        <w:ind w:left="392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344"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21"/>
          <w:szCs w:val="21"/>
          <w:color w:val="auto"/>
        </w:rPr>
        <w:t>By:</w:t>
        <w:tab/>
        <w:t>/s/ Cassandra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-11430</wp:posOffset>
            </wp:positionV>
            <wp:extent cx="13525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spacing w:after="0" w:line="11" w:lineRule="exact"/>
        <w:rPr>
          <w:sz w:val="20"/>
          <w:szCs w:val="20"/>
          <w:color w:val="auto"/>
        </w:rPr>
      </w:pPr>
    </w:p>
    <w:p>
      <w:pPr>
        <w:jc w:val="right"/>
        <w:ind w:right="2459"/>
        <w:spacing w:after="0"/>
        <w:rPr>
          <w:sz w:val="20"/>
          <w:szCs w:val="20"/>
          <w:color w:val="auto"/>
        </w:rPr>
      </w:pPr>
      <w:r>
        <w:rPr>
          <w:rFonts w:ascii="Arial" w:cs="Arial" w:eastAsia="Arial" w:hAnsi="Arial"/>
          <w:sz w:val="21"/>
          <w:szCs w:val="21"/>
          <w:color w:val="auto"/>
        </w:rPr>
        <w:t>Name: Cassandra Lucas</w:t>
      </w:r>
    </w:p>
    <w:p>
      <w:pPr>
        <w:spacing w:after="0" w:line="26"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jc w:val="center"/>
        <w:ind w:right="19"/>
        <w:spacing w:after="0"/>
        <w:rPr>
          <w:sz w:val="20"/>
          <w:szCs w:val="20"/>
          <w:color w:val="auto"/>
        </w:rPr>
      </w:pPr>
      <w:r>
        <w:rPr>
          <w:rFonts w:ascii="Arial" w:cs="Arial" w:eastAsia="Arial" w:hAnsi="Arial"/>
          <w:sz w:val="17"/>
          <w:szCs w:val="17"/>
          <w:color w:val="auto"/>
        </w:rPr>
        <w:t>NINTH AMENDMENT TO CREDIT AGREEMENT</w:t>
      </w:r>
    </w:p>
    <w:p>
      <w:pPr>
        <w:sectPr>
          <w:pgSz w:w="11900" w:h="16838" w:orient="portrait"/>
          <w:cols w:equalWidth="0" w:num="1">
            <w:col w:w="9019"/>
          </w:cols>
          <w:pgMar w:left="1440" w:top="1434" w:right="1440" w:bottom="1440" w:gutter="0" w:footer="0" w:header="0"/>
        </w:sectPr>
      </w:pPr>
    </w:p>
    <w:bookmarkStart w:id="108" w:name="page109"/>
    <w:bookmarkEnd w:id="108"/>
    <w:p>
      <w:pPr>
        <w:spacing w:after="0" w:line="4"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BOKF, NA, dba BANK OF OKLAHOMA,</w:t>
      </w:r>
    </w:p>
    <w:p>
      <w:pPr>
        <w:spacing w:after="0" w:line="18"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357"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21"/>
          <w:szCs w:val="21"/>
          <w:color w:val="auto"/>
        </w:rPr>
        <w:t>By:</w:t>
        <w:tab/>
        <w:t>/s/ John Krenger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-11430</wp:posOffset>
            </wp:positionV>
            <wp:extent cx="13074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Name: John Krenger</w:t>
      </w:r>
    </w:p>
    <w:p>
      <w:pPr>
        <w:spacing w:after="0" w:line="26"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jc w:val="center"/>
        <w:ind w:right="19"/>
        <w:spacing w:after="0"/>
        <w:rPr>
          <w:sz w:val="20"/>
          <w:szCs w:val="20"/>
          <w:color w:val="auto"/>
        </w:rPr>
      </w:pPr>
      <w:r>
        <w:rPr>
          <w:rFonts w:ascii="Arial" w:cs="Arial" w:eastAsia="Arial" w:hAnsi="Arial"/>
          <w:sz w:val="17"/>
          <w:szCs w:val="17"/>
          <w:color w:val="auto"/>
        </w:rPr>
        <w:t>NINTH AMENDMENT TO CREDIT AGREEMENT</w:t>
      </w:r>
    </w:p>
    <w:p>
      <w:pPr>
        <w:sectPr>
          <w:pgSz w:w="11900" w:h="16838" w:orient="portrait"/>
          <w:cols w:equalWidth="0" w:num="1">
            <w:col w:w="9019"/>
          </w:cols>
          <w:pgMar w:left="1440" w:top="1440" w:right="1440" w:bottom="1440" w:gutter="0" w:footer="0" w:header="0"/>
        </w:sectPr>
      </w:pPr>
    </w:p>
    <w:bookmarkStart w:id="109" w:name="page110"/>
    <w:bookmarkEnd w:id="109"/>
    <w:p>
      <w:pPr>
        <w:spacing w:after="0" w:line="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CAPITAL ONE, NATIONAL ASSOCIATION,</w:t>
      </w:r>
    </w:p>
    <w:p>
      <w:pPr>
        <w:spacing w:after="0" w:line="2" w:lineRule="exact"/>
        <w:rPr>
          <w:sz w:val="20"/>
          <w:szCs w:val="20"/>
          <w:color w:val="auto"/>
        </w:rPr>
      </w:pPr>
    </w:p>
    <w:p>
      <w:pPr>
        <w:ind w:left="376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344" w:lineRule="exact"/>
        <w:rPr>
          <w:sz w:val="20"/>
          <w:szCs w:val="20"/>
          <w:color w:val="auto"/>
        </w:rPr>
      </w:pPr>
    </w:p>
    <w:p>
      <w:pPr>
        <w:ind w:left="3760"/>
        <w:spacing w:after="0"/>
        <w:tabs>
          <w:tab w:leader="none" w:pos="4300" w:val="left"/>
        </w:tabs>
        <w:rPr>
          <w:sz w:val="20"/>
          <w:szCs w:val="20"/>
          <w:color w:val="auto"/>
        </w:rPr>
      </w:pPr>
      <w:r>
        <w:rPr>
          <w:rFonts w:ascii="Arial" w:cs="Arial" w:eastAsia="Arial" w:hAnsi="Arial"/>
          <w:sz w:val="21"/>
          <w:szCs w:val="21"/>
          <w:color w:val="auto"/>
        </w:rPr>
        <w:t>By:</w:t>
        <w:tab/>
        <w:t>/s/ Jason Groll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-11430</wp:posOffset>
            </wp:positionV>
            <wp:extent cx="11938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1193800" cy="8255"/>
                    </a:xfrm>
                    <a:prstGeom prst="rect">
                      <a:avLst/>
                    </a:prstGeom>
                    <a:noFill/>
                  </pic:spPr>
                </pic:pic>
              </a:graphicData>
            </a:graphic>
          </wp:anchor>
        </w:drawing>
      </w:r>
    </w:p>
    <w:p>
      <w:pPr>
        <w:spacing w:after="0" w:line="11"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Name: Jason Groll</w:t>
      </w:r>
    </w:p>
    <w:p>
      <w:pPr>
        <w:spacing w:after="0" w:line="26"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jc w:val="center"/>
        <w:ind w:right="19"/>
        <w:spacing w:after="0"/>
        <w:rPr>
          <w:sz w:val="20"/>
          <w:szCs w:val="20"/>
          <w:color w:val="auto"/>
        </w:rPr>
      </w:pPr>
      <w:r>
        <w:rPr>
          <w:rFonts w:ascii="Arial" w:cs="Arial" w:eastAsia="Arial" w:hAnsi="Arial"/>
          <w:sz w:val="17"/>
          <w:szCs w:val="17"/>
          <w:color w:val="auto"/>
        </w:rPr>
        <w:t>NINTH AMENDMENT TO CREDIT AGREEMENT</w:t>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CREDIT SUISSE AG, CAYMAN ISLANDS BRANCH, as a Lender</w:t>
      </w:r>
    </w:p>
    <w:p>
      <w:pPr>
        <w:spacing w:after="0" w:line="200" w:lineRule="exact"/>
        <w:rPr>
          <w:sz w:val="20"/>
          <w:szCs w:val="20"/>
          <w:color w:val="auto"/>
        </w:rPr>
      </w:pPr>
    </w:p>
    <w:p>
      <w:pPr>
        <w:spacing w:after="0" w:line="362"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21"/>
          <w:szCs w:val="21"/>
          <w:color w:val="auto"/>
        </w:rPr>
        <w:t>By:</w:t>
        <w:tab/>
        <w:t>/s/ Vipul Dhadda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-11430</wp:posOffset>
            </wp:positionV>
            <wp:extent cx="132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Name: Vipul Dhadda</w:t>
      </w:r>
    </w:p>
    <w:p>
      <w:pPr>
        <w:spacing w:after="0" w:line="26"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357"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21"/>
          <w:szCs w:val="21"/>
          <w:color w:val="auto"/>
        </w:rPr>
        <w:t>By:</w:t>
        <w:tab/>
        <w:t>/s/ Michael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-11430</wp:posOffset>
            </wp:positionV>
            <wp:extent cx="15036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1503680" cy="8255"/>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Name: Michael Wagner</w:t>
      </w:r>
    </w:p>
    <w:p>
      <w:pPr>
        <w:spacing w:after="0" w:line="26"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SIGNATURE PAGE</w:t>
      </w:r>
    </w:p>
    <w:p>
      <w:pPr>
        <w:jc w:val="center"/>
        <w:ind w:right="880"/>
        <w:spacing w:after="0"/>
        <w:rPr>
          <w:sz w:val="20"/>
          <w:szCs w:val="20"/>
          <w:color w:val="auto"/>
        </w:rPr>
      </w:pPr>
      <w:r>
        <w:rPr>
          <w:rFonts w:ascii="Arial" w:cs="Arial" w:eastAsia="Arial" w:hAnsi="Arial"/>
          <w:sz w:val="17"/>
          <w:szCs w:val="17"/>
          <w:color w:val="auto"/>
        </w:rPr>
        <w:t>NINTH AMENDMENT TO CREDIT AGREEMENT</w:t>
      </w:r>
    </w:p>
    <w:p>
      <w:pPr>
        <w:sectPr>
          <w:pgSz w:w="11900" w:h="16838" w:orient="portrait"/>
          <w:cols w:equalWidth="0" w:num="1">
            <w:col w:w="9880"/>
          </w:cols>
          <w:pgMar w:left="1440" w:top="1440" w:right="579" w:bottom="1440" w:gutter="0" w:footer="0" w:header="0"/>
        </w:sectPr>
      </w:pPr>
    </w:p>
    <w:bookmarkStart w:id="111" w:name="page112"/>
    <w:bookmarkEnd w:id="111"/>
    <w:p>
      <w:pPr>
        <w:spacing w:after="0" w:line="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THE BANK OF NOVA SCOTIA, HOUSTON BRANCH, as a Lender</w:t>
      </w:r>
    </w:p>
    <w:p>
      <w:pPr>
        <w:spacing w:after="0" w:line="200" w:lineRule="exact"/>
        <w:rPr>
          <w:sz w:val="20"/>
          <w:szCs w:val="20"/>
          <w:color w:val="auto"/>
        </w:rPr>
      </w:pPr>
    </w:p>
    <w:p>
      <w:pPr>
        <w:spacing w:after="0" w:line="362"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21"/>
          <w:szCs w:val="21"/>
          <w:color w:val="auto"/>
        </w:rPr>
        <w:t>By:</w:t>
        <w:tab/>
        <w:t>/s/ Marc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-11430</wp:posOffset>
            </wp:positionV>
            <wp:extent cx="132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Name: Marc Graham</w:t>
      </w:r>
    </w:p>
    <w:p>
      <w:pPr>
        <w:spacing w:after="0" w:line="26"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SIGNATURE PAGE</w:t>
      </w:r>
    </w:p>
    <w:p>
      <w:pPr>
        <w:jc w:val="center"/>
        <w:ind w:right="980"/>
        <w:spacing w:after="0"/>
        <w:rPr>
          <w:sz w:val="20"/>
          <w:szCs w:val="20"/>
          <w:color w:val="auto"/>
        </w:rPr>
      </w:pPr>
      <w:r>
        <w:rPr>
          <w:rFonts w:ascii="Arial" w:cs="Arial" w:eastAsia="Arial" w:hAnsi="Arial"/>
          <w:sz w:val="17"/>
          <w:szCs w:val="17"/>
          <w:color w:val="auto"/>
        </w:rPr>
        <w:t>NINTH AMENDMENT TO CREDIT AGREEMENT</w:t>
      </w:r>
    </w:p>
    <w:p>
      <w:pPr>
        <w:sectPr>
          <w:pgSz w:w="11900" w:h="16838" w:orient="portrait"/>
          <w:cols w:equalWidth="0" w:num="1">
            <w:col w:w="9980"/>
          </w:cols>
          <w:pgMar w:left="1440" w:top="1440" w:right="479" w:bottom="1440" w:gutter="0" w:footer="0" w:header="0"/>
        </w:sectPr>
      </w:pPr>
    </w:p>
    <w:bookmarkStart w:id="112" w:name="page113"/>
    <w:bookmarkEnd w:id="112"/>
    <w:p>
      <w:pPr>
        <w:spacing w:after="0" w:line="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JPMORGAN CHASE BANK, N.A.,</w:t>
      </w:r>
    </w:p>
    <w:p>
      <w:pPr>
        <w:spacing w:after="0" w:line="2"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344"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21"/>
          <w:szCs w:val="21"/>
          <w:color w:val="auto"/>
        </w:rPr>
        <w:t>By:</w:t>
        <w:tab/>
        <w:t>/s/ Dalton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-11430</wp:posOffset>
            </wp:positionV>
            <wp:extent cx="13150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Name: Dalton Harris</w:t>
      </w:r>
    </w:p>
    <w:p>
      <w:pPr>
        <w:spacing w:after="0" w:line="26"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jc w:val="center"/>
        <w:ind w:right="19"/>
        <w:spacing w:after="0"/>
        <w:rPr>
          <w:sz w:val="20"/>
          <w:szCs w:val="20"/>
          <w:color w:val="auto"/>
        </w:rPr>
      </w:pPr>
      <w:r>
        <w:rPr>
          <w:rFonts w:ascii="Arial" w:cs="Arial" w:eastAsia="Arial" w:hAnsi="Arial"/>
          <w:sz w:val="17"/>
          <w:szCs w:val="17"/>
          <w:color w:val="auto"/>
        </w:rPr>
        <w:t>NINTH AMENDMENT TO CREDIT AGREEMENT</w:t>
      </w:r>
    </w:p>
    <w:p>
      <w:pPr>
        <w:sectPr>
          <w:pgSz w:w="11900" w:h="16838" w:orient="portrait"/>
          <w:cols w:equalWidth="0" w:num="1">
            <w:col w:w="9019"/>
          </w:cols>
          <w:pgMar w:left="1440" w:top="1440" w:right="1440" w:bottom="1440" w:gutter="0" w:footer="0" w:header="0"/>
        </w:sectPr>
      </w:pPr>
    </w:p>
    <w:bookmarkStart w:id="113" w:name="page114"/>
    <w:bookmarkEnd w:id="113"/>
    <w:p>
      <w:pPr>
        <w:ind w:left="3920"/>
        <w:spacing w:after="0"/>
        <w:rPr>
          <w:sz w:val="20"/>
          <w:szCs w:val="20"/>
          <w:color w:val="auto"/>
        </w:rPr>
      </w:pPr>
      <w:r>
        <w:rPr>
          <w:rFonts w:ascii="Arial" w:cs="Arial" w:eastAsia="Arial" w:hAnsi="Arial"/>
          <w:sz w:val="21"/>
          <w:szCs w:val="21"/>
          <w:color w:val="auto"/>
        </w:rPr>
        <w:t>CITIBANK, N.A.,</w:t>
      </w:r>
    </w:p>
    <w:p>
      <w:pPr>
        <w:ind w:left="392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344"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21"/>
          <w:szCs w:val="21"/>
          <w:color w:val="auto"/>
        </w:rPr>
        <w:t>By:</w:t>
        <w:tab/>
        <w:t>/s/ Jeff 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-11430</wp:posOffset>
            </wp:positionV>
            <wp:extent cx="11537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1153795" cy="8255"/>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Name: Jeff Ard</w:t>
      </w:r>
    </w:p>
    <w:p>
      <w:pPr>
        <w:spacing w:after="0" w:line="26"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jc w:val="center"/>
        <w:ind w:right="19"/>
        <w:spacing w:after="0"/>
        <w:rPr>
          <w:sz w:val="20"/>
          <w:szCs w:val="20"/>
          <w:color w:val="auto"/>
        </w:rPr>
      </w:pPr>
      <w:r>
        <w:rPr>
          <w:rFonts w:ascii="Arial" w:cs="Arial" w:eastAsia="Arial" w:hAnsi="Arial"/>
          <w:sz w:val="17"/>
          <w:szCs w:val="17"/>
          <w:color w:val="auto"/>
        </w:rPr>
        <w:t>NINTH AMENDMENT TO CREDIT AGREEMENT</w:t>
      </w:r>
    </w:p>
    <w:p>
      <w:pPr>
        <w:sectPr>
          <w:pgSz w:w="11900" w:h="16838" w:orient="portrait"/>
          <w:cols w:equalWidth="0" w:num="1">
            <w:col w:w="9019"/>
          </w:cols>
          <w:pgMar w:left="1440" w:top="1434" w:right="1440" w:bottom="1440" w:gutter="0" w:footer="0" w:header="0"/>
        </w:sectPr>
      </w:pPr>
    </w:p>
    <w:bookmarkStart w:id="114" w:name="page115"/>
    <w:bookmarkEnd w:id="114"/>
    <w:p>
      <w:pPr>
        <w:ind w:left="3920"/>
        <w:spacing w:after="0"/>
        <w:rPr>
          <w:sz w:val="20"/>
          <w:szCs w:val="20"/>
          <w:color w:val="auto"/>
        </w:rPr>
      </w:pPr>
      <w:r>
        <w:rPr>
          <w:rFonts w:ascii="Arial" w:cs="Arial" w:eastAsia="Arial" w:hAnsi="Arial"/>
          <w:sz w:val="21"/>
          <w:szCs w:val="21"/>
          <w:color w:val="auto"/>
        </w:rPr>
        <w:t>BANK OF AMERICA, N.A.,</w:t>
      </w:r>
    </w:p>
    <w:p>
      <w:pPr>
        <w:ind w:left="392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344"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21"/>
          <w:szCs w:val="21"/>
          <w:color w:val="auto"/>
        </w:rPr>
        <w:t>By:</w:t>
        <w:tab/>
        <w:t>/s/ Greg Smothers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-11430</wp:posOffset>
            </wp:positionV>
            <wp:extent cx="15265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1526540" cy="8255"/>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Name: Greg Smothers</w:t>
      </w:r>
    </w:p>
    <w:p>
      <w:pPr>
        <w:spacing w:after="0" w:line="49"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jc w:val="center"/>
        <w:ind w:right="19"/>
        <w:spacing w:after="0"/>
        <w:rPr>
          <w:sz w:val="20"/>
          <w:szCs w:val="20"/>
          <w:color w:val="auto"/>
        </w:rPr>
      </w:pPr>
      <w:r>
        <w:rPr>
          <w:rFonts w:ascii="Arial" w:cs="Arial" w:eastAsia="Arial" w:hAnsi="Arial"/>
          <w:sz w:val="17"/>
          <w:szCs w:val="17"/>
          <w:color w:val="auto"/>
        </w:rPr>
        <w:t>NINTH AMENDMENT TO CREDIT AGREEMENT</w:t>
      </w:r>
    </w:p>
    <w:p>
      <w:pPr>
        <w:sectPr>
          <w:pgSz w:w="11900" w:h="16838" w:orient="portrait"/>
          <w:cols w:equalWidth="0" w:num="1">
            <w:col w:w="9019"/>
          </w:cols>
          <w:pgMar w:left="1440" w:top="1434" w:right="1440" w:bottom="1440" w:gutter="0" w:footer="0" w:header="0"/>
        </w:sectPr>
      </w:pPr>
    </w:p>
    <w:bookmarkStart w:id="115" w:name="page116"/>
    <w:bookmarkEnd w:id="115"/>
    <w:p>
      <w:pPr>
        <w:spacing w:after="0" w:line="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TRUIST BANK (formerly known as Branch Banking and Trust</w:t>
      </w:r>
    </w:p>
    <w:p>
      <w:pPr>
        <w:ind w:left="3920"/>
        <w:spacing w:after="0" w:line="215" w:lineRule="auto"/>
        <w:rPr>
          <w:sz w:val="20"/>
          <w:szCs w:val="20"/>
          <w:color w:val="auto"/>
        </w:rPr>
      </w:pPr>
      <w:r>
        <w:rPr>
          <w:rFonts w:ascii="Arial" w:cs="Arial" w:eastAsia="Arial" w:hAnsi="Arial"/>
          <w:sz w:val="21"/>
          <w:szCs w:val="21"/>
          <w:color w:val="auto"/>
        </w:rPr>
        <w:t>Company and SunTrust Bank),</w:t>
      </w:r>
    </w:p>
    <w:p>
      <w:pPr>
        <w:ind w:left="392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344"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21"/>
          <w:szCs w:val="21"/>
          <w:color w:val="auto"/>
        </w:rPr>
        <w:t>By:</w:t>
        <w:tab/>
        <w:t>/s/ James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-11430</wp:posOffset>
            </wp:positionV>
            <wp:extent cx="15868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1586865" cy="8255"/>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Name: James Giordano</w:t>
      </w:r>
    </w:p>
    <w:p>
      <w:pPr>
        <w:spacing w:after="0" w:line="26"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SIGNATURE PAGE</w:t>
      </w:r>
    </w:p>
    <w:p>
      <w:pPr>
        <w:jc w:val="center"/>
        <w:ind w:right="400"/>
        <w:spacing w:after="0"/>
        <w:rPr>
          <w:sz w:val="20"/>
          <w:szCs w:val="20"/>
          <w:color w:val="auto"/>
        </w:rPr>
      </w:pPr>
      <w:r>
        <w:rPr>
          <w:rFonts w:ascii="Arial" w:cs="Arial" w:eastAsia="Arial" w:hAnsi="Arial"/>
          <w:sz w:val="17"/>
          <w:szCs w:val="17"/>
          <w:color w:val="auto"/>
        </w:rPr>
        <w:t>NINTH AMENDMENT TO CREDIT AGREEMENT</w:t>
      </w:r>
    </w:p>
    <w:p>
      <w:pPr>
        <w:sectPr>
          <w:pgSz w:w="11900" w:h="16838" w:orient="portrait"/>
          <w:cols w:equalWidth="0" w:num="1">
            <w:col w:w="9400"/>
          </w:cols>
          <w:pgMar w:left="1440" w:top="1440" w:right="1059" w:bottom="1440" w:gutter="0" w:footer="0" w:header="0"/>
        </w:sectPr>
      </w:pPr>
    </w:p>
    <w:bookmarkStart w:id="116" w:name="page117"/>
    <w:bookmarkEnd w:id="116"/>
    <w:p>
      <w:pPr>
        <w:ind w:left="3920"/>
        <w:spacing w:after="0"/>
        <w:rPr>
          <w:sz w:val="20"/>
          <w:szCs w:val="20"/>
          <w:color w:val="auto"/>
        </w:rPr>
      </w:pPr>
      <w:r>
        <w:rPr>
          <w:rFonts w:ascii="Arial" w:cs="Arial" w:eastAsia="Arial" w:hAnsi="Arial"/>
          <w:sz w:val="21"/>
          <w:szCs w:val="21"/>
          <w:color w:val="auto"/>
        </w:rPr>
        <w:t>GOLDMAN SACHS BANK USA,</w:t>
      </w:r>
    </w:p>
    <w:p>
      <w:pPr>
        <w:ind w:left="392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344" w:lineRule="exact"/>
        <w:rPr>
          <w:sz w:val="20"/>
          <w:szCs w:val="20"/>
          <w:color w:val="auto"/>
        </w:rPr>
      </w:pPr>
    </w:p>
    <w:p>
      <w:pPr>
        <w:ind w:left="3920"/>
        <w:spacing w:after="0"/>
        <w:tabs>
          <w:tab w:leader="none" w:pos="4480" w:val="left"/>
        </w:tabs>
        <w:rPr>
          <w:sz w:val="20"/>
          <w:szCs w:val="20"/>
          <w:color w:val="auto"/>
        </w:rPr>
      </w:pPr>
      <w:r>
        <w:rPr>
          <w:rFonts w:ascii="Arial" w:cs="Arial" w:eastAsia="Arial" w:hAnsi="Arial"/>
          <w:sz w:val="21"/>
          <w:szCs w:val="21"/>
          <w:color w:val="auto"/>
        </w:rPr>
        <w:t>By:</w:t>
        <w:tab/>
        <w:t>/s/ Keshia Leday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-11430</wp:posOffset>
            </wp:positionV>
            <wp:extent cx="13220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Name: Keshia Leday</w:t>
      </w:r>
    </w:p>
    <w:p>
      <w:pPr>
        <w:spacing w:after="0" w:line="26"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jc w:val="center"/>
        <w:ind w:right="19"/>
        <w:spacing w:after="0"/>
        <w:rPr>
          <w:sz w:val="20"/>
          <w:szCs w:val="20"/>
          <w:color w:val="auto"/>
        </w:rPr>
      </w:pPr>
      <w:r>
        <w:rPr>
          <w:rFonts w:ascii="Arial" w:cs="Arial" w:eastAsia="Arial" w:hAnsi="Arial"/>
          <w:sz w:val="17"/>
          <w:szCs w:val="17"/>
          <w:color w:val="auto"/>
        </w:rPr>
        <w:t>NINTH AMENDMENT TO CREDIT AGREEMENT</w:t>
      </w:r>
    </w:p>
    <w:p>
      <w:pPr>
        <w:sectPr>
          <w:pgSz w:w="11900" w:h="16838" w:orient="portrait"/>
          <w:cols w:equalWidth="0" w:num="1">
            <w:col w:w="9019"/>
          </w:cols>
          <w:pgMar w:left="1440" w:top="1434" w:right="1440" w:bottom="1440" w:gutter="0" w:footer="0" w:header="0"/>
        </w:sectPr>
      </w:pPr>
    </w:p>
    <w:bookmarkStart w:id="117" w:name="page118"/>
    <w:bookmarkEnd w:id="117"/>
    <w:p>
      <w:pPr>
        <w:spacing w:after="0" w:line="236"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BARCLAYS BANK PLC,</w:t>
      </w:r>
    </w:p>
    <w:p>
      <w:pPr>
        <w:ind w:left="3920"/>
        <w:spacing w:after="0"/>
        <w:rPr>
          <w:sz w:val="20"/>
          <w:szCs w:val="20"/>
          <w:color w:val="auto"/>
        </w:rPr>
      </w:pPr>
      <w:r>
        <w:rPr>
          <w:rFonts w:ascii="Arial" w:cs="Arial" w:eastAsia="Arial" w:hAnsi="Arial"/>
          <w:sz w:val="21"/>
          <w:szCs w:val="21"/>
          <w:color w:val="auto"/>
        </w:rPr>
        <w:t>as a Lender</w:t>
      </w:r>
    </w:p>
    <w:p>
      <w:pPr>
        <w:spacing w:after="0" w:line="200" w:lineRule="exact"/>
        <w:rPr>
          <w:sz w:val="20"/>
          <w:szCs w:val="20"/>
          <w:color w:val="auto"/>
        </w:rPr>
      </w:pPr>
    </w:p>
    <w:p>
      <w:pPr>
        <w:spacing w:after="0" w:line="344" w:lineRule="exact"/>
        <w:rPr>
          <w:sz w:val="20"/>
          <w:szCs w:val="20"/>
          <w:color w:val="auto"/>
        </w:rPr>
      </w:pPr>
    </w:p>
    <w:p>
      <w:pPr>
        <w:ind w:left="3920"/>
        <w:spacing w:after="0"/>
        <w:tabs>
          <w:tab w:leader="none" w:pos="4460" w:val="left"/>
        </w:tabs>
        <w:rPr>
          <w:sz w:val="20"/>
          <w:szCs w:val="20"/>
          <w:color w:val="auto"/>
        </w:rPr>
      </w:pPr>
      <w:r>
        <w:rPr>
          <w:rFonts w:ascii="Arial" w:cs="Arial" w:eastAsia="Arial" w:hAnsi="Arial"/>
          <w:sz w:val="21"/>
          <w:szCs w:val="21"/>
          <w:color w:val="auto"/>
        </w:rPr>
        <w:t>By:</w:t>
        <w:tab/>
        <w:t>/s/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-3175</wp:posOffset>
            </wp:positionV>
            <wp:extent cx="12998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33"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Name: Craig Malloy</w:t>
      </w:r>
    </w:p>
    <w:p>
      <w:pPr>
        <w:spacing w:after="0" w:line="40" w:lineRule="exact"/>
        <w:rPr>
          <w:sz w:val="20"/>
          <w:szCs w:val="20"/>
          <w:color w:val="auto"/>
        </w:rPr>
      </w:pPr>
    </w:p>
    <w:p>
      <w:pPr>
        <w:ind w:left="4480"/>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jc w:val="center"/>
        <w:ind w:right="19"/>
        <w:spacing w:after="0"/>
        <w:rPr>
          <w:sz w:val="20"/>
          <w:szCs w:val="20"/>
          <w:color w:val="auto"/>
        </w:rPr>
      </w:pPr>
      <w:r>
        <w:rPr>
          <w:rFonts w:ascii="Arial" w:cs="Arial" w:eastAsia="Arial" w:hAnsi="Arial"/>
          <w:sz w:val="17"/>
          <w:szCs w:val="17"/>
          <w:color w:val="auto"/>
        </w:rPr>
        <w:t>NINTH AMENDMENT TO CREDIT AGREEMENT</w:t>
      </w:r>
    </w:p>
    <w:p>
      <w:pPr>
        <w:sectPr>
          <w:pgSz w:w="11900" w:h="16838" w:orient="portrait"/>
          <w:cols w:equalWidth="0" w:num="1">
            <w:col w:w="9019"/>
          </w:cols>
          <w:pgMar w:left="1440" w:top="1440"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21"/>
          <w:szCs w:val="21"/>
          <w:b w:val="1"/>
          <w:bCs w:val="1"/>
          <w:color w:val="auto"/>
        </w:rPr>
        <w:t>ANNEX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CONFORMED CREDIT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attached.]</w:t>
      </w:r>
    </w:p>
    <w:p>
      <w:pPr>
        <w:sectPr>
          <w:pgSz w:w="11900" w:h="16838" w:orient="portrait"/>
          <w:cols w:equalWidth="0" w:num="1">
            <w:col w:w="9019"/>
          </w:cols>
          <w:pgMar w:left="1440" w:top="1384" w:right="1440" w:bottom="1440" w:gutter="0" w:footer="0" w:header="0"/>
        </w:sectPr>
      </w:pPr>
    </w:p>
    <w:bookmarkStart w:id="119" w:name="page120"/>
    <w:bookmarkEnd w:id="119"/>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BORROWING REQUEST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 20[ ]</w:t>
      </w:r>
    </w:p>
    <w:p>
      <w:pPr>
        <w:spacing w:after="0" w:line="227" w:lineRule="exact"/>
        <w:rPr>
          <w:sz w:val="20"/>
          <w:szCs w:val="20"/>
          <w:color w:val="auto"/>
        </w:rPr>
      </w:pPr>
    </w:p>
    <w:p>
      <w:pPr>
        <w:jc w:val="both"/>
        <w:ind w:firstLine="643"/>
        <w:spacing w:after="0" w:line="261" w:lineRule="auto"/>
        <w:rPr>
          <w:sz w:val="20"/>
          <w:szCs w:val="20"/>
          <w:color w:val="auto"/>
        </w:rPr>
      </w:pPr>
      <w:r>
        <w:rPr>
          <w:rFonts w:ascii="Arial" w:cs="Arial" w:eastAsia="Arial" w:hAnsi="Arial"/>
          <w:sz w:val="21"/>
          <w:szCs w:val="21"/>
          <w:color w:val="auto"/>
        </w:rPr>
        <w:t>Viper Energy Partners LLC, a Delaware limited liability company (the “</w:t>
      </w:r>
      <w:r>
        <w:rPr>
          <w:rFonts w:ascii="Arial" w:cs="Arial" w:eastAsia="Arial" w:hAnsi="Arial"/>
          <w:sz w:val="21"/>
          <w:szCs w:val="21"/>
          <w:u w:val="single" w:color="auto"/>
          <w:color w:val="auto"/>
        </w:rPr>
        <w:t>Borrower</w:t>
      </w:r>
      <w:r>
        <w:rPr>
          <w:rFonts w:ascii="Arial" w:cs="Arial" w:eastAsia="Arial" w:hAnsi="Arial"/>
          <w:sz w:val="21"/>
          <w:szCs w:val="21"/>
          <w:color w:val="auto"/>
        </w:rPr>
        <w:t>”), pursuant to Section 2.03 of the Amended and Restated Senior Secured Revolving Credit Agreement dated as of July 20, 2018 (together with all amendments, restatements, supplements or other modifications thereto,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the Borrower, Wells Fargo Bank, National Association, as Administrative Agent and the other agents and lenders (the “Lenders”) which are or become parties thereto (unless otherwise defined herein, each capitalized term used herein is defined in the Credit Agreement), hereby requests a Borrowing as follows:</w:t>
      </w:r>
    </w:p>
    <w:p>
      <w:pPr>
        <w:spacing w:after="0" w:line="178" w:lineRule="exact"/>
        <w:rPr>
          <w:sz w:val="20"/>
          <w:szCs w:val="20"/>
          <w:color w:val="auto"/>
        </w:rPr>
      </w:pPr>
    </w:p>
    <w:p>
      <w:pPr>
        <w:ind w:left="1380" w:hanging="409"/>
        <w:spacing w:after="0"/>
        <w:tabs>
          <w:tab w:leader="none" w:pos="13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Aggregate amount of the requested Borrowing is $ [ ];</w:t>
      </w:r>
    </w:p>
    <w:p>
      <w:pPr>
        <w:spacing w:after="0" w:line="267" w:lineRule="exact"/>
        <w:rPr>
          <w:rFonts w:ascii="Arial" w:cs="Arial" w:eastAsia="Arial" w:hAnsi="Arial"/>
          <w:sz w:val="21"/>
          <w:szCs w:val="21"/>
          <w:color w:val="auto"/>
        </w:rPr>
      </w:pPr>
    </w:p>
    <w:p>
      <w:pPr>
        <w:ind w:left="1440" w:hanging="469"/>
        <w:spacing w:after="0"/>
        <w:tabs>
          <w:tab w:leader="none" w:pos="1440" w:val="left"/>
        </w:tabs>
        <w:numPr>
          <w:ilvl w:val="0"/>
          <w:numId w:val="42"/>
        </w:numPr>
        <w:rPr>
          <w:rFonts w:ascii="Arial" w:cs="Arial" w:eastAsia="Arial" w:hAnsi="Arial"/>
          <w:sz w:val="21"/>
          <w:szCs w:val="21"/>
          <w:color w:val="auto"/>
        </w:rPr>
      </w:pPr>
      <w:r>
        <w:rPr>
          <w:rFonts w:ascii="Arial" w:cs="Arial" w:eastAsia="Arial" w:hAnsi="Arial"/>
          <w:sz w:val="21"/>
          <w:szCs w:val="21"/>
          <w:color w:val="auto"/>
        </w:rPr>
        <w:t>Date of such Borrowing is [ ], 20[ ];</w:t>
      </w:r>
    </w:p>
    <w:p>
      <w:pPr>
        <w:spacing w:after="0" w:line="253" w:lineRule="exact"/>
        <w:rPr>
          <w:rFonts w:ascii="Arial" w:cs="Arial" w:eastAsia="Arial" w:hAnsi="Arial"/>
          <w:sz w:val="21"/>
          <w:szCs w:val="21"/>
          <w:color w:val="auto"/>
        </w:rPr>
      </w:pPr>
    </w:p>
    <w:p>
      <w:pPr>
        <w:ind w:left="1500" w:hanging="529"/>
        <w:spacing w:after="0"/>
        <w:tabs>
          <w:tab w:leader="none" w:pos="15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Requested Borrowing is to be [an ABR Borrowing] [a SOFR Borrowing];</w:t>
      </w:r>
    </w:p>
    <w:p>
      <w:pPr>
        <w:spacing w:after="0" w:line="253" w:lineRule="exact"/>
        <w:rPr>
          <w:rFonts w:ascii="Arial" w:cs="Arial" w:eastAsia="Arial" w:hAnsi="Arial"/>
          <w:sz w:val="21"/>
          <w:szCs w:val="21"/>
          <w:color w:val="auto"/>
        </w:rPr>
      </w:pPr>
    </w:p>
    <w:p>
      <w:pPr>
        <w:ind w:left="1500" w:hanging="529"/>
        <w:spacing w:after="0"/>
        <w:tabs>
          <w:tab w:leader="none" w:pos="15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In the case of a SOFR Borrowing, the initial Interest Period applicable thereto is [ ];</w:t>
      </w:r>
    </w:p>
    <w:p>
      <w:pPr>
        <w:spacing w:after="0" w:line="253" w:lineRule="exact"/>
        <w:rPr>
          <w:rFonts w:ascii="Arial" w:cs="Arial" w:eastAsia="Arial" w:hAnsi="Arial"/>
          <w:sz w:val="21"/>
          <w:szCs w:val="21"/>
          <w:color w:val="auto"/>
        </w:rPr>
      </w:pPr>
    </w:p>
    <w:p>
      <w:pPr>
        <w:ind w:left="1420" w:hanging="449"/>
        <w:spacing w:after="0"/>
        <w:tabs>
          <w:tab w:leader="none" w:pos="14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Amount of Borrowing Base in effect on the date hereof is $[ ];</w:t>
      </w:r>
    </w:p>
    <w:p>
      <w:pPr>
        <w:spacing w:after="0" w:line="253" w:lineRule="exact"/>
        <w:rPr>
          <w:rFonts w:ascii="Arial" w:cs="Arial" w:eastAsia="Arial" w:hAnsi="Arial"/>
          <w:sz w:val="21"/>
          <w:szCs w:val="21"/>
          <w:color w:val="auto"/>
        </w:rPr>
      </w:pPr>
    </w:p>
    <w:p>
      <w:pPr>
        <w:ind w:left="1500" w:hanging="529"/>
        <w:spacing w:after="0"/>
        <w:tabs>
          <w:tab w:leader="none" w:pos="15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Aggregate Elected Commitment Amounts in effect on the date hereof is $[ ];</w:t>
      </w:r>
    </w:p>
    <w:p>
      <w:pPr>
        <w:spacing w:after="0" w:line="253" w:lineRule="exact"/>
        <w:rPr>
          <w:rFonts w:ascii="Arial" w:cs="Arial" w:eastAsia="Arial" w:hAnsi="Arial"/>
          <w:sz w:val="21"/>
          <w:szCs w:val="21"/>
          <w:color w:val="auto"/>
        </w:rPr>
      </w:pPr>
    </w:p>
    <w:p>
      <w:pPr>
        <w:ind w:left="1600" w:hanging="629"/>
        <w:spacing w:after="0"/>
        <w:tabs>
          <w:tab w:leader="none" w:pos="16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Total Revolving Credit Exposures on the date hereof (i.e., outstanding principal amount of Loans and total LC</w:t>
      </w:r>
    </w:p>
    <w:p>
      <w:pPr>
        <w:spacing w:after="0" w:line="5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Exposure) is $[ ];</w:t>
      </w:r>
    </w:p>
    <w:p>
      <w:pPr>
        <w:spacing w:after="0" w:line="248" w:lineRule="exact"/>
        <w:rPr>
          <w:rFonts w:ascii="Arial" w:cs="Arial" w:eastAsia="Arial" w:hAnsi="Arial"/>
          <w:sz w:val="19"/>
          <w:szCs w:val="19"/>
          <w:color w:val="auto"/>
        </w:rPr>
      </w:pPr>
    </w:p>
    <w:p>
      <w:pPr>
        <w:ind w:left="1620" w:hanging="649"/>
        <w:spacing w:after="0"/>
        <w:tabs>
          <w:tab w:leader="none" w:pos="16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Pro forma total Revolving Credit Exposures (giving effect to the requested Borrowing) is $[ ]; and</w:t>
      </w:r>
    </w:p>
    <w:p>
      <w:pPr>
        <w:spacing w:after="0" w:line="253" w:lineRule="exact"/>
        <w:rPr>
          <w:rFonts w:ascii="Arial" w:cs="Arial" w:eastAsia="Arial" w:hAnsi="Arial"/>
          <w:sz w:val="21"/>
          <w:szCs w:val="21"/>
          <w:color w:val="auto"/>
        </w:rPr>
      </w:pPr>
    </w:p>
    <w:p>
      <w:pPr>
        <w:ind w:firstLine="971"/>
        <w:spacing w:after="0" w:line="284" w:lineRule="auto"/>
        <w:tabs>
          <w:tab w:leader="none" w:pos="1505" w:val="left"/>
        </w:tabs>
        <w:numPr>
          <w:ilvl w:val="0"/>
          <w:numId w:val="42"/>
        </w:numPr>
        <w:rPr>
          <w:rFonts w:ascii="Arial" w:cs="Arial" w:eastAsia="Arial" w:hAnsi="Arial"/>
          <w:sz w:val="21"/>
          <w:szCs w:val="21"/>
          <w:color w:val="auto"/>
        </w:rPr>
      </w:pPr>
      <w:r>
        <w:rPr>
          <w:rFonts w:ascii="Arial" w:cs="Arial" w:eastAsia="Arial" w:hAnsi="Arial"/>
          <w:sz w:val="21"/>
          <w:szCs w:val="21"/>
          <w:color w:val="auto"/>
        </w:rPr>
        <w:t>Location and number of the Borrower’s account to which funds are to be disbursed, which shall comply with the requirements of Section 2.05 of the Credit Agreement, is as follows:</w:t>
      </w:r>
    </w:p>
    <w:p>
      <w:pPr>
        <w:spacing w:after="0" w:line="138" w:lineRule="exact"/>
        <w:rPr>
          <w:sz w:val="20"/>
          <w:szCs w:val="20"/>
          <w:color w:val="auto"/>
        </w:rPr>
      </w:pPr>
    </w:p>
    <w:p>
      <w:pPr>
        <w:ind w:left="1580" w:hanging="930"/>
        <w:spacing w:after="0"/>
        <w:tabs>
          <w:tab w:leader="none" w:pos="15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-11430</wp:posOffset>
            </wp:positionV>
            <wp:extent cx="5441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544195" cy="8255"/>
                    </a:xfrm>
                    <a:prstGeom prst="rect">
                      <a:avLst/>
                    </a:prstGeom>
                    <a:noFill/>
                  </pic:spPr>
                </pic:pic>
              </a:graphicData>
            </a:graphic>
          </wp:anchor>
        </w:drawing>
      </w:r>
    </w:p>
    <w:p>
      <w:pPr>
        <w:spacing w:after="0" w:line="154" w:lineRule="exact"/>
        <w:rPr>
          <w:sz w:val="20"/>
          <w:szCs w:val="20"/>
          <w:color w:val="auto"/>
        </w:rPr>
      </w:pPr>
    </w:p>
    <w:p>
      <w:pPr>
        <w:ind w:left="1580" w:hanging="930"/>
        <w:spacing w:after="0"/>
        <w:tabs>
          <w:tab w:leader="none" w:pos="1580" w:val="left"/>
        </w:tabs>
        <w:numPr>
          <w:ilvl w:val="0"/>
          <w:numId w:val="44"/>
        </w:numPr>
        <w:rPr>
          <w:rFonts w:ascii="Arial" w:cs="Arial" w:eastAsia="Arial" w:hAnsi="Arial"/>
          <w:sz w:val="21"/>
          <w:szCs w:val="21"/>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-11430</wp:posOffset>
            </wp:positionV>
            <wp:extent cx="5441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544195" cy="8255"/>
                    </a:xfrm>
                    <a:prstGeom prst="rect">
                      <a:avLst/>
                    </a:prstGeom>
                    <a:noFill/>
                  </pic:spPr>
                </pic:pic>
              </a:graphicData>
            </a:graphic>
          </wp:anchor>
        </w:drawing>
      </w:r>
    </w:p>
    <w:p>
      <w:pPr>
        <w:spacing w:after="0" w:line="140" w:lineRule="exact"/>
        <w:rPr>
          <w:sz w:val="20"/>
          <w:szCs w:val="20"/>
          <w:color w:val="auto"/>
        </w:rPr>
      </w:pPr>
    </w:p>
    <w:p>
      <w:pPr>
        <w:ind w:left="1580" w:hanging="930"/>
        <w:spacing w:after="0"/>
        <w:tabs>
          <w:tab w:leader="none" w:pos="15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-11430</wp:posOffset>
            </wp:positionV>
            <wp:extent cx="5441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544195" cy="8255"/>
                    </a:xfrm>
                    <a:prstGeom prst="rect">
                      <a:avLst/>
                    </a:prstGeom>
                    <a:noFill/>
                  </pic:spPr>
                </pic:pic>
              </a:graphicData>
            </a:graphic>
          </wp:anchor>
        </w:drawing>
      </w:r>
    </w:p>
    <w:p>
      <w:pPr>
        <w:spacing w:after="0" w:line="154" w:lineRule="exact"/>
        <w:rPr>
          <w:sz w:val="20"/>
          <w:szCs w:val="20"/>
          <w:color w:val="auto"/>
        </w:rPr>
      </w:pPr>
    </w:p>
    <w:p>
      <w:pPr>
        <w:ind w:left="1580" w:hanging="930"/>
        <w:spacing w:after="0"/>
        <w:tabs>
          <w:tab w:leader="none" w:pos="1580" w:val="left"/>
        </w:tabs>
        <w:numPr>
          <w:ilvl w:val="0"/>
          <w:numId w:val="46"/>
        </w:numPr>
        <w:rPr>
          <w:rFonts w:ascii="Arial" w:cs="Arial" w:eastAsia="Arial" w:hAnsi="Arial"/>
          <w:sz w:val="21"/>
          <w:szCs w:val="21"/>
          <w:color w:val="auto"/>
        </w:rPr>
      </w:pPr>
      <w:r>
        <w:rPr>
          <w:rFonts w:ascii="Arial" w:cs="Arial" w:eastAsia="Arial" w:hAnsi="Arial"/>
          <w:sz w:val="21"/>
          <w:szCs w:val="21"/>
          <w:color w:val="auto"/>
        </w:rPr>
        <w:t>]</w:t>
      </w:r>
    </w:p>
    <w:p>
      <w:pPr>
        <w:spacing w:after="0" w:line="160" w:lineRule="exact"/>
        <w:rPr>
          <w:rFonts w:ascii="Arial" w:cs="Arial" w:eastAsia="Arial" w:hAnsi="Arial"/>
          <w:sz w:val="21"/>
          <w:szCs w:val="21"/>
          <w:color w:val="auto"/>
        </w:rPr>
      </w:pPr>
    </w:p>
    <w:p>
      <w:pPr>
        <w:ind w:left="1580" w:hanging="930"/>
        <w:spacing w:after="0"/>
        <w:tabs>
          <w:tab w:leader="none" w:pos="1580" w:val="left"/>
        </w:tabs>
        <w:numPr>
          <w:ilvl w:val="0"/>
          <w:numId w:val="46"/>
        </w:numPr>
        <w:rPr>
          <w:rFonts w:ascii="Arial" w:cs="Arial" w:eastAsia="Arial" w:hAnsi="Arial"/>
          <w:sz w:val="21"/>
          <w:szCs w:val="21"/>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-266700</wp:posOffset>
            </wp:positionV>
            <wp:extent cx="5441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544195" cy="825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-11430</wp:posOffset>
            </wp:positionV>
            <wp:extent cx="5441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54419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ind w:left="640"/>
        <w:spacing w:after="0"/>
        <w:rPr>
          <w:sz w:val="20"/>
          <w:szCs w:val="20"/>
          <w:color w:val="auto"/>
        </w:rPr>
      </w:pPr>
      <w:r>
        <w:rPr>
          <w:rFonts w:ascii="Arial" w:cs="Arial" w:eastAsia="Arial" w:hAnsi="Arial"/>
          <w:sz w:val="21"/>
          <w:szCs w:val="21"/>
          <w:color w:val="auto"/>
        </w:rPr>
        <w:t>The undersigned certifies that he/she is the [____________________] of the Borrower, and that as such he/she is</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authorized to execute this certificate on behalf of the Borrower. The undersigned further certifies, represents and warrants on behalf of the Borrower that the Borrower is entitled to receive the requested Borrowing under the terms and conditions of the Credit Agreement.</w:t>
      </w:r>
    </w:p>
    <w:p>
      <w:pPr>
        <w:spacing w:after="0" w:line="197"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VIPER ENERGY PARTNERS LLC</w:t>
      </w:r>
    </w:p>
    <w:p>
      <w:pPr>
        <w:spacing w:after="0" w:line="200" w:lineRule="exact"/>
        <w:rPr>
          <w:sz w:val="20"/>
          <w:szCs w:val="20"/>
          <w:color w:val="auto"/>
        </w:rPr>
      </w:pPr>
    </w:p>
    <w:p>
      <w:pPr>
        <w:spacing w:after="0" w:line="389"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By:</w:t>
      </w:r>
    </w:p>
    <w:p>
      <w:pPr>
        <w:spacing w:after="0" w:line="93"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w:t>
      </w:r>
    </w:p>
    <w:p>
      <w:pPr>
        <w:spacing w:after="0" w:line="31"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1240"/>
          </w:cols>
          <w:pgMar w:left="320" w:top="1417" w:right="339" w:bottom="1440" w:gutter="0" w:footer="0" w:header="0"/>
        </w:sectPr>
      </w:pPr>
    </w:p>
    <w:bookmarkStart w:id="121" w:name="page122"/>
    <w:bookmarkEnd w:id="121"/>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INTEREST ELECTION REQUEST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 20[ ]</w:t>
      </w:r>
    </w:p>
    <w:p>
      <w:pPr>
        <w:spacing w:after="0" w:line="187" w:lineRule="exact"/>
        <w:rPr>
          <w:sz w:val="20"/>
          <w:szCs w:val="20"/>
          <w:color w:val="auto"/>
        </w:rPr>
      </w:pPr>
    </w:p>
    <w:p>
      <w:pPr>
        <w:jc w:val="both"/>
        <w:ind w:firstLine="643"/>
        <w:spacing w:after="0" w:line="222" w:lineRule="auto"/>
        <w:rPr>
          <w:sz w:val="20"/>
          <w:szCs w:val="20"/>
          <w:color w:val="auto"/>
        </w:rPr>
      </w:pPr>
      <w:r>
        <w:rPr>
          <w:rFonts w:ascii="Arial" w:cs="Arial" w:eastAsia="Arial" w:hAnsi="Arial"/>
          <w:sz w:val="21"/>
          <w:szCs w:val="21"/>
          <w:color w:val="auto"/>
        </w:rPr>
        <w:t>Viper Energy Partners LLC, a Delaware limited liability company (the “</w:t>
      </w:r>
      <w:r>
        <w:rPr>
          <w:rFonts w:ascii="Arial" w:cs="Arial" w:eastAsia="Arial" w:hAnsi="Arial"/>
          <w:sz w:val="21"/>
          <w:szCs w:val="21"/>
          <w:u w:val="single" w:color="auto"/>
          <w:color w:val="auto"/>
        </w:rPr>
        <w:t>Borrower</w:t>
      </w:r>
      <w:r>
        <w:rPr>
          <w:rFonts w:ascii="Arial" w:cs="Arial" w:eastAsia="Arial" w:hAnsi="Arial"/>
          <w:sz w:val="21"/>
          <w:szCs w:val="21"/>
          <w:color w:val="auto"/>
        </w:rPr>
        <w:t>”), pursuant to Section 2.04 of the Amended and Restated Senior Secured Revolving Credit Agreement dated as of July 20, 2018 (together with all amendments, restatements, supplements or other modifications thereto,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the Borrower, Wells Fargo Bank, National Association, as Administrative Agent and the other agents and lenders (the “</w:t>
      </w:r>
      <w:r>
        <w:rPr>
          <w:rFonts w:ascii="Arial" w:cs="Arial" w:eastAsia="Arial" w:hAnsi="Arial"/>
          <w:sz w:val="21"/>
          <w:szCs w:val="21"/>
          <w:u w:val="single" w:color="auto"/>
          <w:color w:val="auto"/>
        </w:rPr>
        <w:t>Lenders</w:t>
      </w:r>
      <w:r>
        <w:rPr>
          <w:rFonts w:ascii="Arial" w:cs="Arial" w:eastAsia="Arial" w:hAnsi="Arial"/>
          <w:sz w:val="21"/>
          <w:szCs w:val="21"/>
          <w:color w:val="auto"/>
        </w:rPr>
        <w:t>”) which are or become parties thereto (unless otherwise defined herein, each capitalized term used herein is defined in the Credit Agreement), hereby makes an Interest Election Request as follows:</w:t>
      </w:r>
    </w:p>
    <w:p>
      <w:pPr>
        <w:spacing w:after="0" w:line="159" w:lineRule="exact"/>
        <w:rPr>
          <w:sz w:val="20"/>
          <w:szCs w:val="20"/>
          <w:color w:val="auto"/>
        </w:rPr>
      </w:pPr>
    </w:p>
    <w:p>
      <w:pPr>
        <w:jc w:val="both"/>
        <w:ind w:firstLine="650"/>
        <w:spacing w:after="0" w:line="232" w:lineRule="auto"/>
        <w:tabs>
          <w:tab w:leader="none" w:pos="1086"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Borrowing to which this Interest Election Request applies, and if different options are being elected with respect to different portions thereof, the portions thereof to be allocated to each resulting Borrowing (in which case the information specified pursuant to (iii) and (iv) below shall be specified for each resulting Borrowing) is [ ];</w:t>
      </w:r>
    </w:p>
    <w:p>
      <w:pPr>
        <w:spacing w:after="0" w:line="156" w:lineRule="exact"/>
        <w:rPr>
          <w:rFonts w:ascii="Arial" w:cs="Arial" w:eastAsia="Arial" w:hAnsi="Arial"/>
          <w:sz w:val="21"/>
          <w:szCs w:val="21"/>
          <w:color w:val="auto"/>
        </w:rPr>
      </w:pPr>
    </w:p>
    <w:p>
      <w:pPr>
        <w:ind w:left="1120" w:hanging="470"/>
        <w:spacing w:after="0"/>
        <w:tabs>
          <w:tab w:leader="none" w:pos="112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effective date of the election made pursuant to this Interest Election Request is [ ], 20[ ];[and]</w:t>
      </w:r>
    </w:p>
    <w:p>
      <w:pPr>
        <w:spacing w:after="0" w:line="186" w:lineRule="exact"/>
        <w:rPr>
          <w:rFonts w:ascii="Arial" w:cs="Arial" w:eastAsia="Arial" w:hAnsi="Arial"/>
          <w:sz w:val="21"/>
          <w:szCs w:val="21"/>
          <w:color w:val="auto"/>
        </w:rPr>
      </w:pPr>
    </w:p>
    <w:p>
      <w:pPr>
        <w:ind w:left="1180" w:hanging="530"/>
        <w:spacing w:after="0"/>
        <w:tabs>
          <w:tab w:leader="none" w:pos="11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resulting Borrowing is to be [an ABR Borrowing] [a SOFR Borrowing][; and]</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[(iv) [If the resulting Borrowing is a SOFR Borrowing] The Interest Period applicable to the resulting Borrowing after giving effect to such election is [ ]].</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undersigned certifies that he/she is the [____________] of the Borrower, and that as such he/she is authorized to</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execute this certificate on behalf of the Borrower. The undersigned further certifies, represents and warrants on behalf of the Borrower that the Borrower is entitled to receive the requested continuation or conversion under the terms and conditions of the Credit Agreement.</w:t>
      </w:r>
    </w:p>
    <w:p>
      <w:pPr>
        <w:spacing w:after="0" w:line="210"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VIPER ENERGY PARTNERS LLC</w:t>
      </w:r>
    </w:p>
    <w:p>
      <w:pPr>
        <w:spacing w:after="0" w:line="200" w:lineRule="exact"/>
        <w:rPr>
          <w:sz w:val="20"/>
          <w:szCs w:val="20"/>
          <w:color w:val="auto"/>
        </w:rPr>
      </w:pPr>
    </w:p>
    <w:p>
      <w:pPr>
        <w:spacing w:after="0" w:line="389"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By:</w:t>
      </w:r>
    </w:p>
    <w:p>
      <w:pPr>
        <w:spacing w:after="0" w:line="93"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Name:</w:t>
      </w:r>
    </w:p>
    <w:p>
      <w:pPr>
        <w:spacing w:after="0" w:line="31"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1240"/>
          </w:cols>
          <w:pgMar w:left="320" w:top="1440" w:right="339" w:bottom="1440" w:gutter="0" w:footer="0" w:header="0"/>
        </w:sectPr>
      </w:pPr>
    </w:p>
    <w:bookmarkStart w:id="122" w:name="page123"/>
    <w:bookmarkEnd w:id="122"/>
    <w:p>
      <w:pPr>
        <w:ind w:left="3220"/>
        <w:spacing w:after="0"/>
        <w:rPr>
          <w:sz w:val="20"/>
          <w:szCs w:val="20"/>
          <w:color w:val="auto"/>
        </w:rPr>
      </w:pPr>
      <w:r>
        <w:rPr>
          <w:rFonts w:ascii="Arial" w:cs="Arial" w:eastAsia="Arial" w:hAnsi="Arial"/>
          <w:sz w:val="21"/>
          <w:szCs w:val="21"/>
          <w:i w:val="1"/>
          <w:iCs w:val="1"/>
          <w:color w:val="auto"/>
        </w:rPr>
        <w:t>Annex A to Ninth Amendment to Amended and Restated</w:t>
      </w:r>
    </w:p>
    <w:p>
      <w:pPr>
        <w:ind w:left="3740"/>
        <w:spacing w:after="0"/>
        <w:rPr>
          <w:sz w:val="20"/>
          <w:szCs w:val="20"/>
          <w:color w:val="auto"/>
        </w:rPr>
      </w:pPr>
      <w:r>
        <w:rPr>
          <w:rFonts w:ascii="Arial" w:cs="Arial" w:eastAsia="Arial" w:hAnsi="Arial"/>
          <w:sz w:val="21"/>
          <w:szCs w:val="21"/>
          <w:i w:val="1"/>
          <w:iCs w:val="1"/>
          <w:color w:val="auto"/>
        </w:rPr>
        <w:t>Senior Secured Revolving Credit Agreemen</w:t>
      </w:r>
      <w:r>
        <w:rPr>
          <w:rFonts w:ascii="Arial" w:cs="Arial" w:eastAsia="Arial" w:hAnsi="Arial"/>
          <w:sz w:val="21"/>
          <w:szCs w:val="21"/>
          <w:i w:val="1"/>
          <w:iCs w:val="1"/>
          <w:u w:val="single" w:color="auto"/>
          <w:color w:val="auto"/>
        </w:rPr>
        <w: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AMENDED AND RESTATED SENIOR SECURED</w:t>
      </w:r>
    </w:p>
    <w:p>
      <w:pPr>
        <w:jc w:val="center"/>
        <w:ind w:right="-1100"/>
        <w:spacing w:after="0" w:line="212" w:lineRule="auto"/>
        <w:rPr>
          <w:sz w:val="20"/>
          <w:szCs w:val="20"/>
          <w:color w:val="auto"/>
        </w:rPr>
      </w:pPr>
      <w:r>
        <w:rPr>
          <w:rFonts w:ascii="Arial" w:cs="Arial" w:eastAsia="Arial" w:hAnsi="Arial"/>
          <w:sz w:val="21"/>
          <w:szCs w:val="21"/>
          <w:color w:val="auto"/>
        </w:rPr>
        <w:t>REVOLVING CREDIT AGREEMENT</w:t>
      </w:r>
    </w:p>
    <w:p>
      <w:pPr>
        <w:jc w:val="center"/>
        <w:ind w:right="-1100"/>
        <w:spacing w:after="0" w:line="213" w:lineRule="auto"/>
        <w:rPr>
          <w:sz w:val="20"/>
          <w:szCs w:val="20"/>
          <w:color w:val="auto"/>
        </w:rPr>
      </w:pPr>
      <w:r>
        <w:rPr>
          <w:rFonts w:ascii="Arial" w:cs="Arial" w:eastAsia="Arial" w:hAnsi="Arial"/>
          <w:sz w:val="21"/>
          <w:szCs w:val="21"/>
          <w:color w:val="auto"/>
        </w:rPr>
        <w:t>DATED AS OF</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July 20, 2018</w:t>
      </w:r>
    </w:p>
    <w:p>
      <w:pPr>
        <w:spacing w:after="0" w:line="169"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AMONG</w:t>
      </w:r>
    </w:p>
    <w:p>
      <w:pPr>
        <w:spacing w:after="0" w:line="178"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VIPER ENERGY PARTNERS LLC,</w:t>
      </w:r>
    </w:p>
    <w:p>
      <w:pPr>
        <w:ind w:left="4820"/>
        <w:spacing w:after="0"/>
        <w:rPr>
          <w:sz w:val="20"/>
          <w:szCs w:val="20"/>
          <w:color w:val="auto"/>
        </w:rPr>
      </w:pPr>
      <w:r>
        <w:rPr>
          <w:rFonts w:ascii="Arial" w:cs="Arial" w:eastAsia="Arial" w:hAnsi="Arial"/>
          <w:sz w:val="21"/>
          <w:szCs w:val="21"/>
          <w:color w:val="auto"/>
        </w:rPr>
        <w:t>AS BORROWER,</w:t>
      </w:r>
    </w:p>
    <w:p>
      <w:pPr>
        <w:spacing w:after="0" w:line="160" w:lineRule="exact"/>
        <w:rPr>
          <w:sz w:val="20"/>
          <w:szCs w:val="20"/>
          <w:color w:val="auto"/>
        </w:rPr>
      </w:pPr>
    </w:p>
    <w:p>
      <w:pPr>
        <w:ind w:left="4140"/>
        <w:spacing w:after="0"/>
        <w:rPr>
          <w:sz w:val="20"/>
          <w:szCs w:val="20"/>
          <w:color w:val="auto"/>
        </w:rPr>
      </w:pPr>
      <w:r>
        <w:rPr>
          <w:rFonts w:ascii="Arial" w:cs="Arial" w:eastAsia="Arial" w:hAnsi="Arial"/>
          <w:sz w:val="21"/>
          <w:szCs w:val="21"/>
          <w:color w:val="auto"/>
        </w:rPr>
        <w:t>VIPER ENERGY PARTNERS LP</w:t>
      </w:r>
    </w:p>
    <w:p>
      <w:pPr>
        <w:ind w:left="4320"/>
        <w:spacing w:after="0"/>
        <w:rPr>
          <w:sz w:val="20"/>
          <w:szCs w:val="20"/>
          <w:color w:val="auto"/>
        </w:rPr>
      </w:pPr>
      <w:r>
        <w:rPr>
          <w:rFonts w:ascii="Arial" w:cs="Arial" w:eastAsia="Arial" w:hAnsi="Arial"/>
          <w:sz w:val="21"/>
          <w:szCs w:val="21"/>
          <w:color w:val="auto"/>
        </w:rPr>
        <w:t>AS PARENT GUARANTOR,</w:t>
      </w:r>
    </w:p>
    <w:p>
      <w:pPr>
        <w:spacing w:after="0" w:line="160" w:lineRule="exact"/>
        <w:rPr>
          <w:sz w:val="20"/>
          <w:szCs w:val="20"/>
          <w:color w:val="auto"/>
        </w:rPr>
      </w:pPr>
    </w:p>
    <w:p>
      <w:pPr>
        <w:ind w:left="3200"/>
        <w:spacing w:after="0"/>
        <w:rPr>
          <w:sz w:val="20"/>
          <w:szCs w:val="20"/>
          <w:color w:val="auto"/>
        </w:rPr>
      </w:pPr>
      <w:r>
        <w:rPr>
          <w:rFonts w:ascii="Arial" w:cs="Arial" w:eastAsia="Arial" w:hAnsi="Arial"/>
          <w:sz w:val="21"/>
          <w:szCs w:val="21"/>
          <w:color w:val="auto"/>
        </w:rPr>
        <w:t>WELLS FARGO BANK, NATIONAL ASSOCIATION,</w:t>
      </w:r>
    </w:p>
    <w:p>
      <w:pPr>
        <w:jc w:val="center"/>
        <w:ind w:right="-1100"/>
        <w:spacing w:after="0"/>
        <w:rPr>
          <w:sz w:val="20"/>
          <w:szCs w:val="20"/>
          <w:color w:val="auto"/>
        </w:rPr>
      </w:pPr>
      <w:r>
        <w:rPr>
          <w:rFonts w:ascii="Arial" w:cs="Arial" w:eastAsia="Arial" w:hAnsi="Arial"/>
          <w:sz w:val="21"/>
          <w:szCs w:val="21"/>
          <w:color w:val="auto"/>
        </w:rPr>
        <w:t>AS ADMINISTRATIVE AGENT,</w:t>
      </w:r>
    </w:p>
    <w:p>
      <w:pPr>
        <w:spacing w:after="0" w:line="16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AND</w:t>
      </w:r>
    </w:p>
    <w:p>
      <w:pPr>
        <w:spacing w:after="0" w:line="241" w:lineRule="exact"/>
        <w:rPr>
          <w:sz w:val="20"/>
          <w:szCs w:val="20"/>
          <w:color w:val="auto"/>
        </w:rPr>
      </w:pPr>
    </w:p>
    <w:p>
      <w:pPr>
        <w:ind w:left="4080"/>
        <w:spacing w:after="0"/>
        <w:rPr>
          <w:sz w:val="20"/>
          <w:szCs w:val="20"/>
          <w:color w:val="auto"/>
        </w:rPr>
      </w:pPr>
      <w:r>
        <w:rPr>
          <w:rFonts w:ascii="Arial" w:cs="Arial" w:eastAsia="Arial" w:hAnsi="Arial"/>
          <w:sz w:val="21"/>
          <w:szCs w:val="21"/>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251460</wp:posOffset>
            </wp:positionV>
            <wp:extent cx="46253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4625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WELLS FARGO SECURITIES, LLC,</w:t>
      </w:r>
    </w:p>
    <w:p>
      <w:pPr>
        <w:jc w:val="center"/>
        <w:ind w:right="-1100"/>
        <w:spacing w:after="0"/>
        <w:rPr>
          <w:sz w:val="20"/>
          <w:szCs w:val="20"/>
          <w:color w:val="auto"/>
        </w:rPr>
      </w:pPr>
      <w:r>
        <w:rPr>
          <w:rFonts w:ascii="Arial" w:cs="Arial" w:eastAsia="Arial" w:hAnsi="Arial"/>
          <w:sz w:val="21"/>
          <w:szCs w:val="21"/>
          <w:color w:val="auto"/>
        </w:rPr>
        <w:t>AS SOLE BOOK RUNNER AND SOLE LEAD ARRANGER</w:t>
      </w:r>
    </w:p>
    <w:p>
      <w:pPr>
        <w:spacing w:after="0" w:line="16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PNC BANK, NATIONAL ASSOCIATION AND TRUSIT BANK,</w:t>
      </w:r>
    </w:p>
    <w:p>
      <w:pPr>
        <w:jc w:val="center"/>
        <w:ind w:right="-1100"/>
        <w:spacing w:after="0"/>
        <w:rPr>
          <w:sz w:val="20"/>
          <w:szCs w:val="20"/>
          <w:color w:val="auto"/>
        </w:rPr>
      </w:pPr>
      <w:r>
        <w:rPr>
          <w:rFonts w:ascii="Arial" w:cs="Arial" w:eastAsia="Arial" w:hAnsi="Arial"/>
          <w:sz w:val="21"/>
          <w:szCs w:val="21"/>
          <w:color w:val="auto"/>
        </w:rPr>
        <w:t>AS CO-SYNDICATION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0139"/>
          </w:cols>
          <w:pgMar w:left="320" w:top="310" w:right="1440" w:bottom="1440" w:gutter="0" w:footer="0" w:header="0"/>
        </w:sectPr>
      </w:pPr>
    </w:p>
    <w:bookmarkStart w:id="123" w:name="page124"/>
    <w:bookmarkEnd w:id="123"/>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420" w:type="dxa"/>
            <w:vAlign w:val="bottom"/>
          </w:tcPr>
          <w:p>
            <w:pPr>
              <w:spacing w:after="0"/>
              <w:rPr>
                <w:sz w:val="24"/>
                <w:szCs w:val="24"/>
                <w:color w:val="auto"/>
              </w:rPr>
            </w:pPr>
          </w:p>
        </w:tc>
        <w:tc>
          <w:tcPr>
            <w:tcW w:w="8280" w:type="dxa"/>
            <w:vAlign w:val="bottom"/>
          </w:tcPr>
          <w:p>
            <w:pPr>
              <w:ind w:left="1980"/>
              <w:spacing w:after="0"/>
              <w:rPr>
                <w:sz w:val="20"/>
                <w:szCs w:val="20"/>
                <w:color w:val="auto"/>
              </w:rPr>
            </w:pPr>
            <w:r>
              <w:rPr>
                <w:rFonts w:ascii="Arial" w:cs="Arial" w:eastAsia="Arial" w:hAnsi="Arial"/>
                <w:sz w:val="21"/>
                <w:szCs w:val="21"/>
                <w:b w:val="1"/>
                <w:bCs w:val="1"/>
                <w:color w:val="auto"/>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7"/>
        </w:trPr>
        <w:tc>
          <w:tcPr>
            <w:tcW w:w="24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1"/>
                <w:szCs w:val="21"/>
                <w:b w:val="1"/>
                <w:bCs w:val="1"/>
                <w:color w:val="auto"/>
                <w:w w:val="83"/>
              </w:rPr>
              <w:t>Page</w:t>
            </w:r>
          </w:p>
        </w:tc>
        <w:tc>
          <w:tcPr>
            <w:tcW w:w="0" w:type="dxa"/>
            <w:vAlign w:val="bottom"/>
          </w:tcPr>
          <w:p>
            <w:pPr>
              <w:spacing w:after="0"/>
              <w:rPr>
                <w:sz w:val="1"/>
                <w:szCs w:val="1"/>
                <w:color w:val="auto"/>
              </w:rPr>
            </w:pPr>
          </w:p>
        </w:tc>
      </w:tr>
      <w:tr>
        <w:trPr>
          <w:trHeight w:val="513"/>
        </w:trPr>
        <w:tc>
          <w:tcPr>
            <w:tcW w:w="10700" w:type="dxa"/>
            <w:vAlign w:val="bottom"/>
            <w:gridSpan w:val="2"/>
          </w:tcPr>
          <w:p>
            <w:pPr>
              <w:spacing w:after="0"/>
              <w:rPr>
                <w:sz w:val="20"/>
                <w:szCs w:val="20"/>
                <w:color w:val="auto"/>
              </w:rPr>
            </w:pPr>
            <w:r>
              <w:rPr>
                <w:rFonts w:ascii="Arial" w:cs="Arial" w:eastAsia="Arial" w:hAnsi="Arial"/>
                <w:sz w:val="21"/>
                <w:szCs w:val="21"/>
                <w:color w:val="auto"/>
              </w:rPr>
              <w:t>ARTICLE I Definitions and Accounting Matters</w:t>
            </w:r>
          </w:p>
        </w:tc>
        <w:tc>
          <w:tcPr>
            <w:tcW w:w="440" w:type="dxa"/>
            <w:vAlign w:val="bottom"/>
          </w:tcPr>
          <w:p>
            <w:pPr>
              <w:jc w:val="right"/>
              <w:spacing w:after="0"/>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r>
        <w:trPr>
          <w:trHeight w:val="482"/>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1.01</w:t>
            </w:r>
          </w:p>
        </w:tc>
        <w:tc>
          <w:tcPr>
            <w:tcW w:w="8280" w:type="dxa"/>
            <w:vAlign w:val="bottom"/>
          </w:tcPr>
          <w:p>
            <w:pPr>
              <w:ind w:left="320"/>
              <w:spacing w:after="0"/>
              <w:rPr>
                <w:sz w:val="20"/>
                <w:szCs w:val="20"/>
                <w:color w:val="auto"/>
              </w:rPr>
            </w:pPr>
            <w:r>
              <w:rPr>
                <w:rFonts w:ascii="Arial" w:cs="Arial" w:eastAsia="Arial" w:hAnsi="Arial"/>
                <w:sz w:val="21"/>
                <w:szCs w:val="21"/>
                <w:color w:val="auto"/>
              </w:rPr>
              <w:t>Terms Defined Above</w:t>
            </w:r>
          </w:p>
        </w:tc>
        <w:tc>
          <w:tcPr>
            <w:tcW w:w="440" w:type="dxa"/>
            <w:vAlign w:val="bottom"/>
          </w:tcPr>
          <w:p>
            <w:pPr>
              <w:jc w:val="right"/>
              <w:spacing w:after="0"/>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1.02</w:t>
            </w:r>
          </w:p>
        </w:tc>
        <w:tc>
          <w:tcPr>
            <w:tcW w:w="8280" w:type="dxa"/>
            <w:vAlign w:val="bottom"/>
          </w:tcPr>
          <w:p>
            <w:pPr>
              <w:ind w:left="320"/>
              <w:spacing w:after="0"/>
              <w:rPr>
                <w:sz w:val="20"/>
                <w:szCs w:val="20"/>
                <w:color w:val="auto"/>
              </w:rPr>
            </w:pPr>
            <w:r>
              <w:rPr>
                <w:rFonts w:ascii="Arial" w:cs="Arial" w:eastAsia="Arial" w:hAnsi="Arial"/>
                <w:sz w:val="21"/>
                <w:szCs w:val="21"/>
                <w:color w:val="auto"/>
              </w:rPr>
              <w:t>Certain Defined Terms</w:t>
            </w:r>
          </w:p>
        </w:tc>
        <w:tc>
          <w:tcPr>
            <w:tcW w:w="440" w:type="dxa"/>
            <w:vAlign w:val="bottom"/>
          </w:tcPr>
          <w:p>
            <w:pPr>
              <w:jc w:val="right"/>
              <w:spacing w:after="0"/>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1.03</w:t>
            </w:r>
          </w:p>
        </w:tc>
        <w:tc>
          <w:tcPr>
            <w:tcW w:w="8280" w:type="dxa"/>
            <w:vAlign w:val="bottom"/>
          </w:tcPr>
          <w:p>
            <w:pPr>
              <w:ind w:left="320"/>
              <w:spacing w:after="0"/>
              <w:rPr>
                <w:sz w:val="20"/>
                <w:szCs w:val="20"/>
                <w:color w:val="auto"/>
              </w:rPr>
            </w:pPr>
            <w:r>
              <w:rPr>
                <w:rFonts w:ascii="Arial" w:cs="Arial" w:eastAsia="Arial" w:hAnsi="Arial"/>
                <w:sz w:val="21"/>
                <w:szCs w:val="21"/>
                <w:color w:val="auto"/>
              </w:rPr>
              <w:t>Types of Loans and Borrowings</w:t>
            </w:r>
          </w:p>
        </w:tc>
        <w:tc>
          <w:tcPr>
            <w:tcW w:w="440" w:type="dxa"/>
            <w:vAlign w:val="bottom"/>
          </w:tcPr>
          <w:p>
            <w:pPr>
              <w:jc w:val="right"/>
              <w:spacing w:after="0"/>
              <w:rPr>
                <w:sz w:val="20"/>
                <w:szCs w:val="20"/>
                <w:color w:val="auto"/>
              </w:rPr>
            </w:pPr>
            <w:r>
              <w:rPr>
                <w:rFonts w:ascii="Arial" w:cs="Arial" w:eastAsia="Arial" w:hAnsi="Arial"/>
                <w:sz w:val="21"/>
                <w:szCs w:val="21"/>
                <w:color w:val="auto"/>
              </w:rPr>
              <w:t>29</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1.04</w:t>
            </w:r>
          </w:p>
        </w:tc>
        <w:tc>
          <w:tcPr>
            <w:tcW w:w="8280" w:type="dxa"/>
            <w:vAlign w:val="bottom"/>
          </w:tcPr>
          <w:p>
            <w:pPr>
              <w:ind w:left="320"/>
              <w:spacing w:after="0"/>
              <w:rPr>
                <w:sz w:val="20"/>
                <w:szCs w:val="20"/>
                <w:color w:val="auto"/>
              </w:rPr>
            </w:pPr>
            <w:r>
              <w:rPr>
                <w:rFonts w:ascii="Arial" w:cs="Arial" w:eastAsia="Arial" w:hAnsi="Arial"/>
                <w:sz w:val="21"/>
                <w:szCs w:val="21"/>
                <w:color w:val="auto"/>
              </w:rPr>
              <w:t>Terms Generally; Rules of Construction</w:t>
            </w:r>
          </w:p>
        </w:tc>
        <w:tc>
          <w:tcPr>
            <w:tcW w:w="440" w:type="dxa"/>
            <w:vAlign w:val="bottom"/>
          </w:tcPr>
          <w:p>
            <w:pPr>
              <w:jc w:val="right"/>
              <w:spacing w:after="0"/>
              <w:rPr>
                <w:sz w:val="20"/>
                <w:szCs w:val="20"/>
                <w:color w:val="auto"/>
              </w:rPr>
            </w:pPr>
            <w:r>
              <w:rPr>
                <w:rFonts w:ascii="Arial" w:cs="Arial" w:eastAsia="Arial" w:hAnsi="Arial"/>
                <w:sz w:val="21"/>
                <w:szCs w:val="21"/>
                <w:color w:val="auto"/>
              </w:rPr>
              <w:t>29</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1.05</w:t>
            </w:r>
          </w:p>
        </w:tc>
        <w:tc>
          <w:tcPr>
            <w:tcW w:w="8280" w:type="dxa"/>
            <w:vAlign w:val="bottom"/>
          </w:tcPr>
          <w:p>
            <w:pPr>
              <w:ind w:left="320"/>
              <w:spacing w:after="0"/>
              <w:rPr>
                <w:sz w:val="20"/>
                <w:szCs w:val="20"/>
                <w:color w:val="auto"/>
              </w:rPr>
            </w:pPr>
            <w:r>
              <w:rPr>
                <w:rFonts w:ascii="Arial" w:cs="Arial" w:eastAsia="Arial" w:hAnsi="Arial"/>
                <w:sz w:val="21"/>
                <w:szCs w:val="21"/>
                <w:color w:val="auto"/>
              </w:rPr>
              <w:t>Accounting Terms and Determinations; GAAP</w:t>
            </w:r>
          </w:p>
        </w:tc>
        <w:tc>
          <w:tcPr>
            <w:tcW w:w="440" w:type="dxa"/>
            <w:vAlign w:val="bottom"/>
          </w:tcPr>
          <w:p>
            <w:pPr>
              <w:jc w:val="right"/>
              <w:spacing w:after="0"/>
              <w:rPr>
                <w:sz w:val="20"/>
                <w:szCs w:val="20"/>
                <w:color w:val="auto"/>
              </w:rPr>
            </w:pPr>
            <w:r>
              <w:rPr>
                <w:rFonts w:ascii="Arial" w:cs="Arial" w:eastAsia="Arial" w:hAnsi="Arial"/>
                <w:sz w:val="21"/>
                <w:szCs w:val="21"/>
                <w:color w:val="auto"/>
              </w:rPr>
              <w:t>30</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1.06</w:t>
            </w:r>
          </w:p>
        </w:tc>
        <w:tc>
          <w:tcPr>
            <w:tcW w:w="8280" w:type="dxa"/>
            <w:vAlign w:val="bottom"/>
          </w:tcPr>
          <w:p>
            <w:pPr>
              <w:ind w:left="320"/>
              <w:spacing w:after="0"/>
              <w:rPr>
                <w:sz w:val="20"/>
                <w:szCs w:val="20"/>
                <w:color w:val="auto"/>
              </w:rPr>
            </w:pPr>
            <w:r>
              <w:rPr>
                <w:rFonts w:ascii="Arial" w:cs="Arial" w:eastAsia="Arial" w:hAnsi="Arial"/>
                <w:sz w:val="21"/>
                <w:szCs w:val="21"/>
                <w:color w:val="auto"/>
              </w:rPr>
              <w:t>Divisions</w:t>
            </w:r>
          </w:p>
        </w:tc>
        <w:tc>
          <w:tcPr>
            <w:tcW w:w="440" w:type="dxa"/>
            <w:vAlign w:val="bottom"/>
          </w:tcPr>
          <w:p>
            <w:pPr>
              <w:jc w:val="right"/>
              <w:spacing w:after="0"/>
              <w:rPr>
                <w:sz w:val="20"/>
                <w:szCs w:val="20"/>
                <w:color w:val="auto"/>
              </w:rPr>
            </w:pPr>
            <w:r>
              <w:rPr>
                <w:rFonts w:ascii="Arial" w:cs="Arial" w:eastAsia="Arial" w:hAnsi="Arial"/>
                <w:sz w:val="21"/>
                <w:szCs w:val="21"/>
                <w:color w:val="auto"/>
              </w:rPr>
              <w:t>30</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1.07</w:t>
            </w:r>
          </w:p>
        </w:tc>
        <w:tc>
          <w:tcPr>
            <w:tcW w:w="8280" w:type="dxa"/>
            <w:vAlign w:val="bottom"/>
          </w:tcPr>
          <w:p>
            <w:pPr>
              <w:ind w:left="320"/>
              <w:spacing w:after="0"/>
              <w:rPr>
                <w:sz w:val="20"/>
                <w:szCs w:val="20"/>
                <w:color w:val="auto"/>
              </w:rPr>
            </w:pPr>
            <w:r>
              <w:rPr>
                <w:rFonts w:ascii="Arial" w:cs="Arial" w:eastAsia="Arial" w:hAnsi="Arial"/>
                <w:sz w:val="21"/>
                <w:szCs w:val="21"/>
                <w:color w:val="auto"/>
              </w:rPr>
              <w:t>Interest Rates</w:t>
            </w:r>
          </w:p>
        </w:tc>
        <w:tc>
          <w:tcPr>
            <w:tcW w:w="440" w:type="dxa"/>
            <w:vAlign w:val="bottom"/>
          </w:tcPr>
          <w:p>
            <w:pPr>
              <w:jc w:val="right"/>
              <w:spacing w:after="0"/>
              <w:rPr>
                <w:sz w:val="20"/>
                <w:szCs w:val="20"/>
                <w:color w:val="auto"/>
              </w:rPr>
            </w:pPr>
            <w:r>
              <w:rPr>
                <w:rFonts w:ascii="Arial" w:cs="Arial" w:eastAsia="Arial" w:hAnsi="Arial"/>
                <w:sz w:val="21"/>
                <w:szCs w:val="21"/>
                <w:color w:val="auto"/>
              </w:rPr>
              <w:t>30</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tcPr>
          <w:p>
            <w:pPr>
              <w:spacing w:after="0"/>
              <w:rPr>
                <w:sz w:val="20"/>
                <w:szCs w:val="20"/>
                <w:color w:val="auto"/>
              </w:rPr>
            </w:pPr>
            <w:r>
              <w:rPr>
                <w:rFonts w:ascii="Arial" w:cs="Arial" w:eastAsia="Arial" w:hAnsi="Arial"/>
                <w:sz w:val="21"/>
                <w:szCs w:val="21"/>
                <w:color w:val="auto"/>
              </w:rPr>
              <w:t>ARTICLE II The Credits</w:t>
            </w:r>
          </w:p>
        </w:tc>
        <w:tc>
          <w:tcPr>
            <w:tcW w:w="8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1"/>
                <w:szCs w:val="21"/>
                <w:color w:val="auto"/>
              </w:rPr>
              <w:t>31</w:t>
            </w:r>
          </w:p>
        </w:tc>
        <w:tc>
          <w:tcPr>
            <w:tcW w:w="0" w:type="dxa"/>
            <w:vAlign w:val="bottom"/>
          </w:tcPr>
          <w:p>
            <w:pPr>
              <w:spacing w:after="0"/>
              <w:rPr>
                <w:sz w:val="1"/>
                <w:szCs w:val="1"/>
                <w:color w:val="auto"/>
              </w:rPr>
            </w:pPr>
          </w:p>
        </w:tc>
      </w:tr>
      <w:tr>
        <w:trPr>
          <w:trHeight w:val="482"/>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2.01</w:t>
            </w:r>
          </w:p>
        </w:tc>
        <w:tc>
          <w:tcPr>
            <w:tcW w:w="8280" w:type="dxa"/>
            <w:vAlign w:val="bottom"/>
          </w:tcPr>
          <w:p>
            <w:pPr>
              <w:ind w:left="320"/>
              <w:spacing w:after="0"/>
              <w:rPr>
                <w:sz w:val="20"/>
                <w:szCs w:val="20"/>
                <w:color w:val="auto"/>
              </w:rPr>
            </w:pPr>
            <w:r>
              <w:rPr>
                <w:rFonts w:ascii="Arial" w:cs="Arial" w:eastAsia="Arial" w:hAnsi="Arial"/>
                <w:sz w:val="21"/>
                <w:szCs w:val="21"/>
                <w:color w:val="auto"/>
              </w:rPr>
              <w:t>Commitments</w:t>
            </w:r>
          </w:p>
        </w:tc>
        <w:tc>
          <w:tcPr>
            <w:tcW w:w="440" w:type="dxa"/>
            <w:vAlign w:val="bottom"/>
          </w:tcPr>
          <w:p>
            <w:pPr>
              <w:jc w:val="right"/>
              <w:spacing w:after="0"/>
              <w:rPr>
                <w:sz w:val="20"/>
                <w:szCs w:val="20"/>
                <w:color w:val="auto"/>
              </w:rPr>
            </w:pPr>
            <w:r>
              <w:rPr>
                <w:rFonts w:ascii="Arial" w:cs="Arial" w:eastAsia="Arial" w:hAnsi="Arial"/>
                <w:sz w:val="21"/>
                <w:szCs w:val="21"/>
                <w:color w:val="auto"/>
              </w:rPr>
              <w:t>31</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2.02</w:t>
            </w:r>
          </w:p>
        </w:tc>
        <w:tc>
          <w:tcPr>
            <w:tcW w:w="8280" w:type="dxa"/>
            <w:vAlign w:val="bottom"/>
          </w:tcPr>
          <w:p>
            <w:pPr>
              <w:ind w:left="320"/>
              <w:spacing w:after="0"/>
              <w:rPr>
                <w:sz w:val="20"/>
                <w:szCs w:val="20"/>
                <w:color w:val="auto"/>
              </w:rPr>
            </w:pPr>
            <w:r>
              <w:rPr>
                <w:rFonts w:ascii="Arial" w:cs="Arial" w:eastAsia="Arial" w:hAnsi="Arial"/>
                <w:sz w:val="21"/>
                <w:szCs w:val="21"/>
                <w:color w:val="auto"/>
              </w:rPr>
              <w:t>Loans and Borrowings</w:t>
            </w:r>
          </w:p>
        </w:tc>
        <w:tc>
          <w:tcPr>
            <w:tcW w:w="440" w:type="dxa"/>
            <w:vAlign w:val="bottom"/>
          </w:tcPr>
          <w:p>
            <w:pPr>
              <w:jc w:val="right"/>
              <w:spacing w:after="0"/>
              <w:rPr>
                <w:sz w:val="20"/>
                <w:szCs w:val="20"/>
                <w:color w:val="auto"/>
              </w:rPr>
            </w:pPr>
            <w:r>
              <w:rPr>
                <w:rFonts w:ascii="Arial" w:cs="Arial" w:eastAsia="Arial" w:hAnsi="Arial"/>
                <w:sz w:val="21"/>
                <w:szCs w:val="21"/>
                <w:color w:val="auto"/>
              </w:rPr>
              <w:t>31</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2.03</w:t>
            </w:r>
          </w:p>
        </w:tc>
        <w:tc>
          <w:tcPr>
            <w:tcW w:w="8280" w:type="dxa"/>
            <w:vAlign w:val="bottom"/>
          </w:tcPr>
          <w:p>
            <w:pPr>
              <w:ind w:left="320"/>
              <w:spacing w:after="0"/>
              <w:rPr>
                <w:sz w:val="20"/>
                <w:szCs w:val="20"/>
                <w:color w:val="auto"/>
              </w:rPr>
            </w:pPr>
            <w:r>
              <w:rPr>
                <w:rFonts w:ascii="Arial" w:cs="Arial" w:eastAsia="Arial" w:hAnsi="Arial"/>
                <w:sz w:val="21"/>
                <w:szCs w:val="21"/>
                <w:color w:val="auto"/>
              </w:rPr>
              <w:t>Requests for Borrowings</w:t>
            </w:r>
          </w:p>
        </w:tc>
        <w:tc>
          <w:tcPr>
            <w:tcW w:w="440" w:type="dxa"/>
            <w:vAlign w:val="bottom"/>
          </w:tcPr>
          <w:p>
            <w:pPr>
              <w:jc w:val="right"/>
              <w:spacing w:after="0"/>
              <w:rPr>
                <w:sz w:val="20"/>
                <w:szCs w:val="20"/>
                <w:color w:val="auto"/>
              </w:rPr>
            </w:pPr>
            <w:r>
              <w:rPr>
                <w:rFonts w:ascii="Arial" w:cs="Arial" w:eastAsia="Arial" w:hAnsi="Arial"/>
                <w:sz w:val="21"/>
                <w:szCs w:val="21"/>
                <w:color w:val="auto"/>
              </w:rPr>
              <w:t>32</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2.04</w:t>
            </w:r>
          </w:p>
        </w:tc>
        <w:tc>
          <w:tcPr>
            <w:tcW w:w="8280" w:type="dxa"/>
            <w:vAlign w:val="bottom"/>
          </w:tcPr>
          <w:p>
            <w:pPr>
              <w:ind w:left="320"/>
              <w:spacing w:after="0"/>
              <w:rPr>
                <w:sz w:val="20"/>
                <w:szCs w:val="20"/>
                <w:color w:val="auto"/>
              </w:rPr>
            </w:pPr>
            <w:r>
              <w:rPr>
                <w:rFonts w:ascii="Arial" w:cs="Arial" w:eastAsia="Arial" w:hAnsi="Arial"/>
                <w:sz w:val="21"/>
                <w:szCs w:val="21"/>
                <w:color w:val="auto"/>
              </w:rPr>
              <w:t>Interest Elections</w:t>
            </w:r>
          </w:p>
        </w:tc>
        <w:tc>
          <w:tcPr>
            <w:tcW w:w="440" w:type="dxa"/>
            <w:vAlign w:val="bottom"/>
          </w:tcPr>
          <w:p>
            <w:pPr>
              <w:jc w:val="right"/>
              <w:spacing w:after="0"/>
              <w:rPr>
                <w:sz w:val="20"/>
                <w:szCs w:val="20"/>
                <w:color w:val="auto"/>
              </w:rPr>
            </w:pPr>
            <w:r>
              <w:rPr>
                <w:rFonts w:ascii="Arial" w:cs="Arial" w:eastAsia="Arial" w:hAnsi="Arial"/>
                <w:sz w:val="21"/>
                <w:szCs w:val="21"/>
                <w:color w:val="auto"/>
              </w:rPr>
              <w:t>33</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2.05</w:t>
            </w:r>
          </w:p>
        </w:tc>
        <w:tc>
          <w:tcPr>
            <w:tcW w:w="8280" w:type="dxa"/>
            <w:vAlign w:val="bottom"/>
          </w:tcPr>
          <w:p>
            <w:pPr>
              <w:ind w:left="320"/>
              <w:spacing w:after="0"/>
              <w:rPr>
                <w:sz w:val="20"/>
                <w:szCs w:val="20"/>
                <w:color w:val="auto"/>
              </w:rPr>
            </w:pPr>
            <w:r>
              <w:rPr>
                <w:rFonts w:ascii="Arial" w:cs="Arial" w:eastAsia="Arial" w:hAnsi="Arial"/>
                <w:sz w:val="21"/>
                <w:szCs w:val="21"/>
                <w:color w:val="auto"/>
              </w:rPr>
              <w:t>Funding of Borrowings</w:t>
            </w:r>
          </w:p>
        </w:tc>
        <w:tc>
          <w:tcPr>
            <w:tcW w:w="440" w:type="dxa"/>
            <w:vAlign w:val="bottom"/>
          </w:tcPr>
          <w:p>
            <w:pPr>
              <w:jc w:val="right"/>
              <w:spacing w:after="0"/>
              <w:rPr>
                <w:sz w:val="20"/>
                <w:szCs w:val="20"/>
                <w:color w:val="auto"/>
              </w:rPr>
            </w:pPr>
            <w:r>
              <w:rPr>
                <w:rFonts w:ascii="Arial" w:cs="Arial" w:eastAsia="Arial" w:hAnsi="Arial"/>
                <w:sz w:val="21"/>
                <w:szCs w:val="21"/>
                <w:color w:val="auto"/>
              </w:rPr>
              <w:t>34</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420" w:type="dxa"/>
            <w:vAlign w:val="bottom"/>
          </w:tcPr>
          <w:p>
            <w:pPr>
              <w:ind w:left="720"/>
              <w:spacing w:after="0"/>
              <w:rPr>
                <w:sz w:val="20"/>
                <w:szCs w:val="20"/>
                <w:color w:val="auto"/>
              </w:rPr>
            </w:pPr>
            <w:r>
              <w:rPr>
                <w:rFonts w:ascii="Arial" w:cs="Arial" w:eastAsia="Arial" w:hAnsi="Arial"/>
                <w:sz w:val="21"/>
                <w:szCs w:val="21"/>
                <w:color w:val="auto"/>
              </w:rPr>
              <w:t>Section 2.06</w:t>
            </w:r>
          </w:p>
        </w:tc>
        <w:tc>
          <w:tcPr>
            <w:tcW w:w="8280" w:type="dxa"/>
            <w:vAlign w:val="bottom"/>
          </w:tcPr>
          <w:p>
            <w:pPr>
              <w:ind w:left="320"/>
              <w:spacing w:after="0"/>
              <w:rPr>
                <w:sz w:val="20"/>
                <w:szCs w:val="20"/>
                <w:color w:val="auto"/>
              </w:rPr>
            </w:pPr>
            <w:r>
              <w:rPr>
                <w:rFonts w:ascii="Arial" w:cs="Arial" w:eastAsia="Arial" w:hAnsi="Arial"/>
                <w:sz w:val="21"/>
                <w:szCs w:val="21"/>
                <w:color w:val="auto"/>
              </w:rPr>
              <w:t>Termination and Modifications of Aggregate Maximum Credit Amounts and Optional</w:t>
            </w:r>
          </w:p>
        </w:tc>
        <w:tc>
          <w:tcPr>
            <w:tcW w:w="440" w:type="dxa"/>
            <w:vAlign w:val="bottom"/>
            <w:vMerge w:val="restart"/>
          </w:tcPr>
          <w:p>
            <w:pPr>
              <w:jc w:val="right"/>
              <w:spacing w:after="0"/>
              <w:rPr>
                <w:sz w:val="20"/>
                <w:szCs w:val="20"/>
                <w:color w:val="auto"/>
              </w:rPr>
            </w:pPr>
            <w:r>
              <w:rPr>
                <w:rFonts w:ascii="Arial" w:cs="Arial" w:eastAsia="Arial" w:hAnsi="Arial"/>
                <w:sz w:val="21"/>
                <w:szCs w:val="21"/>
                <w:color w:val="auto"/>
              </w:rPr>
              <w:t>35</w:t>
            </w:r>
          </w:p>
        </w:tc>
        <w:tc>
          <w:tcPr>
            <w:tcW w:w="0" w:type="dxa"/>
            <w:vAlign w:val="bottom"/>
          </w:tcPr>
          <w:p>
            <w:pPr>
              <w:spacing w:after="0"/>
              <w:rPr>
                <w:sz w:val="1"/>
                <w:szCs w:val="1"/>
                <w:color w:val="auto"/>
              </w:rPr>
            </w:pPr>
          </w:p>
        </w:tc>
      </w:tr>
      <w:tr>
        <w:trPr>
          <w:trHeight w:val="273"/>
        </w:trPr>
        <w:tc>
          <w:tcPr>
            <w:tcW w:w="2420" w:type="dxa"/>
            <w:vAlign w:val="bottom"/>
          </w:tcPr>
          <w:p>
            <w:pPr>
              <w:spacing w:after="0"/>
              <w:rPr>
                <w:sz w:val="23"/>
                <w:szCs w:val="23"/>
                <w:color w:val="auto"/>
              </w:rPr>
            </w:pPr>
          </w:p>
        </w:tc>
        <w:tc>
          <w:tcPr>
            <w:tcW w:w="8280" w:type="dxa"/>
            <w:vAlign w:val="bottom"/>
          </w:tcPr>
          <w:p>
            <w:pPr>
              <w:ind w:left="320"/>
              <w:spacing w:after="0"/>
              <w:rPr>
                <w:sz w:val="20"/>
                <w:szCs w:val="20"/>
                <w:color w:val="auto"/>
              </w:rPr>
            </w:pPr>
            <w:r>
              <w:rPr>
                <w:rFonts w:ascii="Arial" w:cs="Arial" w:eastAsia="Arial" w:hAnsi="Arial"/>
                <w:sz w:val="21"/>
                <w:szCs w:val="21"/>
                <w:color w:val="auto"/>
              </w:rPr>
              <w:t>Modifications of Aggregate Elected Commitment Amounts</w:t>
            </w:r>
          </w:p>
        </w:tc>
        <w:tc>
          <w:tcPr>
            <w:tcW w:w="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82"/>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2.07</w:t>
            </w:r>
          </w:p>
        </w:tc>
        <w:tc>
          <w:tcPr>
            <w:tcW w:w="8280" w:type="dxa"/>
            <w:vAlign w:val="bottom"/>
          </w:tcPr>
          <w:p>
            <w:pPr>
              <w:ind w:left="320"/>
              <w:spacing w:after="0"/>
              <w:rPr>
                <w:sz w:val="20"/>
                <w:szCs w:val="20"/>
                <w:color w:val="auto"/>
              </w:rPr>
            </w:pPr>
            <w:r>
              <w:rPr>
                <w:rFonts w:ascii="Arial" w:cs="Arial" w:eastAsia="Arial" w:hAnsi="Arial"/>
                <w:sz w:val="21"/>
                <w:szCs w:val="21"/>
                <w:color w:val="auto"/>
              </w:rPr>
              <w:t>Borrowing Base</w:t>
            </w:r>
          </w:p>
        </w:tc>
        <w:tc>
          <w:tcPr>
            <w:tcW w:w="440" w:type="dxa"/>
            <w:vAlign w:val="bottom"/>
          </w:tcPr>
          <w:p>
            <w:pPr>
              <w:jc w:val="right"/>
              <w:spacing w:after="0"/>
              <w:rPr>
                <w:sz w:val="20"/>
                <w:szCs w:val="20"/>
                <w:color w:val="auto"/>
              </w:rPr>
            </w:pPr>
            <w:r>
              <w:rPr>
                <w:rFonts w:ascii="Arial" w:cs="Arial" w:eastAsia="Arial" w:hAnsi="Arial"/>
                <w:sz w:val="21"/>
                <w:szCs w:val="21"/>
                <w:color w:val="auto"/>
              </w:rPr>
              <w:t>38</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2.08</w:t>
            </w:r>
          </w:p>
        </w:tc>
        <w:tc>
          <w:tcPr>
            <w:tcW w:w="8280" w:type="dxa"/>
            <w:vAlign w:val="bottom"/>
          </w:tcPr>
          <w:p>
            <w:pPr>
              <w:ind w:left="320"/>
              <w:spacing w:after="0"/>
              <w:rPr>
                <w:sz w:val="20"/>
                <w:szCs w:val="20"/>
                <w:color w:val="auto"/>
              </w:rPr>
            </w:pPr>
            <w:r>
              <w:rPr>
                <w:rFonts w:ascii="Arial" w:cs="Arial" w:eastAsia="Arial" w:hAnsi="Arial"/>
                <w:sz w:val="21"/>
                <w:szCs w:val="21"/>
                <w:color w:val="auto"/>
              </w:rPr>
              <w:t>Letters of Credit</w:t>
            </w:r>
          </w:p>
        </w:tc>
        <w:tc>
          <w:tcPr>
            <w:tcW w:w="440" w:type="dxa"/>
            <w:vAlign w:val="bottom"/>
          </w:tcPr>
          <w:p>
            <w:pPr>
              <w:jc w:val="right"/>
              <w:spacing w:after="0"/>
              <w:rPr>
                <w:sz w:val="20"/>
                <w:szCs w:val="20"/>
                <w:color w:val="auto"/>
              </w:rPr>
            </w:pPr>
            <w:r>
              <w:rPr>
                <w:rFonts w:ascii="Arial" w:cs="Arial" w:eastAsia="Arial" w:hAnsi="Arial"/>
                <w:sz w:val="21"/>
                <w:szCs w:val="21"/>
                <w:color w:val="auto"/>
              </w:rPr>
              <w:t>41</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2.09</w:t>
            </w:r>
          </w:p>
        </w:tc>
        <w:tc>
          <w:tcPr>
            <w:tcW w:w="8280" w:type="dxa"/>
            <w:vAlign w:val="bottom"/>
          </w:tcPr>
          <w:p>
            <w:pPr>
              <w:ind w:left="320"/>
              <w:spacing w:after="0"/>
              <w:rPr>
                <w:sz w:val="20"/>
                <w:szCs w:val="20"/>
                <w:color w:val="auto"/>
              </w:rPr>
            </w:pPr>
            <w:r>
              <w:rPr>
                <w:rFonts w:ascii="Arial" w:cs="Arial" w:eastAsia="Arial" w:hAnsi="Arial"/>
                <w:sz w:val="21"/>
                <w:szCs w:val="21"/>
                <w:color w:val="auto"/>
              </w:rPr>
              <w:t>Cash Collateral</w:t>
            </w:r>
          </w:p>
        </w:tc>
        <w:tc>
          <w:tcPr>
            <w:tcW w:w="440" w:type="dxa"/>
            <w:vAlign w:val="bottom"/>
          </w:tcPr>
          <w:p>
            <w:pPr>
              <w:jc w:val="right"/>
              <w:spacing w:after="0"/>
              <w:rPr>
                <w:sz w:val="20"/>
                <w:szCs w:val="20"/>
                <w:color w:val="auto"/>
              </w:rPr>
            </w:pPr>
            <w:r>
              <w:rPr>
                <w:rFonts w:ascii="Arial" w:cs="Arial" w:eastAsia="Arial" w:hAnsi="Arial"/>
                <w:sz w:val="21"/>
                <w:szCs w:val="21"/>
                <w:color w:val="auto"/>
              </w:rPr>
              <w:t>45</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2.10</w:t>
            </w:r>
          </w:p>
        </w:tc>
        <w:tc>
          <w:tcPr>
            <w:tcW w:w="8280" w:type="dxa"/>
            <w:vAlign w:val="bottom"/>
          </w:tcPr>
          <w:p>
            <w:pPr>
              <w:ind w:left="320"/>
              <w:spacing w:after="0"/>
              <w:rPr>
                <w:sz w:val="20"/>
                <w:szCs w:val="20"/>
                <w:color w:val="auto"/>
              </w:rPr>
            </w:pPr>
            <w:r>
              <w:rPr>
                <w:rFonts w:ascii="Arial" w:cs="Arial" w:eastAsia="Arial" w:hAnsi="Arial"/>
                <w:sz w:val="21"/>
                <w:szCs w:val="21"/>
                <w:color w:val="auto"/>
              </w:rPr>
              <w:t>Defaulting Lenders</w:t>
            </w:r>
          </w:p>
        </w:tc>
        <w:tc>
          <w:tcPr>
            <w:tcW w:w="440" w:type="dxa"/>
            <w:vAlign w:val="bottom"/>
          </w:tcPr>
          <w:p>
            <w:pPr>
              <w:jc w:val="right"/>
              <w:spacing w:after="0"/>
              <w:rPr>
                <w:sz w:val="20"/>
                <w:szCs w:val="20"/>
                <w:color w:val="auto"/>
              </w:rPr>
            </w:pPr>
            <w:r>
              <w:rPr>
                <w:rFonts w:ascii="Arial" w:cs="Arial" w:eastAsia="Arial" w:hAnsi="Arial"/>
                <w:sz w:val="21"/>
                <w:szCs w:val="21"/>
                <w:color w:val="auto"/>
              </w:rPr>
              <w:t>46</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10700" w:type="dxa"/>
            <w:vAlign w:val="bottom"/>
            <w:gridSpan w:val="2"/>
          </w:tcPr>
          <w:p>
            <w:pPr>
              <w:spacing w:after="0"/>
              <w:rPr>
                <w:sz w:val="20"/>
                <w:szCs w:val="20"/>
                <w:color w:val="auto"/>
              </w:rPr>
            </w:pPr>
            <w:r>
              <w:rPr>
                <w:rFonts w:ascii="Arial" w:cs="Arial" w:eastAsia="Arial" w:hAnsi="Arial"/>
                <w:sz w:val="21"/>
                <w:szCs w:val="21"/>
                <w:color w:val="auto"/>
              </w:rPr>
              <w:t>ARTICLE III Payments of Principal and Interest; Prepayments; Fees</w:t>
            </w:r>
          </w:p>
        </w:tc>
        <w:tc>
          <w:tcPr>
            <w:tcW w:w="440" w:type="dxa"/>
            <w:vAlign w:val="bottom"/>
          </w:tcPr>
          <w:p>
            <w:pPr>
              <w:jc w:val="right"/>
              <w:spacing w:after="0"/>
              <w:rPr>
                <w:sz w:val="20"/>
                <w:szCs w:val="20"/>
                <w:color w:val="auto"/>
              </w:rPr>
            </w:pPr>
            <w:r>
              <w:rPr>
                <w:rFonts w:ascii="Arial" w:cs="Arial" w:eastAsia="Arial" w:hAnsi="Arial"/>
                <w:sz w:val="21"/>
                <w:szCs w:val="21"/>
                <w:color w:val="auto"/>
              </w:rPr>
              <w:t>48</w:t>
            </w:r>
          </w:p>
        </w:tc>
        <w:tc>
          <w:tcPr>
            <w:tcW w:w="0" w:type="dxa"/>
            <w:vAlign w:val="bottom"/>
          </w:tcPr>
          <w:p>
            <w:pPr>
              <w:spacing w:after="0"/>
              <w:rPr>
                <w:sz w:val="1"/>
                <w:szCs w:val="1"/>
                <w:color w:val="auto"/>
              </w:rPr>
            </w:pPr>
          </w:p>
        </w:tc>
      </w:tr>
      <w:tr>
        <w:trPr>
          <w:trHeight w:val="482"/>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3.01</w:t>
            </w:r>
          </w:p>
        </w:tc>
        <w:tc>
          <w:tcPr>
            <w:tcW w:w="8280" w:type="dxa"/>
            <w:vAlign w:val="bottom"/>
          </w:tcPr>
          <w:p>
            <w:pPr>
              <w:ind w:left="320"/>
              <w:spacing w:after="0"/>
              <w:rPr>
                <w:sz w:val="20"/>
                <w:szCs w:val="20"/>
                <w:color w:val="auto"/>
              </w:rPr>
            </w:pPr>
            <w:r>
              <w:rPr>
                <w:rFonts w:ascii="Arial" w:cs="Arial" w:eastAsia="Arial" w:hAnsi="Arial"/>
                <w:sz w:val="21"/>
                <w:szCs w:val="21"/>
                <w:color w:val="auto"/>
              </w:rPr>
              <w:t>Repayment of Loans</w:t>
            </w:r>
          </w:p>
        </w:tc>
        <w:tc>
          <w:tcPr>
            <w:tcW w:w="440" w:type="dxa"/>
            <w:vAlign w:val="bottom"/>
          </w:tcPr>
          <w:p>
            <w:pPr>
              <w:jc w:val="right"/>
              <w:spacing w:after="0"/>
              <w:rPr>
                <w:sz w:val="20"/>
                <w:szCs w:val="20"/>
                <w:color w:val="auto"/>
              </w:rPr>
            </w:pPr>
            <w:r>
              <w:rPr>
                <w:rFonts w:ascii="Arial" w:cs="Arial" w:eastAsia="Arial" w:hAnsi="Arial"/>
                <w:sz w:val="21"/>
                <w:szCs w:val="21"/>
                <w:color w:val="auto"/>
              </w:rPr>
              <w:t>48</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3.02</w:t>
            </w:r>
          </w:p>
        </w:tc>
        <w:tc>
          <w:tcPr>
            <w:tcW w:w="8280" w:type="dxa"/>
            <w:vAlign w:val="bottom"/>
          </w:tcPr>
          <w:p>
            <w:pPr>
              <w:ind w:left="320"/>
              <w:spacing w:after="0"/>
              <w:rPr>
                <w:sz w:val="20"/>
                <w:szCs w:val="20"/>
                <w:color w:val="auto"/>
              </w:rPr>
            </w:pPr>
            <w:r>
              <w:rPr>
                <w:rFonts w:ascii="Arial" w:cs="Arial" w:eastAsia="Arial" w:hAnsi="Arial"/>
                <w:sz w:val="21"/>
                <w:szCs w:val="21"/>
                <w:color w:val="auto"/>
              </w:rPr>
              <w:t>Interest</w:t>
            </w:r>
          </w:p>
        </w:tc>
        <w:tc>
          <w:tcPr>
            <w:tcW w:w="440" w:type="dxa"/>
            <w:vAlign w:val="bottom"/>
          </w:tcPr>
          <w:p>
            <w:pPr>
              <w:jc w:val="right"/>
              <w:spacing w:after="0"/>
              <w:rPr>
                <w:sz w:val="20"/>
                <w:szCs w:val="20"/>
                <w:color w:val="auto"/>
              </w:rPr>
            </w:pPr>
            <w:r>
              <w:rPr>
                <w:rFonts w:ascii="Arial" w:cs="Arial" w:eastAsia="Arial" w:hAnsi="Arial"/>
                <w:sz w:val="21"/>
                <w:szCs w:val="21"/>
                <w:color w:val="auto"/>
              </w:rPr>
              <w:t>48</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3.03</w:t>
            </w:r>
          </w:p>
        </w:tc>
        <w:tc>
          <w:tcPr>
            <w:tcW w:w="8280" w:type="dxa"/>
            <w:vAlign w:val="bottom"/>
          </w:tcPr>
          <w:p>
            <w:pPr>
              <w:ind w:left="320"/>
              <w:spacing w:after="0"/>
              <w:rPr>
                <w:sz w:val="20"/>
                <w:szCs w:val="20"/>
                <w:color w:val="auto"/>
              </w:rPr>
            </w:pPr>
            <w:r>
              <w:rPr>
                <w:rFonts w:ascii="Arial" w:cs="Arial" w:eastAsia="Arial" w:hAnsi="Arial"/>
                <w:sz w:val="21"/>
                <w:szCs w:val="21"/>
                <w:color w:val="auto"/>
              </w:rPr>
              <w:t>Changed Circumstances.</w:t>
            </w:r>
          </w:p>
        </w:tc>
        <w:tc>
          <w:tcPr>
            <w:tcW w:w="440" w:type="dxa"/>
            <w:vAlign w:val="bottom"/>
          </w:tcPr>
          <w:p>
            <w:pPr>
              <w:jc w:val="right"/>
              <w:spacing w:after="0"/>
              <w:rPr>
                <w:sz w:val="20"/>
                <w:szCs w:val="20"/>
                <w:color w:val="auto"/>
              </w:rPr>
            </w:pPr>
            <w:r>
              <w:rPr>
                <w:rFonts w:ascii="Arial" w:cs="Arial" w:eastAsia="Arial" w:hAnsi="Arial"/>
                <w:sz w:val="21"/>
                <w:szCs w:val="21"/>
                <w:color w:val="auto"/>
              </w:rPr>
              <w:t>49</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3.04</w:t>
            </w:r>
          </w:p>
        </w:tc>
        <w:tc>
          <w:tcPr>
            <w:tcW w:w="8280" w:type="dxa"/>
            <w:vAlign w:val="bottom"/>
          </w:tcPr>
          <w:p>
            <w:pPr>
              <w:ind w:left="320"/>
              <w:spacing w:after="0"/>
              <w:rPr>
                <w:sz w:val="20"/>
                <w:szCs w:val="20"/>
                <w:color w:val="auto"/>
              </w:rPr>
            </w:pPr>
            <w:r>
              <w:rPr>
                <w:rFonts w:ascii="Arial" w:cs="Arial" w:eastAsia="Arial" w:hAnsi="Arial"/>
                <w:sz w:val="21"/>
                <w:szCs w:val="21"/>
                <w:color w:val="auto"/>
              </w:rPr>
              <w:t>Prepayments</w:t>
            </w:r>
          </w:p>
        </w:tc>
        <w:tc>
          <w:tcPr>
            <w:tcW w:w="440" w:type="dxa"/>
            <w:vAlign w:val="bottom"/>
          </w:tcPr>
          <w:p>
            <w:pPr>
              <w:jc w:val="right"/>
              <w:spacing w:after="0"/>
              <w:rPr>
                <w:sz w:val="20"/>
                <w:szCs w:val="20"/>
                <w:color w:val="auto"/>
              </w:rPr>
            </w:pPr>
            <w:r>
              <w:rPr>
                <w:rFonts w:ascii="Arial" w:cs="Arial" w:eastAsia="Arial" w:hAnsi="Arial"/>
                <w:sz w:val="21"/>
                <w:szCs w:val="21"/>
                <w:color w:val="auto"/>
              </w:rPr>
              <w:t>51</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3.05</w:t>
            </w:r>
          </w:p>
        </w:tc>
        <w:tc>
          <w:tcPr>
            <w:tcW w:w="8280" w:type="dxa"/>
            <w:vAlign w:val="bottom"/>
          </w:tcPr>
          <w:p>
            <w:pPr>
              <w:ind w:left="320"/>
              <w:spacing w:after="0"/>
              <w:rPr>
                <w:sz w:val="20"/>
                <w:szCs w:val="20"/>
                <w:color w:val="auto"/>
              </w:rPr>
            </w:pPr>
            <w:r>
              <w:rPr>
                <w:rFonts w:ascii="Arial" w:cs="Arial" w:eastAsia="Arial" w:hAnsi="Arial"/>
                <w:sz w:val="21"/>
                <w:szCs w:val="21"/>
                <w:color w:val="auto"/>
              </w:rPr>
              <w:t>Fees</w:t>
            </w:r>
          </w:p>
        </w:tc>
        <w:tc>
          <w:tcPr>
            <w:tcW w:w="440" w:type="dxa"/>
            <w:vAlign w:val="bottom"/>
          </w:tcPr>
          <w:p>
            <w:pPr>
              <w:jc w:val="right"/>
              <w:spacing w:after="0"/>
              <w:rPr>
                <w:sz w:val="20"/>
                <w:szCs w:val="20"/>
                <w:color w:val="auto"/>
              </w:rPr>
            </w:pPr>
            <w:r>
              <w:rPr>
                <w:rFonts w:ascii="Arial" w:cs="Arial" w:eastAsia="Arial" w:hAnsi="Arial"/>
                <w:sz w:val="21"/>
                <w:szCs w:val="21"/>
                <w:color w:val="auto"/>
              </w:rPr>
              <w:t>53</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10700" w:type="dxa"/>
            <w:vAlign w:val="bottom"/>
            <w:gridSpan w:val="2"/>
          </w:tcPr>
          <w:p>
            <w:pPr>
              <w:spacing w:after="0"/>
              <w:rPr>
                <w:sz w:val="20"/>
                <w:szCs w:val="20"/>
                <w:color w:val="auto"/>
              </w:rPr>
            </w:pPr>
            <w:r>
              <w:rPr>
                <w:rFonts w:ascii="Arial" w:cs="Arial" w:eastAsia="Arial" w:hAnsi="Arial"/>
                <w:sz w:val="21"/>
                <w:szCs w:val="21"/>
                <w:color w:val="auto"/>
              </w:rPr>
              <w:t>ARTICLE IV Payments; Pro Rata Treatment; Sharing of Set-offs</w:t>
            </w:r>
          </w:p>
        </w:tc>
        <w:tc>
          <w:tcPr>
            <w:tcW w:w="440" w:type="dxa"/>
            <w:vAlign w:val="bottom"/>
          </w:tcPr>
          <w:p>
            <w:pPr>
              <w:jc w:val="right"/>
              <w:spacing w:after="0"/>
              <w:rPr>
                <w:sz w:val="20"/>
                <w:szCs w:val="20"/>
                <w:color w:val="auto"/>
              </w:rPr>
            </w:pPr>
            <w:r>
              <w:rPr>
                <w:rFonts w:ascii="Arial" w:cs="Arial" w:eastAsia="Arial" w:hAnsi="Arial"/>
                <w:sz w:val="21"/>
                <w:szCs w:val="21"/>
                <w:color w:val="auto"/>
              </w:rPr>
              <w:t>54</w:t>
            </w:r>
          </w:p>
        </w:tc>
        <w:tc>
          <w:tcPr>
            <w:tcW w:w="0" w:type="dxa"/>
            <w:vAlign w:val="bottom"/>
          </w:tcPr>
          <w:p>
            <w:pPr>
              <w:spacing w:after="0"/>
              <w:rPr>
                <w:sz w:val="1"/>
                <w:szCs w:val="1"/>
                <w:color w:val="auto"/>
              </w:rPr>
            </w:pPr>
          </w:p>
        </w:tc>
      </w:tr>
      <w:tr>
        <w:trPr>
          <w:trHeight w:val="482"/>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4.01</w:t>
            </w:r>
          </w:p>
        </w:tc>
        <w:tc>
          <w:tcPr>
            <w:tcW w:w="8280" w:type="dxa"/>
            <w:vAlign w:val="bottom"/>
          </w:tcPr>
          <w:p>
            <w:pPr>
              <w:ind w:left="260"/>
              <w:spacing w:after="0"/>
              <w:rPr>
                <w:sz w:val="20"/>
                <w:szCs w:val="20"/>
                <w:color w:val="auto"/>
              </w:rPr>
            </w:pPr>
            <w:r>
              <w:rPr>
                <w:rFonts w:ascii="Arial" w:cs="Arial" w:eastAsia="Arial" w:hAnsi="Arial"/>
                <w:sz w:val="21"/>
                <w:szCs w:val="21"/>
                <w:color w:val="auto"/>
              </w:rPr>
              <w:t>Payments Generally; Pro Rata Treatment; Sharing of Set-offs</w:t>
            </w:r>
          </w:p>
        </w:tc>
        <w:tc>
          <w:tcPr>
            <w:tcW w:w="440" w:type="dxa"/>
            <w:vAlign w:val="bottom"/>
          </w:tcPr>
          <w:p>
            <w:pPr>
              <w:jc w:val="right"/>
              <w:spacing w:after="0"/>
              <w:rPr>
                <w:sz w:val="20"/>
                <w:szCs w:val="20"/>
                <w:color w:val="auto"/>
              </w:rPr>
            </w:pPr>
            <w:r>
              <w:rPr>
                <w:rFonts w:ascii="Arial" w:cs="Arial" w:eastAsia="Arial" w:hAnsi="Arial"/>
                <w:sz w:val="21"/>
                <w:szCs w:val="21"/>
                <w:color w:val="auto"/>
              </w:rPr>
              <w:t>54</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vMerge w:val="restart"/>
          </w:tcPr>
          <w:p>
            <w:pPr>
              <w:ind w:left="720"/>
              <w:spacing w:after="0"/>
              <w:rPr>
                <w:sz w:val="20"/>
                <w:szCs w:val="20"/>
                <w:color w:val="auto"/>
              </w:rPr>
            </w:pPr>
            <w:r>
              <w:rPr>
                <w:rFonts w:ascii="Arial" w:cs="Arial" w:eastAsia="Arial" w:hAnsi="Arial"/>
                <w:sz w:val="21"/>
                <w:szCs w:val="21"/>
                <w:color w:val="auto"/>
              </w:rPr>
              <w:t>Section 4.02</w:t>
            </w:r>
          </w:p>
        </w:tc>
        <w:tc>
          <w:tcPr>
            <w:tcW w:w="8280" w:type="dxa"/>
            <w:vAlign w:val="bottom"/>
          </w:tcPr>
          <w:p>
            <w:pPr>
              <w:ind w:left="260"/>
              <w:spacing w:after="0"/>
              <w:rPr>
                <w:sz w:val="20"/>
                <w:szCs w:val="20"/>
                <w:color w:val="auto"/>
              </w:rPr>
            </w:pPr>
            <w:r>
              <w:rPr>
                <w:rFonts w:ascii="Arial" w:cs="Arial" w:eastAsia="Arial" w:hAnsi="Arial"/>
                <w:sz w:val="21"/>
                <w:szCs w:val="21"/>
                <w:color w:val="auto"/>
              </w:rPr>
              <w:t>Presumption of Payment by the Borrower</w:t>
            </w:r>
          </w:p>
        </w:tc>
        <w:tc>
          <w:tcPr>
            <w:tcW w:w="440" w:type="dxa"/>
            <w:vAlign w:val="bottom"/>
          </w:tcPr>
          <w:p>
            <w:pPr>
              <w:jc w:val="right"/>
              <w:spacing w:after="0"/>
              <w:rPr>
                <w:sz w:val="20"/>
                <w:szCs w:val="20"/>
                <w:color w:val="auto"/>
              </w:rPr>
            </w:pPr>
            <w:r>
              <w:rPr>
                <w:rFonts w:ascii="Arial" w:cs="Arial" w:eastAsia="Arial" w:hAnsi="Arial"/>
                <w:sz w:val="21"/>
                <w:szCs w:val="21"/>
                <w:color w:val="auto"/>
              </w:rPr>
              <w:t>55</w:t>
            </w: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420" w:type="dxa"/>
            <w:vAlign w:val="bottom"/>
          </w:tcPr>
          <w:p>
            <w:pPr>
              <w:spacing w:after="0"/>
              <w:rPr>
                <w:sz w:val="24"/>
                <w:szCs w:val="24"/>
                <w:color w:val="auto"/>
              </w:rPr>
            </w:pPr>
          </w:p>
        </w:tc>
        <w:tc>
          <w:tcPr>
            <w:tcW w:w="8280" w:type="dxa"/>
            <w:vAlign w:val="bottom"/>
          </w:tcPr>
          <w:p>
            <w:pPr>
              <w:ind w:left="260"/>
              <w:spacing w:after="0"/>
              <w:rPr>
                <w:sz w:val="20"/>
                <w:szCs w:val="20"/>
                <w:color w:val="auto"/>
              </w:rPr>
            </w:pPr>
            <w:r>
              <w:rPr>
                <w:rFonts w:ascii="Arial" w:cs="Arial" w:eastAsia="Arial" w:hAnsi="Arial"/>
                <w:sz w:val="21"/>
                <w:szCs w:val="21"/>
                <w:color w:val="auto"/>
              </w:rPr>
              <w:t>Disposition of Proceeds</w:t>
            </w:r>
          </w:p>
        </w:tc>
        <w:tc>
          <w:tcPr>
            <w:tcW w:w="440" w:type="dxa"/>
            <w:vAlign w:val="bottom"/>
          </w:tcPr>
          <w:p>
            <w:pPr>
              <w:jc w:val="right"/>
              <w:spacing w:after="0"/>
              <w:rPr>
                <w:sz w:val="20"/>
                <w:szCs w:val="20"/>
                <w:color w:val="auto"/>
              </w:rPr>
            </w:pPr>
            <w:r>
              <w:rPr>
                <w:rFonts w:ascii="Arial" w:cs="Arial" w:eastAsia="Arial" w:hAnsi="Arial"/>
                <w:sz w:val="21"/>
                <w:szCs w:val="21"/>
                <w:color w:val="auto"/>
              </w:rPr>
              <w:t>55</w:t>
            </w:r>
          </w:p>
        </w:tc>
        <w:tc>
          <w:tcPr>
            <w:tcW w:w="0" w:type="dxa"/>
            <w:vAlign w:val="bottom"/>
          </w:tcPr>
          <w:p>
            <w:pPr>
              <w:spacing w:after="0"/>
              <w:rPr>
                <w:sz w:val="1"/>
                <w:szCs w:val="1"/>
                <w:color w:val="auto"/>
              </w:rPr>
            </w:pPr>
          </w:p>
        </w:tc>
      </w:tr>
    </w:tbl>
    <w:p>
      <w:pPr>
        <w:sectPr>
          <w:pgSz w:w="11900" w:h="16994" w:orient="portrait"/>
          <w:cols w:equalWidth="0" w:num="1">
            <w:col w:w="11140"/>
          </w:cols>
          <w:pgMar w:left="400" w:top="1384" w:right="359" w:bottom="0" w:gutter="0" w:footer="0" w:header="0"/>
        </w:sectPr>
      </w:pPr>
    </w:p>
    <w:bookmarkStart w:id="124" w:name="page125"/>
    <w:bookmarkEnd w:id="124"/>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72"/>
        </w:trPr>
        <w:tc>
          <w:tcPr>
            <w:tcW w:w="2240" w:type="dxa"/>
            <w:vAlign w:val="bottom"/>
          </w:tcPr>
          <w:p>
            <w:pPr>
              <w:ind w:left="720"/>
              <w:spacing w:after="0"/>
              <w:rPr>
                <w:sz w:val="20"/>
                <w:szCs w:val="20"/>
                <w:color w:val="auto"/>
              </w:rPr>
            </w:pPr>
            <w:r>
              <w:rPr>
                <w:rFonts w:ascii="Arial" w:cs="Arial" w:eastAsia="Arial" w:hAnsi="Arial"/>
                <w:sz w:val="21"/>
                <w:szCs w:val="21"/>
                <w:color w:val="auto"/>
              </w:rPr>
              <w:t>Section 4.03</w:t>
            </w:r>
          </w:p>
        </w:tc>
        <w:tc>
          <w:tcPr>
            <w:tcW w:w="63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5"/>
        </w:trPr>
        <w:tc>
          <w:tcPr>
            <w:tcW w:w="8580" w:type="dxa"/>
            <w:vAlign w:val="bottom"/>
            <w:gridSpan w:val="2"/>
          </w:tcPr>
          <w:p>
            <w:pPr>
              <w:spacing w:after="0"/>
              <w:rPr>
                <w:sz w:val="20"/>
                <w:szCs w:val="20"/>
                <w:color w:val="auto"/>
              </w:rPr>
            </w:pPr>
            <w:r>
              <w:rPr>
                <w:rFonts w:ascii="Arial" w:cs="Arial" w:eastAsia="Arial" w:hAnsi="Arial"/>
                <w:sz w:val="21"/>
                <w:szCs w:val="21"/>
                <w:color w:val="auto"/>
              </w:rPr>
              <w:t>ARTICLE V Increased Costs; Break Funding Payments; Taxes; Illegality</w:t>
            </w:r>
          </w:p>
        </w:tc>
        <w:tc>
          <w:tcPr>
            <w:tcW w:w="2520" w:type="dxa"/>
            <w:vAlign w:val="bottom"/>
          </w:tcPr>
          <w:p>
            <w:pPr>
              <w:jc w:val="right"/>
              <w:spacing w:after="0"/>
              <w:rPr>
                <w:sz w:val="20"/>
                <w:szCs w:val="20"/>
                <w:color w:val="auto"/>
              </w:rPr>
            </w:pPr>
            <w:r>
              <w:rPr>
                <w:rFonts w:ascii="Arial" w:cs="Arial" w:eastAsia="Arial" w:hAnsi="Arial"/>
                <w:sz w:val="21"/>
                <w:szCs w:val="21"/>
                <w:color w:val="auto"/>
              </w:rPr>
              <w:t>55</w:t>
            </w:r>
          </w:p>
        </w:tc>
        <w:tc>
          <w:tcPr>
            <w:tcW w:w="0" w:type="dxa"/>
            <w:vAlign w:val="bottom"/>
          </w:tcPr>
          <w:p>
            <w:pPr>
              <w:spacing w:after="0"/>
              <w:rPr>
                <w:sz w:val="1"/>
                <w:szCs w:val="1"/>
                <w:color w:val="auto"/>
              </w:rPr>
            </w:pPr>
          </w:p>
        </w:tc>
      </w:tr>
      <w:tr>
        <w:trPr>
          <w:trHeight w:val="482"/>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5.01</w:t>
            </w:r>
          </w:p>
        </w:tc>
        <w:tc>
          <w:tcPr>
            <w:tcW w:w="6340" w:type="dxa"/>
            <w:vAlign w:val="bottom"/>
          </w:tcPr>
          <w:p>
            <w:pPr>
              <w:ind w:left="440"/>
              <w:spacing w:after="0"/>
              <w:rPr>
                <w:sz w:val="20"/>
                <w:szCs w:val="20"/>
                <w:color w:val="auto"/>
              </w:rPr>
            </w:pPr>
            <w:r>
              <w:rPr>
                <w:rFonts w:ascii="Arial" w:cs="Arial" w:eastAsia="Arial" w:hAnsi="Arial"/>
                <w:sz w:val="21"/>
                <w:szCs w:val="21"/>
                <w:color w:val="auto"/>
              </w:rPr>
              <w:t>Increased Costs</w:t>
            </w:r>
          </w:p>
        </w:tc>
        <w:tc>
          <w:tcPr>
            <w:tcW w:w="2520" w:type="dxa"/>
            <w:vAlign w:val="bottom"/>
          </w:tcPr>
          <w:p>
            <w:pPr>
              <w:jc w:val="right"/>
              <w:spacing w:after="0"/>
              <w:rPr>
                <w:sz w:val="20"/>
                <w:szCs w:val="20"/>
                <w:color w:val="auto"/>
              </w:rPr>
            </w:pPr>
            <w:r>
              <w:rPr>
                <w:rFonts w:ascii="Arial" w:cs="Arial" w:eastAsia="Arial" w:hAnsi="Arial"/>
                <w:sz w:val="21"/>
                <w:szCs w:val="21"/>
                <w:color w:val="auto"/>
              </w:rPr>
              <w:t>55</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63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5.02</w:t>
            </w:r>
          </w:p>
        </w:tc>
        <w:tc>
          <w:tcPr>
            <w:tcW w:w="6340" w:type="dxa"/>
            <w:vAlign w:val="bottom"/>
          </w:tcPr>
          <w:p>
            <w:pPr>
              <w:ind w:left="440"/>
              <w:spacing w:after="0"/>
              <w:rPr>
                <w:sz w:val="20"/>
                <w:szCs w:val="20"/>
                <w:color w:val="auto"/>
              </w:rPr>
            </w:pPr>
            <w:r>
              <w:rPr>
                <w:rFonts w:ascii="Arial" w:cs="Arial" w:eastAsia="Arial" w:hAnsi="Arial"/>
                <w:sz w:val="21"/>
                <w:szCs w:val="21"/>
                <w:color w:val="auto"/>
              </w:rPr>
              <w:t>Break Funding Payments</w:t>
            </w:r>
          </w:p>
        </w:tc>
        <w:tc>
          <w:tcPr>
            <w:tcW w:w="2520" w:type="dxa"/>
            <w:vAlign w:val="bottom"/>
          </w:tcPr>
          <w:p>
            <w:pPr>
              <w:jc w:val="right"/>
              <w:spacing w:after="0"/>
              <w:rPr>
                <w:sz w:val="20"/>
                <w:szCs w:val="20"/>
                <w:color w:val="auto"/>
              </w:rPr>
            </w:pPr>
            <w:r>
              <w:rPr>
                <w:rFonts w:ascii="Arial" w:cs="Arial" w:eastAsia="Arial" w:hAnsi="Arial"/>
                <w:sz w:val="21"/>
                <w:szCs w:val="21"/>
                <w:color w:val="auto"/>
              </w:rPr>
              <w:t>56</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63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5.03</w:t>
            </w:r>
          </w:p>
        </w:tc>
        <w:tc>
          <w:tcPr>
            <w:tcW w:w="6340" w:type="dxa"/>
            <w:vAlign w:val="bottom"/>
          </w:tcPr>
          <w:p>
            <w:pPr>
              <w:ind w:left="440"/>
              <w:spacing w:after="0"/>
              <w:rPr>
                <w:sz w:val="20"/>
                <w:szCs w:val="20"/>
                <w:color w:val="auto"/>
              </w:rPr>
            </w:pPr>
            <w:r>
              <w:rPr>
                <w:rFonts w:ascii="Arial" w:cs="Arial" w:eastAsia="Arial" w:hAnsi="Arial"/>
                <w:sz w:val="21"/>
                <w:szCs w:val="21"/>
                <w:color w:val="auto"/>
              </w:rPr>
              <w:t>Taxes</w:t>
            </w:r>
          </w:p>
        </w:tc>
        <w:tc>
          <w:tcPr>
            <w:tcW w:w="2520" w:type="dxa"/>
            <w:vAlign w:val="bottom"/>
          </w:tcPr>
          <w:p>
            <w:pPr>
              <w:jc w:val="right"/>
              <w:spacing w:after="0"/>
              <w:rPr>
                <w:sz w:val="20"/>
                <w:szCs w:val="20"/>
                <w:color w:val="auto"/>
              </w:rPr>
            </w:pPr>
            <w:r>
              <w:rPr>
                <w:rFonts w:ascii="Arial" w:cs="Arial" w:eastAsia="Arial" w:hAnsi="Arial"/>
                <w:sz w:val="21"/>
                <w:szCs w:val="21"/>
                <w:color w:val="auto"/>
              </w:rPr>
              <w:t>57</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63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5.04</w:t>
            </w:r>
          </w:p>
        </w:tc>
        <w:tc>
          <w:tcPr>
            <w:tcW w:w="6340" w:type="dxa"/>
            <w:vAlign w:val="bottom"/>
          </w:tcPr>
          <w:p>
            <w:pPr>
              <w:ind w:left="440"/>
              <w:spacing w:after="0"/>
              <w:rPr>
                <w:sz w:val="20"/>
                <w:szCs w:val="20"/>
                <w:color w:val="auto"/>
              </w:rPr>
            </w:pPr>
            <w:r>
              <w:rPr>
                <w:rFonts w:ascii="Arial" w:cs="Arial" w:eastAsia="Arial" w:hAnsi="Arial"/>
                <w:sz w:val="21"/>
                <w:szCs w:val="21"/>
                <w:color w:val="auto"/>
              </w:rPr>
              <w:t>Mitigation Obligations</w:t>
            </w:r>
          </w:p>
        </w:tc>
        <w:tc>
          <w:tcPr>
            <w:tcW w:w="2520" w:type="dxa"/>
            <w:vAlign w:val="bottom"/>
          </w:tcPr>
          <w:p>
            <w:pPr>
              <w:jc w:val="right"/>
              <w:spacing w:after="0"/>
              <w:rPr>
                <w:sz w:val="20"/>
                <w:szCs w:val="20"/>
                <w:color w:val="auto"/>
              </w:rPr>
            </w:pPr>
            <w:r>
              <w:rPr>
                <w:rFonts w:ascii="Arial" w:cs="Arial" w:eastAsia="Arial" w:hAnsi="Arial"/>
                <w:sz w:val="21"/>
                <w:szCs w:val="21"/>
                <w:color w:val="auto"/>
              </w:rPr>
              <w:t>60</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63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i</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180"/>
          </w:cols>
          <w:pgMar w:left="320" w:top="51" w:right="399" w:bottom="1440" w:gutter="0" w:footer="0" w:header="0"/>
        </w:sectPr>
      </w:pPr>
    </w:p>
    <w:bookmarkStart w:id="125" w:name="page126"/>
    <w:bookmarkEnd w:id="125"/>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100" w:type="dxa"/>
            <w:vAlign w:val="bottom"/>
            <w:gridSpan w:val="3"/>
          </w:tcPr>
          <w:p>
            <w:pPr>
              <w:spacing w:after="0"/>
              <w:rPr>
                <w:sz w:val="20"/>
                <w:szCs w:val="20"/>
                <w:color w:val="auto"/>
              </w:rPr>
            </w:pPr>
            <w:r>
              <w:rPr>
                <w:rFonts w:ascii="Arial" w:cs="Arial" w:eastAsia="Arial" w:hAnsi="Arial"/>
                <w:sz w:val="21"/>
                <w:szCs w:val="21"/>
                <w:color w:val="auto"/>
              </w:rPr>
              <w:t>ARTICLE VI Conditions Precedent</w:t>
            </w:r>
          </w:p>
        </w:tc>
        <w:tc>
          <w:tcPr>
            <w:tcW w:w="2000" w:type="dxa"/>
            <w:vAlign w:val="bottom"/>
          </w:tcPr>
          <w:p>
            <w:pPr>
              <w:jc w:val="right"/>
              <w:spacing w:after="0"/>
              <w:rPr>
                <w:sz w:val="20"/>
                <w:szCs w:val="20"/>
                <w:color w:val="auto"/>
              </w:rPr>
            </w:pPr>
            <w:r>
              <w:rPr>
                <w:rFonts w:ascii="Arial" w:cs="Arial" w:eastAsia="Arial" w:hAnsi="Arial"/>
                <w:sz w:val="21"/>
                <w:szCs w:val="21"/>
                <w:color w:val="auto"/>
              </w:rPr>
              <w:t>60</w:t>
            </w:r>
          </w:p>
        </w:tc>
        <w:tc>
          <w:tcPr>
            <w:tcW w:w="0" w:type="dxa"/>
            <w:vAlign w:val="bottom"/>
          </w:tcPr>
          <w:p>
            <w:pPr>
              <w:spacing w:after="0"/>
              <w:rPr>
                <w:sz w:val="1"/>
                <w:szCs w:val="1"/>
                <w:color w:val="auto"/>
              </w:rPr>
            </w:pPr>
          </w:p>
        </w:tc>
      </w:tr>
      <w:tr>
        <w:trPr>
          <w:trHeight w:val="482"/>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6.01</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Effective Date</w:t>
            </w:r>
          </w:p>
        </w:tc>
        <w:tc>
          <w:tcPr>
            <w:tcW w:w="2000" w:type="dxa"/>
            <w:vAlign w:val="bottom"/>
          </w:tcPr>
          <w:p>
            <w:pPr>
              <w:jc w:val="right"/>
              <w:spacing w:after="0"/>
              <w:rPr>
                <w:sz w:val="20"/>
                <w:szCs w:val="20"/>
                <w:color w:val="auto"/>
              </w:rPr>
            </w:pPr>
            <w:r>
              <w:rPr>
                <w:rFonts w:ascii="Arial" w:cs="Arial" w:eastAsia="Arial" w:hAnsi="Arial"/>
                <w:sz w:val="21"/>
                <w:szCs w:val="21"/>
                <w:color w:val="auto"/>
              </w:rPr>
              <w:t>60</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6.02</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Each Credit Event</w:t>
            </w:r>
          </w:p>
        </w:tc>
        <w:tc>
          <w:tcPr>
            <w:tcW w:w="2000" w:type="dxa"/>
            <w:vAlign w:val="bottom"/>
          </w:tcPr>
          <w:p>
            <w:pPr>
              <w:jc w:val="right"/>
              <w:spacing w:after="0"/>
              <w:rPr>
                <w:sz w:val="20"/>
                <w:szCs w:val="20"/>
                <w:color w:val="auto"/>
              </w:rPr>
            </w:pPr>
            <w:r>
              <w:rPr>
                <w:rFonts w:ascii="Arial" w:cs="Arial" w:eastAsia="Arial" w:hAnsi="Arial"/>
                <w:sz w:val="21"/>
                <w:szCs w:val="21"/>
                <w:color w:val="auto"/>
              </w:rPr>
              <w:t>62</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9100" w:type="dxa"/>
            <w:vAlign w:val="bottom"/>
            <w:gridSpan w:val="3"/>
          </w:tcPr>
          <w:p>
            <w:pPr>
              <w:spacing w:after="0"/>
              <w:rPr>
                <w:sz w:val="20"/>
                <w:szCs w:val="20"/>
                <w:color w:val="auto"/>
              </w:rPr>
            </w:pPr>
            <w:r>
              <w:rPr>
                <w:rFonts w:ascii="Arial" w:cs="Arial" w:eastAsia="Arial" w:hAnsi="Arial"/>
                <w:sz w:val="21"/>
                <w:szCs w:val="21"/>
                <w:color w:val="auto"/>
              </w:rPr>
              <w:t>ARTICLE VII Representations and Warranties</w:t>
            </w:r>
          </w:p>
        </w:tc>
        <w:tc>
          <w:tcPr>
            <w:tcW w:w="2000" w:type="dxa"/>
            <w:vAlign w:val="bottom"/>
          </w:tcPr>
          <w:p>
            <w:pPr>
              <w:jc w:val="right"/>
              <w:spacing w:after="0"/>
              <w:rPr>
                <w:sz w:val="20"/>
                <w:szCs w:val="20"/>
                <w:color w:val="auto"/>
              </w:rPr>
            </w:pPr>
            <w:r>
              <w:rPr>
                <w:rFonts w:ascii="Arial" w:cs="Arial" w:eastAsia="Arial" w:hAnsi="Arial"/>
                <w:sz w:val="21"/>
                <w:szCs w:val="21"/>
                <w:color w:val="auto"/>
              </w:rPr>
              <w:t>63</w:t>
            </w:r>
          </w:p>
        </w:tc>
        <w:tc>
          <w:tcPr>
            <w:tcW w:w="0" w:type="dxa"/>
            <w:vAlign w:val="bottom"/>
          </w:tcPr>
          <w:p>
            <w:pPr>
              <w:spacing w:after="0"/>
              <w:rPr>
                <w:sz w:val="1"/>
                <w:szCs w:val="1"/>
                <w:color w:val="auto"/>
              </w:rPr>
            </w:pPr>
          </w:p>
        </w:tc>
      </w:tr>
      <w:tr>
        <w:trPr>
          <w:trHeight w:val="482"/>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7.01</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Organization; Powers</w:t>
            </w:r>
          </w:p>
        </w:tc>
        <w:tc>
          <w:tcPr>
            <w:tcW w:w="2000" w:type="dxa"/>
            <w:vAlign w:val="bottom"/>
          </w:tcPr>
          <w:p>
            <w:pPr>
              <w:jc w:val="right"/>
              <w:spacing w:after="0"/>
              <w:rPr>
                <w:sz w:val="20"/>
                <w:szCs w:val="20"/>
                <w:color w:val="auto"/>
              </w:rPr>
            </w:pPr>
            <w:r>
              <w:rPr>
                <w:rFonts w:ascii="Arial" w:cs="Arial" w:eastAsia="Arial" w:hAnsi="Arial"/>
                <w:sz w:val="21"/>
                <w:szCs w:val="21"/>
                <w:color w:val="auto"/>
              </w:rPr>
              <w:t>63</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7.02</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Authority; Enforceability</w:t>
            </w:r>
          </w:p>
        </w:tc>
        <w:tc>
          <w:tcPr>
            <w:tcW w:w="2000" w:type="dxa"/>
            <w:vAlign w:val="bottom"/>
          </w:tcPr>
          <w:p>
            <w:pPr>
              <w:jc w:val="right"/>
              <w:spacing w:after="0"/>
              <w:rPr>
                <w:sz w:val="20"/>
                <w:szCs w:val="20"/>
                <w:color w:val="auto"/>
              </w:rPr>
            </w:pPr>
            <w:r>
              <w:rPr>
                <w:rFonts w:ascii="Arial" w:cs="Arial" w:eastAsia="Arial" w:hAnsi="Arial"/>
                <w:sz w:val="21"/>
                <w:szCs w:val="21"/>
                <w:color w:val="auto"/>
              </w:rPr>
              <w:t>63</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7.03</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Approvals; No Conflicts</w:t>
            </w:r>
          </w:p>
        </w:tc>
        <w:tc>
          <w:tcPr>
            <w:tcW w:w="2000" w:type="dxa"/>
            <w:vAlign w:val="bottom"/>
          </w:tcPr>
          <w:p>
            <w:pPr>
              <w:jc w:val="right"/>
              <w:spacing w:after="0"/>
              <w:rPr>
                <w:sz w:val="20"/>
                <w:szCs w:val="20"/>
                <w:color w:val="auto"/>
              </w:rPr>
            </w:pPr>
            <w:r>
              <w:rPr>
                <w:rFonts w:ascii="Arial" w:cs="Arial" w:eastAsia="Arial" w:hAnsi="Arial"/>
                <w:sz w:val="21"/>
                <w:szCs w:val="21"/>
                <w:color w:val="auto"/>
              </w:rPr>
              <w:t>64</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7.04</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Financial Condition; No Material Adverse Change</w:t>
            </w:r>
          </w:p>
        </w:tc>
        <w:tc>
          <w:tcPr>
            <w:tcW w:w="2000" w:type="dxa"/>
            <w:vAlign w:val="bottom"/>
          </w:tcPr>
          <w:p>
            <w:pPr>
              <w:jc w:val="right"/>
              <w:spacing w:after="0"/>
              <w:rPr>
                <w:sz w:val="20"/>
                <w:szCs w:val="20"/>
                <w:color w:val="auto"/>
              </w:rPr>
            </w:pPr>
            <w:r>
              <w:rPr>
                <w:rFonts w:ascii="Arial" w:cs="Arial" w:eastAsia="Arial" w:hAnsi="Arial"/>
                <w:sz w:val="21"/>
                <w:szCs w:val="21"/>
                <w:color w:val="auto"/>
              </w:rPr>
              <w:t>64</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7.05</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Litigation</w:t>
            </w:r>
          </w:p>
        </w:tc>
        <w:tc>
          <w:tcPr>
            <w:tcW w:w="2000" w:type="dxa"/>
            <w:vAlign w:val="bottom"/>
          </w:tcPr>
          <w:p>
            <w:pPr>
              <w:jc w:val="right"/>
              <w:spacing w:after="0"/>
              <w:rPr>
                <w:sz w:val="20"/>
                <w:szCs w:val="20"/>
                <w:color w:val="auto"/>
              </w:rPr>
            </w:pPr>
            <w:r>
              <w:rPr>
                <w:rFonts w:ascii="Arial" w:cs="Arial" w:eastAsia="Arial" w:hAnsi="Arial"/>
                <w:sz w:val="21"/>
                <w:szCs w:val="21"/>
                <w:color w:val="auto"/>
              </w:rPr>
              <w:t>64</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7.06</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Environmental Matters</w:t>
            </w:r>
          </w:p>
        </w:tc>
        <w:tc>
          <w:tcPr>
            <w:tcW w:w="2000" w:type="dxa"/>
            <w:vAlign w:val="bottom"/>
          </w:tcPr>
          <w:p>
            <w:pPr>
              <w:jc w:val="right"/>
              <w:spacing w:after="0"/>
              <w:rPr>
                <w:sz w:val="20"/>
                <w:szCs w:val="20"/>
                <w:color w:val="auto"/>
              </w:rPr>
            </w:pPr>
            <w:r>
              <w:rPr>
                <w:rFonts w:ascii="Arial" w:cs="Arial" w:eastAsia="Arial" w:hAnsi="Arial"/>
                <w:sz w:val="21"/>
                <w:szCs w:val="21"/>
                <w:color w:val="auto"/>
              </w:rPr>
              <w:t>65</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7.07</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Compliance With Laws and Agreements; No Defaults</w:t>
            </w:r>
          </w:p>
        </w:tc>
        <w:tc>
          <w:tcPr>
            <w:tcW w:w="2000" w:type="dxa"/>
            <w:vAlign w:val="bottom"/>
          </w:tcPr>
          <w:p>
            <w:pPr>
              <w:jc w:val="right"/>
              <w:spacing w:after="0"/>
              <w:rPr>
                <w:sz w:val="20"/>
                <w:szCs w:val="20"/>
                <w:color w:val="auto"/>
              </w:rPr>
            </w:pPr>
            <w:r>
              <w:rPr>
                <w:rFonts w:ascii="Arial" w:cs="Arial" w:eastAsia="Arial" w:hAnsi="Arial"/>
                <w:sz w:val="21"/>
                <w:szCs w:val="21"/>
                <w:color w:val="auto"/>
              </w:rPr>
              <w:t>66</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7.08</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Investment Company</w:t>
            </w:r>
          </w:p>
        </w:tc>
        <w:tc>
          <w:tcPr>
            <w:tcW w:w="2000" w:type="dxa"/>
            <w:vAlign w:val="bottom"/>
          </w:tcPr>
          <w:p>
            <w:pPr>
              <w:jc w:val="right"/>
              <w:spacing w:after="0"/>
              <w:rPr>
                <w:sz w:val="20"/>
                <w:szCs w:val="20"/>
                <w:color w:val="auto"/>
              </w:rPr>
            </w:pPr>
            <w:r>
              <w:rPr>
                <w:rFonts w:ascii="Arial" w:cs="Arial" w:eastAsia="Arial" w:hAnsi="Arial"/>
                <w:sz w:val="21"/>
                <w:szCs w:val="21"/>
                <w:color w:val="auto"/>
              </w:rPr>
              <w:t>66</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7.09</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Taxes</w:t>
            </w:r>
          </w:p>
        </w:tc>
        <w:tc>
          <w:tcPr>
            <w:tcW w:w="2000" w:type="dxa"/>
            <w:vAlign w:val="bottom"/>
          </w:tcPr>
          <w:p>
            <w:pPr>
              <w:jc w:val="right"/>
              <w:spacing w:after="0"/>
              <w:rPr>
                <w:sz w:val="20"/>
                <w:szCs w:val="20"/>
                <w:color w:val="auto"/>
              </w:rPr>
            </w:pPr>
            <w:r>
              <w:rPr>
                <w:rFonts w:ascii="Arial" w:cs="Arial" w:eastAsia="Arial" w:hAnsi="Arial"/>
                <w:sz w:val="21"/>
                <w:szCs w:val="21"/>
                <w:color w:val="auto"/>
              </w:rPr>
              <w:t>66</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7.10</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ERISA</w:t>
            </w:r>
          </w:p>
        </w:tc>
        <w:tc>
          <w:tcPr>
            <w:tcW w:w="2000" w:type="dxa"/>
            <w:vAlign w:val="bottom"/>
          </w:tcPr>
          <w:p>
            <w:pPr>
              <w:jc w:val="right"/>
              <w:spacing w:after="0"/>
              <w:rPr>
                <w:sz w:val="20"/>
                <w:szCs w:val="20"/>
                <w:color w:val="auto"/>
              </w:rPr>
            </w:pPr>
            <w:r>
              <w:rPr>
                <w:rFonts w:ascii="Arial" w:cs="Arial" w:eastAsia="Arial" w:hAnsi="Arial"/>
                <w:sz w:val="21"/>
                <w:szCs w:val="21"/>
                <w:color w:val="auto"/>
              </w:rPr>
              <w:t>66</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7.11</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Disclosure; No Material Misstatement</w:t>
            </w:r>
          </w:p>
        </w:tc>
        <w:tc>
          <w:tcPr>
            <w:tcW w:w="2000" w:type="dxa"/>
            <w:vAlign w:val="bottom"/>
          </w:tcPr>
          <w:p>
            <w:pPr>
              <w:jc w:val="right"/>
              <w:spacing w:after="0"/>
              <w:rPr>
                <w:sz w:val="20"/>
                <w:szCs w:val="20"/>
                <w:color w:val="auto"/>
              </w:rPr>
            </w:pPr>
            <w:r>
              <w:rPr>
                <w:rFonts w:ascii="Arial" w:cs="Arial" w:eastAsia="Arial" w:hAnsi="Arial"/>
                <w:sz w:val="21"/>
                <w:szCs w:val="21"/>
                <w:color w:val="auto"/>
              </w:rPr>
              <w:t>67</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7.12</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Insurance</w:t>
            </w:r>
          </w:p>
        </w:tc>
        <w:tc>
          <w:tcPr>
            <w:tcW w:w="2000" w:type="dxa"/>
            <w:vAlign w:val="bottom"/>
          </w:tcPr>
          <w:p>
            <w:pPr>
              <w:jc w:val="right"/>
              <w:spacing w:after="0"/>
              <w:rPr>
                <w:sz w:val="20"/>
                <w:szCs w:val="20"/>
                <w:color w:val="auto"/>
              </w:rPr>
            </w:pPr>
            <w:r>
              <w:rPr>
                <w:rFonts w:ascii="Arial" w:cs="Arial" w:eastAsia="Arial" w:hAnsi="Arial"/>
                <w:sz w:val="21"/>
                <w:szCs w:val="21"/>
                <w:color w:val="auto"/>
              </w:rPr>
              <w:t>67</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7.13</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Restriction on Liens</w:t>
            </w:r>
          </w:p>
        </w:tc>
        <w:tc>
          <w:tcPr>
            <w:tcW w:w="2000" w:type="dxa"/>
            <w:vAlign w:val="bottom"/>
          </w:tcPr>
          <w:p>
            <w:pPr>
              <w:jc w:val="right"/>
              <w:spacing w:after="0"/>
              <w:rPr>
                <w:sz w:val="20"/>
                <w:szCs w:val="20"/>
                <w:color w:val="auto"/>
              </w:rPr>
            </w:pPr>
            <w:r>
              <w:rPr>
                <w:rFonts w:ascii="Arial" w:cs="Arial" w:eastAsia="Arial" w:hAnsi="Arial"/>
                <w:sz w:val="21"/>
                <w:szCs w:val="21"/>
                <w:color w:val="auto"/>
              </w:rPr>
              <w:t>68</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7.14</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Subsidiaries</w:t>
            </w:r>
          </w:p>
        </w:tc>
        <w:tc>
          <w:tcPr>
            <w:tcW w:w="2000" w:type="dxa"/>
            <w:vAlign w:val="bottom"/>
          </w:tcPr>
          <w:p>
            <w:pPr>
              <w:jc w:val="right"/>
              <w:spacing w:after="0"/>
              <w:rPr>
                <w:sz w:val="20"/>
                <w:szCs w:val="20"/>
                <w:color w:val="auto"/>
              </w:rPr>
            </w:pPr>
            <w:r>
              <w:rPr>
                <w:rFonts w:ascii="Arial" w:cs="Arial" w:eastAsia="Arial" w:hAnsi="Arial"/>
                <w:sz w:val="21"/>
                <w:szCs w:val="21"/>
                <w:color w:val="auto"/>
              </w:rPr>
              <w:t>68</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7.15</w:t>
            </w:r>
          </w:p>
        </w:tc>
        <w:tc>
          <w:tcPr>
            <w:tcW w:w="6860" w:type="dxa"/>
            <w:vAlign w:val="bottom"/>
            <w:gridSpan w:val="2"/>
          </w:tcPr>
          <w:p>
            <w:pPr>
              <w:ind w:left="500"/>
              <w:spacing w:after="0"/>
              <w:rPr>
                <w:sz w:val="20"/>
                <w:szCs w:val="20"/>
                <w:color w:val="auto"/>
              </w:rPr>
            </w:pPr>
            <w:r>
              <w:rPr>
                <w:rFonts w:ascii="Arial" w:cs="Arial" w:eastAsia="Arial" w:hAnsi="Arial"/>
                <w:sz w:val="21"/>
                <w:szCs w:val="21"/>
                <w:color w:val="auto"/>
              </w:rPr>
              <w:t>Location of Business and Offices</w:t>
            </w:r>
          </w:p>
        </w:tc>
        <w:tc>
          <w:tcPr>
            <w:tcW w:w="2000" w:type="dxa"/>
            <w:vAlign w:val="bottom"/>
          </w:tcPr>
          <w:p>
            <w:pPr>
              <w:jc w:val="right"/>
              <w:spacing w:after="0"/>
              <w:rPr>
                <w:sz w:val="20"/>
                <w:szCs w:val="20"/>
                <w:color w:val="auto"/>
              </w:rPr>
            </w:pPr>
            <w:r>
              <w:rPr>
                <w:rFonts w:ascii="Arial" w:cs="Arial" w:eastAsia="Arial" w:hAnsi="Arial"/>
                <w:sz w:val="21"/>
                <w:szCs w:val="21"/>
                <w:color w:val="auto"/>
              </w:rPr>
              <w:t>68</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7.16</w:t>
            </w:r>
          </w:p>
        </w:tc>
        <w:tc>
          <w:tcPr>
            <w:tcW w:w="6860" w:type="dxa"/>
            <w:vAlign w:val="bottom"/>
            <w:gridSpan w:val="2"/>
          </w:tcPr>
          <w:p>
            <w:pPr>
              <w:ind w:left="500"/>
              <w:spacing w:after="0"/>
              <w:rPr>
                <w:sz w:val="20"/>
                <w:szCs w:val="20"/>
                <w:color w:val="auto"/>
              </w:rPr>
            </w:pPr>
            <w:r>
              <w:rPr>
                <w:rFonts w:ascii="Arial" w:cs="Arial" w:eastAsia="Arial" w:hAnsi="Arial"/>
                <w:sz w:val="21"/>
                <w:szCs w:val="21"/>
                <w:color w:val="auto"/>
              </w:rPr>
              <w:t>Properties, Titles, Etc</w:t>
            </w:r>
          </w:p>
        </w:tc>
        <w:tc>
          <w:tcPr>
            <w:tcW w:w="2000" w:type="dxa"/>
            <w:vAlign w:val="bottom"/>
          </w:tcPr>
          <w:p>
            <w:pPr>
              <w:jc w:val="right"/>
              <w:spacing w:after="0"/>
              <w:rPr>
                <w:sz w:val="20"/>
                <w:szCs w:val="20"/>
                <w:color w:val="auto"/>
              </w:rPr>
            </w:pPr>
            <w:r>
              <w:rPr>
                <w:rFonts w:ascii="Arial" w:cs="Arial" w:eastAsia="Arial" w:hAnsi="Arial"/>
                <w:sz w:val="21"/>
                <w:szCs w:val="21"/>
                <w:color w:val="auto"/>
              </w:rPr>
              <w:t>68</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7.17</w:t>
            </w:r>
          </w:p>
        </w:tc>
        <w:tc>
          <w:tcPr>
            <w:tcW w:w="6860" w:type="dxa"/>
            <w:vAlign w:val="bottom"/>
            <w:gridSpan w:val="2"/>
          </w:tcPr>
          <w:p>
            <w:pPr>
              <w:ind w:left="500"/>
              <w:spacing w:after="0"/>
              <w:rPr>
                <w:sz w:val="20"/>
                <w:szCs w:val="20"/>
                <w:color w:val="auto"/>
              </w:rPr>
            </w:pPr>
            <w:r>
              <w:rPr>
                <w:rFonts w:ascii="Arial" w:cs="Arial" w:eastAsia="Arial" w:hAnsi="Arial"/>
                <w:sz w:val="21"/>
                <w:szCs w:val="21"/>
                <w:color w:val="auto"/>
              </w:rPr>
              <w:t>Maintenance of Property</w:t>
            </w:r>
          </w:p>
        </w:tc>
        <w:tc>
          <w:tcPr>
            <w:tcW w:w="2000" w:type="dxa"/>
            <w:vAlign w:val="bottom"/>
          </w:tcPr>
          <w:p>
            <w:pPr>
              <w:jc w:val="right"/>
              <w:spacing w:after="0"/>
              <w:rPr>
                <w:sz w:val="20"/>
                <w:szCs w:val="20"/>
                <w:color w:val="auto"/>
              </w:rPr>
            </w:pPr>
            <w:r>
              <w:rPr>
                <w:rFonts w:ascii="Arial" w:cs="Arial" w:eastAsia="Arial" w:hAnsi="Arial"/>
                <w:sz w:val="21"/>
                <w:szCs w:val="21"/>
                <w:color w:val="auto"/>
              </w:rPr>
              <w:t>69</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7.18</w:t>
            </w:r>
          </w:p>
        </w:tc>
        <w:tc>
          <w:tcPr>
            <w:tcW w:w="6860" w:type="dxa"/>
            <w:vAlign w:val="bottom"/>
            <w:gridSpan w:val="2"/>
          </w:tcPr>
          <w:p>
            <w:pPr>
              <w:ind w:left="500"/>
              <w:spacing w:after="0"/>
              <w:rPr>
                <w:sz w:val="20"/>
                <w:szCs w:val="20"/>
                <w:color w:val="auto"/>
              </w:rPr>
            </w:pPr>
            <w:r>
              <w:rPr>
                <w:rFonts w:ascii="Arial" w:cs="Arial" w:eastAsia="Arial" w:hAnsi="Arial"/>
                <w:sz w:val="21"/>
                <w:szCs w:val="21"/>
                <w:color w:val="auto"/>
              </w:rPr>
              <w:t>Gas Imbalances, Prepayments</w:t>
            </w:r>
          </w:p>
        </w:tc>
        <w:tc>
          <w:tcPr>
            <w:tcW w:w="2000" w:type="dxa"/>
            <w:vAlign w:val="bottom"/>
          </w:tcPr>
          <w:p>
            <w:pPr>
              <w:jc w:val="right"/>
              <w:spacing w:after="0"/>
              <w:rPr>
                <w:sz w:val="20"/>
                <w:szCs w:val="20"/>
                <w:color w:val="auto"/>
              </w:rPr>
            </w:pPr>
            <w:r>
              <w:rPr>
                <w:rFonts w:ascii="Arial" w:cs="Arial" w:eastAsia="Arial" w:hAnsi="Arial"/>
                <w:sz w:val="21"/>
                <w:szCs w:val="21"/>
                <w:color w:val="auto"/>
              </w:rPr>
              <w:t>69</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7.19</w:t>
            </w:r>
          </w:p>
        </w:tc>
        <w:tc>
          <w:tcPr>
            <w:tcW w:w="6860" w:type="dxa"/>
            <w:vAlign w:val="bottom"/>
            <w:gridSpan w:val="2"/>
          </w:tcPr>
          <w:p>
            <w:pPr>
              <w:ind w:left="500"/>
              <w:spacing w:after="0"/>
              <w:rPr>
                <w:sz w:val="20"/>
                <w:szCs w:val="20"/>
                <w:color w:val="auto"/>
              </w:rPr>
            </w:pPr>
            <w:r>
              <w:rPr>
                <w:rFonts w:ascii="Arial" w:cs="Arial" w:eastAsia="Arial" w:hAnsi="Arial"/>
                <w:sz w:val="21"/>
                <w:szCs w:val="21"/>
                <w:color w:val="auto"/>
              </w:rPr>
              <w:t>Marketing of Production</w:t>
            </w:r>
          </w:p>
        </w:tc>
        <w:tc>
          <w:tcPr>
            <w:tcW w:w="2000" w:type="dxa"/>
            <w:vAlign w:val="bottom"/>
          </w:tcPr>
          <w:p>
            <w:pPr>
              <w:jc w:val="right"/>
              <w:spacing w:after="0"/>
              <w:rPr>
                <w:sz w:val="20"/>
                <w:szCs w:val="20"/>
                <w:color w:val="auto"/>
              </w:rPr>
            </w:pPr>
            <w:r>
              <w:rPr>
                <w:rFonts w:ascii="Arial" w:cs="Arial" w:eastAsia="Arial" w:hAnsi="Arial"/>
                <w:sz w:val="21"/>
                <w:szCs w:val="21"/>
                <w:color w:val="auto"/>
              </w:rPr>
              <w:t>69</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7.20</w:t>
            </w:r>
          </w:p>
        </w:tc>
        <w:tc>
          <w:tcPr>
            <w:tcW w:w="6860" w:type="dxa"/>
            <w:vAlign w:val="bottom"/>
            <w:gridSpan w:val="2"/>
          </w:tcPr>
          <w:p>
            <w:pPr>
              <w:ind w:left="500"/>
              <w:spacing w:after="0"/>
              <w:rPr>
                <w:sz w:val="20"/>
                <w:szCs w:val="20"/>
                <w:color w:val="auto"/>
              </w:rPr>
            </w:pPr>
            <w:r>
              <w:rPr>
                <w:rFonts w:ascii="Arial" w:cs="Arial" w:eastAsia="Arial" w:hAnsi="Arial"/>
                <w:sz w:val="21"/>
                <w:szCs w:val="21"/>
                <w:color w:val="auto"/>
              </w:rPr>
              <w:t>Swap Agreements</w:t>
            </w:r>
          </w:p>
        </w:tc>
        <w:tc>
          <w:tcPr>
            <w:tcW w:w="2000" w:type="dxa"/>
            <w:vAlign w:val="bottom"/>
          </w:tcPr>
          <w:p>
            <w:pPr>
              <w:jc w:val="right"/>
              <w:spacing w:after="0"/>
              <w:rPr>
                <w:sz w:val="20"/>
                <w:szCs w:val="20"/>
                <w:color w:val="auto"/>
              </w:rPr>
            </w:pPr>
            <w:r>
              <w:rPr>
                <w:rFonts w:ascii="Arial" w:cs="Arial" w:eastAsia="Arial" w:hAnsi="Arial"/>
                <w:sz w:val="21"/>
                <w:szCs w:val="21"/>
                <w:color w:val="auto"/>
              </w:rPr>
              <w:t>70</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7.21</w:t>
            </w:r>
          </w:p>
        </w:tc>
        <w:tc>
          <w:tcPr>
            <w:tcW w:w="6860" w:type="dxa"/>
            <w:vAlign w:val="bottom"/>
            <w:gridSpan w:val="2"/>
          </w:tcPr>
          <w:p>
            <w:pPr>
              <w:ind w:left="500"/>
              <w:spacing w:after="0"/>
              <w:rPr>
                <w:sz w:val="20"/>
                <w:szCs w:val="20"/>
                <w:color w:val="auto"/>
              </w:rPr>
            </w:pPr>
            <w:r>
              <w:rPr>
                <w:rFonts w:ascii="Arial" w:cs="Arial" w:eastAsia="Arial" w:hAnsi="Arial"/>
                <w:sz w:val="21"/>
                <w:szCs w:val="21"/>
                <w:color w:val="auto"/>
              </w:rPr>
              <w:t>Use of Loans and Letters of Credit</w:t>
            </w:r>
          </w:p>
        </w:tc>
        <w:tc>
          <w:tcPr>
            <w:tcW w:w="2000" w:type="dxa"/>
            <w:vAlign w:val="bottom"/>
          </w:tcPr>
          <w:p>
            <w:pPr>
              <w:jc w:val="right"/>
              <w:spacing w:after="0"/>
              <w:rPr>
                <w:sz w:val="20"/>
                <w:szCs w:val="20"/>
                <w:color w:val="auto"/>
              </w:rPr>
            </w:pPr>
            <w:r>
              <w:rPr>
                <w:rFonts w:ascii="Arial" w:cs="Arial" w:eastAsia="Arial" w:hAnsi="Arial"/>
                <w:sz w:val="21"/>
                <w:szCs w:val="21"/>
                <w:color w:val="auto"/>
              </w:rPr>
              <w:t>70</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7.22</w:t>
            </w:r>
          </w:p>
        </w:tc>
        <w:tc>
          <w:tcPr>
            <w:tcW w:w="6860" w:type="dxa"/>
            <w:vAlign w:val="bottom"/>
            <w:gridSpan w:val="2"/>
          </w:tcPr>
          <w:p>
            <w:pPr>
              <w:ind w:left="500"/>
              <w:spacing w:after="0"/>
              <w:rPr>
                <w:sz w:val="20"/>
                <w:szCs w:val="20"/>
                <w:color w:val="auto"/>
              </w:rPr>
            </w:pPr>
            <w:r>
              <w:rPr>
                <w:rFonts w:ascii="Arial" w:cs="Arial" w:eastAsia="Arial" w:hAnsi="Arial"/>
                <w:sz w:val="21"/>
                <w:szCs w:val="21"/>
                <w:color w:val="auto"/>
              </w:rPr>
              <w:t>Solvency</w:t>
            </w:r>
          </w:p>
        </w:tc>
        <w:tc>
          <w:tcPr>
            <w:tcW w:w="2000" w:type="dxa"/>
            <w:vAlign w:val="bottom"/>
          </w:tcPr>
          <w:p>
            <w:pPr>
              <w:jc w:val="right"/>
              <w:spacing w:after="0"/>
              <w:rPr>
                <w:sz w:val="20"/>
                <w:szCs w:val="20"/>
                <w:color w:val="auto"/>
              </w:rPr>
            </w:pPr>
            <w:r>
              <w:rPr>
                <w:rFonts w:ascii="Arial" w:cs="Arial" w:eastAsia="Arial" w:hAnsi="Arial"/>
                <w:sz w:val="21"/>
                <w:szCs w:val="21"/>
                <w:color w:val="auto"/>
              </w:rPr>
              <w:t>70</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7.23</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Foreign Corrupt Practices Act</w:t>
            </w:r>
          </w:p>
        </w:tc>
        <w:tc>
          <w:tcPr>
            <w:tcW w:w="2000" w:type="dxa"/>
            <w:vAlign w:val="bottom"/>
          </w:tcPr>
          <w:p>
            <w:pPr>
              <w:jc w:val="right"/>
              <w:spacing w:after="0"/>
              <w:rPr>
                <w:sz w:val="20"/>
                <w:szCs w:val="20"/>
                <w:color w:val="auto"/>
              </w:rPr>
            </w:pPr>
            <w:r>
              <w:rPr>
                <w:rFonts w:ascii="Arial" w:cs="Arial" w:eastAsia="Arial" w:hAnsi="Arial"/>
                <w:sz w:val="21"/>
                <w:szCs w:val="21"/>
                <w:color w:val="auto"/>
              </w:rPr>
              <w:t>70</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7.24</w:t>
            </w:r>
          </w:p>
        </w:tc>
        <w:tc>
          <w:tcPr>
            <w:tcW w:w="6860" w:type="dxa"/>
            <w:vAlign w:val="bottom"/>
            <w:gridSpan w:val="2"/>
          </w:tcPr>
          <w:p>
            <w:pPr>
              <w:ind w:left="500"/>
              <w:spacing w:after="0"/>
              <w:rPr>
                <w:sz w:val="20"/>
                <w:szCs w:val="20"/>
                <w:color w:val="auto"/>
              </w:rPr>
            </w:pPr>
            <w:r>
              <w:rPr>
                <w:rFonts w:ascii="Arial" w:cs="Arial" w:eastAsia="Arial" w:hAnsi="Arial"/>
                <w:sz w:val="21"/>
                <w:szCs w:val="21"/>
                <w:color w:val="auto"/>
              </w:rPr>
              <w:t>OFAC</w:t>
            </w:r>
          </w:p>
        </w:tc>
        <w:tc>
          <w:tcPr>
            <w:tcW w:w="2000" w:type="dxa"/>
            <w:vAlign w:val="bottom"/>
          </w:tcPr>
          <w:p>
            <w:pPr>
              <w:jc w:val="right"/>
              <w:spacing w:after="0"/>
              <w:rPr>
                <w:sz w:val="20"/>
                <w:szCs w:val="20"/>
                <w:color w:val="auto"/>
              </w:rPr>
            </w:pPr>
            <w:r>
              <w:rPr>
                <w:rFonts w:ascii="Arial" w:cs="Arial" w:eastAsia="Arial" w:hAnsi="Arial"/>
                <w:sz w:val="21"/>
                <w:szCs w:val="21"/>
                <w:color w:val="auto"/>
              </w:rPr>
              <w:t>71</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7.25</w:t>
            </w:r>
          </w:p>
        </w:tc>
        <w:tc>
          <w:tcPr>
            <w:tcW w:w="6860" w:type="dxa"/>
            <w:vAlign w:val="bottom"/>
            <w:gridSpan w:val="2"/>
          </w:tcPr>
          <w:p>
            <w:pPr>
              <w:ind w:left="500"/>
              <w:spacing w:after="0"/>
              <w:rPr>
                <w:sz w:val="20"/>
                <w:szCs w:val="20"/>
                <w:color w:val="auto"/>
              </w:rPr>
            </w:pPr>
            <w:r>
              <w:rPr>
                <w:rFonts w:ascii="Arial" w:cs="Arial" w:eastAsia="Arial" w:hAnsi="Arial"/>
                <w:sz w:val="21"/>
                <w:szCs w:val="21"/>
                <w:color w:val="auto"/>
              </w:rPr>
              <w:t>Affected Financial Institutions</w:t>
            </w:r>
          </w:p>
        </w:tc>
        <w:tc>
          <w:tcPr>
            <w:tcW w:w="2000" w:type="dxa"/>
            <w:vAlign w:val="bottom"/>
          </w:tcPr>
          <w:p>
            <w:pPr>
              <w:jc w:val="right"/>
              <w:spacing w:after="0"/>
              <w:rPr>
                <w:sz w:val="20"/>
                <w:szCs w:val="20"/>
                <w:color w:val="auto"/>
              </w:rPr>
            </w:pPr>
            <w:r>
              <w:rPr>
                <w:rFonts w:ascii="Arial" w:cs="Arial" w:eastAsia="Arial" w:hAnsi="Arial"/>
                <w:sz w:val="21"/>
                <w:szCs w:val="21"/>
                <w:color w:val="auto"/>
              </w:rPr>
              <w:t>71</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9100" w:type="dxa"/>
            <w:vAlign w:val="bottom"/>
            <w:gridSpan w:val="3"/>
          </w:tcPr>
          <w:p>
            <w:pPr>
              <w:spacing w:after="0"/>
              <w:rPr>
                <w:sz w:val="20"/>
                <w:szCs w:val="20"/>
                <w:color w:val="auto"/>
              </w:rPr>
            </w:pPr>
            <w:r>
              <w:rPr>
                <w:rFonts w:ascii="Arial" w:cs="Arial" w:eastAsia="Arial" w:hAnsi="Arial"/>
                <w:sz w:val="21"/>
                <w:szCs w:val="21"/>
                <w:color w:val="auto"/>
              </w:rPr>
              <w:t>ARTICLE VIII Affirmative Covenants</w:t>
            </w:r>
          </w:p>
        </w:tc>
        <w:tc>
          <w:tcPr>
            <w:tcW w:w="2000" w:type="dxa"/>
            <w:vAlign w:val="bottom"/>
          </w:tcPr>
          <w:p>
            <w:pPr>
              <w:jc w:val="right"/>
              <w:spacing w:after="0"/>
              <w:rPr>
                <w:sz w:val="20"/>
                <w:szCs w:val="20"/>
                <w:color w:val="auto"/>
              </w:rPr>
            </w:pPr>
            <w:r>
              <w:rPr>
                <w:rFonts w:ascii="Arial" w:cs="Arial" w:eastAsia="Arial" w:hAnsi="Arial"/>
                <w:sz w:val="21"/>
                <w:szCs w:val="21"/>
                <w:color w:val="auto"/>
              </w:rPr>
              <w:t>71</w:t>
            </w:r>
          </w:p>
        </w:tc>
        <w:tc>
          <w:tcPr>
            <w:tcW w:w="0" w:type="dxa"/>
            <w:vAlign w:val="bottom"/>
          </w:tcPr>
          <w:p>
            <w:pPr>
              <w:spacing w:after="0"/>
              <w:rPr>
                <w:sz w:val="1"/>
                <w:szCs w:val="1"/>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8.01</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Financial Statements; Other Information</w:t>
            </w:r>
          </w:p>
        </w:tc>
        <w:tc>
          <w:tcPr>
            <w:tcW w:w="2000" w:type="dxa"/>
            <w:vAlign w:val="bottom"/>
          </w:tcPr>
          <w:p>
            <w:pPr>
              <w:jc w:val="right"/>
              <w:spacing w:after="0"/>
              <w:rPr>
                <w:sz w:val="20"/>
                <w:szCs w:val="20"/>
                <w:color w:val="auto"/>
              </w:rPr>
            </w:pPr>
            <w:r>
              <w:rPr>
                <w:rFonts w:ascii="Arial" w:cs="Arial" w:eastAsia="Arial" w:hAnsi="Arial"/>
                <w:sz w:val="21"/>
                <w:szCs w:val="21"/>
                <w:color w:val="auto"/>
              </w:rPr>
              <w:t>71</w:t>
            </w: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240" w:type="dxa"/>
            <w:vAlign w:val="bottom"/>
            <w:vMerge w:val="restart"/>
          </w:tcPr>
          <w:p>
            <w:pPr>
              <w:ind w:left="720"/>
              <w:spacing w:after="0"/>
              <w:rPr>
                <w:sz w:val="20"/>
                <w:szCs w:val="20"/>
                <w:color w:val="auto"/>
              </w:rPr>
            </w:pPr>
            <w:r>
              <w:rPr>
                <w:rFonts w:ascii="Arial" w:cs="Arial" w:eastAsia="Arial" w:hAnsi="Arial"/>
                <w:sz w:val="21"/>
                <w:szCs w:val="21"/>
                <w:color w:val="auto"/>
              </w:rPr>
              <w:t>Section 8.02</w:t>
            </w:r>
          </w:p>
        </w:tc>
        <w:tc>
          <w:tcPr>
            <w:tcW w:w="6860" w:type="dxa"/>
            <w:vAlign w:val="bottom"/>
            <w:gridSpan w:val="2"/>
          </w:tcPr>
          <w:p>
            <w:pPr>
              <w:ind w:left="440"/>
              <w:spacing w:after="0"/>
              <w:rPr>
                <w:sz w:val="20"/>
                <w:szCs w:val="20"/>
                <w:color w:val="auto"/>
              </w:rPr>
            </w:pPr>
            <w:r>
              <w:rPr>
                <w:rFonts w:ascii="Arial" w:cs="Arial" w:eastAsia="Arial" w:hAnsi="Arial"/>
                <w:sz w:val="21"/>
                <w:szCs w:val="21"/>
                <w:color w:val="auto"/>
              </w:rPr>
              <w:t>Notices of Material Events</w:t>
            </w:r>
          </w:p>
        </w:tc>
        <w:tc>
          <w:tcPr>
            <w:tcW w:w="2000" w:type="dxa"/>
            <w:vAlign w:val="bottom"/>
          </w:tcPr>
          <w:p>
            <w:pPr>
              <w:jc w:val="right"/>
              <w:spacing w:after="0"/>
              <w:rPr>
                <w:sz w:val="20"/>
                <w:szCs w:val="20"/>
                <w:color w:val="auto"/>
              </w:rPr>
            </w:pPr>
            <w:r>
              <w:rPr>
                <w:rFonts w:ascii="Arial" w:cs="Arial" w:eastAsia="Arial" w:hAnsi="Arial"/>
                <w:sz w:val="21"/>
                <w:szCs w:val="21"/>
                <w:color w:val="auto"/>
              </w:rPr>
              <w:t>74</w:t>
            </w:r>
          </w:p>
        </w:tc>
        <w:tc>
          <w:tcPr>
            <w:tcW w:w="0" w:type="dxa"/>
            <w:vAlign w:val="bottom"/>
          </w:tcPr>
          <w:p>
            <w:pPr>
              <w:spacing w:after="0"/>
              <w:rPr>
                <w:sz w:val="1"/>
                <w:szCs w:val="1"/>
                <w:color w:val="auto"/>
              </w:rPr>
            </w:pPr>
          </w:p>
        </w:tc>
      </w:tr>
      <w:tr>
        <w:trPr>
          <w:trHeight w:val="106"/>
        </w:trPr>
        <w:tc>
          <w:tcPr>
            <w:tcW w:w="22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66" w:orient="portrait"/>
          <w:cols w:equalWidth="0" w:num="1">
            <w:col w:w="11100"/>
          </w:cols>
          <w:pgMar w:left="400" w:top="1440" w:right="399" w:bottom="0" w:gutter="0" w:footer="0" w:header="0"/>
        </w:sectPr>
      </w:pPr>
    </w:p>
    <w:bookmarkStart w:id="126" w:name="page127"/>
    <w:bookmarkEnd w:id="126"/>
    <w:p>
      <w:pPr>
        <w:spacing w:after="0" w:line="107"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Section 8.03</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Section 8.04</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Section 8.05</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Section 8.06</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Section 8.07</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Section 8.08</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Section 8.09</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Section 8.10</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Section 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US 9364157v.4 WEL554/78009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360" w:type="dxa"/>
            <w:vAlign w:val="bottom"/>
          </w:tcPr>
          <w:p>
            <w:pPr>
              <w:spacing w:after="0"/>
              <w:rPr>
                <w:sz w:val="20"/>
                <w:szCs w:val="20"/>
                <w:color w:val="auto"/>
              </w:rPr>
            </w:pPr>
            <w:r>
              <w:rPr>
                <w:rFonts w:ascii="Arial" w:cs="Arial" w:eastAsia="Arial" w:hAnsi="Arial"/>
                <w:sz w:val="21"/>
                <w:szCs w:val="21"/>
                <w:color w:val="auto"/>
              </w:rPr>
              <w:t>Existence; Conduct of Business</w:t>
            </w:r>
          </w:p>
        </w:tc>
        <w:tc>
          <w:tcPr>
            <w:tcW w:w="2060" w:type="dxa"/>
            <w:vAlign w:val="bottom"/>
          </w:tcPr>
          <w:p>
            <w:pPr>
              <w:jc w:val="right"/>
              <w:spacing w:after="0"/>
              <w:rPr>
                <w:sz w:val="20"/>
                <w:szCs w:val="20"/>
                <w:color w:val="auto"/>
              </w:rPr>
            </w:pPr>
            <w:r>
              <w:rPr>
                <w:rFonts w:ascii="Arial" w:cs="Arial" w:eastAsia="Arial" w:hAnsi="Arial"/>
                <w:sz w:val="21"/>
                <w:szCs w:val="21"/>
                <w:color w:val="auto"/>
              </w:rPr>
              <w:t>74</w:t>
            </w:r>
          </w:p>
        </w:tc>
      </w:tr>
      <w:tr>
        <w:trPr>
          <w:trHeight w:val="482"/>
        </w:trPr>
        <w:tc>
          <w:tcPr>
            <w:tcW w:w="6360" w:type="dxa"/>
            <w:vAlign w:val="bottom"/>
          </w:tcPr>
          <w:p>
            <w:pPr>
              <w:spacing w:after="0"/>
              <w:rPr>
                <w:sz w:val="20"/>
                <w:szCs w:val="20"/>
                <w:color w:val="auto"/>
              </w:rPr>
            </w:pPr>
            <w:r>
              <w:rPr>
                <w:rFonts w:ascii="Arial" w:cs="Arial" w:eastAsia="Arial" w:hAnsi="Arial"/>
                <w:sz w:val="21"/>
                <w:szCs w:val="21"/>
                <w:color w:val="auto"/>
              </w:rPr>
              <w:t>Payment of Obligations</w:t>
            </w:r>
          </w:p>
        </w:tc>
        <w:tc>
          <w:tcPr>
            <w:tcW w:w="2060" w:type="dxa"/>
            <w:vAlign w:val="bottom"/>
          </w:tcPr>
          <w:p>
            <w:pPr>
              <w:jc w:val="right"/>
              <w:spacing w:after="0"/>
              <w:rPr>
                <w:sz w:val="20"/>
                <w:szCs w:val="20"/>
                <w:color w:val="auto"/>
              </w:rPr>
            </w:pPr>
            <w:r>
              <w:rPr>
                <w:rFonts w:ascii="Arial" w:cs="Arial" w:eastAsia="Arial" w:hAnsi="Arial"/>
                <w:sz w:val="21"/>
                <w:szCs w:val="21"/>
                <w:color w:val="auto"/>
              </w:rPr>
              <w:t>74</w:t>
            </w:r>
          </w:p>
        </w:tc>
      </w:tr>
      <w:tr>
        <w:trPr>
          <w:trHeight w:val="482"/>
        </w:trPr>
        <w:tc>
          <w:tcPr>
            <w:tcW w:w="6360" w:type="dxa"/>
            <w:vAlign w:val="bottom"/>
          </w:tcPr>
          <w:p>
            <w:pPr>
              <w:spacing w:after="0"/>
              <w:rPr>
                <w:sz w:val="20"/>
                <w:szCs w:val="20"/>
                <w:color w:val="auto"/>
              </w:rPr>
            </w:pPr>
            <w:r>
              <w:rPr>
                <w:rFonts w:ascii="Arial" w:cs="Arial" w:eastAsia="Arial" w:hAnsi="Arial"/>
                <w:sz w:val="21"/>
                <w:szCs w:val="21"/>
                <w:color w:val="auto"/>
              </w:rPr>
              <w:t>Performance of Obligations Under Loan Documents</w:t>
            </w:r>
          </w:p>
        </w:tc>
        <w:tc>
          <w:tcPr>
            <w:tcW w:w="2060" w:type="dxa"/>
            <w:vAlign w:val="bottom"/>
          </w:tcPr>
          <w:p>
            <w:pPr>
              <w:jc w:val="right"/>
              <w:spacing w:after="0"/>
              <w:rPr>
                <w:sz w:val="20"/>
                <w:szCs w:val="20"/>
                <w:color w:val="auto"/>
              </w:rPr>
            </w:pPr>
            <w:r>
              <w:rPr>
                <w:rFonts w:ascii="Arial" w:cs="Arial" w:eastAsia="Arial" w:hAnsi="Arial"/>
                <w:sz w:val="21"/>
                <w:szCs w:val="21"/>
                <w:color w:val="auto"/>
              </w:rPr>
              <w:t>74</w:t>
            </w:r>
          </w:p>
        </w:tc>
      </w:tr>
      <w:tr>
        <w:trPr>
          <w:trHeight w:val="482"/>
        </w:trPr>
        <w:tc>
          <w:tcPr>
            <w:tcW w:w="6360" w:type="dxa"/>
            <w:vAlign w:val="bottom"/>
          </w:tcPr>
          <w:p>
            <w:pPr>
              <w:spacing w:after="0"/>
              <w:rPr>
                <w:sz w:val="20"/>
                <w:szCs w:val="20"/>
                <w:color w:val="auto"/>
              </w:rPr>
            </w:pPr>
            <w:r>
              <w:rPr>
                <w:rFonts w:ascii="Arial" w:cs="Arial" w:eastAsia="Arial" w:hAnsi="Arial"/>
                <w:sz w:val="21"/>
                <w:szCs w:val="21"/>
                <w:color w:val="auto"/>
              </w:rPr>
              <w:t>Operation and Maintenance of Properties</w:t>
            </w:r>
          </w:p>
        </w:tc>
        <w:tc>
          <w:tcPr>
            <w:tcW w:w="2060" w:type="dxa"/>
            <w:vAlign w:val="bottom"/>
          </w:tcPr>
          <w:p>
            <w:pPr>
              <w:jc w:val="right"/>
              <w:spacing w:after="0"/>
              <w:rPr>
                <w:sz w:val="20"/>
                <w:szCs w:val="20"/>
                <w:color w:val="auto"/>
              </w:rPr>
            </w:pPr>
            <w:r>
              <w:rPr>
                <w:rFonts w:ascii="Arial" w:cs="Arial" w:eastAsia="Arial" w:hAnsi="Arial"/>
                <w:sz w:val="21"/>
                <w:szCs w:val="21"/>
                <w:color w:val="auto"/>
              </w:rPr>
              <w:t>75</w:t>
            </w:r>
          </w:p>
        </w:tc>
      </w:tr>
      <w:tr>
        <w:trPr>
          <w:trHeight w:val="482"/>
        </w:trPr>
        <w:tc>
          <w:tcPr>
            <w:tcW w:w="6360" w:type="dxa"/>
            <w:vAlign w:val="bottom"/>
          </w:tcPr>
          <w:p>
            <w:pPr>
              <w:spacing w:after="0"/>
              <w:rPr>
                <w:sz w:val="20"/>
                <w:szCs w:val="20"/>
                <w:color w:val="auto"/>
              </w:rPr>
            </w:pPr>
            <w:r>
              <w:rPr>
                <w:rFonts w:ascii="Arial" w:cs="Arial" w:eastAsia="Arial" w:hAnsi="Arial"/>
                <w:sz w:val="21"/>
                <w:szCs w:val="21"/>
                <w:color w:val="auto"/>
              </w:rPr>
              <w:t>Insurance</w:t>
            </w:r>
          </w:p>
        </w:tc>
        <w:tc>
          <w:tcPr>
            <w:tcW w:w="2060" w:type="dxa"/>
            <w:vAlign w:val="bottom"/>
          </w:tcPr>
          <w:p>
            <w:pPr>
              <w:jc w:val="right"/>
              <w:spacing w:after="0"/>
              <w:rPr>
                <w:sz w:val="20"/>
                <w:szCs w:val="20"/>
                <w:color w:val="auto"/>
              </w:rPr>
            </w:pPr>
            <w:r>
              <w:rPr>
                <w:rFonts w:ascii="Arial" w:cs="Arial" w:eastAsia="Arial" w:hAnsi="Arial"/>
                <w:sz w:val="21"/>
                <w:szCs w:val="21"/>
                <w:color w:val="auto"/>
              </w:rPr>
              <w:t>75</w:t>
            </w:r>
          </w:p>
        </w:tc>
      </w:tr>
      <w:tr>
        <w:trPr>
          <w:trHeight w:val="482"/>
        </w:trPr>
        <w:tc>
          <w:tcPr>
            <w:tcW w:w="6360" w:type="dxa"/>
            <w:vAlign w:val="bottom"/>
          </w:tcPr>
          <w:p>
            <w:pPr>
              <w:spacing w:after="0"/>
              <w:rPr>
                <w:sz w:val="20"/>
                <w:szCs w:val="20"/>
                <w:color w:val="auto"/>
              </w:rPr>
            </w:pPr>
            <w:r>
              <w:rPr>
                <w:rFonts w:ascii="Arial" w:cs="Arial" w:eastAsia="Arial" w:hAnsi="Arial"/>
                <w:sz w:val="21"/>
                <w:szCs w:val="21"/>
                <w:color w:val="auto"/>
              </w:rPr>
              <w:t>Books and Records</w:t>
            </w:r>
          </w:p>
        </w:tc>
        <w:tc>
          <w:tcPr>
            <w:tcW w:w="2060" w:type="dxa"/>
            <w:vAlign w:val="bottom"/>
          </w:tcPr>
          <w:p>
            <w:pPr>
              <w:jc w:val="right"/>
              <w:spacing w:after="0"/>
              <w:rPr>
                <w:sz w:val="20"/>
                <w:szCs w:val="20"/>
                <w:color w:val="auto"/>
              </w:rPr>
            </w:pPr>
            <w:r>
              <w:rPr>
                <w:rFonts w:ascii="Arial" w:cs="Arial" w:eastAsia="Arial" w:hAnsi="Arial"/>
                <w:sz w:val="21"/>
                <w:szCs w:val="21"/>
                <w:color w:val="auto"/>
              </w:rPr>
              <w:t>75</w:t>
            </w:r>
          </w:p>
        </w:tc>
      </w:tr>
      <w:tr>
        <w:trPr>
          <w:trHeight w:val="482"/>
        </w:trPr>
        <w:tc>
          <w:tcPr>
            <w:tcW w:w="6360" w:type="dxa"/>
            <w:vAlign w:val="bottom"/>
          </w:tcPr>
          <w:p>
            <w:pPr>
              <w:spacing w:after="0"/>
              <w:rPr>
                <w:sz w:val="20"/>
                <w:szCs w:val="20"/>
                <w:color w:val="auto"/>
              </w:rPr>
            </w:pPr>
            <w:r>
              <w:rPr>
                <w:rFonts w:ascii="Arial" w:cs="Arial" w:eastAsia="Arial" w:hAnsi="Arial"/>
                <w:sz w:val="21"/>
                <w:szCs w:val="21"/>
                <w:color w:val="auto"/>
              </w:rPr>
              <w:t>Compliance With Laws</w:t>
            </w:r>
          </w:p>
        </w:tc>
        <w:tc>
          <w:tcPr>
            <w:tcW w:w="2060" w:type="dxa"/>
            <w:vAlign w:val="bottom"/>
          </w:tcPr>
          <w:p>
            <w:pPr>
              <w:jc w:val="right"/>
              <w:spacing w:after="0"/>
              <w:rPr>
                <w:sz w:val="20"/>
                <w:szCs w:val="20"/>
                <w:color w:val="auto"/>
              </w:rPr>
            </w:pPr>
            <w:r>
              <w:rPr>
                <w:rFonts w:ascii="Arial" w:cs="Arial" w:eastAsia="Arial" w:hAnsi="Arial"/>
                <w:sz w:val="21"/>
                <w:szCs w:val="21"/>
                <w:color w:val="auto"/>
              </w:rPr>
              <w:t>76</w:t>
            </w:r>
          </w:p>
        </w:tc>
      </w:tr>
      <w:tr>
        <w:trPr>
          <w:trHeight w:val="482"/>
        </w:trPr>
        <w:tc>
          <w:tcPr>
            <w:tcW w:w="6360" w:type="dxa"/>
            <w:vAlign w:val="bottom"/>
          </w:tcPr>
          <w:p>
            <w:pPr>
              <w:spacing w:after="0"/>
              <w:rPr>
                <w:sz w:val="20"/>
                <w:szCs w:val="20"/>
                <w:color w:val="auto"/>
              </w:rPr>
            </w:pPr>
            <w:r>
              <w:rPr>
                <w:rFonts w:ascii="Arial" w:cs="Arial" w:eastAsia="Arial" w:hAnsi="Arial"/>
                <w:sz w:val="21"/>
                <w:szCs w:val="21"/>
                <w:color w:val="auto"/>
              </w:rPr>
              <w:t>Environmental Matters</w:t>
            </w:r>
          </w:p>
        </w:tc>
        <w:tc>
          <w:tcPr>
            <w:tcW w:w="2060" w:type="dxa"/>
            <w:vAlign w:val="bottom"/>
          </w:tcPr>
          <w:p>
            <w:pPr>
              <w:jc w:val="right"/>
              <w:spacing w:after="0"/>
              <w:rPr>
                <w:sz w:val="20"/>
                <w:szCs w:val="20"/>
                <w:color w:val="auto"/>
              </w:rPr>
            </w:pPr>
            <w:r>
              <w:rPr>
                <w:rFonts w:ascii="Arial" w:cs="Arial" w:eastAsia="Arial" w:hAnsi="Arial"/>
                <w:sz w:val="21"/>
                <w:szCs w:val="21"/>
                <w:color w:val="auto"/>
              </w:rPr>
              <w:t>76</w:t>
            </w:r>
          </w:p>
        </w:tc>
      </w:tr>
      <w:tr>
        <w:trPr>
          <w:trHeight w:val="482"/>
        </w:trPr>
        <w:tc>
          <w:tcPr>
            <w:tcW w:w="6360" w:type="dxa"/>
            <w:vAlign w:val="bottom"/>
          </w:tcPr>
          <w:p>
            <w:pPr>
              <w:spacing w:after="0"/>
              <w:rPr>
                <w:sz w:val="20"/>
                <w:szCs w:val="20"/>
                <w:color w:val="auto"/>
              </w:rPr>
            </w:pPr>
            <w:r>
              <w:rPr>
                <w:rFonts w:ascii="Arial" w:cs="Arial" w:eastAsia="Arial" w:hAnsi="Arial"/>
                <w:sz w:val="21"/>
                <w:szCs w:val="21"/>
                <w:color w:val="auto"/>
              </w:rPr>
              <w:t>Further Assurances</w:t>
            </w:r>
          </w:p>
        </w:tc>
        <w:tc>
          <w:tcPr>
            <w:tcW w:w="2060" w:type="dxa"/>
            <w:vAlign w:val="bottom"/>
          </w:tcPr>
          <w:p>
            <w:pPr>
              <w:jc w:val="right"/>
              <w:spacing w:after="0"/>
              <w:rPr>
                <w:sz w:val="20"/>
                <w:szCs w:val="20"/>
                <w:color w:val="auto"/>
              </w:rPr>
            </w:pPr>
            <w:r>
              <w:rPr>
                <w:rFonts w:ascii="Arial" w:cs="Arial" w:eastAsia="Arial" w:hAnsi="Arial"/>
                <w:sz w:val="21"/>
                <w:szCs w:val="21"/>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800"/>
        <w:spacing w:after="0"/>
        <w:rPr>
          <w:sz w:val="20"/>
          <w:szCs w:val="20"/>
          <w:color w:val="auto"/>
        </w:rPr>
      </w:pPr>
      <w:r>
        <w:rPr>
          <w:rFonts w:ascii="Arial" w:cs="Arial" w:eastAsia="Arial" w:hAnsi="Arial"/>
          <w:sz w:val="21"/>
          <w:szCs w:val="21"/>
          <w:color w:val="auto"/>
        </w:rPr>
        <w:t>ii</w:t>
      </w:r>
    </w:p>
    <w:p>
      <w:pPr>
        <w:sectPr>
          <w:pgSz w:w="11900" w:h="16838" w:orient="portrait"/>
          <w:cols w:equalWidth="0" w:num="2">
            <w:col w:w="2080" w:space="680"/>
            <w:col w:w="8420"/>
          </w:cols>
          <w:pgMar w:left="320" w:top="292" w:right="399" w:bottom="1440" w:gutter="0" w:footer="0" w:header="0"/>
        </w:sectPr>
      </w:pPr>
    </w:p>
    <w:bookmarkStart w:id="127" w:name="page128"/>
    <w:bookmarkEnd w:id="127"/>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8.12</w:t>
            </w:r>
          </w:p>
        </w:tc>
        <w:tc>
          <w:tcPr>
            <w:tcW w:w="6900" w:type="dxa"/>
            <w:vAlign w:val="bottom"/>
          </w:tcPr>
          <w:p>
            <w:pPr>
              <w:ind w:left="380"/>
              <w:spacing w:after="0"/>
              <w:rPr>
                <w:sz w:val="20"/>
                <w:szCs w:val="20"/>
                <w:color w:val="auto"/>
              </w:rPr>
            </w:pPr>
            <w:r>
              <w:rPr>
                <w:rFonts w:ascii="Arial" w:cs="Arial" w:eastAsia="Arial" w:hAnsi="Arial"/>
                <w:sz w:val="21"/>
                <w:szCs w:val="21"/>
                <w:color w:val="auto"/>
              </w:rPr>
              <w:t>Reserve Reports</w:t>
            </w:r>
          </w:p>
        </w:tc>
        <w:tc>
          <w:tcPr>
            <w:tcW w:w="1900" w:type="dxa"/>
            <w:vAlign w:val="bottom"/>
          </w:tcPr>
          <w:p>
            <w:pPr>
              <w:jc w:val="right"/>
              <w:spacing w:after="0"/>
              <w:rPr>
                <w:sz w:val="20"/>
                <w:szCs w:val="20"/>
                <w:color w:val="auto"/>
              </w:rPr>
            </w:pPr>
            <w:r>
              <w:rPr>
                <w:rFonts w:ascii="Arial" w:cs="Arial" w:eastAsia="Arial" w:hAnsi="Arial"/>
                <w:sz w:val="21"/>
                <w:szCs w:val="21"/>
                <w:color w:val="auto"/>
              </w:rPr>
              <w:t>77</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8.13</w:t>
            </w:r>
          </w:p>
        </w:tc>
        <w:tc>
          <w:tcPr>
            <w:tcW w:w="6900" w:type="dxa"/>
            <w:vAlign w:val="bottom"/>
          </w:tcPr>
          <w:p>
            <w:pPr>
              <w:ind w:left="380"/>
              <w:spacing w:after="0"/>
              <w:rPr>
                <w:sz w:val="20"/>
                <w:szCs w:val="20"/>
                <w:color w:val="auto"/>
              </w:rPr>
            </w:pPr>
            <w:r>
              <w:rPr>
                <w:rFonts w:ascii="Arial" w:cs="Arial" w:eastAsia="Arial" w:hAnsi="Arial"/>
                <w:sz w:val="21"/>
                <w:szCs w:val="21"/>
                <w:color w:val="auto"/>
              </w:rPr>
              <w:t>Title Information</w:t>
            </w:r>
          </w:p>
        </w:tc>
        <w:tc>
          <w:tcPr>
            <w:tcW w:w="1900" w:type="dxa"/>
            <w:vAlign w:val="bottom"/>
          </w:tcPr>
          <w:p>
            <w:pPr>
              <w:jc w:val="right"/>
              <w:spacing w:after="0"/>
              <w:rPr>
                <w:sz w:val="20"/>
                <w:szCs w:val="20"/>
                <w:color w:val="auto"/>
              </w:rPr>
            </w:pPr>
            <w:r>
              <w:rPr>
                <w:rFonts w:ascii="Arial" w:cs="Arial" w:eastAsia="Arial" w:hAnsi="Arial"/>
                <w:sz w:val="21"/>
                <w:szCs w:val="21"/>
                <w:color w:val="auto"/>
              </w:rPr>
              <w:t>78</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8.14</w:t>
            </w:r>
          </w:p>
        </w:tc>
        <w:tc>
          <w:tcPr>
            <w:tcW w:w="6900" w:type="dxa"/>
            <w:vAlign w:val="bottom"/>
          </w:tcPr>
          <w:p>
            <w:pPr>
              <w:ind w:left="380"/>
              <w:spacing w:after="0"/>
              <w:rPr>
                <w:sz w:val="20"/>
                <w:szCs w:val="20"/>
                <w:color w:val="auto"/>
              </w:rPr>
            </w:pPr>
            <w:r>
              <w:rPr>
                <w:rFonts w:ascii="Arial" w:cs="Arial" w:eastAsia="Arial" w:hAnsi="Arial"/>
                <w:sz w:val="21"/>
                <w:szCs w:val="21"/>
                <w:color w:val="auto"/>
              </w:rPr>
              <w:t>Additional Collateral; Additional Guarantors</w:t>
            </w:r>
          </w:p>
        </w:tc>
        <w:tc>
          <w:tcPr>
            <w:tcW w:w="1900" w:type="dxa"/>
            <w:vAlign w:val="bottom"/>
          </w:tcPr>
          <w:p>
            <w:pPr>
              <w:jc w:val="right"/>
              <w:spacing w:after="0"/>
              <w:rPr>
                <w:sz w:val="20"/>
                <w:szCs w:val="20"/>
                <w:color w:val="auto"/>
              </w:rPr>
            </w:pPr>
            <w:r>
              <w:rPr>
                <w:rFonts w:ascii="Arial" w:cs="Arial" w:eastAsia="Arial" w:hAnsi="Arial"/>
                <w:sz w:val="21"/>
                <w:szCs w:val="21"/>
                <w:color w:val="auto"/>
              </w:rPr>
              <w:t>79</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8.15</w:t>
            </w:r>
          </w:p>
        </w:tc>
        <w:tc>
          <w:tcPr>
            <w:tcW w:w="6900" w:type="dxa"/>
            <w:vAlign w:val="bottom"/>
          </w:tcPr>
          <w:p>
            <w:pPr>
              <w:ind w:left="380"/>
              <w:spacing w:after="0"/>
              <w:rPr>
                <w:sz w:val="20"/>
                <w:szCs w:val="20"/>
                <w:color w:val="auto"/>
              </w:rPr>
            </w:pPr>
            <w:r>
              <w:rPr>
                <w:rFonts w:ascii="Arial" w:cs="Arial" w:eastAsia="Arial" w:hAnsi="Arial"/>
                <w:sz w:val="21"/>
                <w:szCs w:val="21"/>
                <w:color w:val="auto"/>
              </w:rPr>
              <w:t>ERISA Compliance</w:t>
            </w:r>
          </w:p>
        </w:tc>
        <w:tc>
          <w:tcPr>
            <w:tcW w:w="1900" w:type="dxa"/>
            <w:vAlign w:val="bottom"/>
          </w:tcPr>
          <w:p>
            <w:pPr>
              <w:jc w:val="right"/>
              <w:spacing w:after="0"/>
              <w:rPr>
                <w:sz w:val="20"/>
                <w:szCs w:val="20"/>
                <w:color w:val="auto"/>
              </w:rPr>
            </w:pPr>
            <w:r>
              <w:rPr>
                <w:rFonts w:ascii="Arial" w:cs="Arial" w:eastAsia="Arial" w:hAnsi="Arial"/>
                <w:sz w:val="21"/>
                <w:szCs w:val="21"/>
                <w:color w:val="auto"/>
              </w:rPr>
              <w:t>79</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8.16</w:t>
            </w:r>
          </w:p>
        </w:tc>
        <w:tc>
          <w:tcPr>
            <w:tcW w:w="6900" w:type="dxa"/>
            <w:vAlign w:val="bottom"/>
          </w:tcPr>
          <w:p>
            <w:pPr>
              <w:ind w:left="380"/>
              <w:spacing w:after="0"/>
              <w:rPr>
                <w:sz w:val="20"/>
                <w:szCs w:val="20"/>
                <w:color w:val="auto"/>
              </w:rPr>
            </w:pPr>
            <w:r>
              <w:rPr>
                <w:rFonts w:ascii="Arial" w:cs="Arial" w:eastAsia="Arial" w:hAnsi="Arial"/>
                <w:sz w:val="21"/>
                <w:szCs w:val="21"/>
                <w:color w:val="auto"/>
              </w:rPr>
              <w:t>Marketing Activities</w:t>
            </w:r>
          </w:p>
        </w:tc>
        <w:tc>
          <w:tcPr>
            <w:tcW w:w="1900" w:type="dxa"/>
            <w:vAlign w:val="bottom"/>
          </w:tcPr>
          <w:p>
            <w:pPr>
              <w:jc w:val="right"/>
              <w:spacing w:after="0"/>
              <w:rPr>
                <w:sz w:val="20"/>
                <w:szCs w:val="20"/>
                <w:color w:val="auto"/>
              </w:rPr>
            </w:pPr>
            <w:r>
              <w:rPr>
                <w:rFonts w:ascii="Arial" w:cs="Arial" w:eastAsia="Arial" w:hAnsi="Arial"/>
                <w:sz w:val="21"/>
                <w:szCs w:val="21"/>
                <w:color w:val="auto"/>
              </w:rPr>
              <w:t>79</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8.17</w:t>
            </w:r>
          </w:p>
        </w:tc>
        <w:tc>
          <w:tcPr>
            <w:tcW w:w="6900" w:type="dxa"/>
            <w:vAlign w:val="bottom"/>
          </w:tcPr>
          <w:p>
            <w:pPr>
              <w:ind w:left="380"/>
              <w:spacing w:after="0"/>
              <w:rPr>
                <w:sz w:val="20"/>
                <w:szCs w:val="20"/>
                <w:color w:val="auto"/>
              </w:rPr>
            </w:pPr>
            <w:r>
              <w:rPr>
                <w:rFonts w:ascii="Arial" w:cs="Arial" w:eastAsia="Arial" w:hAnsi="Arial"/>
                <w:sz w:val="21"/>
                <w:szCs w:val="21"/>
                <w:color w:val="auto"/>
              </w:rPr>
              <w:t>Swap Agreements</w:t>
            </w:r>
          </w:p>
        </w:tc>
        <w:tc>
          <w:tcPr>
            <w:tcW w:w="1900" w:type="dxa"/>
            <w:vAlign w:val="bottom"/>
          </w:tcPr>
          <w:p>
            <w:pPr>
              <w:jc w:val="right"/>
              <w:spacing w:after="0"/>
              <w:rPr>
                <w:sz w:val="20"/>
                <w:szCs w:val="20"/>
                <w:color w:val="auto"/>
              </w:rPr>
            </w:pPr>
            <w:r>
              <w:rPr>
                <w:rFonts w:ascii="Arial" w:cs="Arial" w:eastAsia="Arial" w:hAnsi="Arial"/>
                <w:sz w:val="21"/>
                <w:szCs w:val="21"/>
                <w:color w:val="auto"/>
              </w:rPr>
              <w:t>80</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8.18</w:t>
            </w:r>
          </w:p>
        </w:tc>
        <w:tc>
          <w:tcPr>
            <w:tcW w:w="6900" w:type="dxa"/>
            <w:vAlign w:val="bottom"/>
          </w:tcPr>
          <w:p>
            <w:pPr>
              <w:ind w:left="380"/>
              <w:spacing w:after="0"/>
              <w:rPr>
                <w:sz w:val="20"/>
                <w:szCs w:val="20"/>
                <w:color w:val="auto"/>
              </w:rPr>
            </w:pPr>
            <w:r>
              <w:rPr>
                <w:rFonts w:ascii="Arial" w:cs="Arial" w:eastAsia="Arial" w:hAnsi="Arial"/>
                <w:sz w:val="21"/>
                <w:szCs w:val="21"/>
                <w:color w:val="auto"/>
              </w:rPr>
              <w:t>Unrestricted Subsidiaries</w:t>
            </w:r>
          </w:p>
        </w:tc>
        <w:tc>
          <w:tcPr>
            <w:tcW w:w="1900" w:type="dxa"/>
            <w:vAlign w:val="bottom"/>
          </w:tcPr>
          <w:p>
            <w:pPr>
              <w:jc w:val="right"/>
              <w:spacing w:after="0"/>
              <w:rPr>
                <w:sz w:val="20"/>
                <w:szCs w:val="20"/>
                <w:color w:val="auto"/>
              </w:rPr>
            </w:pPr>
            <w:r>
              <w:rPr>
                <w:rFonts w:ascii="Arial" w:cs="Arial" w:eastAsia="Arial" w:hAnsi="Arial"/>
                <w:sz w:val="21"/>
                <w:szCs w:val="21"/>
                <w:color w:val="auto"/>
              </w:rPr>
              <w:t>80</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9200" w:type="dxa"/>
            <w:vAlign w:val="bottom"/>
            <w:gridSpan w:val="2"/>
          </w:tcPr>
          <w:p>
            <w:pPr>
              <w:spacing w:after="0"/>
              <w:rPr>
                <w:sz w:val="20"/>
                <w:szCs w:val="20"/>
                <w:color w:val="auto"/>
              </w:rPr>
            </w:pPr>
            <w:r>
              <w:rPr>
                <w:rFonts w:ascii="Arial" w:cs="Arial" w:eastAsia="Arial" w:hAnsi="Arial"/>
                <w:sz w:val="21"/>
                <w:szCs w:val="21"/>
                <w:color w:val="auto"/>
              </w:rPr>
              <w:t>ARTICLE IX Negative Covenants</w:t>
            </w:r>
          </w:p>
        </w:tc>
        <w:tc>
          <w:tcPr>
            <w:tcW w:w="1900" w:type="dxa"/>
            <w:vAlign w:val="bottom"/>
          </w:tcPr>
          <w:p>
            <w:pPr>
              <w:jc w:val="right"/>
              <w:spacing w:after="0"/>
              <w:rPr>
                <w:sz w:val="20"/>
                <w:szCs w:val="20"/>
                <w:color w:val="auto"/>
              </w:rPr>
            </w:pPr>
            <w:r>
              <w:rPr>
                <w:rFonts w:ascii="Arial" w:cs="Arial" w:eastAsia="Arial" w:hAnsi="Arial"/>
                <w:sz w:val="21"/>
                <w:szCs w:val="21"/>
                <w:color w:val="auto"/>
              </w:rPr>
              <w:t>80</w:t>
            </w:r>
          </w:p>
        </w:tc>
        <w:tc>
          <w:tcPr>
            <w:tcW w:w="0" w:type="dxa"/>
            <w:vAlign w:val="bottom"/>
          </w:tcPr>
          <w:p>
            <w:pPr>
              <w:spacing w:after="0"/>
              <w:rPr>
                <w:sz w:val="1"/>
                <w:szCs w:val="1"/>
                <w:color w:val="auto"/>
              </w:rPr>
            </w:pPr>
          </w:p>
        </w:tc>
      </w:tr>
      <w:tr>
        <w:trPr>
          <w:trHeight w:val="482"/>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9.01</w:t>
            </w:r>
          </w:p>
        </w:tc>
        <w:tc>
          <w:tcPr>
            <w:tcW w:w="6900" w:type="dxa"/>
            <w:vAlign w:val="bottom"/>
          </w:tcPr>
          <w:p>
            <w:pPr>
              <w:ind w:left="380"/>
              <w:spacing w:after="0"/>
              <w:rPr>
                <w:sz w:val="20"/>
                <w:szCs w:val="20"/>
                <w:color w:val="auto"/>
              </w:rPr>
            </w:pPr>
            <w:r>
              <w:rPr>
                <w:rFonts w:ascii="Arial" w:cs="Arial" w:eastAsia="Arial" w:hAnsi="Arial"/>
                <w:sz w:val="21"/>
                <w:szCs w:val="21"/>
                <w:color w:val="auto"/>
              </w:rPr>
              <w:t>Financial Covenants</w:t>
            </w:r>
          </w:p>
        </w:tc>
        <w:tc>
          <w:tcPr>
            <w:tcW w:w="1900" w:type="dxa"/>
            <w:vAlign w:val="bottom"/>
          </w:tcPr>
          <w:p>
            <w:pPr>
              <w:jc w:val="right"/>
              <w:spacing w:after="0"/>
              <w:rPr>
                <w:sz w:val="20"/>
                <w:szCs w:val="20"/>
                <w:color w:val="auto"/>
              </w:rPr>
            </w:pPr>
            <w:r>
              <w:rPr>
                <w:rFonts w:ascii="Arial" w:cs="Arial" w:eastAsia="Arial" w:hAnsi="Arial"/>
                <w:sz w:val="21"/>
                <w:szCs w:val="21"/>
                <w:color w:val="auto"/>
              </w:rPr>
              <w:t>80</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9.02</w:t>
            </w:r>
          </w:p>
        </w:tc>
        <w:tc>
          <w:tcPr>
            <w:tcW w:w="6900" w:type="dxa"/>
            <w:vAlign w:val="bottom"/>
          </w:tcPr>
          <w:p>
            <w:pPr>
              <w:ind w:left="380"/>
              <w:spacing w:after="0"/>
              <w:rPr>
                <w:sz w:val="20"/>
                <w:szCs w:val="20"/>
                <w:color w:val="auto"/>
              </w:rPr>
            </w:pPr>
            <w:r>
              <w:rPr>
                <w:rFonts w:ascii="Arial" w:cs="Arial" w:eastAsia="Arial" w:hAnsi="Arial"/>
                <w:sz w:val="21"/>
                <w:szCs w:val="21"/>
                <w:color w:val="auto"/>
              </w:rPr>
              <w:t>Debt</w:t>
            </w:r>
          </w:p>
        </w:tc>
        <w:tc>
          <w:tcPr>
            <w:tcW w:w="1900" w:type="dxa"/>
            <w:vAlign w:val="bottom"/>
          </w:tcPr>
          <w:p>
            <w:pPr>
              <w:jc w:val="right"/>
              <w:spacing w:after="0"/>
              <w:rPr>
                <w:sz w:val="20"/>
                <w:szCs w:val="20"/>
                <w:color w:val="auto"/>
              </w:rPr>
            </w:pPr>
            <w:r>
              <w:rPr>
                <w:rFonts w:ascii="Arial" w:cs="Arial" w:eastAsia="Arial" w:hAnsi="Arial"/>
                <w:sz w:val="21"/>
                <w:szCs w:val="21"/>
                <w:color w:val="auto"/>
              </w:rPr>
              <w:t>81</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9.03</w:t>
            </w:r>
          </w:p>
        </w:tc>
        <w:tc>
          <w:tcPr>
            <w:tcW w:w="6900" w:type="dxa"/>
            <w:vAlign w:val="bottom"/>
          </w:tcPr>
          <w:p>
            <w:pPr>
              <w:ind w:left="380"/>
              <w:spacing w:after="0"/>
              <w:rPr>
                <w:sz w:val="20"/>
                <w:szCs w:val="20"/>
                <w:color w:val="auto"/>
              </w:rPr>
            </w:pPr>
            <w:r>
              <w:rPr>
                <w:rFonts w:ascii="Arial" w:cs="Arial" w:eastAsia="Arial" w:hAnsi="Arial"/>
                <w:sz w:val="21"/>
                <w:szCs w:val="21"/>
                <w:color w:val="auto"/>
              </w:rPr>
              <w:t>Liens</w:t>
            </w:r>
          </w:p>
        </w:tc>
        <w:tc>
          <w:tcPr>
            <w:tcW w:w="1900" w:type="dxa"/>
            <w:vAlign w:val="bottom"/>
          </w:tcPr>
          <w:p>
            <w:pPr>
              <w:jc w:val="right"/>
              <w:spacing w:after="0"/>
              <w:rPr>
                <w:sz w:val="20"/>
                <w:szCs w:val="20"/>
                <w:color w:val="auto"/>
              </w:rPr>
            </w:pPr>
            <w:r>
              <w:rPr>
                <w:rFonts w:ascii="Arial" w:cs="Arial" w:eastAsia="Arial" w:hAnsi="Arial"/>
                <w:sz w:val="21"/>
                <w:szCs w:val="21"/>
                <w:color w:val="auto"/>
              </w:rPr>
              <w:t>82</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9.04</w:t>
            </w:r>
          </w:p>
        </w:tc>
        <w:tc>
          <w:tcPr>
            <w:tcW w:w="6900" w:type="dxa"/>
            <w:vAlign w:val="bottom"/>
          </w:tcPr>
          <w:p>
            <w:pPr>
              <w:ind w:left="380"/>
              <w:spacing w:after="0"/>
              <w:rPr>
                <w:sz w:val="20"/>
                <w:szCs w:val="20"/>
                <w:color w:val="auto"/>
              </w:rPr>
            </w:pPr>
            <w:r>
              <w:rPr>
                <w:rFonts w:ascii="Arial" w:cs="Arial" w:eastAsia="Arial" w:hAnsi="Arial"/>
                <w:sz w:val="21"/>
                <w:szCs w:val="21"/>
                <w:color w:val="auto"/>
              </w:rPr>
              <w:t>Dividends, Distributions and Restricted Payments</w:t>
            </w:r>
          </w:p>
        </w:tc>
        <w:tc>
          <w:tcPr>
            <w:tcW w:w="1900" w:type="dxa"/>
            <w:vAlign w:val="bottom"/>
          </w:tcPr>
          <w:p>
            <w:pPr>
              <w:jc w:val="right"/>
              <w:spacing w:after="0"/>
              <w:rPr>
                <w:sz w:val="20"/>
                <w:szCs w:val="20"/>
                <w:color w:val="auto"/>
              </w:rPr>
            </w:pPr>
            <w:r>
              <w:rPr>
                <w:rFonts w:ascii="Arial" w:cs="Arial" w:eastAsia="Arial" w:hAnsi="Arial"/>
                <w:sz w:val="21"/>
                <w:szCs w:val="21"/>
                <w:color w:val="auto"/>
              </w:rPr>
              <w:t>82</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9.05</w:t>
            </w:r>
          </w:p>
        </w:tc>
        <w:tc>
          <w:tcPr>
            <w:tcW w:w="6900" w:type="dxa"/>
            <w:vAlign w:val="bottom"/>
          </w:tcPr>
          <w:p>
            <w:pPr>
              <w:ind w:left="380"/>
              <w:spacing w:after="0"/>
              <w:rPr>
                <w:sz w:val="20"/>
                <w:szCs w:val="20"/>
                <w:color w:val="auto"/>
              </w:rPr>
            </w:pPr>
            <w:r>
              <w:rPr>
                <w:rFonts w:ascii="Arial" w:cs="Arial" w:eastAsia="Arial" w:hAnsi="Arial"/>
                <w:sz w:val="21"/>
                <w:szCs w:val="21"/>
                <w:color w:val="auto"/>
              </w:rPr>
              <w:t>Investments, Loans and Advances</w:t>
            </w:r>
          </w:p>
        </w:tc>
        <w:tc>
          <w:tcPr>
            <w:tcW w:w="1900" w:type="dxa"/>
            <w:vAlign w:val="bottom"/>
          </w:tcPr>
          <w:p>
            <w:pPr>
              <w:jc w:val="right"/>
              <w:spacing w:after="0"/>
              <w:rPr>
                <w:sz w:val="20"/>
                <w:szCs w:val="20"/>
                <w:color w:val="auto"/>
              </w:rPr>
            </w:pPr>
            <w:r>
              <w:rPr>
                <w:rFonts w:ascii="Arial" w:cs="Arial" w:eastAsia="Arial" w:hAnsi="Arial"/>
                <w:sz w:val="21"/>
                <w:szCs w:val="21"/>
                <w:color w:val="auto"/>
              </w:rPr>
              <w:t>84</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9.06</w:t>
            </w:r>
          </w:p>
        </w:tc>
        <w:tc>
          <w:tcPr>
            <w:tcW w:w="6900" w:type="dxa"/>
            <w:vAlign w:val="bottom"/>
          </w:tcPr>
          <w:p>
            <w:pPr>
              <w:ind w:left="380"/>
              <w:spacing w:after="0"/>
              <w:rPr>
                <w:sz w:val="20"/>
                <w:szCs w:val="20"/>
                <w:color w:val="auto"/>
              </w:rPr>
            </w:pPr>
            <w:r>
              <w:rPr>
                <w:rFonts w:ascii="Arial" w:cs="Arial" w:eastAsia="Arial" w:hAnsi="Arial"/>
                <w:sz w:val="21"/>
                <w:szCs w:val="21"/>
                <w:color w:val="auto"/>
              </w:rPr>
              <w:t>Nature of Business; No International Operations</w:t>
            </w:r>
          </w:p>
        </w:tc>
        <w:tc>
          <w:tcPr>
            <w:tcW w:w="1900" w:type="dxa"/>
            <w:vAlign w:val="bottom"/>
          </w:tcPr>
          <w:p>
            <w:pPr>
              <w:jc w:val="right"/>
              <w:spacing w:after="0"/>
              <w:rPr>
                <w:sz w:val="20"/>
                <w:szCs w:val="20"/>
                <w:color w:val="auto"/>
              </w:rPr>
            </w:pPr>
            <w:r>
              <w:rPr>
                <w:rFonts w:ascii="Arial" w:cs="Arial" w:eastAsia="Arial" w:hAnsi="Arial"/>
                <w:sz w:val="21"/>
                <w:szCs w:val="21"/>
                <w:color w:val="auto"/>
              </w:rPr>
              <w:t>86</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9.07</w:t>
            </w:r>
          </w:p>
        </w:tc>
        <w:tc>
          <w:tcPr>
            <w:tcW w:w="6900" w:type="dxa"/>
            <w:vAlign w:val="bottom"/>
          </w:tcPr>
          <w:p>
            <w:pPr>
              <w:ind w:left="380"/>
              <w:spacing w:after="0"/>
              <w:rPr>
                <w:sz w:val="20"/>
                <w:szCs w:val="20"/>
                <w:color w:val="auto"/>
              </w:rPr>
            </w:pPr>
            <w:r>
              <w:rPr>
                <w:rFonts w:ascii="Arial" w:cs="Arial" w:eastAsia="Arial" w:hAnsi="Arial"/>
                <w:sz w:val="21"/>
                <w:szCs w:val="21"/>
                <w:color w:val="auto"/>
              </w:rPr>
              <w:t>Limitation on Leases</w:t>
            </w:r>
          </w:p>
        </w:tc>
        <w:tc>
          <w:tcPr>
            <w:tcW w:w="1900" w:type="dxa"/>
            <w:vAlign w:val="bottom"/>
          </w:tcPr>
          <w:p>
            <w:pPr>
              <w:jc w:val="right"/>
              <w:spacing w:after="0"/>
              <w:rPr>
                <w:sz w:val="20"/>
                <w:szCs w:val="20"/>
                <w:color w:val="auto"/>
              </w:rPr>
            </w:pPr>
            <w:r>
              <w:rPr>
                <w:rFonts w:ascii="Arial" w:cs="Arial" w:eastAsia="Arial" w:hAnsi="Arial"/>
                <w:sz w:val="21"/>
                <w:szCs w:val="21"/>
                <w:color w:val="auto"/>
              </w:rPr>
              <w:t>86</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9.08</w:t>
            </w:r>
          </w:p>
        </w:tc>
        <w:tc>
          <w:tcPr>
            <w:tcW w:w="6900" w:type="dxa"/>
            <w:vAlign w:val="bottom"/>
          </w:tcPr>
          <w:p>
            <w:pPr>
              <w:ind w:left="380"/>
              <w:spacing w:after="0"/>
              <w:rPr>
                <w:sz w:val="20"/>
                <w:szCs w:val="20"/>
                <w:color w:val="auto"/>
              </w:rPr>
            </w:pPr>
            <w:r>
              <w:rPr>
                <w:rFonts w:ascii="Arial" w:cs="Arial" w:eastAsia="Arial" w:hAnsi="Arial"/>
                <w:sz w:val="21"/>
                <w:szCs w:val="21"/>
                <w:color w:val="auto"/>
              </w:rPr>
              <w:t>Proceeds of Notes</w:t>
            </w:r>
          </w:p>
        </w:tc>
        <w:tc>
          <w:tcPr>
            <w:tcW w:w="1900" w:type="dxa"/>
            <w:vAlign w:val="bottom"/>
          </w:tcPr>
          <w:p>
            <w:pPr>
              <w:jc w:val="right"/>
              <w:spacing w:after="0"/>
              <w:rPr>
                <w:sz w:val="20"/>
                <w:szCs w:val="20"/>
                <w:color w:val="auto"/>
              </w:rPr>
            </w:pPr>
            <w:r>
              <w:rPr>
                <w:rFonts w:ascii="Arial" w:cs="Arial" w:eastAsia="Arial" w:hAnsi="Arial"/>
                <w:sz w:val="21"/>
                <w:szCs w:val="21"/>
                <w:color w:val="auto"/>
              </w:rPr>
              <w:t>86</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9.09</w:t>
            </w:r>
          </w:p>
        </w:tc>
        <w:tc>
          <w:tcPr>
            <w:tcW w:w="6900" w:type="dxa"/>
            <w:vAlign w:val="bottom"/>
          </w:tcPr>
          <w:p>
            <w:pPr>
              <w:ind w:left="380"/>
              <w:spacing w:after="0"/>
              <w:rPr>
                <w:sz w:val="20"/>
                <w:szCs w:val="20"/>
                <w:color w:val="auto"/>
              </w:rPr>
            </w:pPr>
            <w:r>
              <w:rPr>
                <w:rFonts w:ascii="Arial" w:cs="Arial" w:eastAsia="Arial" w:hAnsi="Arial"/>
                <w:sz w:val="21"/>
                <w:szCs w:val="21"/>
                <w:color w:val="auto"/>
              </w:rPr>
              <w:t>ERISA Compliance</w:t>
            </w:r>
          </w:p>
        </w:tc>
        <w:tc>
          <w:tcPr>
            <w:tcW w:w="1900" w:type="dxa"/>
            <w:vAlign w:val="bottom"/>
          </w:tcPr>
          <w:p>
            <w:pPr>
              <w:jc w:val="right"/>
              <w:spacing w:after="0"/>
              <w:rPr>
                <w:sz w:val="20"/>
                <w:szCs w:val="20"/>
                <w:color w:val="auto"/>
              </w:rPr>
            </w:pPr>
            <w:r>
              <w:rPr>
                <w:rFonts w:ascii="Arial" w:cs="Arial" w:eastAsia="Arial" w:hAnsi="Arial"/>
                <w:sz w:val="21"/>
                <w:szCs w:val="21"/>
                <w:color w:val="auto"/>
              </w:rPr>
              <w:t>86</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9.10</w:t>
            </w:r>
          </w:p>
        </w:tc>
        <w:tc>
          <w:tcPr>
            <w:tcW w:w="6900" w:type="dxa"/>
            <w:vAlign w:val="bottom"/>
          </w:tcPr>
          <w:p>
            <w:pPr>
              <w:ind w:left="380"/>
              <w:spacing w:after="0"/>
              <w:rPr>
                <w:sz w:val="20"/>
                <w:szCs w:val="20"/>
                <w:color w:val="auto"/>
              </w:rPr>
            </w:pPr>
            <w:r>
              <w:rPr>
                <w:rFonts w:ascii="Arial" w:cs="Arial" w:eastAsia="Arial" w:hAnsi="Arial"/>
                <w:sz w:val="21"/>
                <w:szCs w:val="21"/>
                <w:color w:val="auto"/>
              </w:rPr>
              <w:t>Sale or Discount of Receivables</w:t>
            </w:r>
          </w:p>
        </w:tc>
        <w:tc>
          <w:tcPr>
            <w:tcW w:w="1900" w:type="dxa"/>
            <w:vAlign w:val="bottom"/>
          </w:tcPr>
          <w:p>
            <w:pPr>
              <w:jc w:val="right"/>
              <w:spacing w:after="0"/>
              <w:rPr>
                <w:sz w:val="20"/>
                <w:szCs w:val="20"/>
                <w:color w:val="auto"/>
              </w:rPr>
            </w:pPr>
            <w:r>
              <w:rPr>
                <w:rFonts w:ascii="Arial" w:cs="Arial" w:eastAsia="Arial" w:hAnsi="Arial"/>
                <w:sz w:val="21"/>
                <w:szCs w:val="21"/>
                <w:color w:val="auto"/>
              </w:rPr>
              <w:t>87</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9.11</w:t>
            </w:r>
          </w:p>
        </w:tc>
        <w:tc>
          <w:tcPr>
            <w:tcW w:w="6900" w:type="dxa"/>
            <w:vAlign w:val="bottom"/>
          </w:tcPr>
          <w:p>
            <w:pPr>
              <w:ind w:left="440"/>
              <w:spacing w:after="0"/>
              <w:rPr>
                <w:sz w:val="20"/>
                <w:szCs w:val="20"/>
                <w:color w:val="auto"/>
              </w:rPr>
            </w:pPr>
            <w:r>
              <w:rPr>
                <w:rFonts w:ascii="Arial" w:cs="Arial" w:eastAsia="Arial" w:hAnsi="Arial"/>
                <w:sz w:val="21"/>
                <w:szCs w:val="21"/>
                <w:color w:val="auto"/>
              </w:rPr>
              <w:t>Mergers, Etc</w:t>
            </w:r>
          </w:p>
        </w:tc>
        <w:tc>
          <w:tcPr>
            <w:tcW w:w="1900" w:type="dxa"/>
            <w:vAlign w:val="bottom"/>
          </w:tcPr>
          <w:p>
            <w:pPr>
              <w:jc w:val="right"/>
              <w:spacing w:after="0"/>
              <w:rPr>
                <w:sz w:val="20"/>
                <w:szCs w:val="20"/>
                <w:color w:val="auto"/>
              </w:rPr>
            </w:pPr>
            <w:r>
              <w:rPr>
                <w:rFonts w:ascii="Arial" w:cs="Arial" w:eastAsia="Arial" w:hAnsi="Arial"/>
                <w:sz w:val="21"/>
                <w:szCs w:val="21"/>
                <w:color w:val="auto"/>
              </w:rPr>
              <w:t>87</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9.12</w:t>
            </w:r>
          </w:p>
        </w:tc>
        <w:tc>
          <w:tcPr>
            <w:tcW w:w="6900" w:type="dxa"/>
            <w:vAlign w:val="bottom"/>
          </w:tcPr>
          <w:p>
            <w:pPr>
              <w:ind w:left="440"/>
              <w:spacing w:after="0"/>
              <w:rPr>
                <w:sz w:val="20"/>
                <w:szCs w:val="20"/>
                <w:color w:val="auto"/>
              </w:rPr>
            </w:pPr>
            <w:r>
              <w:rPr>
                <w:rFonts w:ascii="Arial" w:cs="Arial" w:eastAsia="Arial" w:hAnsi="Arial"/>
                <w:sz w:val="21"/>
                <w:szCs w:val="21"/>
                <w:color w:val="auto"/>
              </w:rPr>
              <w:t>Sale of Properties</w:t>
            </w:r>
          </w:p>
        </w:tc>
        <w:tc>
          <w:tcPr>
            <w:tcW w:w="1900" w:type="dxa"/>
            <w:vAlign w:val="bottom"/>
          </w:tcPr>
          <w:p>
            <w:pPr>
              <w:jc w:val="right"/>
              <w:spacing w:after="0"/>
              <w:rPr>
                <w:sz w:val="20"/>
                <w:szCs w:val="20"/>
                <w:color w:val="auto"/>
              </w:rPr>
            </w:pPr>
            <w:r>
              <w:rPr>
                <w:rFonts w:ascii="Arial" w:cs="Arial" w:eastAsia="Arial" w:hAnsi="Arial"/>
                <w:sz w:val="21"/>
                <w:szCs w:val="21"/>
                <w:color w:val="auto"/>
              </w:rPr>
              <w:t>87</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9.13</w:t>
            </w:r>
          </w:p>
        </w:tc>
        <w:tc>
          <w:tcPr>
            <w:tcW w:w="6900" w:type="dxa"/>
            <w:vAlign w:val="bottom"/>
          </w:tcPr>
          <w:p>
            <w:pPr>
              <w:ind w:left="440"/>
              <w:spacing w:after="0"/>
              <w:rPr>
                <w:sz w:val="20"/>
                <w:szCs w:val="20"/>
                <w:color w:val="auto"/>
              </w:rPr>
            </w:pPr>
            <w:r>
              <w:rPr>
                <w:rFonts w:ascii="Arial" w:cs="Arial" w:eastAsia="Arial" w:hAnsi="Arial"/>
                <w:sz w:val="21"/>
                <w:szCs w:val="21"/>
                <w:color w:val="auto"/>
              </w:rPr>
              <w:t>Environmental Matters</w:t>
            </w:r>
          </w:p>
        </w:tc>
        <w:tc>
          <w:tcPr>
            <w:tcW w:w="1900" w:type="dxa"/>
            <w:vAlign w:val="bottom"/>
          </w:tcPr>
          <w:p>
            <w:pPr>
              <w:jc w:val="right"/>
              <w:spacing w:after="0"/>
              <w:rPr>
                <w:sz w:val="20"/>
                <w:szCs w:val="20"/>
                <w:color w:val="auto"/>
              </w:rPr>
            </w:pPr>
            <w:r>
              <w:rPr>
                <w:rFonts w:ascii="Arial" w:cs="Arial" w:eastAsia="Arial" w:hAnsi="Arial"/>
                <w:sz w:val="21"/>
                <w:szCs w:val="21"/>
                <w:color w:val="auto"/>
              </w:rPr>
              <w:t>88</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9.14</w:t>
            </w:r>
          </w:p>
        </w:tc>
        <w:tc>
          <w:tcPr>
            <w:tcW w:w="6900" w:type="dxa"/>
            <w:vAlign w:val="bottom"/>
          </w:tcPr>
          <w:p>
            <w:pPr>
              <w:ind w:left="440"/>
              <w:spacing w:after="0"/>
              <w:rPr>
                <w:sz w:val="20"/>
                <w:szCs w:val="20"/>
                <w:color w:val="auto"/>
              </w:rPr>
            </w:pPr>
            <w:r>
              <w:rPr>
                <w:rFonts w:ascii="Arial" w:cs="Arial" w:eastAsia="Arial" w:hAnsi="Arial"/>
                <w:sz w:val="21"/>
                <w:szCs w:val="21"/>
                <w:color w:val="auto"/>
              </w:rPr>
              <w:t>Transactions With Affiliates</w:t>
            </w:r>
          </w:p>
        </w:tc>
        <w:tc>
          <w:tcPr>
            <w:tcW w:w="1900" w:type="dxa"/>
            <w:vAlign w:val="bottom"/>
          </w:tcPr>
          <w:p>
            <w:pPr>
              <w:jc w:val="right"/>
              <w:spacing w:after="0"/>
              <w:rPr>
                <w:sz w:val="20"/>
                <w:szCs w:val="20"/>
                <w:color w:val="auto"/>
              </w:rPr>
            </w:pPr>
            <w:r>
              <w:rPr>
                <w:rFonts w:ascii="Arial" w:cs="Arial" w:eastAsia="Arial" w:hAnsi="Arial"/>
                <w:sz w:val="21"/>
                <w:szCs w:val="21"/>
                <w:color w:val="auto"/>
              </w:rPr>
              <w:t>88</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9.15</w:t>
            </w:r>
          </w:p>
        </w:tc>
        <w:tc>
          <w:tcPr>
            <w:tcW w:w="6900" w:type="dxa"/>
            <w:vAlign w:val="bottom"/>
          </w:tcPr>
          <w:p>
            <w:pPr>
              <w:ind w:left="440"/>
              <w:spacing w:after="0"/>
              <w:rPr>
                <w:sz w:val="20"/>
                <w:szCs w:val="20"/>
                <w:color w:val="auto"/>
              </w:rPr>
            </w:pPr>
            <w:r>
              <w:rPr>
                <w:rFonts w:ascii="Arial" w:cs="Arial" w:eastAsia="Arial" w:hAnsi="Arial"/>
                <w:sz w:val="21"/>
                <w:szCs w:val="21"/>
                <w:color w:val="auto"/>
              </w:rPr>
              <w:t>Subsidiaries</w:t>
            </w:r>
          </w:p>
        </w:tc>
        <w:tc>
          <w:tcPr>
            <w:tcW w:w="1900" w:type="dxa"/>
            <w:vAlign w:val="bottom"/>
          </w:tcPr>
          <w:p>
            <w:pPr>
              <w:jc w:val="right"/>
              <w:spacing w:after="0"/>
              <w:rPr>
                <w:sz w:val="20"/>
                <w:szCs w:val="20"/>
                <w:color w:val="auto"/>
              </w:rPr>
            </w:pPr>
            <w:r>
              <w:rPr>
                <w:rFonts w:ascii="Arial" w:cs="Arial" w:eastAsia="Arial" w:hAnsi="Arial"/>
                <w:sz w:val="21"/>
                <w:szCs w:val="21"/>
                <w:color w:val="auto"/>
              </w:rPr>
              <w:t>88</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9.16</w:t>
            </w:r>
          </w:p>
        </w:tc>
        <w:tc>
          <w:tcPr>
            <w:tcW w:w="6900" w:type="dxa"/>
            <w:vAlign w:val="bottom"/>
          </w:tcPr>
          <w:p>
            <w:pPr>
              <w:ind w:left="440"/>
              <w:spacing w:after="0"/>
              <w:rPr>
                <w:sz w:val="20"/>
                <w:szCs w:val="20"/>
                <w:color w:val="auto"/>
              </w:rPr>
            </w:pPr>
            <w:r>
              <w:rPr>
                <w:rFonts w:ascii="Arial" w:cs="Arial" w:eastAsia="Arial" w:hAnsi="Arial"/>
                <w:sz w:val="21"/>
                <w:szCs w:val="21"/>
                <w:color w:val="auto"/>
              </w:rPr>
              <w:t>Negative Pledge Agreements; Dividend Restrictions</w:t>
            </w:r>
          </w:p>
        </w:tc>
        <w:tc>
          <w:tcPr>
            <w:tcW w:w="1900" w:type="dxa"/>
            <w:vAlign w:val="bottom"/>
          </w:tcPr>
          <w:p>
            <w:pPr>
              <w:jc w:val="right"/>
              <w:spacing w:after="0"/>
              <w:rPr>
                <w:sz w:val="20"/>
                <w:szCs w:val="20"/>
                <w:color w:val="auto"/>
              </w:rPr>
            </w:pPr>
            <w:r>
              <w:rPr>
                <w:rFonts w:ascii="Arial" w:cs="Arial" w:eastAsia="Arial" w:hAnsi="Arial"/>
                <w:sz w:val="21"/>
                <w:szCs w:val="21"/>
                <w:color w:val="auto"/>
              </w:rPr>
              <w:t>88</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9.17</w:t>
            </w:r>
          </w:p>
        </w:tc>
        <w:tc>
          <w:tcPr>
            <w:tcW w:w="6900" w:type="dxa"/>
            <w:vAlign w:val="bottom"/>
          </w:tcPr>
          <w:p>
            <w:pPr>
              <w:ind w:left="440"/>
              <w:spacing w:after="0"/>
              <w:rPr>
                <w:sz w:val="20"/>
                <w:szCs w:val="20"/>
                <w:color w:val="auto"/>
              </w:rPr>
            </w:pPr>
            <w:r>
              <w:rPr>
                <w:rFonts w:ascii="Arial" w:cs="Arial" w:eastAsia="Arial" w:hAnsi="Arial"/>
                <w:sz w:val="21"/>
                <w:szCs w:val="21"/>
                <w:color w:val="auto"/>
              </w:rPr>
              <w:t>Gas Imbalances, Take-or-Pay or Other Prepayments</w:t>
            </w:r>
          </w:p>
        </w:tc>
        <w:tc>
          <w:tcPr>
            <w:tcW w:w="1900" w:type="dxa"/>
            <w:vAlign w:val="bottom"/>
          </w:tcPr>
          <w:p>
            <w:pPr>
              <w:jc w:val="right"/>
              <w:spacing w:after="0"/>
              <w:rPr>
                <w:sz w:val="20"/>
                <w:szCs w:val="20"/>
                <w:color w:val="auto"/>
              </w:rPr>
            </w:pPr>
            <w:r>
              <w:rPr>
                <w:rFonts w:ascii="Arial" w:cs="Arial" w:eastAsia="Arial" w:hAnsi="Arial"/>
                <w:sz w:val="21"/>
                <w:szCs w:val="21"/>
                <w:color w:val="auto"/>
              </w:rPr>
              <w:t>89</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9.18</w:t>
            </w:r>
          </w:p>
        </w:tc>
        <w:tc>
          <w:tcPr>
            <w:tcW w:w="6900" w:type="dxa"/>
            <w:vAlign w:val="bottom"/>
          </w:tcPr>
          <w:p>
            <w:pPr>
              <w:ind w:left="440"/>
              <w:spacing w:after="0"/>
              <w:rPr>
                <w:sz w:val="20"/>
                <w:szCs w:val="20"/>
                <w:color w:val="auto"/>
              </w:rPr>
            </w:pPr>
            <w:r>
              <w:rPr>
                <w:rFonts w:ascii="Arial" w:cs="Arial" w:eastAsia="Arial" w:hAnsi="Arial"/>
                <w:sz w:val="21"/>
                <w:szCs w:val="21"/>
                <w:color w:val="auto"/>
              </w:rPr>
              <w:t>Swap Agreements</w:t>
            </w:r>
          </w:p>
        </w:tc>
        <w:tc>
          <w:tcPr>
            <w:tcW w:w="1900" w:type="dxa"/>
            <w:vAlign w:val="bottom"/>
          </w:tcPr>
          <w:p>
            <w:pPr>
              <w:jc w:val="right"/>
              <w:spacing w:after="0"/>
              <w:rPr>
                <w:sz w:val="20"/>
                <w:szCs w:val="20"/>
                <w:color w:val="auto"/>
              </w:rPr>
            </w:pPr>
            <w:r>
              <w:rPr>
                <w:rFonts w:ascii="Arial" w:cs="Arial" w:eastAsia="Arial" w:hAnsi="Arial"/>
                <w:sz w:val="21"/>
                <w:szCs w:val="21"/>
                <w:color w:val="auto"/>
              </w:rPr>
              <w:t>89</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9.19</w:t>
            </w:r>
          </w:p>
        </w:tc>
        <w:tc>
          <w:tcPr>
            <w:tcW w:w="6900" w:type="dxa"/>
            <w:vAlign w:val="bottom"/>
          </w:tcPr>
          <w:p>
            <w:pPr>
              <w:ind w:left="440"/>
              <w:spacing w:after="0"/>
              <w:rPr>
                <w:sz w:val="20"/>
                <w:szCs w:val="20"/>
                <w:color w:val="auto"/>
              </w:rPr>
            </w:pPr>
            <w:r>
              <w:rPr>
                <w:rFonts w:ascii="Arial" w:cs="Arial" w:eastAsia="Arial" w:hAnsi="Arial"/>
                <w:sz w:val="21"/>
                <w:szCs w:val="21"/>
                <w:color w:val="auto"/>
              </w:rPr>
              <w:t>Designation of Restricted and Unrestricted Subsidiaries</w:t>
            </w:r>
          </w:p>
        </w:tc>
        <w:tc>
          <w:tcPr>
            <w:tcW w:w="1900" w:type="dxa"/>
            <w:vAlign w:val="bottom"/>
          </w:tcPr>
          <w:p>
            <w:pPr>
              <w:jc w:val="right"/>
              <w:spacing w:after="0"/>
              <w:rPr>
                <w:sz w:val="20"/>
                <w:szCs w:val="20"/>
                <w:color w:val="auto"/>
              </w:rPr>
            </w:pPr>
            <w:r>
              <w:rPr>
                <w:rFonts w:ascii="Arial" w:cs="Arial" w:eastAsia="Arial" w:hAnsi="Arial"/>
                <w:sz w:val="21"/>
                <w:szCs w:val="21"/>
                <w:color w:val="auto"/>
              </w:rPr>
              <w:t>90</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9.20</w:t>
            </w:r>
          </w:p>
        </w:tc>
        <w:tc>
          <w:tcPr>
            <w:tcW w:w="6900" w:type="dxa"/>
            <w:vAlign w:val="bottom"/>
          </w:tcPr>
          <w:p>
            <w:pPr>
              <w:ind w:left="380"/>
              <w:spacing w:after="0"/>
              <w:rPr>
                <w:sz w:val="20"/>
                <w:szCs w:val="20"/>
                <w:color w:val="auto"/>
              </w:rPr>
            </w:pPr>
            <w:r>
              <w:rPr>
                <w:rFonts w:ascii="Arial" w:cs="Arial" w:eastAsia="Arial" w:hAnsi="Arial"/>
                <w:sz w:val="21"/>
                <w:szCs w:val="21"/>
                <w:color w:val="auto"/>
              </w:rPr>
              <w:t>Control Agreements</w:t>
            </w:r>
          </w:p>
        </w:tc>
        <w:tc>
          <w:tcPr>
            <w:tcW w:w="1900" w:type="dxa"/>
            <w:vAlign w:val="bottom"/>
          </w:tcPr>
          <w:p>
            <w:pPr>
              <w:jc w:val="right"/>
              <w:spacing w:after="0"/>
              <w:rPr>
                <w:sz w:val="20"/>
                <w:szCs w:val="20"/>
                <w:color w:val="auto"/>
              </w:rPr>
            </w:pPr>
            <w:r>
              <w:rPr>
                <w:rFonts w:ascii="Arial" w:cs="Arial" w:eastAsia="Arial" w:hAnsi="Arial"/>
                <w:sz w:val="21"/>
                <w:szCs w:val="21"/>
                <w:color w:val="auto"/>
              </w:rPr>
              <w:t>91</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9200" w:type="dxa"/>
            <w:vAlign w:val="bottom"/>
            <w:gridSpan w:val="2"/>
          </w:tcPr>
          <w:p>
            <w:pPr>
              <w:spacing w:after="0"/>
              <w:rPr>
                <w:sz w:val="20"/>
                <w:szCs w:val="20"/>
                <w:color w:val="auto"/>
              </w:rPr>
            </w:pPr>
            <w:r>
              <w:rPr>
                <w:rFonts w:ascii="Arial" w:cs="Arial" w:eastAsia="Arial" w:hAnsi="Arial"/>
                <w:sz w:val="21"/>
                <w:szCs w:val="21"/>
                <w:color w:val="auto"/>
              </w:rPr>
              <w:t>ARTICLE X Events of Default; Remedies</w:t>
            </w:r>
          </w:p>
        </w:tc>
        <w:tc>
          <w:tcPr>
            <w:tcW w:w="1900" w:type="dxa"/>
            <w:vAlign w:val="bottom"/>
          </w:tcPr>
          <w:p>
            <w:pPr>
              <w:jc w:val="right"/>
              <w:spacing w:after="0"/>
              <w:rPr>
                <w:sz w:val="20"/>
                <w:szCs w:val="20"/>
                <w:color w:val="auto"/>
              </w:rPr>
            </w:pPr>
            <w:r>
              <w:rPr>
                <w:rFonts w:ascii="Arial" w:cs="Arial" w:eastAsia="Arial" w:hAnsi="Arial"/>
                <w:sz w:val="21"/>
                <w:szCs w:val="21"/>
                <w:color w:val="auto"/>
              </w:rPr>
              <w:t>91</w:t>
            </w:r>
          </w:p>
        </w:tc>
        <w:tc>
          <w:tcPr>
            <w:tcW w:w="0" w:type="dxa"/>
            <w:vAlign w:val="bottom"/>
          </w:tcPr>
          <w:p>
            <w:pPr>
              <w:spacing w:after="0"/>
              <w:rPr>
                <w:sz w:val="1"/>
                <w:szCs w:val="1"/>
                <w:color w:val="auto"/>
              </w:rPr>
            </w:pPr>
          </w:p>
        </w:tc>
      </w:tr>
      <w:tr>
        <w:trPr>
          <w:trHeight w:val="482"/>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10.01</w:t>
            </w:r>
          </w:p>
        </w:tc>
        <w:tc>
          <w:tcPr>
            <w:tcW w:w="6900" w:type="dxa"/>
            <w:vAlign w:val="bottom"/>
          </w:tcPr>
          <w:p>
            <w:pPr>
              <w:ind w:left="380"/>
              <w:spacing w:after="0"/>
              <w:rPr>
                <w:sz w:val="20"/>
                <w:szCs w:val="20"/>
                <w:color w:val="auto"/>
              </w:rPr>
            </w:pPr>
            <w:r>
              <w:rPr>
                <w:rFonts w:ascii="Arial" w:cs="Arial" w:eastAsia="Arial" w:hAnsi="Arial"/>
                <w:sz w:val="21"/>
                <w:szCs w:val="21"/>
                <w:color w:val="auto"/>
              </w:rPr>
              <w:t>Events of Default</w:t>
            </w:r>
          </w:p>
        </w:tc>
        <w:tc>
          <w:tcPr>
            <w:tcW w:w="1900" w:type="dxa"/>
            <w:vAlign w:val="bottom"/>
          </w:tcPr>
          <w:p>
            <w:pPr>
              <w:jc w:val="right"/>
              <w:spacing w:after="0"/>
              <w:rPr>
                <w:sz w:val="20"/>
                <w:szCs w:val="20"/>
                <w:color w:val="auto"/>
              </w:rPr>
            </w:pPr>
            <w:r>
              <w:rPr>
                <w:rFonts w:ascii="Arial" w:cs="Arial" w:eastAsia="Arial" w:hAnsi="Arial"/>
                <w:sz w:val="21"/>
                <w:szCs w:val="21"/>
                <w:color w:val="auto"/>
              </w:rPr>
              <w:t>91</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2300" w:type="dxa"/>
            <w:vAlign w:val="bottom"/>
            <w:vMerge w:val="restart"/>
          </w:tcPr>
          <w:p>
            <w:pPr>
              <w:ind w:left="720"/>
              <w:spacing w:after="0"/>
              <w:rPr>
                <w:sz w:val="20"/>
                <w:szCs w:val="20"/>
                <w:color w:val="auto"/>
              </w:rPr>
            </w:pPr>
            <w:r>
              <w:rPr>
                <w:rFonts w:ascii="Arial" w:cs="Arial" w:eastAsia="Arial" w:hAnsi="Arial"/>
                <w:sz w:val="21"/>
                <w:szCs w:val="21"/>
                <w:color w:val="auto"/>
              </w:rPr>
              <w:t>Section 10.02</w:t>
            </w:r>
          </w:p>
        </w:tc>
        <w:tc>
          <w:tcPr>
            <w:tcW w:w="6900" w:type="dxa"/>
            <w:vAlign w:val="bottom"/>
          </w:tcPr>
          <w:p>
            <w:pPr>
              <w:ind w:left="380"/>
              <w:spacing w:after="0"/>
              <w:rPr>
                <w:sz w:val="20"/>
                <w:szCs w:val="20"/>
                <w:color w:val="auto"/>
              </w:rPr>
            </w:pPr>
            <w:r>
              <w:rPr>
                <w:rFonts w:ascii="Arial" w:cs="Arial" w:eastAsia="Arial" w:hAnsi="Arial"/>
                <w:sz w:val="21"/>
                <w:szCs w:val="21"/>
                <w:color w:val="auto"/>
              </w:rPr>
              <w:t>Remedies</w:t>
            </w:r>
          </w:p>
        </w:tc>
        <w:tc>
          <w:tcPr>
            <w:tcW w:w="1900" w:type="dxa"/>
            <w:vAlign w:val="bottom"/>
          </w:tcPr>
          <w:p>
            <w:pPr>
              <w:jc w:val="right"/>
              <w:spacing w:after="0"/>
              <w:rPr>
                <w:sz w:val="20"/>
                <w:szCs w:val="20"/>
                <w:color w:val="auto"/>
              </w:rPr>
            </w:pPr>
            <w:r>
              <w:rPr>
                <w:rFonts w:ascii="Arial" w:cs="Arial" w:eastAsia="Arial" w:hAnsi="Arial"/>
                <w:sz w:val="21"/>
                <w:szCs w:val="21"/>
                <w:color w:val="auto"/>
              </w:rPr>
              <w:t>93</w:t>
            </w: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6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5"/>
        </w:trPr>
        <w:tc>
          <w:tcPr>
            <w:tcW w:w="9200" w:type="dxa"/>
            <w:vAlign w:val="bottom"/>
            <w:gridSpan w:val="2"/>
          </w:tcPr>
          <w:p>
            <w:pPr>
              <w:spacing w:after="0"/>
              <w:rPr>
                <w:sz w:val="20"/>
                <w:szCs w:val="20"/>
                <w:color w:val="auto"/>
              </w:rPr>
            </w:pPr>
            <w:r>
              <w:rPr>
                <w:rFonts w:ascii="Arial" w:cs="Arial" w:eastAsia="Arial" w:hAnsi="Arial"/>
                <w:sz w:val="21"/>
                <w:szCs w:val="21"/>
                <w:color w:val="auto"/>
              </w:rPr>
              <w:t>ARTICLE XI The Administrative Agent</w:t>
            </w:r>
          </w:p>
        </w:tc>
        <w:tc>
          <w:tcPr>
            <w:tcW w:w="1900" w:type="dxa"/>
            <w:vAlign w:val="bottom"/>
          </w:tcPr>
          <w:p>
            <w:pPr>
              <w:jc w:val="right"/>
              <w:spacing w:after="0"/>
              <w:rPr>
                <w:sz w:val="20"/>
                <w:szCs w:val="20"/>
                <w:color w:val="auto"/>
              </w:rPr>
            </w:pPr>
            <w:r>
              <w:rPr>
                <w:rFonts w:ascii="Arial" w:cs="Arial" w:eastAsia="Arial" w:hAnsi="Arial"/>
                <w:sz w:val="21"/>
                <w:szCs w:val="21"/>
                <w:color w:val="auto"/>
              </w:rPr>
              <w:t>94</w:t>
            </w:r>
          </w:p>
        </w:tc>
        <w:tc>
          <w:tcPr>
            <w:tcW w:w="0" w:type="dxa"/>
            <w:vAlign w:val="bottom"/>
          </w:tcPr>
          <w:p>
            <w:pPr>
              <w:spacing w:after="0"/>
              <w:rPr>
                <w:sz w:val="1"/>
                <w:szCs w:val="1"/>
                <w:color w:val="auto"/>
              </w:rPr>
            </w:pPr>
          </w:p>
        </w:tc>
      </w:tr>
    </w:tbl>
    <w:p>
      <w:pPr>
        <w:sectPr>
          <w:pgSz w:w="11900" w:h="16860" w:orient="portrait"/>
          <w:cols w:equalWidth="0" w:num="1">
            <w:col w:w="11100"/>
          </w:cols>
          <w:pgMar w:left="400" w:top="1440" w:right="399" w:bottom="0" w:gutter="0" w:footer="0" w:header="0"/>
        </w:sectPr>
      </w:pPr>
    </w:p>
    <w:bookmarkStart w:id="128" w:name="page129"/>
    <w:bookmarkEnd w:id="128"/>
    <w:p>
      <w:pPr>
        <w:spacing w:after="0" w:line="107" w:lineRule="exact"/>
        <w:rPr>
          <w:sz w:val="20"/>
          <w:szCs w:val="20"/>
          <w:color w:val="auto"/>
        </w:rPr>
      </w:pPr>
    </w:p>
    <w:p>
      <w:pPr>
        <w:jc w:val="center"/>
        <w:ind w:left="680"/>
        <w:spacing w:after="0"/>
        <w:rPr>
          <w:sz w:val="20"/>
          <w:szCs w:val="20"/>
          <w:color w:val="auto"/>
        </w:rPr>
      </w:pPr>
      <w:r>
        <w:rPr>
          <w:rFonts w:ascii="Arial" w:cs="Arial" w:eastAsia="Arial" w:hAnsi="Arial"/>
          <w:sz w:val="21"/>
          <w:szCs w:val="21"/>
          <w:color w:val="auto"/>
        </w:rPr>
        <w:t>Section 11.01</w:t>
      </w:r>
    </w:p>
    <w:p>
      <w:pPr>
        <w:spacing w:after="0" w:line="241" w:lineRule="exact"/>
        <w:rPr>
          <w:sz w:val="20"/>
          <w:szCs w:val="20"/>
          <w:color w:val="auto"/>
        </w:rPr>
      </w:pPr>
    </w:p>
    <w:p>
      <w:pPr>
        <w:jc w:val="center"/>
        <w:ind w:left="680"/>
        <w:spacing w:after="0"/>
        <w:rPr>
          <w:sz w:val="20"/>
          <w:szCs w:val="20"/>
          <w:color w:val="auto"/>
        </w:rPr>
      </w:pPr>
      <w:r>
        <w:rPr>
          <w:rFonts w:ascii="Arial" w:cs="Arial" w:eastAsia="Arial" w:hAnsi="Arial"/>
          <w:sz w:val="21"/>
          <w:szCs w:val="21"/>
          <w:color w:val="auto"/>
        </w:rPr>
        <w:t>Section 11.02</w:t>
      </w:r>
    </w:p>
    <w:p>
      <w:pPr>
        <w:spacing w:after="0" w:line="241" w:lineRule="exact"/>
        <w:rPr>
          <w:sz w:val="20"/>
          <w:szCs w:val="20"/>
          <w:color w:val="auto"/>
        </w:rPr>
      </w:pPr>
    </w:p>
    <w:p>
      <w:pPr>
        <w:jc w:val="center"/>
        <w:ind w:left="680"/>
        <w:spacing w:after="0"/>
        <w:rPr>
          <w:sz w:val="20"/>
          <w:szCs w:val="20"/>
          <w:color w:val="auto"/>
        </w:rPr>
      </w:pPr>
      <w:r>
        <w:rPr>
          <w:rFonts w:ascii="Arial" w:cs="Arial" w:eastAsia="Arial" w:hAnsi="Arial"/>
          <w:sz w:val="21"/>
          <w:szCs w:val="21"/>
          <w:color w:val="auto"/>
        </w:rPr>
        <w:t>Section 11.03</w:t>
      </w:r>
    </w:p>
    <w:p>
      <w:pPr>
        <w:spacing w:after="0" w:line="241" w:lineRule="exact"/>
        <w:rPr>
          <w:sz w:val="20"/>
          <w:szCs w:val="20"/>
          <w:color w:val="auto"/>
        </w:rPr>
      </w:pPr>
    </w:p>
    <w:p>
      <w:pPr>
        <w:jc w:val="center"/>
        <w:ind w:left="680"/>
        <w:spacing w:after="0"/>
        <w:rPr>
          <w:sz w:val="20"/>
          <w:szCs w:val="20"/>
          <w:color w:val="auto"/>
        </w:rPr>
      </w:pPr>
      <w:r>
        <w:rPr>
          <w:rFonts w:ascii="Arial" w:cs="Arial" w:eastAsia="Arial" w:hAnsi="Arial"/>
          <w:sz w:val="21"/>
          <w:szCs w:val="21"/>
          <w:color w:val="auto"/>
        </w:rPr>
        <w:t>Section 11.04</w:t>
      </w:r>
    </w:p>
    <w:p>
      <w:pPr>
        <w:spacing w:after="0" w:line="241" w:lineRule="exact"/>
        <w:rPr>
          <w:sz w:val="20"/>
          <w:szCs w:val="20"/>
          <w:color w:val="auto"/>
        </w:rPr>
      </w:pPr>
    </w:p>
    <w:p>
      <w:pPr>
        <w:jc w:val="center"/>
        <w:ind w:left="680"/>
        <w:spacing w:after="0"/>
        <w:rPr>
          <w:sz w:val="20"/>
          <w:szCs w:val="20"/>
          <w:color w:val="auto"/>
        </w:rPr>
      </w:pPr>
      <w:r>
        <w:rPr>
          <w:rFonts w:ascii="Arial" w:cs="Arial" w:eastAsia="Arial" w:hAnsi="Arial"/>
          <w:sz w:val="21"/>
          <w:szCs w:val="21"/>
          <w:color w:val="auto"/>
        </w:rPr>
        <w:t>Section 11.05</w:t>
      </w:r>
    </w:p>
    <w:p>
      <w:pPr>
        <w:spacing w:after="0" w:line="241" w:lineRule="exact"/>
        <w:rPr>
          <w:sz w:val="20"/>
          <w:szCs w:val="20"/>
          <w:color w:val="auto"/>
        </w:rPr>
      </w:pPr>
    </w:p>
    <w:p>
      <w:pPr>
        <w:jc w:val="center"/>
        <w:ind w:left="680"/>
        <w:spacing w:after="0"/>
        <w:rPr>
          <w:sz w:val="20"/>
          <w:szCs w:val="20"/>
          <w:color w:val="auto"/>
        </w:rPr>
      </w:pPr>
      <w:r>
        <w:rPr>
          <w:rFonts w:ascii="Arial" w:cs="Arial" w:eastAsia="Arial" w:hAnsi="Arial"/>
          <w:sz w:val="21"/>
          <w:szCs w:val="21"/>
          <w:color w:val="auto"/>
        </w:rPr>
        <w:t>Section 11.06</w:t>
      </w:r>
    </w:p>
    <w:p>
      <w:pPr>
        <w:spacing w:after="0" w:line="241" w:lineRule="exact"/>
        <w:rPr>
          <w:sz w:val="20"/>
          <w:szCs w:val="20"/>
          <w:color w:val="auto"/>
        </w:rPr>
      </w:pPr>
    </w:p>
    <w:p>
      <w:pPr>
        <w:jc w:val="center"/>
        <w:ind w:left="680"/>
        <w:spacing w:after="0"/>
        <w:rPr>
          <w:sz w:val="20"/>
          <w:szCs w:val="20"/>
          <w:color w:val="auto"/>
        </w:rPr>
      </w:pPr>
      <w:r>
        <w:rPr>
          <w:rFonts w:ascii="Arial" w:cs="Arial" w:eastAsia="Arial" w:hAnsi="Arial"/>
          <w:sz w:val="21"/>
          <w:szCs w:val="21"/>
          <w:color w:val="auto"/>
        </w:rPr>
        <w:t>Section 11.07</w:t>
      </w:r>
    </w:p>
    <w:p>
      <w:pPr>
        <w:spacing w:after="0" w:line="241" w:lineRule="exact"/>
        <w:rPr>
          <w:sz w:val="20"/>
          <w:szCs w:val="20"/>
          <w:color w:val="auto"/>
        </w:rPr>
      </w:pPr>
    </w:p>
    <w:p>
      <w:pPr>
        <w:jc w:val="center"/>
        <w:ind w:left="680"/>
        <w:spacing w:after="0"/>
        <w:rPr>
          <w:sz w:val="20"/>
          <w:szCs w:val="20"/>
          <w:color w:val="auto"/>
        </w:rPr>
      </w:pPr>
      <w:r>
        <w:rPr>
          <w:rFonts w:ascii="Arial" w:cs="Arial" w:eastAsia="Arial" w:hAnsi="Arial"/>
          <w:sz w:val="21"/>
          <w:szCs w:val="21"/>
          <w:color w:val="auto"/>
        </w:rPr>
        <w:t>Section 11.08</w:t>
      </w:r>
    </w:p>
    <w:p>
      <w:pPr>
        <w:spacing w:after="0" w:line="241" w:lineRule="exact"/>
        <w:rPr>
          <w:sz w:val="20"/>
          <w:szCs w:val="20"/>
          <w:color w:val="auto"/>
        </w:rPr>
      </w:pPr>
    </w:p>
    <w:p>
      <w:pPr>
        <w:jc w:val="center"/>
        <w:ind w:left="680"/>
        <w:spacing w:after="0"/>
        <w:rPr>
          <w:sz w:val="20"/>
          <w:szCs w:val="20"/>
          <w:color w:val="auto"/>
        </w:rPr>
      </w:pPr>
      <w:r>
        <w:rPr>
          <w:rFonts w:ascii="Arial" w:cs="Arial" w:eastAsia="Arial" w:hAnsi="Arial"/>
          <w:sz w:val="21"/>
          <w:szCs w:val="21"/>
          <w:color w:val="auto"/>
        </w:rPr>
        <w:t>Section 11.09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US 9364157v.4 WEL554/78009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140" w:type="dxa"/>
            <w:vAlign w:val="bottom"/>
          </w:tcPr>
          <w:p>
            <w:pPr>
              <w:spacing w:after="0"/>
              <w:rPr>
                <w:sz w:val="20"/>
                <w:szCs w:val="20"/>
                <w:color w:val="auto"/>
              </w:rPr>
            </w:pPr>
            <w:r>
              <w:rPr>
                <w:rFonts w:ascii="Arial" w:cs="Arial" w:eastAsia="Arial" w:hAnsi="Arial"/>
                <w:sz w:val="21"/>
                <w:szCs w:val="21"/>
                <w:color w:val="auto"/>
              </w:rPr>
              <w:t>Appointment; Powers</w:t>
            </w:r>
          </w:p>
        </w:tc>
        <w:tc>
          <w:tcPr>
            <w:tcW w:w="2220" w:type="dxa"/>
            <w:vAlign w:val="bottom"/>
          </w:tcPr>
          <w:p>
            <w:pPr>
              <w:jc w:val="right"/>
              <w:spacing w:after="0"/>
              <w:rPr>
                <w:sz w:val="20"/>
                <w:szCs w:val="20"/>
                <w:color w:val="auto"/>
              </w:rPr>
            </w:pPr>
            <w:r>
              <w:rPr>
                <w:rFonts w:ascii="Arial" w:cs="Arial" w:eastAsia="Arial" w:hAnsi="Arial"/>
                <w:sz w:val="21"/>
                <w:szCs w:val="21"/>
                <w:color w:val="auto"/>
              </w:rPr>
              <w:t>94</w:t>
            </w:r>
          </w:p>
        </w:tc>
      </w:tr>
      <w:tr>
        <w:trPr>
          <w:trHeight w:val="482"/>
        </w:trPr>
        <w:tc>
          <w:tcPr>
            <w:tcW w:w="6140" w:type="dxa"/>
            <w:vAlign w:val="bottom"/>
          </w:tcPr>
          <w:p>
            <w:pPr>
              <w:spacing w:after="0"/>
              <w:rPr>
                <w:sz w:val="20"/>
                <w:szCs w:val="20"/>
                <w:color w:val="auto"/>
              </w:rPr>
            </w:pPr>
            <w:r>
              <w:rPr>
                <w:rFonts w:ascii="Arial" w:cs="Arial" w:eastAsia="Arial" w:hAnsi="Arial"/>
                <w:sz w:val="21"/>
                <w:szCs w:val="21"/>
                <w:color w:val="auto"/>
              </w:rPr>
              <w:t>Duties and Obligations of Administrative Agent</w:t>
            </w:r>
          </w:p>
        </w:tc>
        <w:tc>
          <w:tcPr>
            <w:tcW w:w="2220" w:type="dxa"/>
            <w:vAlign w:val="bottom"/>
          </w:tcPr>
          <w:p>
            <w:pPr>
              <w:jc w:val="right"/>
              <w:spacing w:after="0"/>
              <w:rPr>
                <w:sz w:val="20"/>
                <w:szCs w:val="20"/>
                <w:color w:val="auto"/>
              </w:rPr>
            </w:pPr>
            <w:r>
              <w:rPr>
                <w:rFonts w:ascii="Arial" w:cs="Arial" w:eastAsia="Arial" w:hAnsi="Arial"/>
                <w:sz w:val="21"/>
                <w:szCs w:val="21"/>
                <w:color w:val="auto"/>
              </w:rPr>
              <w:t>94</w:t>
            </w:r>
          </w:p>
        </w:tc>
      </w:tr>
      <w:tr>
        <w:trPr>
          <w:trHeight w:val="482"/>
        </w:trPr>
        <w:tc>
          <w:tcPr>
            <w:tcW w:w="6140" w:type="dxa"/>
            <w:vAlign w:val="bottom"/>
          </w:tcPr>
          <w:p>
            <w:pPr>
              <w:spacing w:after="0"/>
              <w:rPr>
                <w:sz w:val="20"/>
                <w:szCs w:val="20"/>
                <w:color w:val="auto"/>
              </w:rPr>
            </w:pPr>
            <w:r>
              <w:rPr>
                <w:rFonts w:ascii="Arial" w:cs="Arial" w:eastAsia="Arial" w:hAnsi="Arial"/>
                <w:sz w:val="21"/>
                <w:szCs w:val="21"/>
                <w:color w:val="auto"/>
              </w:rPr>
              <w:t>Action by Administrative Agent</w:t>
            </w:r>
          </w:p>
        </w:tc>
        <w:tc>
          <w:tcPr>
            <w:tcW w:w="2220" w:type="dxa"/>
            <w:vAlign w:val="bottom"/>
          </w:tcPr>
          <w:p>
            <w:pPr>
              <w:jc w:val="right"/>
              <w:spacing w:after="0"/>
              <w:rPr>
                <w:sz w:val="20"/>
                <w:szCs w:val="20"/>
                <w:color w:val="auto"/>
              </w:rPr>
            </w:pPr>
            <w:r>
              <w:rPr>
                <w:rFonts w:ascii="Arial" w:cs="Arial" w:eastAsia="Arial" w:hAnsi="Arial"/>
                <w:sz w:val="21"/>
                <w:szCs w:val="21"/>
                <w:color w:val="auto"/>
              </w:rPr>
              <w:t>95</w:t>
            </w:r>
          </w:p>
        </w:tc>
      </w:tr>
      <w:tr>
        <w:trPr>
          <w:trHeight w:val="482"/>
        </w:trPr>
        <w:tc>
          <w:tcPr>
            <w:tcW w:w="6140" w:type="dxa"/>
            <w:vAlign w:val="bottom"/>
          </w:tcPr>
          <w:p>
            <w:pPr>
              <w:spacing w:after="0"/>
              <w:rPr>
                <w:sz w:val="20"/>
                <w:szCs w:val="20"/>
                <w:color w:val="auto"/>
              </w:rPr>
            </w:pPr>
            <w:r>
              <w:rPr>
                <w:rFonts w:ascii="Arial" w:cs="Arial" w:eastAsia="Arial" w:hAnsi="Arial"/>
                <w:sz w:val="21"/>
                <w:szCs w:val="21"/>
                <w:color w:val="auto"/>
              </w:rPr>
              <w:t>Reliance by Administrative Agent</w:t>
            </w:r>
          </w:p>
        </w:tc>
        <w:tc>
          <w:tcPr>
            <w:tcW w:w="2220" w:type="dxa"/>
            <w:vAlign w:val="bottom"/>
          </w:tcPr>
          <w:p>
            <w:pPr>
              <w:jc w:val="right"/>
              <w:spacing w:after="0"/>
              <w:rPr>
                <w:sz w:val="20"/>
                <w:szCs w:val="20"/>
                <w:color w:val="auto"/>
              </w:rPr>
            </w:pPr>
            <w:r>
              <w:rPr>
                <w:rFonts w:ascii="Arial" w:cs="Arial" w:eastAsia="Arial" w:hAnsi="Arial"/>
                <w:sz w:val="21"/>
                <w:szCs w:val="21"/>
                <w:color w:val="auto"/>
              </w:rPr>
              <w:t>95</w:t>
            </w:r>
          </w:p>
        </w:tc>
      </w:tr>
      <w:tr>
        <w:trPr>
          <w:trHeight w:val="482"/>
        </w:trPr>
        <w:tc>
          <w:tcPr>
            <w:tcW w:w="6140" w:type="dxa"/>
            <w:vAlign w:val="bottom"/>
          </w:tcPr>
          <w:p>
            <w:pPr>
              <w:spacing w:after="0"/>
              <w:rPr>
                <w:sz w:val="20"/>
                <w:szCs w:val="20"/>
                <w:color w:val="auto"/>
              </w:rPr>
            </w:pPr>
            <w:r>
              <w:rPr>
                <w:rFonts w:ascii="Arial" w:cs="Arial" w:eastAsia="Arial" w:hAnsi="Arial"/>
                <w:sz w:val="21"/>
                <w:szCs w:val="21"/>
                <w:color w:val="auto"/>
              </w:rPr>
              <w:t>Subagents</w:t>
            </w:r>
          </w:p>
        </w:tc>
        <w:tc>
          <w:tcPr>
            <w:tcW w:w="2220" w:type="dxa"/>
            <w:vAlign w:val="bottom"/>
          </w:tcPr>
          <w:p>
            <w:pPr>
              <w:jc w:val="right"/>
              <w:spacing w:after="0"/>
              <w:rPr>
                <w:sz w:val="20"/>
                <w:szCs w:val="20"/>
                <w:color w:val="auto"/>
              </w:rPr>
            </w:pPr>
            <w:r>
              <w:rPr>
                <w:rFonts w:ascii="Arial" w:cs="Arial" w:eastAsia="Arial" w:hAnsi="Arial"/>
                <w:sz w:val="21"/>
                <w:szCs w:val="21"/>
                <w:color w:val="auto"/>
              </w:rPr>
              <w:t>96</w:t>
            </w:r>
          </w:p>
        </w:tc>
      </w:tr>
      <w:tr>
        <w:trPr>
          <w:trHeight w:val="482"/>
        </w:trPr>
        <w:tc>
          <w:tcPr>
            <w:tcW w:w="6140" w:type="dxa"/>
            <w:vAlign w:val="bottom"/>
          </w:tcPr>
          <w:p>
            <w:pPr>
              <w:spacing w:after="0"/>
              <w:rPr>
                <w:sz w:val="20"/>
                <w:szCs w:val="20"/>
                <w:color w:val="auto"/>
              </w:rPr>
            </w:pPr>
            <w:r>
              <w:rPr>
                <w:rFonts w:ascii="Arial" w:cs="Arial" w:eastAsia="Arial" w:hAnsi="Arial"/>
                <w:sz w:val="21"/>
                <w:szCs w:val="21"/>
                <w:color w:val="auto"/>
              </w:rPr>
              <w:t>Resignation of the Administrative Agent</w:t>
            </w:r>
          </w:p>
        </w:tc>
        <w:tc>
          <w:tcPr>
            <w:tcW w:w="2220" w:type="dxa"/>
            <w:vAlign w:val="bottom"/>
          </w:tcPr>
          <w:p>
            <w:pPr>
              <w:jc w:val="right"/>
              <w:spacing w:after="0"/>
              <w:rPr>
                <w:sz w:val="20"/>
                <w:szCs w:val="20"/>
                <w:color w:val="auto"/>
              </w:rPr>
            </w:pPr>
            <w:r>
              <w:rPr>
                <w:rFonts w:ascii="Arial" w:cs="Arial" w:eastAsia="Arial" w:hAnsi="Arial"/>
                <w:sz w:val="21"/>
                <w:szCs w:val="21"/>
                <w:color w:val="auto"/>
              </w:rPr>
              <w:t>96</w:t>
            </w:r>
          </w:p>
        </w:tc>
      </w:tr>
      <w:tr>
        <w:trPr>
          <w:trHeight w:val="482"/>
        </w:trPr>
        <w:tc>
          <w:tcPr>
            <w:tcW w:w="6140" w:type="dxa"/>
            <w:vAlign w:val="bottom"/>
          </w:tcPr>
          <w:p>
            <w:pPr>
              <w:spacing w:after="0"/>
              <w:rPr>
                <w:sz w:val="20"/>
                <w:szCs w:val="20"/>
                <w:color w:val="auto"/>
              </w:rPr>
            </w:pPr>
            <w:r>
              <w:rPr>
                <w:rFonts w:ascii="Arial" w:cs="Arial" w:eastAsia="Arial" w:hAnsi="Arial"/>
                <w:sz w:val="21"/>
                <w:szCs w:val="21"/>
                <w:color w:val="auto"/>
              </w:rPr>
              <w:t>Agents as Lenders</w:t>
            </w:r>
          </w:p>
        </w:tc>
        <w:tc>
          <w:tcPr>
            <w:tcW w:w="2220" w:type="dxa"/>
            <w:vAlign w:val="bottom"/>
          </w:tcPr>
          <w:p>
            <w:pPr>
              <w:jc w:val="right"/>
              <w:spacing w:after="0"/>
              <w:rPr>
                <w:sz w:val="20"/>
                <w:szCs w:val="20"/>
                <w:color w:val="auto"/>
              </w:rPr>
            </w:pPr>
            <w:r>
              <w:rPr>
                <w:rFonts w:ascii="Arial" w:cs="Arial" w:eastAsia="Arial" w:hAnsi="Arial"/>
                <w:sz w:val="21"/>
                <w:szCs w:val="21"/>
                <w:color w:val="auto"/>
              </w:rPr>
              <w:t>96</w:t>
            </w:r>
          </w:p>
        </w:tc>
      </w:tr>
      <w:tr>
        <w:trPr>
          <w:trHeight w:val="482"/>
        </w:trPr>
        <w:tc>
          <w:tcPr>
            <w:tcW w:w="6140" w:type="dxa"/>
            <w:vAlign w:val="bottom"/>
          </w:tcPr>
          <w:p>
            <w:pPr>
              <w:spacing w:after="0"/>
              <w:rPr>
                <w:sz w:val="20"/>
                <w:szCs w:val="20"/>
                <w:color w:val="auto"/>
              </w:rPr>
            </w:pPr>
            <w:r>
              <w:rPr>
                <w:rFonts w:ascii="Arial" w:cs="Arial" w:eastAsia="Arial" w:hAnsi="Arial"/>
                <w:sz w:val="21"/>
                <w:szCs w:val="21"/>
                <w:color w:val="auto"/>
              </w:rPr>
              <w:t>No Reliance</w:t>
            </w:r>
          </w:p>
        </w:tc>
        <w:tc>
          <w:tcPr>
            <w:tcW w:w="2220" w:type="dxa"/>
            <w:vAlign w:val="bottom"/>
          </w:tcPr>
          <w:p>
            <w:pPr>
              <w:jc w:val="right"/>
              <w:spacing w:after="0"/>
              <w:rPr>
                <w:sz w:val="20"/>
                <w:szCs w:val="20"/>
                <w:color w:val="auto"/>
              </w:rPr>
            </w:pPr>
            <w:r>
              <w:rPr>
                <w:rFonts w:ascii="Arial" w:cs="Arial" w:eastAsia="Arial" w:hAnsi="Arial"/>
                <w:sz w:val="21"/>
                <w:szCs w:val="21"/>
                <w:color w:val="auto"/>
              </w:rPr>
              <w:t>96</w:t>
            </w:r>
          </w:p>
        </w:tc>
      </w:tr>
      <w:tr>
        <w:trPr>
          <w:trHeight w:val="482"/>
        </w:trPr>
        <w:tc>
          <w:tcPr>
            <w:tcW w:w="6140" w:type="dxa"/>
            <w:vAlign w:val="bottom"/>
          </w:tcPr>
          <w:p>
            <w:pPr>
              <w:spacing w:after="0"/>
              <w:rPr>
                <w:sz w:val="20"/>
                <w:szCs w:val="20"/>
                <w:color w:val="auto"/>
              </w:rPr>
            </w:pPr>
            <w:r>
              <w:rPr>
                <w:rFonts w:ascii="Arial" w:cs="Arial" w:eastAsia="Arial" w:hAnsi="Arial"/>
                <w:sz w:val="21"/>
                <w:szCs w:val="21"/>
                <w:color w:val="auto"/>
              </w:rPr>
              <w:t>Administrative Agent May File Proofs of Claim</w:t>
            </w:r>
          </w:p>
        </w:tc>
        <w:tc>
          <w:tcPr>
            <w:tcW w:w="2220" w:type="dxa"/>
            <w:vAlign w:val="bottom"/>
          </w:tcPr>
          <w:p>
            <w:pPr>
              <w:jc w:val="right"/>
              <w:spacing w:after="0"/>
              <w:rPr>
                <w:sz w:val="20"/>
                <w:szCs w:val="20"/>
                <w:color w:val="auto"/>
              </w:rPr>
            </w:pPr>
            <w:r>
              <w:rPr>
                <w:rFonts w:ascii="Arial" w:cs="Arial" w:eastAsia="Arial" w:hAnsi="Arial"/>
                <w:sz w:val="21"/>
                <w:szCs w:val="21"/>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iii</w:t>
      </w:r>
    </w:p>
    <w:p>
      <w:pPr>
        <w:sectPr>
          <w:pgSz w:w="11900" w:h="16838" w:orient="portrait"/>
          <w:cols w:equalWidth="0" w:num="2">
            <w:col w:w="2100" w:space="720"/>
            <w:col w:w="8360"/>
          </w:cols>
          <w:pgMar w:left="320" w:top="292" w:right="399" w:bottom="1440" w:gutter="0" w:footer="0" w:header="0"/>
        </w:sectPr>
      </w:pPr>
    </w:p>
    <w:bookmarkStart w:id="129" w:name="page130"/>
    <w:bookmarkEnd w:id="129"/>
    <w:p>
      <w:pPr>
        <w:spacing w:after="0" w:line="111" w:lineRule="exact"/>
        <w:rPr>
          <w:sz w:val="20"/>
          <w:szCs w:val="20"/>
          <w:color w:val="auto"/>
        </w:rPr>
      </w:pPr>
    </w:p>
    <w:p>
      <w:pPr>
        <w:jc w:val="center"/>
        <w:ind w:left="160"/>
        <w:spacing w:after="0"/>
        <w:rPr>
          <w:sz w:val="20"/>
          <w:szCs w:val="20"/>
          <w:color w:val="auto"/>
        </w:rPr>
      </w:pPr>
      <w:r>
        <w:rPr>
          <w:rFonts w:ascii="Arial" w:cs="Arial" w:eastAsia="Arial" w:hAnsi="Arial"/>
          <w:sz w:val="21"/>
          <w:szCs w:val="21"/>
          <w:color w:val="auto"/>
        </w:rPr>
        <w:t>Section 11.10</w:t>
      </w:r>
    </w:p>
    <w:p>
      <w:pPr>
        <w:spacing w:after="0" w:line="241" w:lineRule="exact"/>
        <w:rPr>
          <w:sz w:val="20"/>
          <w:szCs w:val="20"/>
          <w:color w:val="auto"/>
        </w:rPr>
      </w:pPr>
    </w:p>
    <w:p>
      <w:pPr>
        <w:jc w:val="center"/>
        <w:ind w:left="160"/>
        <w:spacing w:after="0"/>
        <w:rPr>
          <w:sz w:val="20"/>
          <w:szCs w:val="20"/>
          <w:color w:val="auto"/>
        </w:rPr>
      </w:pPr>
      <w:r>
        <w:rPr>
          <w:rFonts w:ascii="Arial" w:cs="Arial" w:eastAsia="Arial" w:hAnsi="Arial"/>
          <w:sz w:val="21"/>
          <w:szCs w:val="21"/>
          <w:color w:val="auto"/>
        </w:rPr>
        <w:t>Section 11.11</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Section 11.12</w:t>
      </w:r>
    </w:p>
    <w:p>
      <w:pPr>
        <w:spacing w:after="0" w:line="133" w:lineRule="exact"/>
        <w:rPr>
          <w:sz w:val="20"/>
          <w:szCs w:val="20"/>
          <w:color w:val="auto"/>
        </w:rPr>
      </w:pPr>
    </w:p>
    <w:p>
      <w:pPr>
        <w:ind w:left="80"/>
        <w:spacing w:after="0"/>
        <w:rPr>
          <w:sz w:val="20"/>
          <w:szCs w:val="20"/>
          <w:color w:val="auto"/>
        </w:rPr>
      </w:pPr>
      <w:r>
        <w:rPr>
          <w:rFonts w:ascii="Arial" w:cs="Arial" w:eastAsia="Arial" w:hAnsi="Arial"/>
          <w:sz w:val="20"/>
          <w:szCs w:val="20"/>
          <w:color w:val="auto"/>
        </w:rPr>
        <w:t>ARTICLE XII Miscellaneous</w:t>
      </w:r>
    </w:p>
    <w:p>
      <w:pPr>
        <w:spacing w:after="0" w:line="359"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12.01</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12.02</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12.03</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12.04</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12.05</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12.06</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12.07</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12.08</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12.09</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12.10</w:t>
      </w:r>
    </w:p>
    <w:p>
      <w:pPr>
        <w:spacing w:after="0" w:line="241" w:lineRule="exact"/>
        <w:rPr>
          <w:sz w:val="20"/>
          <w:szCs w:val="20"/>
          <w:color w:val="auto"/>
        </w:rPr>
      </w:pPr>
    </w:p>
    <w:p>
      <w:pPr>
        <w:jc w:val="center"/>
        <w:ind w:left="160"/>
        <w:spacing w:after="0"/>
        <w:rPr>
          <w:sz w:val="20"/>
          <w:szCs w:val="20"/>
          <w:color w:val="auto"/>
        </w:rPr>
      </w:pPr>
      <w:r>
        <w:rPr>
          <w:rFonts w:ascii="Arial" w:cs="Arial" w:eastAsia="Arial" w:hAnsi="Arial"/>
          <w:sz w:val="21"/>
          <w:szCs w:val="21"/>
          <w:color w:val="auto"/>
        </w:rPr>
        <w:t>Section 12.11</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12.12</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12.13</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12.14</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12.15</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12.16</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12.17</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12.18</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12.19</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12.20</w:t>
      </w:r>
    </w:p>
    <w:p>
      <w:pPr>
        <w:spacing w:after="0" w:line="241" w:lineRule="exact"/>
        <w:rPr>
          <w:sz w:val="20"/>
          <w:szCs w:val="20"/>
          <w:color w:val="auto"/>
        </w:rPr>
      </w:pPr>
    </w:p>
    <w:p>
      <w:pPr>
        <w:jc w:val="center"/>
        <w:ind w:left="180"/>
        <w:spacing w:after="0"/>
        <w:rPr>
          <w:sz w:val="20"/>
          <w:szCs w:val="20"/>
          <w:color w:val="auto"/>
        </w:rPr>
      </w:pPr>
      <w:r>
        <w:rPr>
          <w:rFonts w:ascii="Arial" w:cs="Arial" w:eastAsia="Arial" w:hAnsi="Arial"/>
          <w:sz w:val="21"/>
          <w:szCs w:val="21"/>
          <w:color w:val="auto"/>
        </w:rPr>
        <w:t>Section 12.21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7600" w:type="dxa"/>
            <w:vAlign w:val="bottom"/>
          </w:tcPr>
          <w:p>
            <w:pPr>
              <w:ind w:left="60"/>
              <w:spacing w:after="0"/>
              <w:rPr>
                <w:sz w:val="20"/>
                <w:szCs w:val="20"/>
                <w:color w:val="auto"/>
              </w:rPr>
            </w:pPr>
            <w:r>
              <w:rPr>
                <w:rFonts w:ascii="Arial" w:cs="Arial" w:eastAsia="Arial" w:hAnsi="Arial"/>
                <w:sz w:val="21"/>
                <w:szCs w:val="21"/>
                <w:color w:val="auto"/>
              </w:rPr>
              <w:t>Authority of Administrative Agent to Release Collateral and Guarantors</w:t>
            </w:r>
          </w:p>
        </w:tc>
        <w:tc>
          <w:tcPr>
            <w:tcW w:w="820" w:type="dxa"/>
            <w:vAlign w:val="bottom"/>
          </w:tcPr>
          <w:p>
            <w:pPr>
              <w:jc w:val="right"/>
              <w:spacing w:after="0"/>
              <w:rPr>
                <w:sz w:val="20"/>
                <w:szCs w:val="20"/>
                <w:color w:val="auto"/>
              </w:rPr>
            </w:pPr>
            <w:r>
              <w:rPr>
                <w:rFonts w:ascii="Arial" w:cs="Arial" w:eastAsia="Arial" w:hAnsi="Arial"/>
                <w:sz w:val="21"/>
                <w:szCs w:val="21"/>
                <w:color w:val="auto"/>
              </w:rPr>
              <w:t>97</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The Arranger and the Syndication Agents</w:t>
            </w:r>
          </w:p>
        </w:tc>
        <w:tc>
          <w:tcPr>
            <w:tcW w:w="820" w:type="dxa"/>
            <w:vAlign w:val="bottom"/>
          </w:tcPr>
          <w:p>
            <w:pPr>
              <w:jc w:val="right"/>
              <w:spacing w:after="0"/>
              <w:rPr>
                <w:sz w:val="20"/>
                <w:szCs w:val="20"/>
                <w:color w:val="auto"/>
              </w:rPr>
            </w:pPr>
            <w:r>
              <w:rPr>
                <w:rFonts w:ascii="Arial" w:cs="Arial" w:eastAsia="Arial" w:hAnsi="Arial"/>
                <w:sz w:val="21"/>
                <w:szCs w:val="21"/>
                <w:color w:val="auto"/>
              </w:rPr>
              <w:t>98</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Erroneous Payments</w:t>
            </w:r>
          </w:p>
        </w:tc>
        <w:tc>
          <w:tcPr>
            <w:tcW w:w="820" w:type="dxa"/>
            <w:vAlign w:val="bottom"/>
          </w:tcPr>
          <w:p>
            <w:pPr>
              <w:jc w:val="right"/>
              <w:spacing w:after="0"/>
              <w:rPr>
                <w:sz w:val="20"/>
                <w:szCs w:val="20"/>
                <w:color w:val="auto"/>
              </w:rPr>
            </w:pPr>
            <w:r>
              <w:rPr>
                <w:rFonts w:ascii="Arial" w:cs="Arial" w:eastAsia="Arial" w:hAnsi="Arial"/>
                <w:sz w:val="21"/>
                <w:szCs w:val="21"/>
                <w:color w:val="auto"/>
              </w:rPr>
              <w:t>98</w:t>
            </w:r>
          </w:p>
        </w:tc>
      </w:tr>
      <w:tr>
        <w:trPr>
          <w:trHeight w:val="482"/>
        </w:trPr>
        <w:tc>
          <w:tcPr>
            <w:tcW w:w="7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1"/>
                <w:szCs w:val="21"/>
                <w:color w:val="auto"/>
              </w:rPr>
              <w:t>99</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Notices</w:t>
            </w:r>
          </w:p>
        </w:tc>
        <w:tc>
          <w:tcPr>
            <w:tcW w:w="820" w:type="dxa"/>
            <w:vAlign w:val="bottom"/>
          </w:tcPr>
          <w:p>
            <w:pPr>
              <w:jc w:val="right"/>
              <w:spacing w:after="0"/>
              <w:rPr>
                <w:sz w:val="20"/>
                <w:szCs w:val="20"/>
                <w:color w:val="auto"/>
              </w:rPr>
            </w:pPr>
            <w:r>
              <w:rPr>
                <w:rFonts w:ascii="Arial" w:cs="Arial" w:eastAsia="Arial" w:hAnsi="Arial"/>
                <w:sz w:val="21"/>
                <w:szCs w:val="21"/>
                <w:color w:val="auto"/>
              </w:rPr>
              <w:t>99</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Waivers; Amendments</w:t>
            </w:r>
          </w:p>
        </w:tc>
        <w:tc>
          <w:tcPr>
            <w:tcW w:w="820" w:type="dxa"/>
            <w:vAlign w:val="bottom"/>
          </w:tcPr>
          <w:p>
            <w:pPr>
              <w:jc w:val="right"/>
              <w:spacing w:after="0"/>
              <w:rPr>
                <w:sz w:val="20"/>
                <w:szCs w:val="20"/>
                <w:color w:val="auto"/>
              </w:rPr>
            </w:pPr>
            <w:r>
              <w:rPr>
                <w:rFonts w:ascii="Arial" w:cs="Arial" w:eastAsia="Arial" w:hAnsi="Arial"/>
                <w:sz w:val="21"/>
                <w:szCs w:val="21"/>
                <w:color w:val="auto"/>
              </w:rPr>
              <w:t>100</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Expenses, Indemnity; Damage Waiver</w:t>
            </w:r>
          </w:p>
        </w:tc>
        <w:tc>
          <w:tcPr>
            <w:tcW w:w="820" w:type="dxa"/>
            <w:vAlign w:val="bottom"/>
          </w:tcPr>
          <w:p>
            <w:pPr>
              <w:jc w:val="right"/>
              <w:spacing w:after="0"/>
              <w:rPr>
                <w:sz w:val="20"/>
                <w:szCs w:val="20"/>
                <w:color w:val="auto"/>
              </w:rPr>
            </w:pPr>
            <w:r>
              <w:rPr>
                <w:rFonts w:ascii="Arial" w:cs="Arial" w:eastAsia="Arial" w:hAnsi="Arial"/>
                <w:sz w:val="21"/>
                <w:szCs w:val="21"/>
                <w:color w:val="auto"/>
              </w:rPr>
              <w:t>101</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Successors and Assigns</w:t>
            </w:r>
          </w:p>
        </w:tc>
        <w:tc>
          <w:tcPr>
            <w:tcW w:w="820" w:type="dxa"/>
            <w:vAlign w:val="bottom"/>
          </w:tcPr>
          <w:p>
            <w:pPr>
              <w:jc w:val="right"/>
              <w:spacing w:after="0"/>
              <w:rPr>
                <w:sz w:val="20"/>
                <w:szCs w:val="20"/>
                <w:color w:val="auto"/>
              </w:rPr>
            </w:pPr>
            <w:r>
              <w:rPr>
                <w:rFonts w:ascii="Arial" w:cs="Arial" w:eastAsia="Arial" w:hAnsi="Arial"/>
                <w:sz w:val="21"/>
                <w:szCs w:val="21"/>
                <w:color w:val="auto"/>
              </w:rPr>
              <w:t>103</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Survival; Revival; Reinstatement</w:t>
            </w:r>
          </w:p>
        </w:tc>
        <w:tc>
          <w:tcPr>
            <w:tcW w:w="820" w:type="dxa"/>
            <w:vAlign w:val="bottom"/>
          </w:tcPr>
          <w:p>
            <w:pPr>
              <w:jc w:val="right"/>
              <w:spacing w:after="0"/>
              <w:rPr>
                <w:sz w:val="20"/>
                <w:szCs w:val="20"/>
                <w:color w:val="auto"/>
              </w:rPr>
            </w:pPr>
            <w:r>
              <w:rPr>
                <w:rFonts w:ascii="Arial" w:cs="Arial" w:eastAsia="Arial" w:hAnsi="Arial"/>
                <w:sz w:val="21"/>
                <w:szCs w:val="21"/>
                <w:color w:val="auto"/>
              </w:rPr>
              <w:t>106</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Counterparts; Integration; Effectiveness</w:t>
            </w:r>
          </w:p>
        </w:tc>
        <w:tc>
          <w:tcPr>
            <w:tcW w:w="820" w:type="dxa"/>
            <w:vAlign w:val="bottom"/>
          </w:tcPr>
          <w:p>
            <w:pPr>
              <w:jc w:val="right"/>
              <w:spacing w:after="0"/>
              <w:rPr>
                <w:sz w:val="20"/>
                <w:szCs w:val="20"/>
                <w:color w:val="auto"/>
              </w:rPr>
            </w:pPr>
            <w:r>
              <w:rPr>
                <w:rFonts w:ascii="Arial" w:cs="Arial" w:eastAsia="Arial" w:hAnsi="Arial"/>
                <w:sz w:val="21"/>
                <w:szCs w:val="21"/>
                <w:color w:val="auto"/>
              </w:rPr>
              <w:t>107</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Severability</w:t>
            </w:r>
          </w:p>
        </w:tc>
        <w:tc>
          <w:tcPr>
            <w:tcW w:w="820" w:type="dxa"/>
            <w:vAlign w:val="bottom"/>
          </w:tcPr>
          <w:p>
            <w:pPr>
              <w:jc w:val="right"/>
              <w:spacing w:after="0"/>
              <w:rPr>
                <w:sz w:val="20"/>
                <w:szCs w:val="20"/>
                <w:color w:val="auto"/>
              </w:rPr>
            </w:pPr>
            <w:r>
              <w:rPr>
                <w:rFonts w:ascii="Arial" w:cs="Arial" w:eastAsia="Arial" w:hAnsi="Arial"/>
                <w:sz w:val="21"/>
                <w:szCs w:val="21"/>
                <w:color w:val="auto"/>
              </w:rPr>
              <w:t>107</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Right of Setoff</w:t>
            </w:r>
          </w:p>
        </w:tc>
        <w:tc>
          <w:tcPr>
            <w:tcW w:w="820" w:type="dxa"/>
            <w:vAlign w:val="bottom"/>
          </w:tcPr>
          <w:p>
            <w:pPr>
              <w:jc w:val="right"/>
              <w:spacing w:after="0"/>
              <w:rPr>
                <w:sz w:val="20"/>
                <w:szCs w:val="20"/>
                <w:color w:val="auto"/>
              </w:rPr>
            </w:pPr>
            <w:r>
              <w:rPr>
                <w:rFonts w:ascii="Arial" w:cs="Arial" w:eastAsia="Arial" w:hAnsi="Arial"/>
                <w:sz w:val="21"/>
                <w:szCs w:val="21"/>
                <w:color w:val="auto"/>
              </w:rPr>
              <w:t>107</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GOVERNING LAW; JURISDICTION; CONSENT TO SERVICE OF PROCESS</w:t>
            </w:r>
          </w:p>
        </w:tc>
        <w:tc>
          <w:tcPr>
            <w:tcW w:w="820" w:type="dxa"/>
            <w:vAlign w:val="bottom"/>
          </w:tcPr>
          <w:p>
            <w:pPr>
              <w:jc w:val="right"/>
              <w:spacing w:after="0"/>
              <w:rPr>
                <w:sz w:val="20"/>
                <w:szCs w:val="20"/>
                <w:color w:val="auto"/>
              </w:rPr>
            </w:pPr>
            <w:r>
              <w:rPr>
                <w:rFonts w:ascii="Arial" w:cs="Arial" w:eastAsia="Arial" w:hAnsi="Arial"/>
                <w:sz w:val="21"/>
                <w:szCs w:val="21"/>
                <w:color w:val="auto"/>
              </w:rPr>
              <w:t>108</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Headings</w:t>
            </w:r>
          </w:p>
        </w:tc>
        <w:tc>
          <w:tcPr>
            <w:tcW w:w="820" w:type="dxa"/>
            <w:vAlign w:val="bottom"/>
          </w:tcPr>
          <w:p>
            <w:pPr>
              <w:jc w:val="right"/>
              <w:spacing w:after="0"/>
              <w:rPr>
                <w:sz w:val="20"/>
                <w:szCs w:val="20"/>
                <w:color w:val="auto"/>
              </w:rPr>
            </w:pPr>
            <w:r>
              <w:rPr>
                <w:rFonts w:ascii="Arial" w:cs="Arial" w:eastAsia="Arial" w:hAnsi="Arial"/>
                <w:sz w:val="21"/>
                <w:szCs w:val="21"/>
                <w:color w:val="auto"/>
              </w:rPr>
              <w:t>109</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Confidentiality</w:t>
            </w:r>
          </w:p>
        </w:tc>
        <w:tc>
          <w:tcPr>
            <w:tcW w:w="820" w:type="dxa"/>
            <w:vAlign w:val="bottom"/>
          </w:tcPr>
          <w:p>
            <w:pPr>
              <w:jc w:val="right"/>
              <w:spacing w:after="0"/>
              <w:rPr>
                <w:sz w:val="20"/>
                <w:szCs w:val="20"/>
                <w:color w:val="auto"/>
              </w:rPr>
            </w:pPr>
            <w:r>
              <w:rPr>
                <w:rFonts w:ascii="Arial" w:cs="Arial" w:eastAsia="Arial" w:hAnsi="Arial"/>
                <w:sz w:val="21"/>
                <w:szCs w:val="21"/>
                <w:color w:val="auto"/>
              </w:rPr>
              <w:t>109</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Interest Rate Limitation</w:t>
            </w:r>
          </w:p>
        </w:tc>
        <w:tc>
          <w:tcPr>
            <w:tcW w:w="820" w:type="dxa"/>
            <w:vAlign w:val="bottom"/>
          </w:tcPr>
          <w:p>
            <w:pPr>
              <w:jc w:val="right"/>
              <w:spacing w:after="0"/>
              <w:rPr>
                <w:sz w:val="20"/>
                <w:szCs w:val="20"/>
                <w:color w:val="auto"/>
              </w:rPr>
            </w:pPr>
            <w:r>
              <w:rPr>
                <w:rFonts w:ascii="Arial" w:cs="Arial" w:eastAsia="Arial" w:hAnsi="Arial"/>
                <w:sz w:val="21"/>
                <w:szCs w:val="21"/>
                <w:color w:val="auto"/>
              </w:rPr>
              <w:t>110</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EXCULPATION PROVISIONS</w:t>
            </w:r>
          </w:p>
        </w:tc>
        <w:tc>
          <w:tcPr>
            <w:tcW w:w="820" w:type="dxa"/>
            <w:vAlign w:val="bottom"/>
          </w:tcPr>
          <w:p>
            <w:pPr>
              <w:jc w:val="right"/>
              <w:spacing w:after="0"/>
              <w:rPr>
                <w:sz w:val="20"/>
                <w:szCs w:val="20"/>
                <w:color w:val="auto"/>
              </w:rPr>
            </w:pPr>
            <w:r>
              <w:rPr>
                <w:rFonts w:ascii="Arial" w:cs="Arial" w:eastAsia="Arial" w:hAnsi="Arial"/>
                <w:sz w:val="21"/>
                <w:szCs w:val="21"/>
                <w:color w:val="auto"/>
              </w:rPr>
              <w:t>110</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Collateral Matters; Swap Agreements</w:t>
            </w:r>
          </w:p>
        </w:tc>
        <w:tc>
          <w:tcPr>
            <w:tcW w:w="820" w:type="dxa"/>
            <w:vAlign w:val="bottom"/>
          </w:tcPr>
          <w:p>
            <w:pPr>
              <w:jc w:val="right"/>
              <w:spacing w:after="0"/>
              <w:rPr>
                <w:sz w:val="20"/>
                <w:szCs w:val="20"/>
                <w:color w:val="auto"/>
              </w:rPr>
            </w:pPr>
            <w:r>
              <w:rPr>
                <w:rFonts w:ascii="Arial" w:cs="Arial" w:eastAsia="Arial" w:hAnsi="Arial"/>
                <w:sz w:val="21"/>
                <w:szCs w:val="21"/>
                <w:color w:val="auto"/>
              </w:rPr>
              <w:t>111</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No Third Party Beneficiaries</w:t>
            </w:r>
          </w:p>
        </w:tc>
        <w:tc>
          <w:tcPr>
            <w:tcW w:w="820" w:type="dxa"/>
            <w:vAlign w:val="bottom"/>
          </w:tcPr>
          <w:p>
            <w:pPr>
              <w:jc w:val="right"/>
              <w:spacing w:after="0"/>
              <w:rPr>
                <w:sz w:val="20"/>
                <w:szCs w:val="20"/>
                <w:color w:val="auto"/>
              </w:rPr>
            </w:pPr>
            <w:r>
              <w:rPr>
                <w:rFonts w:ascii="Arial" w:cs="Arial" w:eastAsia="Arial" w:hAnsi="Arial"/>
                <w:sz w:val="21"/>
                <w:szCs w:val="21"/>
                <w:color w:val="auto"/>
              </w:rPr>
              <w:t>111</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USA Patriot Act Notice</w:t>
            </w:r>
          </w:p>
        </w:tc>
        <w:tc>
          <w:tcPr>
            <w:tcW w:w="820" w:type="dxa"/>
            <w:vAlign w:val="bottom"/>
          </w:tcPr>
          <w:p>
            <w:pPr>
              <w:jc w:val="right"/>
              <w:spacing w:after="0"/>
              <w:rPr>
                <w:sz w:val="20"/>
                <w:szCs w:val="20"/>
                <w:color w:val="auto"/>
              </w:rPr>
            </w:pPr>
            <w:r>
              <w:rPr>
                <w:rFonts w:ascii="Arial" w:cs="Arial" w:eastAsia="Arial" w:hAnsi="Arial"/>
                <w:sz w:val="21"/>
                <w:szCs w:val="21"/>
                <w:color w:val="auto"/>
              </w:rPr>
              <w:t>111</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Flood Insurance Provisions</w:t>
            </w:r>
          </w:p>
        </w:tc>
        <w:tc>
          <w:tcPr>
            <w:tcW w:w="820" w:type="dxa"/>
            <w:vAlign w:val="bottom"/>
          </w:tcPr>
          <w:p>
            <w:pPr>
              <w:jc w:val="right"/>
              <w:spacing w:after="0"/>
              <w:rPr>
                <w:sz w:val="20"/>
                <w:szCs w:val="20"/>
                <w:color w:val="auto"/>
              </w:rPr>
            </w:pPr>
            <w:r>
              <w:rPr>
                <w:rFonts w:ascii="Arial" w:cs="Arial" w:eastAsia="Arial" w:hAnsi="Arial"/>
                <w:sz w:val="21"/>
                <w:szCs w:val="21"/>
                <w:color w:val="auto"/>
              </w:rPr>
              <w:t>112</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Regulation U Matters</w:t>
            </w:r>
          </w:p>
        </w:tc>
        <w:tc>
          <w:tcPr>
            <w:tcW w:w="820" w:type="dxa"/>
            <w:vAlign w:val="bottom"/>
          </w:tcPr>
          <w:p>
            <w:pPr>
              <w:jc w:val="right"/>
              <w:spacing w:after="0"/>
              <w:rPr>
                <w:sz w:val="20"/>
                <w:szCs w:val="20"/>
                <w:color w:val="auto"/>
              </w:rPr>
            </w:pPr>
            <w:r>
              <w:rPr>
                <w:rFonts w:ascii="Arial" w:cs="Arial" w:eastAsia="Arial" w:hAnsi="Arial"/>
                <w:sz w:val="21"/>
                <w:szCs w:val="21"/>
                <w:color w:val="auto"/>
              </w:rPr>
              <w:t>112</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Acknowledgement and Consent to Bail-In of Affected Financial Institutions</w:t>
            </w:r>
          </w:p>
        </w:tc>
        <w:tc>
          <w:tcPr>
            <w:tcW w:w="820" w:type="dxa"/>
            <w:vAlign w:val="bottom"/>
          </w:tcPr>
          <w:p>
            <w:pPr>
              <w:jc w:val="right"/>
              <w:spacing w:after="0"/>
              <w:rPr>
                <w:sz w:val="20"/>
                <w:szCs w:val="20"/>
                <w:color w:val="auto"/>
              </w:rPr>
            </w:pPr>
            <w:r>
              <w:rPr>
                <w:rFonts w:ascii="Arial" w:cs="Arial" w:eastAsia="Arial" w:hAnsi="Arial"/>
                <w:sz w:val="21"/>
                <w:szCs w:val="21"/>
                <w:color w:val="auto"/>
              </w:rPr>
              <w:t>113</w:t>
            </w:r>
          </w:p>
        </w:tc>
      </w:tr>
      <w:tr>
        <w:trPr>
          <w:trHeight w:val="482"/>
        </w:trPr>
        <w:tc>
          <w:tcPr>
            <w:tcW w:w="7600" w:type="dxa"/>
            <w:vAlign w:val="bottom"/>
          </w:tcPr>
          <w:p>
            <w:pPr>
              <w:ind w:left="60"/>
              <w:spacing w:after="0"/>
              <w:rPr>
                <w:sz w:val="20"/>
                <w:szCs w:val="20"/>
                <w:color w:val="auto"/>
              </w:rPr>
            </w:pPr>
            <w:r>
              <w:rPr>
                <w:rFonts w:ascii="Arial" w:cs="Arial" w:eastAsia="Arial" w:hAnsi="Arial"/>
                <w:sz w:val="21"/>
                <w:szCs w:val="21"/>
                <w:color w:val="auto"/>
              </w:rPr>
              <w:t>Acknowledgement Regarding Any Supported QFC’s</w:t>
            </w:r>
          </w:p>
        </w:tc>
        <w:tc>
          <w:tcPr>
            <w:tcW w:w="820" w:type="dxa"/>
            <w:vAlign w:val="bottom"/>
          </w:tcPr>
          <w:p>
            <w:pPr>
              <w:jc w:val="right"/>
              <w:spacing w:after="0"/>
              <w:rPr>
                <w:sz w:val="20"/>
                <w:szCs w:val="20"/>
                <w:color w:val="auto"/>
              </w:rPr>
            </w:pPr>
            <w:r>
              <w:rPr>
                <w:rFonts w:ascii="Arial" w:cs="Arial" w:eastAsia="Arial" w:hAnsi="Arial"/>
                <w:sz w:val="21"/>
                <w:szCs w:val="21"/>
                <w:color w:val="auto"/>
              </w:rPr>
              <w:t>114</w:t>
            </w:r>
          </w:p>
        </w:tc>
      </w:tr>
      <w:tr>
        <w:trPr>
          <w:trHeight w:val="482"/>
        </w:trPr>
        <w:tc>
          <w:tcPr>
            <w:tcW w:w="7600" w:type="dxa"/>
            <w:vAlign w:val="bottom"/>
          </w:tcPr>
          <w:p>
            <w:pPr>
              <w:spacing w:after="0"/>
              <w:rPr>
                <w:sz w:val="20"/>
                <w:szCs w:val="20"/>
                <w:color w:val="auto"/>
              </w:rPr>
            </w:pPr>
            <w:r>
              <w:rPr>
                <w:rFonts w:ascii="Arial" w:cs="Arial" w:eastAsia="Arial" w:hAnsi="Arial"/>
                <w:sz w:val="21"/>
                <w:szCs w:val="21"/>
                <w:color w:val="auto"/>
              </w:rPr>
              <w:t>Certain ERISA Matters.</w:t>
            </w:r>
          </w:p>
        </w:tc>
        <w:tc>
          <w:tcPr>
            <w:tcW w:w="820" w:type="dxa"/>
            <w:vAlign w:val="bottom"/>
          </w:tcPr>
          <w:p>
            <w:pPr>
              <w:jc w:val="right"/>
              <w:spacing w:after="0"/>
              <w:rPr>
                <w:sz w:val="20"/>
                <w:szCs w:val="20"/>
                <w:color w:val="auto"/>
              </w:rPr>
            </w:pPr>
            <w:r>
              <w:rPr>
                <w:rFonts w:ascii="Arial" w:cs="Arial" w:eastAsia="Arial" w:hAnsi="Arial"/>
                <w:sz w:val="21"/>
                <w:szCs w:val="21"/>
                <w:color w:val="auto"/>
              </w:rPr>
              <w:t>115</w:t>
            </w:r>
          </w:p>
        </w:tc>
      </w:tr>
    </w:tbl>
    <w:p>
      <w:pPr>
        <w:spacing w:after="0" w:line="275" w:lineRule="exact"/>
        <w:rPr>
          <w:sz w:val="20"/>
          <w:szCs w:val="20"/>
          <w:color w:val="auto"/>
        </w:rPr>
      </w:pPr>
    </w:p>
    <w:p>
      <w:pPr>
        <w:sectPr>
          <w:pgSz w:w="11900" w:h="16838" w:orient="portrait"/>
          <w:cols w:equalWidth="0" w:num="2">
            <w:col w:w="2600" w:space="160"/>
            <w:col w:w="8420"/>
          </w:cols>
          <w:pgMar w:left="320" w:top="1440" w:right="399" w:bottom="0" w:gutter="0" w:footer="0" w:header="0"/>
        </w:sectPr>
      </w:pPr>
    </w:p>
    <w:p>
      <w:pPr>
        <w:spacing w:after="0" w:line="200" w:lineRule="exact"/>
        <w:rPr>
          <w:sz w:val="20"/>
          <w:szCs w:val="20"/>
          <w:color w:val="auto"/>
        </w:rPr>
      </w:pPr>
    </w:p>
    <w:p>
      <w:pPr>
        <w:spacing w:after="0" w:line="250" w:lineRule="exact"/>
        <w:rPr>
          <w:sz w:val="20"/>
          <w:szCs w:val="20"/>
          <w:color w:val="auto"/>
        </w:rPr>
      </w:pPr>
    </w:p>
    <w:p>
      <w:pPr>
        <w:ind w:left="3600"/>
        <w:spacing w:after="0"/>
        <w:rPr>
          <w:sz w:val="20"/>
          <w:szCs w:val="20"/>
          <w:color w:val="auto"/>
        </w:rPr>
      </w:pPr>
      <w:r>
        <w:rPr>
          <w:rFonts w:ascii="Arial" w:cs="Arial" w:eastAsia="Arial" w:hAnsi="Arial"/>
          <w:sz w:val="21"/>
          <w:szCs w:val="21"/>
          <w:b w:val="1"/>
          <w:bCs w:val="1"/>
          <w:color w:val="auto"/>
        </w:rPr>
        <w:t>ANNEXES, EXHIBITS AND SCHEDULES</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21"/>
          <w:szCs w:val="21"/>
          <w:color w:val="auto"/>
        </w:rPr>
        <w:t>Annex I</w:t>
      </w:r>
      <w:r>
        <w:rPr>
          <w:sz w:val="20"/>
          <w:szCs w:val="20"/>
          <w:color w:val="auto"/>
        </w:rPr>
        <w:tab/>
      </w:r>
      <w:r>
        <w:rPr>
          <w:rFonts w:ascii="Arial" w:cs="Arial" w:eastAsia="Arial" w:hAnsi="Arial"/>
          <w:sz w:val="20"/>
          <w:szCs w:val="20"/>
          <w:color w:val="auto"/>
        </w:rPr>
        <w:t>List of Maximum Credit Amounts</w:t>
      </w:r>
    </w:p>
    <w:p>
      <w:pPr>
        <w:spacing w:after="0" w:line="235" w:lineRule="auto"/>
        <w:tabs>
          <w:tab w:leader="none" w:pos="1020" w:val="left"/>
        </w:tabs>
        <w:rPr>
          <w:sz w:val="20"/>
          <w:szCs w:val="20"/>
          <w:color w:val="auto"/>
        </w:rPr>
      </w:pPr>
      <w:r>
        <w:rPr>
          <w:rFonts w:ascii="Arial" w:cs="Arial" w:eastAsia="Arial" w:hAnsi="Arial"/>
          <w:sz w:val="21"/>
          <w:szCs w:val="21"/>
          <w:color w:val="auto"/>
        </w:rPr>
        <w:t>Exhibit A</w:t>
      </w:r>
      <w:r>
        <w:rPr>
          <w:sz w:val="20"/>
          <w:szCs w:val="20"/>
          <w:color w:val="auto"/>
        </w:rPr>
        <w:tab/>
      </w:r>
      <w:r>
        <w:rPr>
          <w:rFonts w:ascii="Arial" w:cs="Arial" w:eastAsia="Arial" w:hAnsi="Arial"/>
          <w:sz w:val="19"/>
          <w:szCs w:val="19"/>
          <w:color w:val="auto"/>
        </w:rPr>
        <w:t>Form of Note</w:t>
      </w:r>
    </w:p>
    <w:p>
      <w:pPr>
        <w:spacing w:after="0" w:line="235" w:lineRule="auto"/>
        <w:tabs>
          <w:tab w:leader="none" w:pos="1020" w:val="left"/>
        </w:tabs>
        <w:rPr>
          <w:sz w:val="20"/>
          <w:szCs w:val="20"/>
          <w:color w:val="auto"/>
        </w:rPr>
      </w:pPr>
      <w:r>
        <w:rPr>
          <w:rFonts w:ascii="Arial" w:cs="Arial" w:eastAsia="Arial" w:hAnsi="Arial"/>
          <w:sz w:val="21"/>
          <w:szCs w:val="21"/>
          <w:color w:val="auto"/>
        </w:rPr>
        <w:t>Exhibit B</w:t>
      </w:r>
      <w:r>
        <w:rPr>
          <w:sz w:val="20"/>
          <w:szCs w:val="20"/>
          <w:color w:val="auto"/>
        </w:rPr>
        <w:tab/>
      </w:r>
      <w:r>
        <w:rPr>
          <w:rFonts w:ascii="Arial" w:cs="Arial" w:eastAsia="Arial" w:hAnsi="Arial"/>
          <w:sz w:val="19"/>
          <w:szCs w:val="19"/>
          <w:color w:val="auto"/>
        </w:rPr>
        <w:t>Form of Borrowing Request</w:t>
      </w:r>
    </w:p>
    <w:p>
      <w:pPr>
        <w:spacing w:after="0" w:line="235" w:lineRule="auto"/>
        <w:tabs>
          <w:tab w:leader="none" w:pos="1020" w:val="left"/>
        </w:tabs>
        <w:rPr>
          <w:sz w:val="20"/>
          <w:szCs w:val="20"/>
          <w:color w:val="auto"/>
        </w:rPr>
      </w:pPr>
      <w:r>
        <w:rPr>
          <w:rFonts w:ascii="Arial" w:cs="Arial" w:eastAsia="Arial" w:hAnsi="Arial"/>
          <w:sz w:val="21"/>
          <w:szCs w:val="21"/>
          <w:color w:val="auto"/>
        </w:rPr>
        <w:t>Exhibit C</w:t>
      </w:r>
      <w:r>
        <w:rPr>
          <w:sz w:val="20"/>
          <w:szCs w:val="20"/>
          <w:color w:val="auto"/>
        </w:rPr>
        <w:tab/>
      </w:r>
      <w:r>
        <w:rPr>
          <w:rFonts w:ascii="Arial" w:cs="Arial" w:eastAsia="Arial" w:hAnsi="Arial"/>
          <w:sz w:val="19"/>
          <w:szCs w:val="19"/>
          <w:color w:val="auto"/>
        </w:rPr>
        <w:t>Form of Interest Election Request</w:t>
      </w:r>
    </w:p>
    <w:p>
      <w:pPr>
        <w:spacing w:after="0" w:line="235" w:lineRule="auto"/>
        <w:tabs>
          <w:tab w:leader="none" w:pos="1040" w:val="left"/>
        </w:tabs>
        <w:rPr>
          <w:sz w:val="20"/>
          <w:szCs w:val="20"/>
          <w:color w:val="auto"/>
        </w:rPr>
      </w:pPr>
      <w:r>
        <w:rPr>
          <w:rFonts w:ascii="Arial" w:cs="Arial" w:eastAsia="Arial" w:hAnsi="Arial"/>
          <w:sz w:val="21"/>
          <w:szCs w:val="21"/>
          <w:color w:val="auto"/>
        </w:rPr>
        <w:t>Exhibit D</w:t>
      </w:r>
      <w:r>
        <w:rPr>
          <w:sz w:val="20"/>
          <w:szCs w:val="20"/>
          <w:color w:val="auto"/>
        </w:rPr>
        <w:tab/>
      </w:r>
      <w:r>
        <w:rPr>
          <w:rFonts w:ascii="Arial" w:cs="Arial" w:eastAsia="Arial" w:hAnsi="Arial"/>
          <w:sz w:val="19"/>
          <w:szCs w:val="19"/>
          <w:color w:val="auto"/>
        </w:rPr>
        <w:t>Form of Compliance Certificate</w:t>
      </w:r>
    </w:p>
    <w:p>
      <w:pPr>
        <w:spacing w:after="0" w:line="235" w:lineRule="auto"/>
        <w:tabs>
          <w:tab w:leader="none" w:pos="1020" w:val="left"/>
        </w:tabs>
        <w:rPr>
          <w:sz w:val="20"/>
          <w:szCs w:val="20"/>
          <w:color w:val="auto"/>
        </w:rPr>
      </w:pPr>
      <w:r>
        <w:rPr>
          <w:rFonts w:ascii="Arial" w:cs="Arial" w:eastAsia="Arial" w:hAnsi="Arial"/>
          <w:sz w:val="21"/>
          <w:szCs w:val="21"/>
          <w:color w:val="auto"/>
        </w:rPr>
        <w:t>Exhibit E</w:t>
      </w:r>
      <w:r>
        <w:rPr>
          <w:sz w:val="20"/>
          <w:szCs w:val="20"/>
          <w:color w:val="auto"/>
        </w:rPr>
        <w:tab/>
      </w:r>
      <w:r>
        <w:rPr>
          <w:rFonts w:ascii="Arial" w:cs="Arial" w:eastAsia="Arial" w:hAnsi="Arial"/>
          <w:sz w:val="19"/>
          <w:szCs w:val="19"/>
          <w:color w:val="auto"/>
        </w:rPr>
        <w:t>Security Instruments</w:t>
      </w:r>
    </w:p>
    <w:p>
      <w:pPr>
        <w:spacing w:after="0" w:line="235" w:lineRule="auto"/>
        <w:tabs>
          <w:tab w:leader="none" w:pos="1000" w:val="left"/>
        </w:tabs>
        <w:rPr>
          <w:sz w:val="20"/>
          <w:szCs w:val="20"/>
          <w:color w:val="auto"/>
        </w:rPr>
      </w:pPr>
      <w:r>
        <w:rPr>
          <w:rFonts w:ascii="Arial" w:cs="Arial" w:eastAsia="Arial" w:hAnsi="Arial"/>
          <w:sz w:val="21"/>
          <w:szCs w:val="21"/>
          <w:color w:val="auto"/>
        </w:rPr>
        <w:t>Exhibit F</w:t>
      </w:r>
      <w:r>
        <w:rPr>
          <w:sz w:val="20"/>
          <w:szCs w:val="20"/>
          <w:color w:val="auto"/>
        </w:rPr>
        <w:tab/>
      </w:r>
      <w:r>
        <w:rPr>
          <w:rFonts w:ascii="Arial" w:cs="Arial" w:eastAsia="Arial" w:hAnsi="Arial"/>
          <w:sz w:val="19"/>
          <w:szCs w:val="19"/>
          <w:color w:val="auto"/>
        </w:rPr>
        <w:t>Form of Assignment and Assumption</w:t>
      </w:r>
    </w:p>
    <w:p>
      <w:pPr>
        <w:spacing w:after="0" w:line="235" w:lineRule="auto"/>
        <w:tabs>
          <w:tab w:leader="none" w:pos="1220" w:val="left"/>
        </w:tabs>
        <w:rPr>
          <w:sz w:val="20"/>
          <w:szCs w:val="20"/>
          <w:color w:val="auto"/>
        </w:rPr>
      </w:pPr>
      <w:r>
        <w:rPr>
          <w:rFonts w:ascii="Arial" w:cs="Arial" w:eastAsia="Arial" w:hAnsi="Arial"/>
          <w:sz w:val="21"/>
          <w:szCs w:val="21"/>
          <w:color w:val="auto"/>
        </w:rPr>
        <w:t>Exhibit G-1</w:t>
      </w:r>
      <w:r>
        <w:rPr>
          <w:sz w:val="20"/>
          <w:szCs w:val="20"/>
          <w:color w:val="auto"/>
        </w:rPr>
        <w:tab/>
      </w:r>
      <w:r>
        <w:rPr>
          <w:rFonts w:ascii="Arial" w:cs="Arial" w:eastAsia="Arial" w:hAnsi="Arial"/>
          <w:sz w:val="19"/>
          <w:szCs w:val="19"/>
          <w:color w:val="auto"/>
        </w:rPr>
        <w:t>Form of U.S. Tax Compliance Certificate</w:t>
      </w:r>
    </w:p>
    <w:p>
      <w:pPr>
        <w:ind w:left="1940"/>
        <w:spacing w:after="0"/>
        <w:rPr>
          <w:sz w:val="20"/>
          <w:szCs w:val="20"/>
          <w:color w:val="auto"/>
        </w:rPr>
      </w:pPr>
      <w:r>
        <w:rPr>
          <w:rFonts w:ascii="Arial" w:cs="Arial" w:eastAsia="Arial" w:hAnsi="Arial"/>
          <w:sz w:val="21"/>
          <w:szCs w:val="21"/>
          <w:color w:val="auto"/>
        </w:rPr>
        <w:t>(Foreign Lenders; non-partnerships)</w:t>
      </w:r>
    </w:p>
    <w:p>
      <w:pPr>
        <w:sectPr>
          <w:pgSz w:w="11900" w:h="16838" w:orient="portrait"/>
          <w:cols w:equalWidth="0" w:num="1">
            <w:col w:w="11180"/>
          </w:cols>
          <w:pgMar w:left="320" w:top="1440" w:right="399" w:bottom="0" w:gutter="0" w:footer="0" w:header="0"/>
          <w:type w:val="continuous"/>
        </w:sectPr>
      </w:pPr>
    </w:p>
    <w:bookmarkStart w:id="130" w:name="page131"/>
    <w:bookmarkEnd w:id="130"/>
    <w:p>
      <w:pPr>
        <w:ind w:left="1240" w:right="4779" w:hanging="1927"/>
        <w:spacing w:after="0" w:line="222" w:lineRule="auto"/>
        <w:tabs>
          <w:tab w:leader="none" w:pos="1220" w:val="left"/>
        </w:tabs>
        <w:rPr>
          <w:sz w:val="20"/>
          <w:szCs w:val="20"/>
          <w:color w:val="auto"/>
        </w:rPr>
      </w:pPr>
      <w:r>
        <w:rPr>
          <w:rFonts w:ascii="Arial" w:cs="Arial" w:eastAsia="Arial" w:hAnsi="Arial"/>
          <w:sz w:val="21"/>
          <w:szCs w:val="21"/>
          <w:color w:val="auto"/>
        </w:rPr>
        <w:t>Exhibit G-2</w:t>
        <w:tab/>
        <w:t>Form of U.S. Tax Compliance Certificate (Foreign Participants; non-partnerships)</w:t>
      </w:r>
    </w:p>
    <w:p>
      <w:pPr>
        <w:spacing w:after="0" w:line="236" w:lineRule="auto"/>
        <w:tabs>
          <w:tab w:leader="none" w:pos="1220" w:val="left"/>
        </w:tabs>
        <w:rPr>
          <w:sz w:val="20"/>
          <w:szCs w:val="20"/>
          <w:color w:val="auto"/>
        </w:rPr>
      </w:pPr>
      <w:r>
        <w:rPr>
          <w:rFonts w:ascii="Arial" w:cs="Arial" w:eastAsia="Arial" w:hAnsi="Arial"/>
          <w:sz w:val="21"/>
          <w:szCs w:val="21"/>
          <w:color w:val="auto"/>
        </w:rPr>
        <w:t>Exhibit G-3</w:t>
      </w:r>
      <w:r>
        <w:rPr>
          <w:sz w:val="20"/>
          <w:szCs w:val="20"/>
          <w:color w:val="auto"/>
        </w:rPr>
        <w:tab/>
      </w:r>
      <w:r>
        <w:rPr>
          <w:rFonts w:ascii="Arial" w:cs="Arial" w:eastAsia="Arial" w:hAnsi="Arial"/>
          <w:sz w:val="19"/>
          <w:szCs w:val="19"/>
          <w:color w:val="auto"/>
        </w:rPr>
        <w:t>Form of U.S. Tax Compliance Certificate</w:t>
      </w:r>
    </w:p>
    <w:p>
      <w:pPr>
        <w:ind w:left="1940"/>
        <w:spacing w:after="0"/>
        <w:rPr>
          <w:sz w:val="20"/>
          <w:szCs w:val="20"/>
          <w:color w:val="auto"/>
        </w:rPr>
      </w:pPr>
      <w:r>
        <w:rPr>
          <w:rFonts w:ascii="Arial" w:cs="Arial" w:eastAsia="Arial" w:hAnsi="Arial"/>
          <w:sz w:val="21"/>
          <w:szCs w:val="21"/>
          <w:color w:val="auto"/>
        </w:rPr>
        <w:t>(Foreign Participants; partnerships)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4439"/>
        <w:spacing w:after="0"/>
        <w:rPr>
          <w:sz w:val="20"/>
          <w:szCs w:val="20"/>
          <w:color w:val="auto"/>
        </w:rPr>
      </w:pPr>
      <w:r>
        <w:rPr>
          <w:rFonts w:ascii="Arial" w:cs="Arial" w:eastAsia="Arial" w:hAnsi="Arial"/>
          <w:sz w:val="21"/>
          <w:szCs w:val="21"/>
          <w:color w:val="auto"/>
        </w:rPr>
        <w:t>iv</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0139"/>
          </w:cols>
          <w:pgMar w:left="320" w:top="104" w:right="1440" w:bottom="1440" w:gutter="0" w:footer="0" w:header="0"/>
        </w:sectPr>
      </w:pPr>
    </w:p>
    <w:bookmarkStart w:id="131" w:name="page132"/>
    <w:bookmarkEnd w:id="131"/>
    <w:p>
      <w:pPr>
        <w:spacing w:after="0"/>
        <w:tabs>
          <w:tab w:leader="none" w:pos="1220" w:val="left"/>
        </w:tabs>
        <w:rPr>
          <w:sz w:val="20"/>
          <w:szCs w:val="20"/>
          <w:color w:val="auto"/>
        </w:rPr>
      </w:pPr>
      <w:r>
        <w:rPr>
          <w:rFonts w:ascii="Arial" w:cs="Arial" w:eastAsia="Arial" w:hAnsi="Arial"/>
          <w:sz w:val="21"/>
          <w:szCs w:val="21"/>
          <w:color w:val="auto"/>
        </w:rPr>
        <w:t>Exhibit G-4</w:t>
      </w:r>
      <w:r>
        <w:rPr>
          <w:sz w:val="20"/>
          <w:szCs w:val="20"/>
          <w:color w:val="auto"/>
        </w:rPr>
        <w:tab/>
      </w:r>
      <w:r>
        <w:rPr>
          <w:rFonts w:ascii="Arial" w:cs="Arial" w:eastAsia="Arial" w:hAnsi="Arial"/>
          <w:sz w:val="19"/>
          <w:szCs w:val="19"/>
          <w:color w:val="auto"/>
        </w:rPr>
        <w:t>Form of U.S. Tax Compliance Certificate</w:t>
      </w:r>
    </w:p>
    <w:p>
      <w:pPr>
        <w:ind w:left="1940"/>
        <w:spacing w:after="0" w:line="212" w:lineRule="auto"/>
        <w:rPr>
          <w:sz w:val="20"/>
          <w:szCs w:val="20"/>
          <w:color w:val="auto"/>
        </w:rPr>
      </w:pPr>
      <w:r>
        <w:rPr>
          <w:rFonts w:ascii="Arial" w:cs="Arial" w:eastAsia="Arial" w:hAnsi="Arial"/>
          <w:sz w:val="21"/>
          <w:szCs w:val="21"/>
          <w:color w:val="auto"/>
        </w:rPr>
        <w:t>(Foreign Lenders; partnerships)</w:t>
      </w:r>
    </w:p>
    <w:p>
      <w:pPr>
        <w:spacing w:after="0" w:line="1" w:lineRule="exact"/>
        <w:rPr>
          <w:sz w:val="20"/>
          <w:szCs w:val="20"/>
          <w:color w:val="auto"/>
        </w:rPr>
      </w:pPr>
    </w:p>
    <w:p>
      <w:pPr>
        <w:ind w:right="3799"/>
        <w:spacing w:after="0" w:line="212" w:lineRule="auto"/>
        <w:rPr>
          <w:sz w:val="20"/>
          <w:szCs w:val="20"/>
          <w:color w:val="auto"/>
        </w:rPr>
      </w:pPr>
      <w:r>
        <w:rPr>
          <w:rFonts w:ascii="Arial" w:cs="Arial" w:eastAsia="Arial" w:hAnsi="Arial"/>
          <w:sz w:val="21"/>
          <w:szCs w:val="21"/>
          <w:color w:val="auto"/>
        </w:rPr>
        <w:t>Exhibit H-1 Form of Elected Commitment Amount Increase Agreement Exhibit H-2 Form of Additional Lender Agreement Schedule 7.14 Subsidiaries and Partnerships</w:t>
      </w:r>
    </w:p>
    <w:p>
      <w:pPr>
        <w:spacing w:after="0" w:line="238" w:lineRule="auto"/>
        <w:tabs>
          <w:tab w:leader="none" w:pos="1420" w:val="left"/>
        </w:tabs>
        <w:rPr>
          <w:sz w:val="20"/>
          <w:szCs w:val="20"/>
          <w:color w:val="auto"/>
        </w:rPr>
      </w:pPr>
      <w:r>
        <w:rPr>
          <w:rFonts w:ascii="Arial" w:cs="Arial" w:eastAsia="Arial" w:hAnsi="Arial"/>
          <w:sz w:val="21"/>
          <w:szCs w:val="21"/>
          <w:color w:val="auto"/>
        </w:rPr>
        <w:t>Schedule 7.19</w:t>
      </w:r>
      <w:r>
        <w:rPr>
          <w:sz w:val="20"/>
          <w:szCs w:val="20"/>
          <w:color w:val="auto"/>
        </w:rPr>
        <w:tab/>
      </w:r>
      <w:r>
        <w:rPr>
          <w:rFonts w:ascii="Arial" w:cs="Arial" w:eastAsia="Arial" w:hAnsi="Arial"/>
          <w:sz w:val="19"/>
          <w:szCs w:val="19"/>
          <w:color w:val="auto"/>
        </w:rPr>
        <w:t>Marketing Agreements</w:t>
      </w:r>
    </w:p>
    <w:p>
      <w:pPr>
        <w:spacing w:after="0" w:line="235" w:lineRule="auto"/>
        <w:tabs>
          <w:tab w:leader="none" w:pos="1420" w:val="left"/>
        </w:tabs>
        <w:rPr>
          <w:sz w:val="20"/>
          <w:szCs w:val="20"/>
          <w:color w:val="auto"/>
        </w:rPr>
      </w:pPr>
      <w:r>
        <w:rPr>
          <w:rFonts w:ascii="Arial" w:cs="Arial" w:eastAsia="Arial" w:hAnsi="Arial"/>
          <w:sz w:val="21"/>
          <w:szCs w:val="21"/>
          <w:color w:val="auto"/>
        </w:rPr>
        <w:t>Schedule 7.20</w:t>
      </w:r>
      <w:r>
        <w:rPr>
          <w:sz w:val="20"/>
          <w:szCs w:val="20"/>
          <w:color w:val="auto"/>
        </w:rPr>
        <w:tab/>
      </w:r>
      <w:r>
        <w:rPr>
          <w:rFonts w:ascii="Arial" w:cs="Arial" w:eastAsia="Arial" w:hAnsi="Arial"/>
          <w:sz w:val="19"/>
          <w:szCs w:val="19"/>
          <w:color w:val="auto"/>
        </w:rPr>
        <w:t>Swap Agreements</w:t>
      </w:r>
    </w:p>
    <w:p>
      <w:pPr>
        <w:spacing w:after="0"/>
        <w:tabs>
          <w:tab w:leader="none" w:pos="1420" w:val="left"/>
        </w:tabs>
        <w:rPr>
          <w:sz w:val="20"/>
          <w:szCs w:val="20"/>
          <w:color w:val="auto"/>
        </w:rPr>
      </w:pPr>
      <w:r>
        <w:rPr>
          <w:rFonts w:ascii="Arial" w:cs="Arial" w:eastAsia="Arial" w:hAnsi="Arial"/>
          <w:sz w:val="21"/>
          <w:szCs w:val="21"/>
          <w:color w:val="auto"/>
        </w:rPr>
        <w:t>Schedule 9.06</w:t>
      </w:r>
      <w:r>
        <w:rPr>
          <w:sz w:val="20"/>
          <w:szCs w:val="20"/>
          <w:color w:val="auto"/>
        </w:rPr>
        <w:tab/>
      </w:r>
      <w:r>
        <w:rPr>
          <w:rFonts w:ascii="Arial" w:cs="Arial" w:eastAsia="Arial" w:hAnsi="Arial"/>
          <w:sz w:val="19"/>
          <w:szCs w:val="19"/>
          <w:color w:val="auto"/>
        </w:rPr>
        <w:t>Certain Foreign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v</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0139"/>
          </w:cols>
          <w:pgMar w:left="320" w:top="1381" w:right="1440" w:bottom="1440" w:gutter="0" w:footer="0" w:header="0"/>
        </w:sectPr>
      </w:pPr>
    </w:p>
    <w:bookmarkStart w:id="132" w:name="page133"/>
    <w:bookmarkEnd w:id="132"/>
    <w:p>
      <w:pPr>
        <w:jc w:val="both"/>
        <w:ind w:firstLine="643"/>
        <w:spacing w:after="0" w:line="237" w:lineRule="auto"/>
        <w:rPr>
          <w:sz w:val="20"/>
          <w:szCs w:val="20"/>
          <w:color w:val="auto"/>
        </w:rPr>
      </w:pPr>
      <w:r>
        <w:rPr>
          <w:rFonts w:ascii="Arial" w:cs="Arial" w:eastAsia="Arial" w:hAnsi="Arial"/>
          <w:sz w:val="20"/>
          <w:szCs w:val="20"/>
          <w:b w:val="1"/>
          <w:bCs w:val="1"/>
          <w:color w:val="auto"/>
        </w:rPr>
        <w:t xml:space="preserve">THIS AMENDED AND RESTATED SENIOR SECURED REVOLVING CREDIT AGREEMENT </w:t>
      </w:r>
      <w:r>
        <w:rPr>
          <w:rFonts w:ascii="Arial" w:cs="Arial" w:eastAsia="Arial" w:hAnsi="Arial"/>
          <w:sz w:val="20"/>
          <w:szCs w:val="20"/>
          <w:color w:val="auto"/>
        </w:rPr>
        <w:t>dated as of July</w:t>
      </w:r>
      <w:r>
        <w:rPr>
          <w:rFonts w:ascii="Arial" w:cs="Arial" w:eastAsia="Arial" w:hAnsi="Arial"/>
          <w:sz w:val="20"/>
          <w:szCs w:val="20"/>
          <w:b w:val="1"/>
          <w:bCs w:val="1"/>
          <w:color w:val="auto"/>
        </w:rPr>
        <w:t xml:space="preserve"> </w:t>
      </w:r>
      <w:r>
        <w:rPr>
          <w:rFonts w:ascii="Arial" w:cs="Arial" w:eastAsia="Arial" w:hAnsi="Arial"/>
          <w:sz w:val="20"/>
          <w:szCs w:val="20"/>
          <w:color w:val="auto"/>
        </w:rPr>
        <w:t>20, 2018 is among: Viper Energy Partners LLC, a Delaware limited liability company, as borrower (the “</w:t>
      </w:r>
      <w:r>
        <w:rPr>
          <w:rFonts w:ascii="Arial" w:cs="Arial" w:eastAsia="Arial" w:hAnsi="Arial"/>
          <w:sz w:val="20"/>
          <w:szCs w:val="20"/>
          <w:u w:val="single" w:color="auto"/>
          <w:color w:val="auto"/>
        </w:rPr>
        <w:t>Borrower</w:t>
      </w:r>
      <w:r>
        <w:rPr>
          <w:rFonts w:ascii="Arial" w:cs="Arial" w:eastAsia="Arial" w:hAnsi="Arial"/>
          <w:sz w:val="20"/>
          <w:szCs w:val="20"/>
          <w:color w:val="auto"/>
        </w:rPr>
        <w:t>”); Viper Energy Partners LP, a Delaware limited partnership, as parent guarantor (the “</w:t>
      </w:r>
      <w:r>
        <w:rPr>
          <w:rFonts w:ascii="Arial" w:cs="Arial" w:eastAsia="Arial" w:hAnsi="Arial"/>
          <w:sz w:val="20"/>
          <w:szCs w:val="20"/>
          <w:u w:val="single" w:color="auto"/>
          <w:color w:val="auto"/>
        </w:rPr>
        <w:t>Parent Guarantor</w:t>
      </w:r>
      <w:r>
        <w:rPr>
          <w:rFonts w:ascii="Arial" w:cs="Arial" w:eastAsia="Arial" w:hAnsi="Arial"/>
          <w:sz w:val="20"/>
          <w:szCs w:val="20"/>
          <w:color w:val="auto"/>
        </w:rPr>
        <w:t>”); each of the Lenders from time to time party hereto; and Wells Fargo Bank, National Association (in its individual capacity, “</w:t>
      </w:r>
      <w:r>
        <w:rPr>
          <w:rFonts w:ascii="Arial" w:cs="Arial" w:eastAsia="Arial" w:hAnsi="Arial"/>
          <w:sz w:val="20"/>
          <w:szCs w:val="20"/>
          <w:u w:val="single" w:color="auto"/>
          <w:color w:val="auto"/>
        </w:rPr>
        <w:t>Wells Fargo</w:t>
      </w:r>
      <w:r>
        <w:rPr>
          <w:rFonts w:ascii="Arial" w:cs="Arial" w:eastAsia="Arial" w:hAnsi="Arial"/>
          <w:sz w:val="20"/>
          <w:szCs w:val="20"/>
          <w:color w:val="auto"/>
        </w:rPr>
        <w:t>”), as administrative agent for the Lenders (in such capacity, together with its successors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 E C I T A L S</w:t>
      </w:r>
    </w:p>
    <w:p>
      <w:pPr>
        <w:spacing w:after="0" w:line="193" w:lineRule="exact"/>
        <w:rPr>
          <w:sz w:val="20"/>
          <w:szCs w:val="20"/>
          <w:color w:val="auto"/>
        </w:rPr>
      </w:pPr>
    </w:p>
    <w:p>
      <w:pPr>
        <w:jc w:val="both"/>
        <w:ind w:firstLine="650"/>
        <w:spacing w:after="0" w:line="238" w:lineRule="auto"/>
        <w:tabs>
          <w:tab w:leader="none" w:pos="1195"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Parent Guarantor, the Borrower, the Administrative Agent and other financial institutions named and defined therein as lenders and agents entered into that certain Senior Secured Revolving Credit Agreement dated as of July 8, 2014, pursuant to which such lenders provided certain loans to and extensions of credit on behalf of the Parent Guarantor, as borrower thereunder (as heretofore amended, modified or supplemented,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w:t>
      </w:r>
    </w:p>
    <w:p>
      <w:pPr>
        <w:spacing w:after="0" w:line="158" w:lineRule="exact"/>
        <w:rPr>
          <w:rFonts w:ascii="Arial" w:cs="Arial" w:eastAsia="Arial" w:hAnsi="Arial"/>
          <w:sz w:val="20"/>
          <w:szCs w:val="20"/>
          <w:color w:val="auto"/>
        </w:rPr>
      </w:pPr>
    </w:p>
    <w:p>
      <w:pPr>
        <w:jc w:val="both"/>
        <w:ind w:firstLine="650"/>
        <w:spacing w:after="0" w:line="245" w:lineRule="auto"/>
        <w:tabs>
          <w:tab w:leader="none" w:pos="1116" w:val="left"/>
        </w:tabs>
        <w:numPr>
          <w:ilvl w:val="1"/>
          <w:numId w:val="48"/>
        </w:numPr>
        <w:rPr>
          <w:rFonts w:ascii="Arial" w:cs="Arial" w:eastAsia="Arial" w:hAnsi="Arial"/>
          <w:sz w:val="19"/>
          <w:szCs w:val="19"/>
          <w:color w:val="auto"/>
        </w:rPr>
      </w:pPr>
      <w:r>
        <w:rPr>
          <w:rFonts w:ascii="Arial" w:cs="Arial" w:eastAsia="Arial" w:hAnsi="Arial"/>
          <w:sz w:val="19"/>
          <w:szCs w:val="19"/>
          <w:color w:val="auto"/>
        </w:rPr>
        <w:t>Pursuant to that certain Assignment and Assumption Agreement dated as of May 30, 2018 by and between the Parent Guarantor and the Borrower, and consented to by the Administrative Agent and the lenders under the Existing Credit Agreement,</w:t>
      </w:r>
    </w:p>
    <w:p>
      <w:pPr>
        <w:jc w:val="both"/>
        <w:ind w:firstLine="7"/>
        <w:spacing w:after="0" w:line="223" w:lineRule="auto"/>
        <w:tabs>
          <w:tab w:leader="none" w:pos="372"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Parent Guarantor assigned to the Borrower its liabilities, obligations, responsibilities, rights and benefits as “</w:t>
      </w:r>
      <w:r>
        <w:rPr>
          <w:rFonts w:ascii="Arial" w:cs="Arial" w:eastAsia="Arial" w:hAnsi="Arial"/>
          <w:sz w:val="21"/>
          <w:szCs w:val="21"/>
          <w:u w:val="single" w:color="auto"/>
          <w:color w:val="auto"/>
        </w:rPr>
        <w:t>Borrower</w:t>
      </w:r>
      <w:r>
        <w:rPr>
          <w:rFonts w:ascii="Arial" w:cs="Arial" w:eastAsia="Arial" w:hAnsi="Arial"/>
          <w:sz w:val="21"/>
          <w:szCs w:val="21"/>
          <w:color w:val="auto"/>
        </w:rPr>
        <w:t>” under the Existing Credit Agreement and the Loan Documents (as defined thereunder), and the Borrower accepted such assignment and assumed such obligations and (B) the Parent Guarantor became a guarantor under the Existing Credit Agreement and the Loan Documents (as defined thereunder).</w:t>
      </w:r>
    </w:p>
    <w:p>
      <w:pPr>
        <w:spacing w:after="0" w:line="155" w:lineRule="exact"/>
        <w:rPr>
          <w:rFonts w:ascii="Arial" w:cs="Arial" w:eastAsia="Arial" w:hAnsi="Arial"/>
          <w:sz w:val="21"/>
          <w:szCs w:val="21"/>
          <w:color w:val="auto"/>
        </w:rPr>
      </w:pPr>
    </w:p>
    <w:p>
      <w:pPr>
        <w:ind w:right="20" w:firstLine="650"/>
        <w:spacing w:after="0" w:line="244" w:lineRule="auto"/>
        <w:tabs>
          <w:tab w:leader="none" w:pos="1221"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Borrower has requested, and the Lenders have agreed, to amend and restate the Existing Credit Agreement subject to the terms and conditions of this Agreement.</w:t>
      </w:r>
    </w:p>
    <w:p>
      <w:pPr>
        <w:spacing w:after="0" w:line="151" w:lineRule="exact"/>
        <w:rPr>
          <w:rFonts w:ascii="Arial" w:cs="Arial" w:eastAsia="Arial" w:hAnsi="Arial"/>
          <w:sz w:val="21"/>
          <w:szCs w:val="21"/>
          <w:color w:val="auto"/>
        </w:rPr>
      </w:pPr>
    </w:p>
    <w:p>
      <w:pPr>
        <w:ind w:firstLine="650"/>
        <w:spacing w:after="0" w:line="244" w:lineRule="auto"/>
        <w:tabs>
          <w:tab w:leader="none" w:pos="1298" w:val="left"/>
        </w:tabs>
        <w:numPr>
          <w:ilvl w:val="1"/>
          <w:numId w:val="49"/>
        </w:numPr>
        <w:rPr>
          <w:rFonts w:ascii="Arial" w:cs="Arial" w:eastAsia="Arial" w:hAnsi="Arial"/>
          <w:sz w:val="21"/>
          <w:szCs w:val="21"/>
          <w:color w:val="auto"/>
        </w:rPr>
      </w:pPr>
      <w:r>
        <w:rPr>
          <w:rFonts w:ascii="Arial" w:cs="Arial" w:eastAsia="Arial" w:hAnsi="Arial"/>
          <w:sz w:val="21"/>
          <w:szCs w:val="21"/>
          <w:color w:val="auto"/>
        </w:rPr>
        <w:t>Now, therefore, in consideration of the mutual covenants and agreements herein contained and of the loans, extensions of credit and commitments hereinafter referred to, the parties hereto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jc w:val="center"/>
        <w:spacing w:after="0"/>
        <w:rPr>
          <w:sz w:val="20"/>
          <w:szCs w:val="20"/>
          <w:color w:val="auto"/>
        </w:rPr>
      </w:pPr>
      <w:r>
        <w:rPr>
          <w:rFonts w:ascii="Arial" w:cs="Arial" w:eastAsia="Arial" w:hAnsi="Arial"/>
          <w:sz w:val="21"/>
          <w:szCs w:val="21"/>
          <w:b w:val="1"/>
          <w:bCs w:val="1"/>
          <w:color w:val="auto"/>
        </w:rPr>
        <w:t>Definitions and Accounting Matters</w:t>
      </w:r>
    </w:p>
    <w:p>
      <w:pPr>
        <w:spacing w:after="0" w:line="160" w:lineRule="exact"/>
        <w:rPr>
          <w:sz w:val="20"/>
          <w:szCs w:val="20"/>
          <w:color w:val="auto"/>
        </w:rPr>
      </w:pPr>
    </w:p>
    <w:p>
      <w:pPr>
        <w:ind w:left="640"/>
        <w:spacing w:after="0"/>
        <w:tabs>
          <w:tab w:leader="none" w:pos="2040" w:val="left"/>
        </w:tabs>
        <w:rPr>
          <w:sz w:val="20"/>
          <w:szCs w:val="20"/>
          <w:color w:val="auto"/>
        </w:rPr>
      </w:pPr>
      <w:r>
        <w:rPr>
          <w:rFonts w:ascii="Arial" w:cs="Arial" w:eastAsia="Arial" w:hAnsi="Arial"/>
          <w:sz w:val="21"/>
          <w:szCs w:val="21"/>
          <w:color w:val="auto"/>
        </w:rPr>
        <w:t>Section 1.01</w:t>
      </w:r>
      <w:r>
        <w:rPr>
          <w:sz w:val="20"/>
          <w:szCs w:val="20"/>
          <w:color w:val="auto"/>
        </w:rPr>
        <w:tab/>
      </w:r>
      <w:r>
        <w:rPr>
          <w:rFonts w:ascii="Arial" w:cs="Arial" w:eastAsia="Arial" w:hAnsi="Arial"/>
          <w:sz w:val="20"/>
          <w:szCs w:val="20"/>
          <w:u w:val="single" w:color="auto"/>
          <w:color w:val="auto"/>
        </w:rPr>
        <w:t>Terms Defined Above</w:t>
      </w:r>
      <w:r>
        <w:rPr>
          <w:rFonts w:ascii="Arial" w:cs="Arial" w:eastAsia="Arial" w:hAnsi="Arial"/>
          <w:sz w:val="20"/>
          <w:szCs w:val="20"/>
          <w:color w:val="auto"/>
        </w:rPr>
        <w:t>. As used in this Agreement, each term defined above has the meaning indicated</w:t>
      </w:r>
    </w:p>
    <w:p>
      <w:pPr>
        <w:spacing w:after="0"/>
        <w:rPr>
          <w:sz w:val="20"/>
          <w:szCs w:val="20"/>
          <w:color w:val="auto"/>
        </w:rPr>
      </w:pPr>
      <w:r>
        <w:rPr>
          <w:rFonts w:ascii="Arial" w:cs="Arial" w:eastAsia="Arial" w:hAnsi="Arial"/>
          <w:sz w:val="21"/>
          <w:szCs w:val="21"/>
          <w:color w:val="auto"/>
        </w:rPr>
        <w:t>above.</w:t>
      </w:r>
    </w:p>
    <w:p>
      <w:pPr>
        <w:spacing w:after="0" w:line="16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1.02</w:t>
      </w:r>
      <w:r>
        <w:rPr>
          <w:sz w:val="20"/>
          <w:szCs w:val="20"/>
          <w:color w:val="auto"/>
        </w:rPr>
        <w:tab/>
      </w:r>
      <w:r>
        <w:rPr>
          <w:rFonts w:ascii="Arial" w:cs="Arial" w:eastAsia="Arial" w:hAnsi="Arial"/>
          <w:sz w:val="19"/>
          <w:szCs w:val="19"/>
          <w:u w:val="single" w:color="auto"/>
          <w:color w:val="auto"/>
        </w:rPr>
        <w:t>Certain Defined Terms</w:t>
      </w:r>
      <w:r>
        <w:rPr>
          <w:rFonts w:ascii="Arial" w:cs="Arial" w:eastAsia="Arial" w:hAnsi="Arial"/>
          <w:sz w:val="19"/>
          <w:szCs w:val="19"/>
          <w:color w:val="auto"/>
        </w:rPr>
        <w:t>. As used in this Agreement, the following terms have the meanings specified below:</w:t>
      </w:r>
    </w:p>
    <w:p>
      <w:pPr>
        <w:spacing w:after="0" w:line="187" w:lineRule="exact"/>
        <w:rPr>
          <w:sz w:val="20"/>
          <w:szCs w:val="20"/>
          <w:color w:val="auto"/>
        </w:rPr>
      </w:pPr>
    </w:p>
    <w:p>
      <w:pPr>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ABR</w:t>
      </w:r>
      <w:r>
        <w:rPr>
          <w:rFonts w:ascii="Arial" w:cs="Arial" w:eastAsia="Arial" w:hAnsi="Arial"/>
          <w:sz w:val="21"/>
          <w:szCs w:val="21"/>
          <w:color w:val="auto"/>
        </w:rPr>
        <w:t>”, when used in reference to any Loan or Borrowing, refers to whether such Loan, or the Loans comprising such Borrowing, are bearing interest at a rate determined by reference to the Alternate Base Rate.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 Swaps</w:t>
      </w:r>
      <w:r>
        <w:rPr>
          <w:rFonts w:ascii="Arial" w:cs="Arial" w:eastAsia="Arial" w:hAnsi="Arial"/>
          <w:sz w:val="21"/>
          <w:szCs w:val="21"/>
          <w:color w:val="auto"/>
        </w:rPr>
        <w:t>” has the meaning assigned such term in Section 9.18(b).</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Lender</w:t>
      </w:r>
      <w:r>
        <w:rPr>
          <w:rFonts w:ascii="Arial" w:cs="Arial" w:eastAsia="Arial" w:hAnsi="Arial"/>
          <w:sz w:val="21"/>
          <w:szCs w:val="21"/>
          <w:color w:val="auto"/>
        </w:rPr>
        <w:t>” has the meaning assigned to such term in Section 2.06(b)(ii)(A).</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Lender Agreement</w:t>
      </w:r>
      <w:r>
        <w:rPr>
          <w:rFonts w:ascii="Arial" w:cs="Arial" w:eastAsia="Arial" w:hAnsi="Arial"/>
          <w:sz w:val="21"/>
          <w:szCs w:val="21"/>
          <w:color w:val="auto"/>
        </w:rPr>
        <w:t>” has the meaning assigned to such term in Section 2.06(b)(ii)(B)(7).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84" w:right="339" w:bottom="1440" w:gutter="0" w:footer="0" w:header="0"/>
        </w:sectPr>
      </w:pPr>
    </w:p>
    <w:bookmarkStart w:id="133" w:name="page134"/>
    <w:bookmarkEnd w:id="133"/>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Term SOFR</w:t>
      </w:r>
      <w:r>
        <w:rPr>
          <w:rFonts w:ascii="Arial" w:cs="Arial" w:eastAsia="Arial" w:hAnsi="Arial"/>
          <w:sz w:val="21"/>
          <w:szCs w:val="21"/>
          <w:color w:val="auto"/>
        </w:rPr>
        <w:t>” means,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 specified Person, another Person that directly, or indirectly through one or more intermediaries, Controls or is Controlled by or is under common Control with the Person specified.</w:t>
      </w:r>
    </w:p>
    <w:p>
      <w:pPr>
        <w:spacing w:after="0" w:line="152"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Agents</w:t>
      </w:r>
      <w:r>
        <w:rPr>
          <w:rFonts w:ascii="Arial" w:cs="Arial" w:eastAsia="Arial" w:hAnsi="Arial"/>
          <w:sz w:val="21"/>
          <w:szCs w:val="21"/>
          <w:color w:val="auto"/>
        </w:rPr>
        <w:t>” means, collectively, the Administrative Agent and the Syndication Agents; and “</w:t>
      </w:r>
      <w:r>
        <w:rPr>
          <w:rFonts w:ascii="Arial" w:cs="Arial" w:eastAsia="Arial" w:hAnsi="Arial"/>
          <w:sz w:val="21"/>
          <w:szCs w:val="21"/>
          <w:u w:val="single" w:color="auto"/>
          <w:color w:val="auto"/>
        </w:rPr>
        <w:t>Agent</w:t>
      </w:r>
      <w:r>
        <w:rPr>
          <w:rFonts w:ascii="Arial" w:cs="Arial" w:eastAsia="Arial" w:hAnsi="Arial"/>
          <w:sz w:val="21"/>
          <w:szCs w:val="21"/>
          <w:color w:val="auto"/>
        </w:rPr>
        <w:t>” shall mean either the Administrative Agent or a Syndication Agent, as the context requires.</w:t>
      </w:r>
    </w:p>
    <w:p>
      <w:pPr>
        <w:spacing w:after="0" w:line="152"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Aggregate Elected Commitment Amounts</w:t>
      </w:r>
      <w:r>
        <w:rPr>
          <w:rFonts w:ascii="Arial" w:cs="Arial" w:eastAsia="Arial" w:hAnsi="Arial"/>
          <w:sz w:val="21"/>
          <w:szCs w:val="21"/>
          <w:color w:val="auto"/>
        </w:rPr>
        <w:t>” at any time shall equal the sum of the Elected Commitments, as the same may be increased, reduced or terminated pursuant to Section 2.06(b). The Aggregate Elected Commitment Amounts as of the Seventh Amendment Effective Date are $500,000,000.</w:t>
      </w:r>
    </w:p>
    <w:p>
      <w:pPr>
        <w:spacing w:after="0" w:line="15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Aggregate Maximum Credit Amounts</w:t>
      </w:r>
      <w:r>
        <w:rPr>
          <w:rFonts w:ascii="Arial" w:cs="Arial" w:eastAsia="Arial" w:hAnsi="Arial"/>
          <w:sz w:val="21"/>
          <w:szCs w:val="21"/>
          <w:color w:val="auto"/>
        </w:rPr>
        <w:t>” at any time shall equal the sum of the Maximum Credit Amounts, as the same may be increased, reduced or terminated pursuant to Section 2.06. The Aggregate Maximum Credit Amounts as of the Seventh Amendment Effective Date are $2,000,000,000.</w:t>
      </w:r>
    </w:p>
    <w:p>
      <w:pPr>
        <w:spacing w:after="0" w:line="157" w:lineRule="exact"/>
        <w:rPr>
          <w:sz w:val="20"/>
          <w:szCs w:val="20"/>
          <w:color w:val="auto"/>
        </w:rPr>
      </w:pPr>
    </w:p>
    <w:p>
      <w:pPr>
        <w:jc w:val="both"/>
        <w:ind w:right="20"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means this Amended and Restated Senior Secured Revolving Credit Agreement, as the same may be amended, amended and restated, modified or supplemented from time to time.</w:t>
      </w:r>
    </w:p>
    <w:p>
      <w:pPr>
        <w:spacing w:after="0" w:line="152" w:lineRule="exact"/>
        <w:rPr>
          <w:sz w:val="20"/>
          <w:szCs w:val="20"/>
          <w:color w:val="auto"/>
        </w:rPr>
      </w:pPr>
    </w:p>
    <w:p>
      <w:pPr>
        <w:jc w:val="both"/>
        <w:ind w:firstLine="643"/>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Alternate Base Rate</w:t>
      </w:r>
      <w:r>
        <w:rPr>
          <w:rFonts w:ascii="Arial" w:cs="Arial" w:eastAsia="Arial" w:hAnsi="Arial"/>
          <w:sz w:val="21"/>
          <w:szCs w:val="21"/>
          <w:color w:val="auto"/>
        </w:rPr>
        <w:t xml:space="preserve">” means, for any day, a rate per annum equal to the greatest of (a) the Prime Rate in effect on such day, (b) the Federal Funds Effective Rate in effect on such day plus ½ of 1% and (c)(i) Adjusted Term SOFR for a one-month Interest Period beginning on such day (or if such day is not a Business Day, the immediately preceding Business Day) plus (ii) 1%,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clause (c) of this definition shall not be applicable during any period in which Adjusted Term SOFR is unavailable or unascertainable. Any change in the Alternate Base Rate due to a change in the Prime Rate, the Federal Funds Effective Rate or Adjusted Term SOFR shall be effective from and including the effective date of such change in the Prime Rate, the Federal Funds Effective Rate or Adjusted Term SOFR, respectively.</w:t>
      </w:r>
    </w:p>
    <w:p>
      <w:pPr>
        <w:spacing w:after="0" w:line="15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Law</w:t>
      </w:r>
      <w:r>
        <w:rPr>
          <w:rFonts w:ascii="Arial" w:cs="Arial" w:eastAsia="Arial" w:hAnsi="Arial"/>
          <w:sz w:val="21"/>
          <w:szCs w:val="21"/>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5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Margin</w:t>
      </w:r>
      <w:r>
        <w:rPr>
          <w:rFonts w:ascii="Arial" w:cs="Arial" w:eastAsia="Arial" w:hAnsi="Arial"/>
          <w:sz w:val="21"/>
          <w:szCs w:val="21"/>
          <w:color w:val="auto"/>
        </w:rPr>
        <w:t>” means, for any day, with respect to any ABR Loan or SOFR Loan or with respect to the Commitment Fee Rate, as the case may be, the rate per annum set forth in the Utilization Grid below based upon the Utilization Percentage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34" w:name="page135"/>
    <w:bookmarkEnd w:id="134"/>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Utilization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41845" cy="909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41845" cy="9099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60" w:type="dxa"/>
            <w:vAlign w:val="bottom"/>
            <w:tcBorders>
              <w:top w:val="single" w:sz="8" w:color="auto"/>
              <w:right w:val="single" w:sz="8" w:color="auto"/>
            </w:tcBorders>
          </w:tcPr>
          <w:p>
            <w:pPr>
              <w:ind w:left="80"/>
              <w:spacing w:after="0" w:line="211" w:lineRule="exact"/>
              <w:rPr>
                <w:sz w:val="20"/>
                <w:szCs w:val="20"/>
                <w:color w:val="auto"/>
              </w:rPr>
            </w:pPr>
            <w:r>
              <w:rPr>
                <w:rFonts w:ascii="Arial" w:cs="Arial" w:eastAsia="Arial" w:hAnsi="Arial"/>
                <w:sz w:val="21"/>
                <w:szCs w:val="21"/>
                <w:color w:val="auto"/>
              </w:rPr>
              <w:t>Utilization Percentage</w:t>
            </w:r>
          </w:p>
        </w:tc>
        <w:tc>
          <w:tcPr>
            <w:tcW w:w="1480" w:type="dxa"/>
            <w:vAlign w:val="bottom"/>
            <w:tcBorders>
              <w:top w:val="single" w:sz="8" w:color="auto"/>
              <w:right w:val="single" w:sz="8" w:color="auto"/>
            </w:tcBorders>
          </w:tcPr>
          <w:p>
            <w:pPr>
              <w:jc w:val="center"/>
              <w:spacing w:after="0" w:line="211" w:lineRule="exact"/>
              <w:rPr>
                <w:sz w:val="20"/>
                <w:szCs w:val="20"/>
                <w:color w:val="auto"/>
              </w:rPr>
            </w:pPr>
            <w:r>
              <w:rPr>
                <w:rFonts w:ascii="Arial" w:cs="Arial" w:eastAsia="Arial" w:hAnsi="Arial"/>
                <w:sz w:val="21"/>
                <w:szCs w:val="21"/>
                <w:color w:val="auto"/>
                <w:w w:val="95"/>
              </w:rPr>
              <w:t>&lt;25%</w:t>
            </w:r>
          </w:p>
        </w:tc>
        <w:tc>
          <w:tcPr>
            <w:tcW w:w="1800" w:type="dxa"/>
            <w:vAlign w:val="bottom"/>
            <w:tcBorders>
              <w:top w:val="single" w:sz="8" w:color="auto"/>
              <w:right w:val="single" w:sz="8" w:color="auto"/>
            </w:tcBorders>
            <w:gridSpan w:val="3"/>
          </w:tcPr>
          <w:p>
            <w:pPr>
              <w:jc w:val="center"/>
              <w:ind w:right="40"/>
              <w:spacing w:after="0" w:line="211" w:lineRule="exact"/>
              <w:rPr>
                <w:sz w:val="20"/>
                <w:szCs w:val="20"/>
                <w:color w:val="auto"/>
              </w:rPr>
            </w:pPr>
            <w:r>
              <w:rPr>
                <w:rFonts w:ascii="Arial" w:cs="Arial" w:eastAsia="Arial" w:hAnsi="Arial"/>
                <w:sz w:val="21"/>
                <w:szCs w:val="21"/>
                <w:color w:val="auto"/>
                <w:w w:val="94"/>
              </w:rPr>
              <w:t>&gt;25% &lt;50%</w:t>
            </w:r>
          </w:p>
        </w:tc>
        <w:tc>
          <w:tcPr>
            <w:tcW w:w="1900" w:type="dxa"/>
            <w:vAlign w:val="bottom"/>
            <w:tcBorders>
              <w:top w:val="single" w:sz="8" w:color="auto"/>
              <w:right w:val="single" w:sz="8" w:color="auto"/>
            </w:tcBorders>
            <w:gridSpan w:val="3"/>
          </w:tcPr>
          <w:p>
            <w:pPr>
              <w:jc w:val="center"/>
              <w:ind w:right="40"/>
              <w:spacing w:after="0" w:line="211" w:lineRule="exact"/>
              <w:rPr>
                <w:sz w:val="20"/>
                <w:szCs w:val="20"/>
                <w:color w:val="auto"/>
              </w:rPr>
            </w:pPr>
            <w:r>
              <w:rPr>
                <w:rFonts w:ascii="Arial" w:cs="Arial" w:eastAsia="Arial" w:hAnsi="Arial"/>
                <w:sz w:val="21"/>
                <w:szCs w:val="21"/>
                <w:color w:val="auto"/>
                <w:w w:val="96"/>
              </w:rPr>
              <w:t>&gt;50% &lt;75%</w:t>
            </w:r>
          </w:p>
        </w:tc>
        <w:tc>
          <w:tcPr>
            <w:tcW w:w="1780" w:type="dxa"/>
            <w:vAlign w:val="bottom"/>
            <w:tcBorders>
              <w:top w:val="single" w:sz="8" w:color="auto"/>
              <w:right w:val="single" w:sz="8" w:color="auto"/>
            </w:tcBorders>
            <w:gridSpan w:val="5"/>
          </w:tcPr>
          <w:p>
            <w:pPr>
              <w:jc w:val="center"/>
              <w:ind w:right="20"/>
              <w:spacing w:after="0" w:line="211" w:lineRule="exact"/>
              <w:rPr>
                <w:sz w:val="20"/>
                <w:szCs w:val="20"/>
                <w:color w:val="auto"/>
              </w:rPr>
            </w:pPr>
            <w:r>
              <w:rPr>
                <w:rFonts w:ascii="Arial" w:cs="Arial" w:eastAsia="Arial" w:hAnsi="Arial"/>
                <w:sz w:val="21"/>
                <w:szCs w:val="21"/>
                <w:color w:val="auto"/>
                <w:w w:val="94"/>
              </w:rPr>
              <w:t>&gt;75% &lt;90%</w:t>
            </w:r>
          </w:p>
        </w:tc>
        <w:tc>
          <w:tcPr>
            <w:tcW w:w="1440" w:type="dxa"/>
            <w:vAlign w:val="bottom"/>
            <w:tcBorders>
              <w:top w:val="single" w:sz="8" w:color="auto"/>
            </w:tcBorders>
          </w:tcPr>
          <w:p>
            <w:pPr>
              <w:jc w:val="center"/>
              <w:spacing w:after="0" w:line="211" w:lineRule="exact"/>
              <w:rPr>
                <w:sz w:val="20"/>
                <w:szCs w:val="20"/>
                <w:color w:val="auto"/>
              </w:rPr>
            </w:pPr>
            <w:r>
              <w:rPr>
                <w:rFonts w:ascii="Arial" w:cs="Arial" w:eastAsia="Arial" w:hAnsi="Arial"/>
                <w:sz w:val="21"/>
                <w:szCs w:val="21"/>
                <w:color w:val="auto"/>
                <w:w w:val="92"/>
              </w:rPr>
              <w:t>&gt;90%</w:t>
            </w:r>
          </w:p>
        </w:tc>
      </w:tr>
      <w:tr>
        <w:trPr>
          <w:trHeight w:val="47"/>
        </w:trPr>
        <w:tc>
          <w:tcPr>
            <w:tcW w:w="28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61"/>
        </w:trPr>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SOFR Loans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2.00%</w:t>
            </w:r>
          </w:p>
        </w:tc>
        <w:tc>
          <w:tcPr>
            <w:tcW w:w="18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3"/>
              </w:rPr>
              <w:t>2.25%</w:t>
            </w:r>
          </w:p>
        </w:tc>
        <w:tc>
          <w:tcPr>
            <w:tcW w:w="19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0"/>
              </w:rPr>
              <w:t>2.50%</w:t>
            </w:r>
          </w:p>
        </w:tc>
        <w:tc>
          <w:tcPr>
            <w:tcW w:w="178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21"/>
                <w:szCs w:val="21"/>
                <w:color w:val="auto"/>
                <w:w w:val="93"/>
              </w:rPr>
              <w:t>2.75%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0"/>
              </w:rPr>
              <w:t>3.00%</w:t>
            </w:r>
          </w:p>
        </w:tc>
      </w:tr>
      <w:tr>
        <w:trPr>
          <w:trHeight w:val="261"/>
        </w:trPr>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ABR Loans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3"/>
              </w:rPr>
              <w:t>1.00%</w:t>
            </w:r>
          </w:p>
        </w:tc>
        <w:tc>
          <w:tcPr>
            <w:tcW w:w="18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3"/>
              </w:rPr>
              <w:t>1.25%</w:t>
            </w:r>
          </w:p>
        </w:tc>
        <w:tc>
          <w:tcPr>
            <w:tcW w:w="19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0"/>
              </w:rPr>
              <w:t>1.50%</w:t>
            </w:r>
          </w:p>
        </w:tc>
        <w:tc>
          <w:tcPr>
            <w:tcW w:w="178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21"/>
                <w:szCs w:val="21"/>
                <w:color w:val="auto"/>
                <w:w w:val="93"/>
              </w:rPr>
              <w:t>1.75%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0"/>
              </w:rPr>
              <w:t>2.00%</w:t>
            </w:r>
          </w:p>
        </w:tc>
      </w:tr>
      <w:tr>
        <w:trPr>
          <w:trHeight w:val="261"/>
        </w:trPr>
        <w:tc>
          <w:tcPr>
            <w:tcW w:w="2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Commitment Fee Rate</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0.375%</w:t>
            </w:r>
          </w:p>
        </w:tc>
        <w:tc>
          <w:tcPr>
            <w:tcW w:w="18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1"/>
                <w:szCs w:val="21"/>
                <w:color w:val="auto"/>
                <w:w w:val="92"/>
              </w:rPr>
              <w:t>0.375%</w:t>
            </w:r>
          </w:p>
        </w:tc>
        <w:tc>
          <w:tcPr>
            <w:tcW w:w="19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2"/>
              </w:rPr>
              <w:t>0.500%</w:t>
            </w:r>
          </w:p>
        </w:tc>
        <w:tc>
          <w:tcPr>
            <w:tcW w:w="1780" w:type="dxa"/>
            <w:vAlign w:val="bottom"/>
            <w:tcBorders>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21"/>
                <w:szCs w:val="21"/>
                <w:color w:val="auto"/>
                <w:w w:val="92"/>
              </w:rPr>
              <w:t>0.500%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2"/>
              </w:rPr>
              <w:t>0.500%</w:t>
            </w:r>
          </w:p>
        </w:tc>
      </w:tr>
    </w:tbl>
    <w:p>
      <w:pPr>
        <w:spacing w:after="0" w:line="300" w:lineRule="exact"/>
        <w:rPr>
          <w:sz w:val="20"/>
          <w:szCs w:val="20"/>
          <w:color w:val="auto"/>
        </w:rPr>
      </w:pPr>
    </w:p>
    <w:p>
      <w:pPr>
        <w:jc w:val="both"/>
        <w:ind w:right="20" w:firstLine="643"/>
        <w:spacing w:after="0" w:line="224" w:lineRule="auto"/>
        <w:rPr>
          <w:sz w:val="20"/>
          <w:szCs w:val="20"/>
          <w:color w:val="auto"/>
        </w:rPr>
      </w:pPr>
      <w:r>
        <w:rPr>
          <w:rFonts w:ascii="Arial" w:cs="Arial" w:eastAsia="Arial" w:hAnsi="Arial"/>
          <w:sz w:val="21"/>
          <w:szCs w:val="21"/>
          <w:color w:val="auto"/>
        </w:rPr>
        <w:t>Each change in the Applicable Margin and the Commitment Fee Rate shall apply during the period commencing on the effective date of such change and ending on the date immediately preceding the effective date of the next such change, provided, however, that if at any time the Borrower fails to deliver a Reserve Report pursuant to Section 8.12, then until such delivery the “</w:t>
      </w:r>
      <w:r>
        <w:rPr>
          <w:rFonts w:ascii="Arial" w:cs="Arial" w:eastAsia="Arial" w:hAnsi="Arial"/>
          <w:sz w:val="21"/>
          <w:szCs w:val="21"/>
          <w:u w:val="single" w:color="auto"/>
          <w:color w:val="auto"/>
        </w:rPr>
        <w:t>Applicable Margin</w:t>
      </w:r>
      <w:r>
        <w:rPr>
          <w:rFonts w:ascii="Arial" w:cs="Arial" w:eastAsia="Arial" w:hAnsi="Arial"/>
          <w:sz w:val="21"/>
          <w:szCs w:val="21"/>
          <w:color w:val="auto"/>
        </w:rPr>
        <w:t>” and the “</w:t>
      </w:r>
      <w:r>
        <w:rPr>
          <w:rFonts w:ascii="Arial" w:cs="Arial" w:eastAsia="Arial" w:hAnsi="Arial"/>
          <w:sz w:val="21"/>
          <w:szCs w:val="21"/>
          <w:u w:val="single" w:color="auto"/>
          <w:color w:val="auto"/>
        </w:rPr>
        <w:t>Commitment Fee Rate</w:t>
      </w:r>
      <w:r>
        <w:rPr>
          <w:rFonts w:ascii="Arial" w:cs="Arial" w:eastAsia="Arial" w:hAnsi="Arial"/>
          <w:sz w:val="21"/>
          <w:szCs w:val="21"/>
          <w:color w:val="auto"/>
        </w:rPr>
        <w:t>” mean the rate per annum set forth on the grid when the Utilization Percentage is at its highest level.</w:t>
      </w:r>
    </w:p>
    <w:p>
      <w:pPr>
        <w:spacing w:after="0" w:line="158" w:lineRule="exact"/>
        <w:rPr>
          <w:sz w:val="20"/>
          <w:szCs w:val="20"/>
          <w:color w:val="auto"/>
        </w:rPr>
      </w:pPr>
    </w:p>
    <w:p>
      <w:pPr>
        <w:jc w:val="both"/>
        <w:ind w:right="20" w:firstLine="643"/>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Percentage</w:t>
      </w:r>
      <w:r>
        <w:rPr>
          <w:rFonts w:ascii="Arial" w:cs="Arial" w:eastAsia="Arial" w:hAnsi="Arial"/>
          <w:sz w:val="21"/>
          <w:szCs w:val="21"/>
          <w:color w:val="auto"/>
        </w:rPr>
        <w:t xml:space="preserve">” means, with respect to any Lender, the percentage of the Aggregate Elected Commitment Amount represented by such Lender’s Elected Commitment Amount as such percentage is set forth on Annex I;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Commitments have terminated or expired, the Applicable Percentages shall be determined based upon the Revolving Credit Exposures then outstanding.</w:t>
      </w:r>
    </w:p>
    <w:p>
      <w:pPr>
        <w:spacing w:after="0" w:line="158" w:lineRule="exact"/>
        <w:rPr>
          <w:sz w:val="20"/>
          <w:szCs w:val="20"/>
          <w:color w:val="auto"/>
        </w:rPr>
      </w:pPr>
    </w:p>
    <w:p>
      <w:pPr>
        <w:jc w:val="both"/>
        <w:ind w:right="20"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Counterparty</w:t>
      </w:r>
      <w:r>
        <w:rPr>
          <w:rFonts w:ascii="Arial" w:cs="Arial" w:eastAsia="Arial" w:hAnsi="Arial"/>
          <w:sz w:val="21"/>
          <w:szCs w:val="21"/>
          <w:color w:val="auto"/>
        </w:rPr>
        <w:t>” means (a) any Lender or any Affiliate of a Lender and (b) any other Person whose long term senior unsecured debt rating is A-/A3 by S&amp;P or Moody’s (or their equivalent) or higher.</w:t>
      </w:r>
    </w:p>
    <w:p>
      <w:pPr>
        <w:spacing w:after="0" w:line="152" w:lineRule="exact"/>
        <w:rPr>
          <w:sz w:val="20"/>
          <w:szCs w:val="20"/>
          <w:color w:val="auto"/>
        </w:rPr>
      </w:pPr>
    </w:p>
    <w:p>
      <w:pPr>
        <w:jc w:val="both"/>
        <w:ind w:right="20"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Petroleum Engineers</w:t>
      </w:r>
      <w:r>
        <w:rPr>
          <w:rFonts w:ascii="Arial" w:cs="Arial" w:eastAsia="Arial" w:hAnsi="Arial"/>
          <w:sz w:val="21"/>
          <w:szCs w:val="21"/>
          <w:color w:val="auto"/>
        </w:rPr>
        <w:t>” means (a) Netherland, Sewell &amp; Associates, Inc., (b) Ryder Scott Company Petroleum Consultants, L.P., (c) Cawley, Gillespie &amp; Associates, Inc., (d) Pinnacle Energy Services, LLC and (e) any other independent petroleum engineers reasonably acceptable to the Administrative Agent.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w:t>
      </w:r>
      <w:r>
        <w:rPr>
          <w:rFonts w:ascii="Arial" w:cs="Arial" w:eastAsia="Arial" w:hAnsi="Arial"/>
          <w:sz w:val="19"/>
          <w:szCs w:val="19"/>
          <w:color w:val="auto"/>
        </w:rPr>
        <w:t>” means Wells Fargo Securities, LLC, in its capacity as the sole book runner and sole lead arranger hereunder.</w:t>
      </w:r>
    </w:p>
    <w:p>
      <w:pPr>
        <w:spacing w:after="0" w:line="210" w:lineRule="exact"/>
        <w:rPr>
          <w:sz w:val="20"/>
          <w:szCs w:val="20"/>
          <w:color w:val="auto"/>
        </w:rPr>
      </w:pPr>
    </w:p>
    <w:p>
      <w:pPr>
        <w:jc w:val="both"/>
        <w:ind w:right="20"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means an assignment and assumption entered into by a Lender and an assignee (with the consent of any party whose consent is required by Section 12.04(b)), and accepted by the Administrative Agent, in the form of Exhibit F or any other form approved by the Administrative Agent.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Availability Period</w:t>
      </w:r>
      <w:r>
        <w:rPr>
          <w:rFonts w:ascii="Arial" w:cs="Arial" w:eastAsia="Arial" w:hAnsi="Arial"/>
          <w:sz w:val="21"/>
          <w:szCs w:val="21"/>
          <w:color w:val="auto"/>
        </w:rPr>
        <w:t>” means the period from and including the Effective Date to but excluding the Termination Date.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Tenor</w:t>
      </w:r>
      <w:r>
        <w:rPr>
          <w:rFonts w:ascii="Arial" w:cs="Arial" w:eastAsia="Arial" w:hAnsi="Arial"/>
          <w:sz w:val="19"/>
          <w:szCs w:val="19"/>
          <w:color w:val="auto"/>
        </w:rPr>
        <w:t>” means, as of any date of determination and with respect to the then-current Benchmark, as applicable,</w:t>
      </w:r>
    </w:p>
    <w:p>
      <w:pPr>
        <w:spacing w:after="0" w:line="14" w:lineRule="exact"/>
        <w:rPr>
          <w:sz w:val="20"/>
          <w:szCs w:val="20"/>
          <w:color w:val="auto"/>
        </w:rPr>
      </w:pPr>
    </w:p>
    <w:p>
      <w:pPr>
        <w:jc w:val="both"/>
        <w:ind w:right="20" w:firstLine="7"/>
        <w:spacing w:after="0" w:line="245" w:lineRule="auto"/>
        <w:tabs>
          <w:tab w:leader="none" w:pos="295"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3.03(c)(iv).</w:t>
      </w:r>
    </w:p>
    <w:p>
      <w:pPr>
        <w:spacing w:after="0" w:line="152" w:lineRule="exact"/>
        <w:rPr>
          <w:sz w:val="20"/>
          <w:szCs w:val="20"/>
          <w:color w:val="auto"/>
        </w:rPr>
      </w:pPr>
    </w:p>
    <w:p>
      <w:pPr>
        <w:ind w:right="20"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Bail-In Action</w:t>
      </w:r>
      <w:r>
        <w:rPr>
          <w:rFonts w:ascii="Arial" w:cs="Arial" w:eastAsia="Arial" w:hAnsi="Arial"/>
          <w:sz w:val="21"/>
          <w:szCs w:val="21"/>
          <w:color w:val="auto"/>
        </w:rPr>
        <w:t>” means the exercise of any Write-Down and Conversion Powers by the applicable Resolution Authority in respect of any liability of an Affected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3</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60"/>
          </w:cols>
          <w:pgMar w:left="320" w:top="1440" w:right="319" w:bottom="1440" w:gutter="0" w:footer="0" w:header="0"/>
        </w:sectPr>
      </w:pPr>
    </w:p>
    <w:bookmarkStart w:id="135" w:name="page136"/>
    <w:bookmarkEnd w:id="135"/>
    <w:p>
      <w:pPr>
        <w:jc w:val="both"/>
        <w:ind w:firstLine="643"/>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Bail-In Legislation</w:t>
      </w:r>
      <w:r>
        <w:rPr>
          <w:rFonts w:ascii="Arial" w:cs="Arial" w:eastAsia="Arial" w:hAnsi="Arial"/>
          <w:sz w:val="21"/>
          <w:szCs w:val="2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 Term SOFR Determination Day</w:t>
      </w:r>
      <w:r>
        <w:rPr>
          <w:rFonts w:ascii="Arial" w:cs="Arial" w:eastAsia="Arial" w:hAnsi="Arial"/>
          <w:sz w:val="21"/>
          <w:szCs w:val="21"/>
          <w:color w:val="auto"/>
        </w:rPr>
        <w:t>” has the meaning assigned thereto in the definition of “Term SOFR”.</w:t>
      </w:r>
    </w:p>
    <w:p>
      <w:pPr>
        <w:spacing w:after="0" w:line="80"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w:t>
      </w:r>
      <w:r>
        <w:rPr>
          <w:rFonts w:ascii="Arial" w:cs="Arial" w:eastAsia="Arial" w:hAnsi="Arial"/>
          <w:sz w:val="21"/>
          <w:szCs w:val="21"/>
          <w:color w:val="auto"/>
        </w:rPr>
        <w:t xml:space="preserve">” means, initially, the Term SOFR Reference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3.03(c)(i).</w:t>
      </w:r>
    </w:p>
    <w:p>
      <w:pPr>
        <w:spacing w:after="0" w:line="91" w:lineRule="exact"/>
        <w:rPr>
          <w:sz w:val="20"/>
          <w:szCs w:val="20"/>
          <w:color w:val="auto"/>
        </w:rPr>
      </w:pPr>
    </w:p>
    <w:p>
      <w:pPr>
        <w:jc w:val="both"/>
        <w:ind w:left="120" w:firstLine="643"/>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72" w:lineRule="exact"/>
        <w:rPr>
          <w:sz w:val="20"/>
          <w:szCs w:val="20"/>
          <w:color w:val="auto"/>
        </w:rPr>
      </w:pPr>
    </w:p>
    <w:p>
      <w:pPr>
        <w:jc w:val="both"/>
        <w:ind w:firstLine="669"/>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Adjustment</w:t>
      </w:r>
      <w:r>
        <w:rPr>
          <w:rFonts w:ascii="Arial" w:cs="Arial" w:eastAsia="Arial" w:hAnsi="Arial"/>
          <w:sz w:val="21"/>
          <w:szCs w:val="21"/>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Date</w:t>
      </w:r>
      <w:r>
        <w:rPr>
          <w:rFonts w:ascii="Arial" w:cs="Arial" w:eastAsia="Arial" w:hAnsi="Arial"/>
          <w:sz w:val="21"/>
          <w:szCs w:val="21"/>
          <w:color w:val="auto"/>
        </w:rPr>
        <w:t>” means the earlier to occur of the following events with respect to the then-current</w:t>
      </w:r>
    </w:p>
    <w:p>
      <w:pPr>
        <w:spacing w:after="0"/>
        <w:rPr>
          <w:sz w:val="20"/>
          <w:szCs w:val="20"/>
          <w:color w:val="auto"/>
        </w:rPr>
      </w:pPr>
      <w:r>
        <w:rPr>
          <w:rFonts w:ascii="Arial" w:cs="Arial" w:eastAsia="Arial" w:hAnsi="Arial"/>
          <w:sz w:val="21"/>
          <w:szCs w:val="21"/>
          <w:color w:val="auto"/>
        </w:rPr>
        <w:t>Benchmark:</w:t>
      </w:r>
    </w:p>
    <w:p>
      <w:pPr>
        <w:spacing w:after="0" w:line="102" w:lineRule="exact"/>
        <w:rPr>
          <w:sz w:val="20"/>
          <w:szCs w:val="20"/>
          <w:color w:val="auto"/>
        </w:rPr>
      </w:pPr>
    </w:p>
    <w:p>
      <w:pPr>
        <w:jc w:val="both"/>
        <w:ind w:firstLine="650"/>
        <w:spacing w:after="0" w:line="227" w:lineRule="auto"/>
        <w:tabs>
          <w:tab w:leader="none" w:pos="1103" w:val="left"/>
        </w:tabs>
        <w:numPr>
          <w:ilvl w:val="0"/>
          <w:numId w:val="51"/>
        </w:numPr>
        <w:rPr>
          <w:rFonts w:ascii="Arial" w:cs="Arial" w:eastAsia="Arial" w:hAnsi="Arial"/>
          <w:sz w:val="21"/>
          <w:szCs w:val="21"/>
          <w:color w:val="auto"/>
        </w:rPr>
      </w:pPr>
      <w:r>
        <w:rPr>
          <w:rFonts w:ascii="Arial" w:cs="Arial" w:eastAsia="Arial" w:hAnsi="Arial"/>
          <w:sz w:val="21"/>
          <w:szCs w:val="21"/>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77" w:lineRule="exact"/>
        <w:rPr>
          <w:rFonts w:ascii="Arial" w:cs="Arial" w:eastAsia="Arial" w:hAnsi="Arial"/>
          <w:sz w:val="21"/>
          <w:szCs w:val="21"/>
          <w:color w:val="auto"/>
        </w:rPr>
      </w:pPr>
    </w:p>
    <w:p>
      <w:pPr>
        <w:jc w:val="both"/>
        <w:ind w:firstLine="650"/>
        <w:spacing w:after="0" w:line="238" w:lineRule="auto"/>
        <w:tabs>
          <w:tab w:leader="none" w:pos="11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36" w:name="page137"/>
    <w:bookmarkEnd w:id="136"/>
    <w:p>
      <w:pPr>
        <w:jc w:val="both"/>
        <w:spacing w:after="0" w:line="227" w:lineRule="auto"/>
        <w:rPr>
          <w:sz w:val="20"/>
          <w:szCs w:val="20"/>
          <w:color w:val="auto"/>
        </w:rPr>
      </w:pPr>
      <w:r>
        <w:rPr>
          <w:rFonts w:ascii="Arial" w:cs="Arial" w:eastAsia="Arial" w:hAnsi="Arial"/>
          <w:sz w:val="21"/>
          <w:szCs w:val="21"/>
          <w:color w:val="auto"/>
        </w:rPr>
        <w:t xml:space="preserve">the International Organization of Securities Commissions (IOSCO) Principles for Financial Benchmarks;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9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72"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Transition Event</w:t>
      </w:r>
      <w:r>
        <w:rPr>
          <w:rFonts w:ascii="Arial" w:cs="Arial" w:eastAsia="Arial" w:hAnsi="Arial"/>
          <w:sz w:val="21"/>
          <w:szCs w:val="21"/>
          <w:color w:val="auto"/>
        </w:rPr>
        <w:t>” means the occurrence of one or more of the following events with respect to the then-current Benchmark:</w:t>
      </w:r>
    </w:p>
    <w:p>
      <w:pPr>
        <w:spacing w:after="0" w:line="85" w:lineRule="exact"/>
        <w:rPr>
          <w:sz w:val="20"/>
          <w:szCs w:val="20"/>
          <w:color w:val="auto"/>
        </w:rPr>
      </w:pPr>
    </w:p>
    <w:p>
      <w:pPr>
        <w:jc w:val="both"/>
        <w:ind w:firstLine="569"/>
        <w:spacing w:after="0" w:line="224" w:lineRule="auto"/>
        <w:tabs>
          <w:tab w:leader="none" w:pos="1136"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of such statement or publication, there is no successor administrator that will continue to provide any Available Tenor of such Benchmark (or such component thereof);</w:t>
      </w:r>
    </w:p>
    <w:p>
      <w:pPr>
        <w:spacing w:after="0" w:line="91" w:lineRule="exact"/>
        <w:rPr>
          <w:rFonts w:ascii="Arial" w:cs="Arial" w:eastAsia="Arial" w:hAnsi="Arial"/>
          <w:sz w:val="21"/>
          <w:szCs w:val="21"/>
          <w:color w:val="auto"/>
        </w:rPr>
      </w:pPr>
    </w:p>
    <w:p>
      <w:pPr>
        <w:jc w:val="both"/>
        <w:ind w:firstLine="569"/>
        <w:spacing w:after="0" w:line="231" w:lineRule="auto"/>
        <w:tabs>
          <w:tab w:leader="none" w:pos="1045"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76" w:lineRule="exact"/>
        <w:rPr>
          <w:rFonts w:ascii="Arial" w:cs="Arial" w:eastAsia="Arial" w:hAnsi="Arial"/>
          <w:sz w:val="20"/>
          <w:szCs w:val="20"/>
          <w:color w:val="auto"/>
        </w:rPr>
      </w:pPr>
    </w:p>
    <w:p>
      <w:pPr>
        <w:jc w:val="both"/>
        <w:ind w:firstLine="569"/>
        <w:spacing w:after="0" w:line="224" w:lineRule="auto"/>
        <w:tabs>
          <w:tab w:leader="none" w:pos="1136" w:val="left"/>
        </w:tabs>
        <w:numPr>
          <w:ilvl w:val="0"/>
          <w:numId w:val="52"/>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92"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3" w:lineRule="exact"/>
        <w:rPr>
          <w:sz w:val="20"/>
          <w:szCs w:val="20"/>
          <w:color w:val="auto"/>
        </w:rPr>
      </w:pPr>
    </w:p>
    <w:p>
      <w:pPr>
        <w:jc w:val="both"/>
        <w:ind w:firstLine="3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Transition Start Date</w:t>
      </w:r>
      <w:r>
        <w:rPr>
          <w:rFonts w:ascii="Arial" w:cs="Arial" w:eastAsia="Arial" w:hAnsi="Arial"/>
          <w:sz w:val="21"/>
          <w:szCs w:val="21"/>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92"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means the period (if any) (x) beginning at the time that a Benchmark Replacement Date has occurred if, at such time, no Benchmark Replacement has replaced the then-current Benchmark for all purposes hereunder and under any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37" w:name="page138"/>
    <w:bookmarkEnd w:id="137"/>
    <w:p>
      <w:pPr>
        <w:jc w:val="both"/>
        <w:spacing w:after="0" w:line="268" w:lineRule="auto"/>
        <w:rPr>
          <w:sz w:val="20"/>
          <w:szCs w:val="20"/>
          <w:color w:val="auto"/>
        </w:rPr>
      </w:pPr>
      <w:r>
        <w:rPr>
          <w:rFonts w:ascii="Arial" w:cs="Arial" w:eastAsia="Arial" w:hAnsi="Arial"/>
          <w:sz w:val="20"/>
          <w:szCs w:val="20"/>
          <w:color w:val="auto"/>
        </w:rPr>
        <w:t>Document in accordance with Section 3.03(c)(i) and (y) ending at the time that a Benchmark Replacement has replaced the then-current Benchmark for all purposes hereunder and under any Loan Document in accordance with Section 3.03(c)(i).</w:t>
      </w:r>
    </w:p>
    <w:p>
      <w:pPr>
        <w:spacing w:after="0" w:line="62"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Ownership Certification</w:t>
      </w:r>
      <w:r>
        <w:rPr>
          <w:rFonts w:ascii="Arial" w:cs="Arial" w:eastAsia="Arial" w:hAnsi="Arial"/>
          <w:sz w:val="21"/>
          <w:szCs w:val="21"/>
          <w:color w:val="auto"/>
        </w:rPr>
        <w:t>” means a certification regarding beneficial ownership as required by the Beneficial Ownership Regulation.</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Beneficial Ownership Regulation</w:t>
      </w:r>
      <w:r>
        <w:rPr>
          <w:rFonts w:ascii="Arial" w:cs="Arial" w:eastAsia="Arial" w:hAnsi="Arial"/>
          <w:sz w:val="21"/>
          <w:szCs w:val="21"/>
          <w:color w:val="auto"/>
        </w:rPr>
        <w:t>” means 31 C.F.R. § 1010.230.</w:t>
      </w:r>
    </w:p>
    <w:p>
      <w:pPr>
        <w:spacing w:after="0" w:line="187"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33" w:lineRule="exact"/>
        <w:rPr>
          <w:sz w:val="20"/>
          <w:szCs w:val="20"/>
          <w:color w:val="auto"/>
        </w:rPr>
      </w:pPr>
    </w:p>
    <w:p>
      <w:pPr>
        <w:jc w:val="both"/>
        <w:ind w:right="20"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Benefiting Guarantor</w:t>
      </w:r>
      <w:r>
        <w:rPr>
          <w:rFonts w:ascii="Arial" w:cs="Arial" w:eastAsia="Arial" w:hAnsi="Arial"/>
          <w:sz w:val="21"/>
          <w:szCs w:val="21"/>
          <w:color w:val="auto"/>
        </w:rPr>
        <w:t>” means a Guarantor for which funds or other support are necessary for such Guarantor to constitute an Eligible Contract Participant.</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BHC Act Affiliate</w:t>
      </w:r>
      <w:r>
        <w:rPr>
          <w:rFonts w:ascii="Arial" w:cs="Arial" w:eastAsia="Arial" w:hAnsi="Arial"/>
          <w:sz w:val="21"/>
          <w:szCs w:val="21"/>
          <w:color w:val="auto"/>
        </w:rPr>
        <w:t>” has the meaning set forth in Section 12.20(b)(i).</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Governors of the Federal Reserve System of the United States of America or any successor Governmental Authority.</w:t>
      </w:r>
    </w:p>
    <w:p>
      <w:pPr>
        <w:spacing w:after="0" w:line="152" w:lineRule="exact"/>
        <w:rPr>
          <w:sz w:val="20"/>
          <w:szCs w:val="20"/>
          <w:color w:val="auto"/>
        </w:rPr>
      </w:pPr>
    </w:p>
    <w:p>
      <w:pPr>
        <w:jc w:val="both"/>
        <w:ind w:right="20" w:firstLine="643"/>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LLC Agreement</w:t>
      </w:r>
      <w:r>
        <w:rPr>
          <w:rFonts w:ascii="Arial" w:cs="Arial" w:eastAsia="Arial" w:hAnsi="Arial"/>
          <w:sz w:val="19"/>
          <w:szCs w:val="19"/>
          <w:color w:val="auto"/>
        </w:rPr>
        <w:t>” means the Second Amended and Restated Limited Liability Company Agreement dated as of May 9, 2018 of the Borrower, as the same may be amended, amended and restated, modified or supplemented from time to time.</w:t>
      </w:r>
    </w:p>
    <w:p>
      <w:pPr>
        <w:spacing w:after="0" w:line="106"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w:t>
      </w:r>
      <w:r>
        <w:rPr>
          <w:rFonts w:ascii="Arial" w:cs="Arial" w:eastAsia="Arial" w:hAnsi="Arial"/>
          <w:sz w:val="21"/>
          <w:szCs w:val="21"/>
          <w:color w:val="auto"/>
        </w:rPr>
        <w:t>” means Loans of the same Type, made, converted or continued on the same date and, in the case of SOFR Loans, as to which a single Interest Period is in effect.</w:t>
      </w:r>
    </w:p>
    <w:p>
      <w:pPr>
        <w:spacing w:after="0" w:line="152"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Base</w:t>
      </w:r>
      <w:r>
        <w:rPr>
          <w:rFonts w:ascii="Arial" w:cs="Arial" w:eastAsia="Arial" w:hAnsi="Arial"/>
          <w:sz w:val="21"/>
          <w:szCs w:val="21"/>
          <w:color w:val="auto"/>
        </w:rPr>
        <w:t>” means at any time an amount equal to the amount determined in accordance with Section 2.07, as the same may be adjusted from time to time pursuant to Section 2.07(e), Section 2.07(f), Section 8.13(c), Section 9.05(m)(ii), or Section 9.12(d).</w:t>
      </w:r>
    </w:p>
    <w:p>
      <w:pPr>
        <w:spacing w:after="0" w:line="15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Base Deficiency</w:t>
      </w:r>
      <w:r>
        <w:rPr>
          <w:rFonts w:ascii="Arial" w:cs="Arial" w:eastAsia="Arial" w:hAnsi="Arial"/>
          <w:sz w:val="21"/>
          <w:szCs w:val="21"/>
          <w:color w:val="auto"/>
        </w:rPr>
        <w:t>” occurs if at any time the total Revolving Credit Exposures exceed the Borrowing Base then in effect.</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Request</w:t>
      </w:r>
      <w:r>
        <w:rPr>
          <w:rFonts w:ascii="Arial" w:cs="Arial" w:eastAsia="Arial" w:hAnsi="Arial"/>
          <w:sz w:val="21"/>
          <w:szCs w:val="21"/>
          <w:color w:val="auto"/>
        </w:rPr>
        <w:t>” means a request by the Borrower for a Borrowing in accordance with Section 2.03.</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that is not a Saturday, Sunday or other day on which commercial banks in New York City or Houston, Texas are authorized or required by law to remain closed.</w:t>
      </w:r>
    </w:p>
    <w:p>
      <w:pPr>
        <w:spacing w:after="0" w:line="152"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Leases</w:t>
      </w:r>
      <w:r>
        <w:rPr>
          <w:rFonts w:ascii="Arial" w:cs="Arial" w:eastAsia="Arial" w:hAnsi="Arial"/>
          <w:sz w:val="21"/>
          <w:szCs w:val="21"/>
          <w:color w:val="auto"/>
        </w:rPr>
        <w:t>” means, in respect of any Person, all leases which shall have been, or should have been, in accordance with GAAP, recorded as capital leases on the balance sheet of the Person liable (whether contingent or otherwise) for the payment of rent thereunder.</w:t>
      </w:r>
    </w:p>
    <w:p>
      <w:pPr>
        <w:spacing w:after="0" w:line="157" w:lineRule="exact"/>
        <w:rPr>
          <w:sz w:val="20"/>
          <w:szCs w:val="20"/>
          <w:color w:val="auto"/>
        </w:rPr>
      </w:pPr>
    </w:p>
    <w:p>
      <w:pPr>
        <w:jc w:val="both"/>
        <w:ind w:right="20"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Collateral</w:t>
      </w:r>
      <w:r>
        <w:rPr>
          <w:rFonts w:ascii="Arial" w:cs="Arial" w:eastAsia="Arial" w:hAnsi="Arial"/>
          <w:sz w:val="21"/>
          <w:szCs w:val="21"/>
          <w:color w:val="auto"/>
        </w:rPr>
        <w:t>” shall have a meaning correlative to the foregoing and shall include the proceeds of such Cash Collateral and other credit support.</w:t>
      </w:r>
    </w:p>
    <w:p>
      <w:pPr>
        <w:spacing w:after="0" w:line="152"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to pledge and deposit with or deliver to the Administrative Agent, for the benefit of one or more of the Issuing Bank or the Lenders, as collateral for LC Exposure or obligations of the Lenders to fund participations in respect of LC Exposure, cash or deposit account balances or, if the Administrative Agent and the Issuing Bank shall agree,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38" w:name="page139"/>
    <w:bookmarkEnd w:id="138"/>
    <w:p>
      <w:pPr>
        <w:jc w:val="both"/>
        <w:spacing w:after="0" w:line="244" w:lineRule="auto"/>
        <w:rPr>
          <w:sz w:val="20"/>
          <w:szCs w:val="20"/>
          <w:color w:val="auto"/>
        </w:rPr>
      </w:pPr>
      <w:r>
        <w:rPr>
          <w:rFonts w:ascii="Arial" w:cs="Arial" w:eastAsia="Arial" w:hAnsi="Arial"/>
          <w:sz w:val="21"/>
          <w:szCs w:val="21"/>
          <w:color w:val="auto"/>
        </w:rPr>
        <w:t>their sole discretion, other credit support, in each case pursuant to documentation in form and substance satisfactory to the Administrative Agent and the Issuing Bank.</w:t>
      </w:r>
    </w:p>
    <w:p>
      <w:pPr>
        <w:spacing w:after="0" w:line="152"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Management Agreement</w:t>
      </w:r>
      <w:r>
        <w:rPr>
          <w:rFonts w:ascii="Arial" w:cs="Arial" w:eastAsia="Arial" w:hAnsi="Arial"/>
          <w:sz w:val="21"/>
          <w:szCs w:val="21"/>
          <w:color w:val="auto"/>
        </w:rPr>
        <w:t>” means any agreement to provide cash management services, including treasury, depository, overdraft, credit or debit card, electronic funds transfer and other cash management arrangements.</w:t>
      </w:r>
    </w:p>
    <w:p>
      <w:pPr>
        <w:spacing w:after="0" w:line="152"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Management Provider</w:t>
      </w:r>
      <w:r>
        <w:rPr>
          <w:rFonts w:ascii="Arial" w:cs="Arial" w:eastAsia="Arial" w:hAnsi="Arial"/>
          <w:sz w:val="21"/>
          <w:szCs w:val="21"/>
          <w:color w:val="auto"/>
        </w:rPr>
        <w:t>” means any Person that, at the time it enters into a Cash Management Agreement, is a Lender, an Affiliate of a Lender, the Administrative Agent or an Affiliate of the Administrative Agent, in its capacity as a party to such Cash Management Agreement.</w:t>
      </w:r>
    </w:p>
    <w:p>
      <w:pPr>
        <w:spacing w:after="0" w:line="15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Casualty Event</w:t>
      </w:r>
      <w:r>
        <w:rPr>
          <w:rFonts w:ascii="Arial" w:cs="Arial" w:eastAsia="Arial" w:hAnsi="Arial"/>
          <w:sz w:val="21"/>
          <w:szCs w:val="21"/>
          <w:color w:val="auto"/>
        </w:rPr>
        <w:t>” means any loss, casualty or other insured damage to, or any nationalization, taking under power of eminent domain or by condemnation or similar proceeding of, any Property of the Borrower or any of the Restricted Subsidiaries having a fair market value in excess of $1,000,000.</w:t>
      </w:r>
    </w:p>
    <w:p>
      <w:pPr>
        <w:spacing w:after="0" w:line="157"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(a) the acquisition of ownership, directly or indirectly, beneficially or of record, by any Person or group (within the meaning of the Securities Exchange Act of 1934 and the rules of the SEC thereunder as in effect on the date hereof) other than the Permitted Holders, of Equity Interests representing more than 50% of the aggregate ordinary voting power represented by the issued and outstanding Equity Interests of the General Partner, or (b) the General Partner shall cease to be the general partner of the Parent Guarantor.</w:t>
      </w:r>
    </w:p>
    <w:p>
      <w:pPr>
        <w:spacing w:after="0" w:line="158" w:lineRule="exact"/>
        <w:rPr>
          <w:sz w:val="20"/>
          <w:szCs w:val="20"/>
          <w:color w:val="auto"/>
        </w:rPr>
      </w:pPr>
    </w:p>
    <w:p>
      <w:pPr>
        <w:jc w:val="both"/>
        <w:ind w:firstLine="643"/>
        <w:spacing w:after="0" w:line="21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Law</w:t>
      </w:r>
      <w:r>
        <w:rPr>
          <w:rFonts w:ascii="Arial" w:cs="Arial" w:eastAsia="Arial" w:hAnsi="Arial"/>
          <w:sz w:val="21"/>
          <w:szCs w:val="21"/>
          <w:color w:val="auto"/>
        </w:rPr>
        <w:t>”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the Issuing Bank (or, for purposes of Section 5.01(b), by any lending office of such Lender or by such Lender’s or the Issuing Bank’s holding company, if any) with any request, guideline or directive (whether or not having the force of law) of any Governmental Authority made or issued after the date of this Agreement. Notwithstanding anything herein to the contrary, (i) the Dodd-Frank Wall Street Reform and Consumer Protection Act and all requests, rules, guidelines, requirements or directives thereunder or issued in connection therewith (whether or not having the force of law) or in implementation thereof, and (ii) all requests, rules, regulations, guidelines, interpretations, requirements, and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or implemented.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 from time to time, and any successor statute.</w:t>
      </w:r>
    </w:p>
    <w:p>
      <w:pPr>
        <w:spacing w:after="0" w:line="187" w:lineRule="exact"/>
        <w:rPr>
          <w:sz w:val="20"/>
          <w:szCs w:val="20"/>
          <w:color w:val="auto"/>
        </w:rPr>
      </w:pPr>
    </w:p>
    <w:p>
      <w:pPr>
        <w:jc w:val="both"/>
        <w:ind w:firstLine="643"/>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means, with respect to each Lender, the commitment of such Lender to make Loans and to acquire participations in Letters of Credit hereunder, expressed as an amount representing the maximum aggregate amount of such Lender’s Revolving Credit Exposure hereunder, as such commitment may be (a) modified from time to time pursuant to Section 2.06 and (b) modified from time to time pursuant to assignments by or to such Lender pursuant to Section 12.04. The amount representing each Lender’s Commitment shall at any time be the least of (i) such Lender’s Maximum Credit Amount, (ii) such Lender’s Applicable Percentage of the then effective Borrowing Base, and (iii) such Lender’s Elected Commitment. The total Commitments is the aggregate amount of the Commitments of all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39" w:name="page140"/>
    <w:bookmarkEnd w:id="139"/>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 Fee Rate</w:t>
      </w:r>
      <w:r>
        <w:rPr>
          <w:rFonts w:ascii="Arial" w:cs="Arial" w:eastAsia="Arial" w:hAnsi="Arial"/>
          <w:sz w:val="21"/>
          <w:szCs w:val="21"/>
          <w:color w:val="auto"/>
        </w:rPr>
        <w:t>” has the meaning set forth in the definition of “</w:t>
      </w:r>
      <w:r>
        <w:rPr>
          <w:rFonts w:ascii="Arial" w:cs="Arial" w:eastAsia="Arial" w:hAnsi="Arial"/>
          <w:sz w:val="21"/>
          <w:szCs w:val="21"/>
          <w:u w:val="single" w:color="auto"/>
          <w:color w:val="auto"/>
        </w:rPr>
        <w:t>Applicable Margin</w:t>
      </w:r>
      <w:r>
        <w:rPr>
          <w:rFonts w:ascii="Arial" w:cs="Arial" w:eastAsia="Arial" w:hAnsi="Arial"/>
          <w:sz w:val="21"/>
          <w:szCs w:val="21"/>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Commodity Exchange Act</w:t>
      </w:r>
      <w:r>
        <w:rPr>
          <w:rFonts w:ascii="Arial" w:cs="Arial" w:eastAsia="Arial" w:hAnsi="Arial"/>
          <w:sz w:val="19"/>
          <w:szCs w:val="19"/>
          <w:color w:val="auto"/>
        </w:rPr>
        <w:t>” means the Commodity Exchange Act (7 U.S.C. § 1 et seq.), as amended and any successor</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statute.</w:t>
      </w:r>
    </w:p>
    <w:p>
      <w:pPr>
        <w:spacing w:after="0" w:line="169" w:lineRule="exact"/>
        <w:rPr>
          <w:sz w:val="20"/>
          <w:szCs w:val="20"/>
          <w:color w:val="auto"/>
        </w:rPr>
      </w:pPr>
    </w:p>
    <w:p>
      <w:pPr>
        <w:jc w:val="both"/>
        <w:ind w:firstLine="643"/>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Conforming Changes</w:t>
      </w:r>
      <w:r>
        <w:rPr>
          <w:rFonts w:ascii="Arial" w:cs="Arial" w:eastAsia="Arial" w:hAnsi="Arial"/>
          <w:sz w:val="20"/>
          <w:szCs w:val="20"/>
          <w:color w:val="auto"/>
        </w:rPr>
        <w:t>”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5.02 and other technical, administrative or operational matters) that the Administrative Agent, acting reasonably, decides may be appropriate to reflect the adoption and implementation of any such rate or to permit the use and administration thereof by the Administrative Agent in a manner substantially consistent with market practice (or, if the Administrative Agent, acting reasonably, decides that adoption of any portion of such market practice is not administratively feasible or if the Administrative Agent, acting reasonably, determines that no market practice for the administration of any such rate exists, in such other manner of administration as the Administrative Agent, acting reasonably, decides is necessary in connection with the administration of this Agreement and the other Loan Documents).</w:t>
      </w:r>
    </w:p>
    <w:p>
      <w:pPr>
        <w:spacing w:after="0" w:line="52" w:lineRule="exact"/>
        <w:rPr>
          <w:sz w:val="20"/>
          <w:szCs w:val="20"/>
          <w:color w:val="auto"/>
        </w:rPr>
      </w:pPr>
    </w:p>
    <w:p>
      <w:pPr>
        <w:jc w:val="both"/>
        <w:ind w:firstLine="643"/>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xml:space="preserve">” means with respect to the Parent Guarantor, the Borrower and the Consolidated Restricted Subsidiaries, for any period of determination, the aggregate of the net income (or loss) of the Borrower and the Consolidated Restricted Subsidiaries for such period determined on a consolidated basis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shall be excluded from such net income (to the extent otherwise included therein) the following: (a) the net income of an Unrestricted Subsidiary or any Person in which the Borrower or any Consolidated Restricted Subsidiaries have an interest (which interest does not cause the net income of such other Person to be consolidated with the net income of the Borrower and the Consolidated Restricted Subsidiaries in accordance with GAAP), except to the extent of the amount of dividends or distributions actually paid in cash during such period by such Unrestricted Subsidiary or other Person to the Borrower or to a Consolidated Restricted Subsidiary, as the case may be; (b) the net income (but not loss) during such period of any Consolidated Restricted Subsidiary to the extent that the declaration or payment of dividends or similar distributions or transfers or loans by that Consolidated Restricted Subsidiary is not at the time permitted by operation of the terms of its charter or any agreement, instrument or Governmental Requirement applicable to such Consolidated Restricted Subsidiary or is otherwise restricted or prohibited, in each case determined in accordance with GAAP; (c) the net income (or loss) of any Person acquired in a pooling-of-interests transaction for any period prior to the date of such transaction; (d) any extraordinary gains or losses during such period and (e) any gains or losses attributable to writeups or writedowns of assets, including ceiling test writedowns; and provided further that if the Borrower or any Consolidated Restricted Subsidiary shall acquire or dispose of any Property during such period or a Subsidiary shall be redesignated as either an Unrestricted Subsidiary or a Restricted Subsidiary, then Consolidated Net Income shall be calculated after giving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effect to such acquisition, disposition or redesignation as if such acquisition, disposition or redesignation had occurred on the first day of such period.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Restricted Subsidiary</w:t>
      </w:r>
      <w:r>
        <w:rPr>
          <w:rFonts w:ascii="Arial" w:cs="Arial" w:eastAsia="Arial" w:hAnsi="Arial"/>
          <w:sz w:val="21"/>
          <w:szCs w:val="21"/>
          <w:color w:val="auto"/>
        </w:rPr>
        <w:t>” means each Consolidated Subsidiary that is a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40" w:name="page141"/>
    <w:bookmarkEnd w:id="140"/>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Subsidiaries</w:t>
      </w:r>
      <w:r>
        <w:rPr>
          <w:rFonts w:ascii="Arial" w:cs="Arial" w:eastAsia="Arial" w:hAnsi="Arial"/>
          <w:sz w:val="21"/>
          <w:szCs w:val="21"/>
          <w:color w:val="auto"/>
        </w:rPr>
        <w:t>” means each Subsidiary of the Borrower (whether now existing or hereafter created or acquired) the financial statements of which shall be (or should have been) consolidated with the financial statements of the Borrower in accordance with GAAP.</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Unrestricted Subsidiary</w:t>
      </w:r>
      <w:r>
        <w:rPr>
          <w:rFonts w:ascii="Arial" w:cs="Arial" w:eastAsia="Arial" w:hAnsi="Arial"/>
          <w:sz w:val="21"/>
          <w:szCs w:val="21"/>
          <w:color w:val="auto"/>
        </w:rPr>
        <w:t>” means each Consolidated Subsidiary that is an Unrestricted Subsidiary.</w:t>
      </w:r>
    </w:p>
    <w:p>
      <w:pPr>
        <w:spacing w:after="0" w:line="187" w:lineRule="exact"/>
        <w:rPr>
          <w:sz w:val="20"/>
          <w:szCs w:val="20"/>
          <w:color w:val="auto"/>
        </w:rPr>
      </w:pPr>
    </w:p>
    <w:p>
      <w:pPr>
        <w:jc w:val="both"/>
        <w:ind w:firstLine="643"/>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or policies of a Person, whether through the ability to exercise voting power, by contract or otherwise. For the purposes of this definition, and without limiting the generality of the foregoing, any Person that owns directly or indirectly 10% or more of the Equity Interests having ordinary voting power for the election of the directors or other governing body of a Person (other than as a limited partner of such other Person) will be deemed to “</w:t>
      </w:r>
      <w:r>
        <w:rPr>
          <w:rFonts w:ascii="Arial" w:cs="Arial" w:eastAsia="Arial" w:hAnsi="Arial"/>
          <w:sz w:val="21"/>
          <w:szCs w:val="21"/>
          <w:u w:val="single" w:color="auto"/>
          <w:color w:val="auto"/>
        </w:rPr>
        <w:t>control</w:t>
      </w:r>
      <w:r>
        <w:rPr>
          <w:rFonts w:ascii="Arial" w:cs="Arial" w:eastAsia="Arial" w:hAnsi="Arial"/>
          <w:sz w:val="21"/>
          <w:szCs w:val="21"/>
          <w:color w:val="auto"/>
        </w:rPr>
        <w:t>” such other Person.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have meanings correlative thereto.</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Entity</w:t>
      </w:r>
      <w:r>
        <w:rPr>
          <w:rFonts w:ascii="Arial" w:cs="Arial" w:eastAsia="Arial" w:hAnsi="Arial"/>
          <w:sz w:val="21"/>
          <w:szCs w:val="21"/>
          <w:color w:val="auto"/>
        </w:rPr>
        <w:t>” has the meaning set forth in Section 12.20(b)(ii).</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Party</w:t>
      </w:r>
      <w:r>
        <w:rPr>
          <w:rFonts w:ascii="Arial" w:cs="Arial" w:eastAsia="Arial" w:hAnsi="Arial"/>
          <w:sz w:val="21"/>
          <w:szCs w:val="21"/>
          <w:color w:val="auto"/>
        </w:rPr>
        <w:t>” has the meaning set forth in Section 12.20(a).</w:t>
      </w:r>
    </w:p>
    <w:p>
      <w:pPr>
        <w:spacing w:after="0" w:line="187" w:lineRule="exact"/>
        <w:rPr>
          <w:sz w:val="20"/>
          <w:szCs w:val="20"/>
          <w:color w:val="auto"/>
        </w:rPr>
      </w:pPr>
    </w:p>
    <w:p>
      <w:pPr>
        <w:jc w:val="both"/>
        <w:ind w:firstLine="643"/>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w:t>
      </w:r>
      <w:r>
        <w:rPr>
          <w:rFonts w:ascii="Arial" w:cs="Arial" w:eastAsia="Arial" w:hAnsi="Arial"/>
          <w:sz w:val="19"/>
          <w:szCs w:val="19"/>
          <w:color w:val="auto"/>
        </w:rPr>
        <w:t>” means, for any Person, the sum of the following (without duplication): (a) all obligations of such Person for borrowed money or evidenced by bonds, bankers’ acceptances, debentures, notes or other similar instruments; (b) all obligations of such Person (whether contingent or otherwise) in respect of letters of credit, surety or other bonds and similar instruments;</w:t>
      </w:r>
    </w:p>
    <w:p>
      <w:pPr>
        <w:spacing w:after="0" w:line="3" w:lineRule="exact"/>
        <w:rPr>
          <w:sz w:val="20"/>
          <w:szCs w:val="20"/>
          <w:color w:val="auto"/>
        </w:rPr>
      </w:pPr>
    </w:p>
    <w:p>
      <w:pPr>
        <w:jc w:val="both"/>
        <w:ind w:firstLine="7"/>
        <w:spacing w:after="0" w:line="235" w:lineRule="auto"/>
        <w:tabs>
          <w:tab w:leader="none" w:pos="297" w:val="left"/>
        </w:tabs>
        <w:numPr>
          <w:ilvl w:val="0"/>
          <w:numId w:val="53"/>
        </w:numPr>
        <w:rPr>
          <w:rFonts w:ascii="Arial" w:cs="Arial" w:eastAsia="Arial" w:hAnsi="Arial"/>
          <w:sz w:val="19"/>
          <w:szCs w:val="19"/>
          <w:color w:val="auto"/>
        </w:rPr>
      </w:pPr>
      <w:r>
        <w:rPr>
          <w:rFonts w:ascii="Arial" w:cs="Arial" w:eastAsia="Arial" w:hAnsi="Arial"/>
          <w:sz w:val="19"/>
          <w:szCs w:val="19"/>
          <w:color w:val="auto"/>
        </w:rPr>
        <w:t>all accounts payable and all accrued expenses, liabilities or other obligations of such Person to pay the deferred purchase price of Property or services, but excluding those from time to time incurred in the ordinary course of business that are not greater than sixty (60) days past the date such payment is due or that are being contested in good faith by appropriate action and for which adequate reserves have been maintained in accordance with GAAP; (d) all obligations under Capital Leases; (e) all obligations under Synthetic Leases; (f) all Debt (as defined in the other clauses of this definition) of others secured by (or for which the holder of such Debt has an existing right, contingent or otherwise, to be secured by) a Lien on any Property of such Person, whether or not such Debt is assumed by such Person; (g) all Debt (as defined in the other clauses of this definition) of others guaranteed by such Person or with respect to which such Person otherwise assures a creditor against loss of the Debt (howsoever such assurance shall be made) to the extent of the lesser of the amount of such Debt and the maximum stated amount of such guarantee or assurance against loss; (h) all obligations or undertakings of such Person to maintain or cause to be maintained the financial position or covenants of others or to purchase the Debt or Property of others; (i) obligations to deliver commodities, goods or services, including, without limitation, Hydrocarbons, in consideration of one or more advance payments, other than gas balancing arrangements in the ordinary course of business; (j) obligations to pay for goods or services even if such goods or services are not actually received or utilized by such Person; (k) any Debt of a partnership for which such Person is liable either by agreement, by operation of law or by a Governmental Requirement but only to the extent of such liability; (l) Disqualified Capital Stock; and</w:t>
      </w:r>
    </w:p>
    <w:p>
      <w:pPr>
        <w:spacing w:after="0" w:line="4" w:lineRule="exact"/>
        <w:rPr>
          <w:rFonts w:ascii="Arial" w:cs="Arial" w:eastAsia="Arial" w:hAnsi="Arial"/>
          <w:sz w:val="19"/>
          <w:szCs w:val="19"/>
          <w:color w:val="auto"/>
        </w:rPr>
      </w:pPr>
    </w:p>
    <w:p>
      <w:pPr>
        <w:jc w:val="both"/>
        <w:ind w:firstLine="7"/>
        <w:spacing w:after="0" w:line="241" w:lineRule="auto"/>
        <w:tabs>
          <w:tab w:leader="none" w:pos="369"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undischarged balance of any production payment created by such Person or for the creation of which such Person directly or indirectly received payment. The Debt of any Person shall include all obligations of such Person of the character described above to the extent such Person remains legally liable in respect thereof notwithstanding that any such obligation is not included as a liability of such Person under GAAP. Notwithstanding the foregoing, “</w:t>
      </w:r>
      <w:r>
        <w:rPr>
          <w:rFonts w:ascii="Arial" w:cs="Arial" w:eastAsia="Arial" w:hAnsi="Arial"/>
          <w:sz w:val="19"/>
          <w:szCs w:val="19"/>
          <w:u w:val="single" w:color="auto"/>
          <w:color w:val="auto"/>
        </w:rPr>
        <w:t>Debt</w:t>
      </w:r>
      <w:r>
        <w:rPr>
          <w:rFonts w:ascii="Arial" w:cs="Arial" w:eastAsia="Arial" w:hAnsi="Arial"/>
          <w:sz w:val="19"/>
          <w:szCs w:val="19"/>
          <w:color w:val="auto"/>
        </w:rPr>
        <w:t>” shall not include (Y) any obligation arising from agreements of the Borrower or any Restricted Subsidiary providing for indemnification, contribution, adjustment of purchase price, earn-outs, holdbacks, deferred compensation or similar obligations, in each case, incurred or assumed in connection with the disposition or acquisition of any business, assets or Equity Interests of a Restricted Subsidiary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41" w:name="page142"/>
    <w:bookmarkEnd w:id="141"/>
    <w:p>
      <w:pPr>
        <w:jc w:val="both"/>
        <w:spacing w:after="0" w:line="244" w:lineRule="auto"/>
        <w:rPr>
          <w:sz w:val="20"/>
          <w:szCs w:val="20"/>
          <w:color w:val="auto"/>
        </w:rPr>
      </w:pPr>
      <w:r>
        <w:rPr>
          <w:rFonts w:ascii="Arial" w:cs="Arial" w:eastAsia="Arial" w:hAnsi="Arial"/>
          <w:sz w:val="21"/>
          <w:szCs w:val="21"/>
          <w:color w:val="auto"/>
        </w:rPr>
        <w:t>a transaction permitted by this Agreement or (Z) Swap Obligations (other than as specified in clause (i) of the first sentence of this definition).</w:t>
      </w:r>
    </w:p>
    <w:p>
      <w:pPr>
        <w:spacing w:after="0" w:line="152"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3"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w:t>
      </w:r>
      <w:r>
        <w:rPr>
          <w:rFonts w:ascii="Arial" w:cs="Arial" w:eastAsia="Arial" w:hAnsi="Arial"/>
          <w:sz w:val="21"/>
          <w:szCs w:val="21"/>
          <w:color w:val="auto"/>
        </w:rPr>
        <w:t>” means any event or condition which constitutes an Event of Default or which upon notice, lapse of time or both would, unless cured or waived, become an Event of Default.</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 Right</w:t>
      </w:r>
      <w:r>
        <w:rPr>
          <w:rFonts w:ascii="Arial" w:cs="Arial" w:eastAsia="Arial" w:hAnsi="Arial"/>
          <w:sz w:val="21"/>
          <w:szCs w:val="21"/>
          <w:color w:val="auto"/>
        </w:rPr>
        <w:t>” has the meaning set forth in Section 12.20(b)(iii).</w:t>
      </w:r>
    </w:p>
    <w:p>
      <w:pPr>
        <w:spacing w:after="0" w:line="187" w:lineRule="exact"/>
        <w:rPr>
          <w:sz w:val="20"/>
          <w:szCs w:val="20"/>
          <w:color w:val="auto"/>
        </w:rPr>
      </w:pPr>
    </w:p>
    <w:p>
      <w:pPr>
        <w:jc w:val="both"/>
        <w:ind w:firstLine="64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that (a) has failed to (i) fund all or any portion of the Loans or participations in Letters of Credit required to be funded by it hereunder within two Business Days of the date such Loans or participations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Issuing Bank or any other Lender any other amount required to be paid by it hereunder (including in respect of its participation in Letters of Credit) within three Business Days of the date when due, (b) has notified the Borrower, the Administrative Agent or the Issuing Bank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2.10) upon delivery of written notice of such determination to the Borrower, the Issuing Bank and each Lender.</w:t>
      </w:r>
    </w:p>
    <w:p>
      <w:pPr>
        <w:spacing w:after="0" w:line="322"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Disqualified Capital Stock</w:t>
      </w:r>
      <w:r>
        <w:rPr>
          <w:rFonts w:ascii="Arial" w:cs="Arial" w:eastAsia="Arial" w:hAnsi="Arial"/>
          <w:sz w:val="21"/>
          <w:szCs w:val="21"/>
          <w:color w:val="auto"/>
        </w:rPr>
        <w:t>” means any Equity Interest that, by its terms (or by the terms of any security into which it is convertible or for which it is exchangeable) or upon the happening of any event, matures or is mandatorily redeemable for any consideration other than other Equity Interests (which would not constitute Disqualified Capital Stock), pursuant to a sinking fund obligation or otherwise, or is convertible or exchangeable for Debt or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42" w:name="page143"/>
    <w:bookmarkEnd w:id="142"/>
    <w:p>
      <w:pPr>
        <w:jc w:val="both"/>
        <w:spacing w:after="0" w:line="231" w:lineRule="auto"/>
        <w:rPr>
          <w:sz w:val="20"/>
          <w:szCs w:val="20"/>
          <w:color w:val="auto"/>
        </w:rPr>
      </w:pPr>
      <w:r>
        <w:rPr>
          <w:rFonts w:ascii="Arial" w:cs="Arial" w:eastAsia="Arial" w:hAnsi="Arial"/>
          <w:sz w:val="20"/>
          <w:szCs w:val="20"/>
          <w:color w:val="auto"/>
        </w:rPr>
        <w:t>for any consideration other than other Equity Interests (which would not constitute Disqualified Capital Stock) at the option of the holder thereof, in whole or in part, on or prior to the date that is one year after the earlier of (a) the Maturity Date and (b) the date on which there are no Loans, LC Exposure or other obligations hereunder outstanding and all of the Commitments are terminated. Notwithstanding the foregoing, any Equity Interest that would constitute Disqualified Capital Stock solely because the holders of the Equity Interest have the right to require the Borrower to repurchase or redeem such Equity Interest upon or following the occurrence of a change of control or an asset sale will not constitute Disqualified Capital Stock if the terms of such Equity Interest provide that the Borrower may not repurchase or redeem any such Equity Interest pursuant to such provisions unless such repurchase or redemption complies with Section 9.04 hereof.</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dollars</w:t>
      </w:r>
      <w:r>
        <w:rPr>
          <w:rFonts w:ascii="Arial" w:cs="Arial" w:eastAsia="Arial" w:hAnsi="Arial"/>
          <w:sz w:val="21"/>
          <w:szCs w:val="21"/>
          <w:color w:val="auto"/>
        </w:rPr>
        <w:t>”, “</w:t>
      </w:r>
      <w:r>
        <w:rPr>
          <w:rFonts w:ascii="Arial" w:cs="Arial" w:eastAsia="Arial" w:hAnsi="Arial"/>
          <w:sz w:val="21"/>
          <w:szCs w:val="21"/>
          <w:u w:val="single" w:color="auto"/>
          <w:color w:val="auto"/>
        </w:rPr>
        <w:t>Dollars</w:t>
      </w:r>
      <w:r>
        <w:rPr>
          <w:rFonts w:ascii="Arial" w:cs="Arial" w:eastAsia="Arial" w:hAnsi="Arial"/>
          <w:sz w:val="21"/>
          <w:szCs w:val="21"/>
          <w:color w:val="auto"/>
        </w:rPr>
        <w:t>”, or “</w:t>
      </w:r>
      <w:r>
        <w:rPr>
          <w:rFonts w:ascii="Arial" w:cs="Arial" w:eastAsia="Arial" w:hAnsi="Arial"/>
          <w:sz w:val="21"/>
          <w:szCs w:val="21"/>
          <w:u w:val="single" w:color="auto"/>
          <w:color w:val="auto"/>
        </w:rPr>
        <w:t>$</w:t>
      </w:r>
      <w:r>
        <w:rPr>
          <w:rFonts w:ascii="Arial" w:cs="Arial" w:eastAsia="Arial" w:hAnsi="Arial"/>
          <w:sz w:val="21"/>
          <w:szCs w:val="21"/>
          <w:color w:val="auto"/>
        </w:rPr>
        <w:t>” refers to lawful money of the United States of America.</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Domestic Subsidiary</w:t>
      </w:r>
      <w:r>
        <w:rPr>
          <w:rFonts w:ascii="Arial" w:cs="Arial" w:eastAsia="Arial" w:hAnsi="Arial"/>
          <w:sz w:val="21"/>
          <w:szCs w:val="21"/>
          <w:color w:val="auto"/>
        </w:rPr>
        <w:t>” means any Subsidiary that is organized under the laws of the United States of America or any state thereof or the District of Columbia.</w:t>
      </w:r>
    </w:p>
    <w:p>
      <w:pPr>
        <w:spacing w:after="0" w:line="152" w:lineRule="exact"/>
        <w:rPr>
          <w:sz w:val="20"/>
          <w:szCs w:val="20"/>
          <w:color w:val="auto"/>
        </w:rPr>
      </w:pPr>
    </w:p>
    <w:p>
      <w:pPr>
        <w:jc w:val="both"/>
        <w:ind w:firstLine="643"/>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EBITDAX</w:t>
      </w:r>
      <w:r>
        <w:rPr>
          <w:rFonts w:ascii="Arial" w:cs="Arial" w:eastAsia="Arial" w:hAnsi="Arial"/>
          <w:sz w:val="21"/>
          <w:szCs w:val="21"/>
          <w:color w:val="auto"/>
        </w:rPr>
        <w:t>” means, for any period, the sum of Consolidated Net Income for such period plus the following expenses or charges to the extent deducted from Consolidated Net Income in such period: (a) interest, income taxes, depreciation, depletion, amortization, exploration expenses, extraordinary items and other similar noncash charges, including expenses relating to stock-based compensation, hedging, and ceiling test impairments, and (b) any reasonable expenses and charges (up to an aggregate of $5,000,000 during any calendar year) related to any Investment, acquisition, disposition, offering of Equity Interests, recapitalization, or issuance or incurrence of Debt not prohibited hereunder (in each case, whether or not successful), minus all noncash income added to Consolidated Net Income.</w:t>
      </w:r>
    </w:p>
    <w:p>
      <w:pPr>
        <w:spacing w:after="0" w:line="157"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Financial Institution</w:t>
      </w:r>
      <w:r>
        <w:rPr>
          <w:rFonts w:ascii="Arial" w:cs="Arial" w:eastAsia="Arial" w:hAnsi="Arial"/>
          <w:sz w:val="21"/>
          <w:szCs w:val="21"/>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98"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Resolution Authority</w:t>
      </w:r>
      <w:r>
        <w:rPr>
          <w:rFonts w:ascii="Arial" w:cs="Arial" w:eastAsia="Arial" w:hAnsi="Arial"/>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means the date on which the conditions specified in Sections 6.01 and 6.02(a) through (d) are satisfied (or waived in accordance with Section 12.02).</w:t>
      </w:r>
    </w:p>
    <w:p>
      <w:pPr>
        <w:spacing w:after="0" w:line="152"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Eighth Amendment</w:t>
      </w:r>
      <w:r>
        <w:rPr>
          <w:rFonts w:ascii="Arial" w:cs="Arial" w:eastAsia="Arial" w:hAnsi="Arial"/>
          <w:sz w:val="21"/>
          <w:szCs w:val="21"/>
          <w:color w:val="auto"/>
        </w:rPr>
        <w:t>” means that certain Eighth Amendment to Amended and Restated Senior Secured Revolving Credit Agreement, dated as of November 15, 2021, by and among the Borrower, the Parent Guarantor, the Administrative Agent, and the Lenders party thereto.</w:t>
      </w:r>
    </w:p>
    <w:p>
      <w:pPr>
        <w:spacing w:after="0" w:line="50"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Elected Commitment</w:t>
      </w:r>
      <w:r>
        <w:rPr>
          <w:rFonts w:ascii="Arial" w:cs="Arial" w:eastAsia="Arial" w:hAnsi="Arial"/>
          <w:sz w:val="20"/>
          <w:szCs w:val="20"/>
          <w:color w:val="auto"/>
        </w:rPr>
        <w:t>” means, as to each Lender, the amount set forth opposite such Lender’s name on Annex I under the caption “Elected Commitment”, as the same may be increased, reduced or terminated from time to time in connection with an optional increase, reduction or termination of the Aggregate Elected Commitment Amounts pursuant to Section 2.06(b).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43" w:name="page144"/>
    <w:bookmarkEnd w:id="143"/>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Elected Commitment Amount Increase Agreement</w:t>
      </w:r>
      <w:r>
        <w:rPr>
          <w:rFonts w:ascii="Arial" w:cs="Arial" w:eastAsia="Arial" w:hAnsi="Arial"/>
          <w:sz w:val="20"/>
          <w:szCs w:val="20"/>
          <w:color w:val="auto"/>
        </w:rPr>
        <w:t>” has the meaning assigned to such term in Section 2.06(b)(ii)(B)(6).</w:t>
      </w:r>
    </w:p>
    <w:p>
      <w:pPr>
        <w:spacing w:after="0" w:line="198"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Contract Participant</w:t>
      </w:r>
      <w:r>
        <w:rPr>
          <w:rFonts w:ascii="Arial" w:cs="Arial" w:eastAsia="Arial" w:hAnsi="Arial"/>
          <w:sz w:val="21"/>
          <w:szCs w:val="21"/>
          <w:color w:val="auto"/>
        </w:rPr>
        <w:t>” means an “</w:t>
      </w:r>
      <w:r>
        <w:rPr>
          <w:rFonts w:ascii="Arial" w:cs="Arial" w:eastAsia="Arial" w:hAnsi="Arial"/>
          <w:sz w:val="21"/>
          <w:szCs w:val="21"/>
          <w:u w:val="single" w:color="auto"/>
          <w:color w:val="auto"/>
        </w:rPr>
        <w:t>eligible contract participant</w:t>
      </w:r>
      <w:r>
        <w:rPr>
          <w:rFonts w:ascii="Arial" w:cs="Arial" w:eastAsia="Arial" w:hAnsi="Arial"/>
          <w:sz w:val="21"/>
          <w:szCs w:val="21"/>
          <w:color w:val="auto"/>
        </w:rPr>
        <w:t>” as defined in the Commodity Exchange Act and the regulations thereunder.</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Engineering Reports</w:t>
      </w:r>
      <w:r>
        <w:rPr>
          <w:rFonts w:ascii="Arial" w:cs="Arial" w:eastAsia="Arial" w:hAnsi="Arial"/>
          <w:sz w:val="21"/>
          <w:szCs w:val="21"/>
          <w:color w:val="auto"/>
        </w:rPr>
        <w:t>” has the meaning assigned such term in Section 2.07(c)(i).</w:t>
      </w:r>
    </w:p>
    <w:p>
      <w:pPr>
        <w:spacing w:after="0" w:line="187" w:lineRule="exact"/>
        <w:rPr>
          <w:sz w:val="20"/>
          <w:szCs w:val="20"/>
          <w:color w:val="auto"/>
        </w:rPr>
      </w:pPr>
    </w:p>
    <w:p>
      <w:pPr>
        <w:jc w:val="both"/>
        <w:ind w:firstLine="643"/>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Governmental Requirements pertaining in any way to health, safety, the environment, the preservation or reclamation of natural resources, or the management, Release or threatened Release of any Hazardous Materials, in effect in any and all jurisdictions in which the Borrower or any Restricted Subsidiaries are conducting, or at any time have conducted business, or where any Property of the Borrower or any Restricted Subsidiaries is located, including the Oil Pollution Act of 1990 (“</w:t>
      </w:r>
      <w:r>
        <w:rPr>
          <w:rFonts w:ascii="Arial" w:cs="Arial" w:eastAsia="Arial" w:hAnsi="Arial"/>
          <w:sz w:val="20"/>
          <w:szCs w:val="20"/>
          <w:u w:val="single" w:color="auto"/>
          <w:color w:val="auto"/>
        </w:rPr>
        <w:t>OPA</w:t>
      </w:r>
      <w:r>
        <w:rPr>
          <w:rFonts w:ascii="Arial" w:cs="Arial" w:eastAsia="Arial" w:hAnsi="Arial"/>
          <w:sz w:val="20"/>
          <w:szCs w:val="20"/>
          <w:color w:val="auto"/>
        </w:rPr>
        <w:t>”), as amended, the Clean Air Act, as amended, the Comprehensive Environmental, Response, Compensation, and Liability Act of 1980 (“</w:t>
      </w:r>
      <w:r>
        <w:rPr>
          <w:rFonts w:ascii="Arial" w:cs="Arial" w:eastAsia="Arial" w:hAnsi="Arial"/>
          <w:sz w:val="20"/>
          <w:szCs w:val="20"/>
          <w:u w:val="single" w:color="auto"/>
          <w:color w:val="auto"/>
        </w:rPr>
        <w:t>CERCLA</w:t>
      </w:r>
      <w:r>
        <w:rPr>
          <w:rFonts w:ascii="Arial" w:cs="Arial" w:eastAsia="Arial" w:hAnsi="Arial"/>
          <w:sz w:val="20"/>
          <w:szCs w:val="20"/>
          <w:color w:val="auto"/>
        </w:rPr>
        <w:t>”), as amended, the Federal Water Pollution Control Act, as amended, the Occupational Safety and Health Act of 1970, as amended, the Resource Conservation and Recovery Act of 1976 (“</w:t>
      </w:r>
      <w:r>
        <w:rPr>
          <w:rFonts w:ascii="Arial" w:cs="Arial" w:eastAsia="Arial" w:hAnsi="Arial"/>
          <w:sz w:val="20"/>
          <w:szCs w:val="20"/>
          <w:u w:val="single" w:color="auto"/>
          <w:color w:val="auto"/>
        </w:rPr>
        <w:t>RCRA</w:t>
      </w:r>
      <w:r>
        <w:rPr>
          <w:rFonts w:ascii="Arial" w:cs="Arial" w:eastAsia="Arial" w:hAnsi="Arial"/>
          <w:sz w:val="20"/>
          <w:szCs w:val="20"/>
          <w:color w:val="auto"/>
        </w:rPr>
        <w:t>”), as amended, the Safe Drinking Water Act, as amended, the Toxic Substances Control Act, as amended, the Superfund Amendments and Reauthorization Act of 1986, as amended, the Hazardous Materials Transportation Act, as amended, and other environmental conservation or protection Governmental Requirements.</w:t>
      </w:r>
    </w:p>
    <w:p>
      <w:pPr>
        <w:spacing w:after="0" w:line="162"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Permit</w:t>
      </w:r>
      <w:r>
        <w:rPr>
          <w:rFonts w:ascii="Arial" w:cs="Arial" w:eastAsia="Arial" w:hAnsi="Arial"/>
          <w:sz w:val="21"/>
          <w:szCs w:val="21"/>
          <w:color w:val="auto"/>
        </w:rPr>
        <w:t>” means any permit, registration, license, notice, approval, consent, exemption, variance, or other authorization required under or issued pursuant to applicable Environmental Laws.</w:t>
      </w:r>
    </w:p>
    <w:p>
      <w:pPr>
        <w:spacing w:after="0" w:line="152"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Interests</w:t>
      </w:r>
      <w:r>
        <w:rPr>
          <w:rFonts w:ascii="Arial" w:cs="Arial" w:eastAsia="Arial" w:hAnsi="Arial"/>
          <w:sz w:val="21"/>
          <w:szCs w:val="21"/>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and any successor statute.</w:t>
      </w:r>
    </w:p>
    <w:p>
      <w:pPr>
        <w:spacing w:after="0" w:line="18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Affiliate</w:t>
      </w:r>
      <w:r>
        <w:rPr>
          <w:rFonts w:ascii="Arial" w:cs="Arial" w:eastAsia="Arial" w:hAnsi="Arial"/>
          <w:sz w:val="21"/>
          <w:szCs w:val="21"/>
          <w:color w:val="auto"/>
        </w:rPr>
        <w:t>” means each trade or business (whether or not incorporated) which together with the Borrower or a Subsidiary would be deemed to be a “</w:t>
      </w:r>
      <w:r>
        <w:rPr>
          <w:rFonts w:ascii="Arial" w:cs="Arial" w:eastAsia="Arial" w:hAnsi="Arial"/>
          <w:sz w:val="21"/>
          <w:szCs w:val="21"/>
          <w:u w:val="single" w:color="auto"/>
          <w:color w:val="auto"/>
        </w:rPr>
        <w:t>single employer</w:t>
      </w:r>
      <w:r>
        <w:rPr>
          <w:rFonts w:ascii="Arial" w:cs="Arial" w:eastAsia="Arial" w:hAnsi="Arial"/>
          <w:sz w:val="21"/>
          <w:szCs w:val="21"/>
          <w:color w:val="auto"/>
        </w:rPr>
        <w:t>” within the meaning of section 4001(b)(1) of ERISA or subsections (b), (c), (m) or (o) of section 414 of the Code.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Erroneous Payment</w:t>
      </w:r>
      <w:r>
        <w:rPr>
          <w:rFonts w:ascii="Arial" w:cs="Arial" w:eastAsia="Arial" w:hAnsi="Arial"/>
          <w:sz w:val="21"/>
          <w:szCs w:val="21"/>
          <w:color w:val="auto"/>
        </w:rPr>
        <w:t>” has the meaning assigned such term in Section 11.12(a).</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 Bail-In Legislation Schedule</w:t>
      </w:r>
      <w:r>
        <w:rPr>
          <w:rFonts w:ascii="Arial" w:cs="Arial" w:eastAsia="Arial" w:hAnsi="Arial"/>
          <w:sz w:val="21"/>
          <w:szCs w:val="21"/>
          <w:color w:val="auto"/>
        </w:rPr>
        <w:t>” means the EU Bail-In Legislation Schedule published by the Loan Market Association (or any successor person), as in effect from time to time.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 of Default</w:t>
      </w:r>
      <w:r>
        <w:rPr>
          <w:rFonts w:ascii="Arial" w:cs="Arial" w:eastAsia="Arial" w:hAnsi="Arial"/>
          <w:sz w:val="21"/>
          <w:szCs w:val="21"/>
          <w:color w:val="auto"/>
        </w:rPr>
        <w:t>” has the meaning assigned such term in Section 10.01.</w:t>
      </w:r>
    </w:p>
    <w:p>
      <w:pPr>
        <w:spacing w:after="0" w:line="187" w:lineRule="exact"/>
        <w:rPr>
          <w:sz w:val="20"/>
          <w:szCs w:val="20"/>
          <w:color w:val="auto"/>
        </w:rPr>
      </w:pPr>
    </w:p>
    <w:p>
      <w:pPr>
        <w:jc w:val="both"/>
        <w:ind w:firstLine="643"/>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Excepted Liens</w:t>
      </w:r>
      <w:r>
        <w:rPr>
          <w:rFonts w:ascii="Arial" w:cs="Arial" w:eastAsia="Arial" w:hAnsi="Arial"/>
          <w:sz w:val="20"/>
          <w:szCs w:val="20"/>
          <w:color w:val="auto"/>
        </w:rPr>
        <w:t>” means: (a) Liens for Taxes, assessments or other governmental charges or levies which are not delinquent or which are being contested in good faith by appropriate action and for which adequate reserves have been maintained in accordance with GAAP; (b) Liens in connection with workers’ compensation, unemployment insurance or other social security, old age pension or public liability obligations which are not delinquent or which are being contested in good faith by appropriate action and for which adequate reserves have been maintained in accordance with GAAP; (c) landlord’s liens, operators’, vendors’, carriers’, warehousemen’s, repairmen’s, mechanics’, suppliers’, workers’, materialmen’s, construction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44" w:name="page145"/>
    <w:bookmarkEnd w:id="144"/>
    <w:p>
      <w:pPr>
        <w:jc w:val="both"/>
        <w:spacing w:after="0"/>
        <w:rPr>
          <w:sz w:val="20"/>
          <w:szCs w:val="20"/>
          <w:color w:val="auto"/>
        </w:rPr>
      </w:pPr>
      <w:r>
        <w:rPr>
          <w:rFonts w:ascii="Arial" w:cs="Arial" w:eastAsia="Arial" w:hAnsi="Arial"/>
          <w:sz w:val="19"/>
          <w:szCs w:val="19"/>
          <w:color w:val="auto"/>
        </w:rPr>
        <w:t xml:space="preserve">other like Liens arising by operation of law or ordinary course of business contracts or incident to the exploration, development, operation and maintenance of Oil and Gas Properties each of which is in respect of obligations that are not delinquent or which are being contested in good faith by appropriate action and for which adequate reserves have been maintained in accordance with GAAP; (d) contractual Liens which arise in the ordinary course of business under operating agreements, joint venture agreements, oil and gas partnership agreements, oil and gas leases, farm-in and farm-out agreements, division orders, contracts for the sale, transportation or exchange of oil and natural gas, unitization and pooling declarations and agreements, area of mutual interest agreements, overriding royalty agreements,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which are usual and customary in the oil and gas business and are for claims which are not delinquent or which are being contested in good faith by appropriate action and for which adequate reserves have been maintained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Lien referred to in this clause does not materially impair the use of the Property covered by such Lien for the purposes for which such Property is held by the Borrower or its Restricted Subsidiaries or materially impair the value of such Property subject thereto; (e) Liens arising solely by virtue of any statutory or common law provision relating to banker’s liens, rights of set-off or similar rights and remedies and burdening only deposit accounts or other funds maintained with a creditor depository institution,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deposit account is a dedicated cash collateral account or is subject to restrictions against access by the depositor in excess of those set forth by regulations promulgated by the Board and no such deposit account is intended by the Borrower or its Restricted Subsidiaries to provide collateral to the depository institution; (f) easements, restrictions, servitudes, permits, conditions, covenants, exceptions or reservations in any Property of the Borrower or its Restricted Subsidiaries for the purpose of roads, pipelines, transmission lines, transportation lines, distribution lines for the removal of gas, oil, coal or other minerals or timber, and other like purposes, or for the joint or common use of real estate, rights of way, facilities and equipment, that do not secure any monetary obligations and which in the aggregate do not materially impair the use of such Property for the purposes of which such Property is held by the Borrower or its Restricted Subsidiaries or materially impair the value of such Property subject thereto; (g) Liens on cash or securities pledged to secure performance of tenders, surety and appeal bonds, government contracts, performance and return of money bonds, bids, trade contracts, leases, statutory obligations, regulatory obligations and other obligations of a like nature incurred in the ordinary course of business and (h) judgment and attachment Liens not giving rise to an Event of Default,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appropriate legal proceedings which may have been duly initiated for the review of such judgment shall not have been finally terminated or the period within which such proceeding may be initiated shall not have expired and no action to enforce such Lien has been commenced; provided, further that Liens described in clauses (a) through (e) shall remain “</w:t>
      </w:r>
      <w:r>
        <w:rPr>
          <w:rFonts w:ascii="Arial" w:cs="Arial" w:eastAsia="Arial" w:hAnsi="Arial"/>
          <w:sz w:val="19"/>
          <w:szCs w:val="19"/>
          <w:u w:val="single" w:color="auto"/>
          <w:color w:val="auto"/>
        </w:rPr>
        <w:t>Excepted Liens</w:t>
      </w:r>
      <w:r>
        <w:rPr>
          <w:rFonts w:ascii="Arial" w:cs="Arial" w:eastAsia="Arial" w:hAnsi="Arial"/>
          <w:sz w:val="19"/>
          <w:szCs w:val="19"/>
          <w:color w:val="auto"/>
        </w:rPr>
        <w:t>” only for so long as no action to enforce such Lien has been commenced and no intention to subordinate the first priority Lien granted in favor of the Administrative Agent and the Lenders is to be hereby implied or expressed by the permitted existence of such Excepted Liens.</w:t>
      </w:r>
    </w:p>
    <w:p>
      <w:pPr>
        <w:spacing w:after="0" w:line="297" w:lineRule="exact"/>
        <w:rPr>
          <w:sz w:val="20"/>
          <w:szCs w:val="20"/>
          <w:color w:val="auto"/>
        </w:rPr>
      </w:pPr>
    </w:p>
    <w:p>
      <w:pPr>
        <w:jc w:val="both"/>
        <w:ind w:right="20"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Excess Cash</w:t>
      </w:r>
      <w:r>
        <w:rPr>
          <w:rFonts w:ascii="Arial" w:cs="Arial" w:eastAsia="Arial" w:hAnsi="Arial"/>
          <w:sz w:val="21"/>
          <w:szCs w:val="21"/>
          <w:color w:val="auto"/>
        </w:rPr>
        <w:t>” means, at any time, the aggregate cash or cash equivalents of the Loan Parties (other than Excluded Cash) in excess of $75,000,000.</w:t>
      </w:r>
    </w:p>
    <w:p>
      <w:pPr>
        <w:spacing w:after="0" w:line="152" w:lineRule="exact"/>
        <w:rPr>
          <w:sz w:val="20"/>
          <w:szCs w:val="20"/>
          <w:color w:val="auto"/>
        </w:rPr>
      </w:pPr>
    </w:p>
    <w:p>
      <w:pPr>
        <w:jc w:val="both"/>
        <w:ind w:firstLine="643"/>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Cash</w:t>
      </w:r>
      <w:r>
        <w:rPr>
          <w:rFonts w:ascii="Arial" w:cs="Arial" w:eastAsia="Arial" w:hAnsi="Arial"/>
          <w:sz w:val="21"/>
          <w:szCs w:val="21"/>
          <w:color w:val="auto"/>
        </w:rPr>
        <w:t>” means (a) any cash to be used to pay obligations of the Loan Parties then due and owing (or required to be paid within five Business Days) to third parties and for which the Loan Parties have issued (or will issue) checks or have initiated (or will initiate) wires or ACH transfers in order to pay such obligations, (b) cash held in (i) accounts designated and used solely for payroll or employee benefits, (ii) cash collateral accounts with respect to Letters of Credit, (iii) trust accounts held and used exclusively for the payment of taxes of the Loan Parties, (iv) suspense or trust accounts held and used exclusively for royalty and working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45" w:name="page146"/>
    <w:bookmarkEnd w:id="145"/>
    <w:p>
      <w:pPr>
        <w:jc w:val="both"/>
        <w:spacing w:after="0" w:line="222" w:lineRule="auto"/>
        <w:rPr>
          <w:sz w:val="20"/>
          <w:szCs w:val="20"/>
          <w:color w:val="auto"/>
        </w:rPr>
      </w:pPr>
      <w:r>
        <w:rPr>
          <w:rFonts w:ascii="Arial" w:cs="Arial" w:eastAsia="Arial" w:hAnsi="Arial"/>
          <w:sz w:val="21"/>
          <w:szCs w:val="21"/>
          <w:color w:val="auto"/>
        </w:rPr>
        <w:t>payments owing to third parties, and (v) other accounts held by a Loan Party exclusively as a fiduciary for a third party, (c) any cash or cash equivalents constituting purchase price deposits held in escrow by a third party pursuant to a binding and enforceable purchase and sale agreement with a third party containing customary provisions regarding the payment and refunding of such deposits, (d) any cash or cash equivalents in the aggregate amount of reserves being maintained in accordance with GAAP with respect to Excepted Liens, and (e) any cash or cash equivalents subject to a Lien pursuant to (i) clause (g) of the definition of “Excepted Liens” or (ii) Section 9.03(a)(ii), (c), (f) or (g).</w:t>
      </w:r>
    </w:p>
    <w:p>
      <w:pPr>
        <w:spacing w:after="0" w:line="159" w:lineRule="exact"/>
        <w:rPr>
          <w:sz w:val="20"/>
          <w:szCs w:val="20"/>
          <w:color w:val="auto"/>
        </w:rPr>
      </w:pPr>
    </w:p>
    <w:p>
      <w:pPr>
        <w:jc w:val="both"/>
        <w:ind w:firstLine="643"/>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Obligations</w:t>
      </w:r>
      <w:r>
        <w:rPr>
          <w:rFonts w:ascii="Arial" w:cs="Arial" w:eastAsia="Arial" w:hAnsi="Arial"/>
          <w:sz w:val="19"/>
          <w:szCs w:val="19"/>
          <w:color w:val="auto"/>
        </w:rPr>
        <w:t>” means, with respect to any Loan Party individually determined on a Loan Party by Loan Party basis, any Swap Obligation, if and to the extent that, all or a portion of the joint and several liability or the guaranty of such Loan Party for, or the grant by such Loan Party of a security interest or other Lien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at the time such guarantee or the grant of such security interest or other Lien becomes effective with respect to, or any other time such Loan Party is by virtue of such guarantee or grant of such security interest or other Lien otherwise deemed to enter into, such Swap Obligation. If a Swap Obligation arises under a master agreement governing more than one swap, such exclusion shall apply only to the portion of such Swap Obligation that is attributable to swaps for which such guarantee, security interest or other Lien is or becomes illegal.</w:t>
      </w:r>
    </w:p>
    <w:p>
      <w:pPr>
        <w:spacing w:after="0" w:line="163" w:lineRule="exact"/>
        <w:rPr>
          <w:sz w:val="20"/>
          <w:szCs w:val="20"/>
          <w:color w:val="auto"/>
        </w:rPr>
      </w:pPr>
    </w:p>
    <w:p>
      <w:pPr>
        <w:jc w:val="both"/>
        <w:ind w:firstLine="643"/>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means, with respect to the Administrative Agent, any Lender, the Issuing Bank or any other recipient of any payment to be made by or on account of any obligation of the Borrower or any Guarantor hereunder or under any other Loan Document, (a) income or franchise taxes imposed on (or measured by) its net income by the United States of America or such other jurisdiction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in which the Borrower or any Guarantor is located and (c) in the case of a Foreign Lender, any withholding tax that is imposed on amounts payable to such Foreign Lender at the time such Foreign Lender becomes a party to this Agreement (or designates a new lending office) or is attributable to such Foreign Lender’s failure to comply with Section 5.03(g), except to the extent that such Foreign Lender (or its assignor, if any) was entitled, at the time of designation of a new lending office (or assignment), to receive additional amounts with respect to such withholding tax pursuant to Section 5.03(b) or Section 5.03(d).</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has the meaning assigned to such term in Recital A.</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Loan Documents</w:t>
      </w:r>
      <w:r>
        <w:rPr>
          <w:rFonts w:ascii="Arial" w:cs="Arial" w:eastAsia="Arial" w:hAnsi="Arial"/>
          <w:sz w:val="21"/>
          <w:szCs w:val="21"/>
          <w:color w:val="auto"/>
        </w:rPr>
        <w:t>” has the meaning assigned such term in Section 2.02(e).</w:t>
      </w:r>
    </w:p>
    <w:p>
      <w:pPr>
        <w:spacing w:after="0" w:line="187" w:lineRule="exact"/>
        <w:rPr>
          <w:sz w:val="20"/>
          <w:szCs w:val="20"/>
          <w:color w:val="auto"/>
        </w:rPr>
      </w:pPr>
    </w:p>
    <w:p>
      <w:pPr>
        <w:jc w:val="both"/>
        <w:ind w:firstLine="643"/>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date hereof) and any regulations or official interpretations thereof (including any Revenue Ruling, Revenue Procedure, Notice or similar guidance issued by the U.S. Internal Revenue Service thereunder as a precondition to relief or exemption from Taxes under such provisions); provided that FATCA shall also include any amendments to Sections 1471 through 1474 of the Code if, as amended, FATCA provides a commercially reasonable mechanism to avoid the tax imposed thereunder by satisfying the information reporting and other requirements of FATCA.</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FCPA</w:t>
      </w:r>
      <w:r>
        <w:rPr>
          <w:rFonts w:ascii="Arial" w:cs="Arial" w:eastAsia="Arial" w:hAnsi="Arial"/>
          <w:sz w:val="21"/>
          <w:szCs w:val="21"/>
          <w:color w:val="auto"/>
        </w:rPr>
        <w:t>” means the Foreign Corrupt Practices Act of 1977, as amended.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FDIC</w:t>
      </w:r>
      <w:r>
        <w:rPr>
          <w:rFonts w:ascii="Arial" w:cs="Arial" w:eastAsia="Arial" w:hAnsi="Arial"/>
          <w:sz w:val="21"/>
          <w:szCs w:val="21"/>
          <w:color w:val="auto"/>
        </w:rPr>
        <w:t>” means the Federal Deposit Insurance Corporation,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46" w:name="page147"/>
    <w:bookmarkEnd w:id="146"/>
    <w:p>
      <w:pPr>
        <w:jc w:val="both"/>
        <w:ind w:firstLine="643"/>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means, for any day, the rate per annum equal to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Federal Funds Effective Rate for such day shall be the average of the quotations for such day for such transactions received by the Administrative Agent from three federal funds brokers of recognized standing selected by it. Notwithstanding the foregoing, if the Federal Funds Effective Rate shall be less than zero, such rate shall be deemed to be zero for purposes of this Agreement.</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w:t>
      </w:r>
      <w:r>
        <w:rPr>
          <w:rFonts w:ascii="Arial" w:cs="Arial" w:eastAsia="Arial" w:hAnsi="Arial"/>
          <w:sz w:val="19"/>
          <w:szCs w:val="19"/>
          <w:color w:val="auto"/>
        </w:rPr>
        <w:t>” means that certain fee letter between the Administrative Agent and the Parent Guarantor dated July 8, 2014.</w:t>
      </w:r>
    </w:p>
    <w:p>
      <w:pPr>
        <w:spacing w:after="0" w:line="210"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Fifth Amendment</w:t>
      </w:r>
      <w:r>
        <w:rPr>
          <w:rFonts w:ascii="Arial" w:cs="Arial" w:eastAsia="Arial" w:hAnsi="Arial"/>
          <w:sz w:val="21"/>
          <w:szCs w:val="21"/>
          <w:color w:val="auto"/>
        </w:rPr>
        <w:t>” means that certain Fifth Amendment to Amended and Restated Senior Secured Revolving Credit Agreement, dated as of May 11, 2020, by and among the Borrower, the Parent Guarantor, the Administrative Agent, and the Lenders party thereto.</w:t>
      </w:r>
    </w:p>
    <w:p>
      <w:pPr>
        <w:spacing w:after="0" w:line="157" w:lineRule="exact"/>
        <w:rPr>
          <w:sz w:val="20"/>
          <w:szCs w:val="20"/>
          <w:color w:val="auto"/>
        </w:rPr>
      </w:pPr>
    </w:p>
    <w:p>
      <w:pPr>
        <w:jc w:val="both"/>
        <w:ind w:firstLine="643"/>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for any Person, the chief financial officer, principal accounting officer, treasurer or controller of such Person. Unless otherwise specified, all references herein to a Financial Officer means a Financial Officer of the Borrower.</w:t>
      </w:r>
    </w:p>
    <w:p>
      <w:pPr>
        <w:spacing w:after="0" w:line="106"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means the financial statement or statements of the Parent Guarantor and its consolidated Subsidiaries referred to in Section 7.04(a).</w:t>
      </w:r>
    </w:p>
    <w:p>
      <w:pPr>
        <w:spacing w:after="0" w:line="152"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Amendment</w:t>
      </w:r>
      <w:r>
        <w:rPr>
          <w:rFonts w:ascii="Arial" w:cs="Arial" w:eastAsia="Arial" w:hAnsi="Arial"/>
          <w:sz w:val="21"/>
          <w:szCs w:val="21"/>
          <w:color w:val="auto"/>
        </w:rPr>
        <w:t>” means that certain First Amendment to Amended and Restated Senior Secured Revolving Credit Agreement, dated as of June 27, 2019, by and among the Borrower, the Parent Guarantor, the Administrative Agent, and the Lenders party thereto.</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Floor</w:t>
      </w:r>
      <w:r>
        <w:rPr>
          <w:rFonts w:ascii="Arial" w:cs="Arial" w:eastAsia="Arial" w:hAnsi="Arial"/>
          <w:sz w:val="21"/>
          <w:szCs w:val="21"/>
          <w:color w:val="auto"/>
        </w:rPr>
        <w:t>” means, as of the Ninth Amendment Effective Date, a rate of interest equal to 0.00% per annum.</w:t>
      </w:r>
    </w:p>
    <w:p>
      <w:pPr>
        <w:spacing w:after="0" w:line="187" w:lineRule="exact"/>
        <w:rPr>
          <w:sz w:val="20"/>
          <w:szCs w:val="20"/>
          <w:color w:val="auto"/>
        </w:rPr>
      </w:pPr>
    </w:p>
    <w:p>
      <w:pPr>
        <w:jc w:val="both"/>
        <w:ind w:firstLine="643"/>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Lender</w:t>
      </w:r>
      <w:r>
        <w:rPr>
          <w:rFonts w:ascii="Arial" w:cs="Arial" w:eastAsia="Arial" w:hAnsi="Arial"/>
          <w:sz w:val="21"/>
          <w:szCs w:val="21"/>
          <w:color w:val="auto"/>
        </w:rPr>
        <w:t>” means any Lender that is not (i) an individual who is a citizen or resident of the United States of America; (ii) a partnership or a corporation (or other entity taxed as a corporation for U.S. federal income tax purposes) created or organized in or under the laws of the United States of America; (iii) an estate whose income is includible in gross income for U.S. federal income tax purposes regardless of its source; or (iv) a trust if (1) a court within the United States of America is able to exercise primary supervision over the administration of the trust and one or more “</w:t>
      </w:r>
      <w:r>
        <w:rPr>
          <w:rFonts w:ascii="Arial" w:cs="Arial" w:eastAsia="Arial" w:hAnsi="Arial"/>
          <w:sz w:val="21"/>
          <w:szCs w:val="21"/>
          <w:u w:val="single" w:color="auto"/>
          <w:color w:val="auto"/>
        </w:rPr>
        <w:t>United States person</w:t>
      </w:r>
      <w:r>
        <w:rPr>
          <w:rFonts w:ascii="Arial" w:cs="Arial" w:eastAsia="Arial" w:hAnsi="Arial"/>
          <w:sz w:val="21"/>
          <w:szCs w:val="21"/>
          <w:color w:val="auto"/>
        </w:rPr>
        <w:t>” (within the meaning of the Code) have the authority to control all substantial decisions of the trust, or (2) it has a valid election in effect under applicable Treasury regulations to be treated as a United States person.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Subsidiary</w:t>
      </w:r>
      <w:r>
        <w:rPr>
          <w:rFonts w:ascii="Arial" w:cs="Arial" w:eastAsia="Arial" w:hAnsi="Arial"/>
          <w:sz w:val="21"/>
          <w:szCs w:val="21"/>
          <w:color w:val="auto"/>
        </w:rPr>
        <w:t>” means any Subsidiary that is not a Domestic Subsidiary.</w:t>
      </w:r>
    </w:p>
    <w:p>
      <w:pPr>
        <w:spacing w:after="0" w:line="18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Fourth Amendment</w:t>
      </w:r>
      <w:r>
        <w:rPr>
          <w:rFonts w:ascii="Arial" w:cs="Arial" w:eastAsia="Arial" w:hAnsi="Arial"/>
          <w:sz w:val="21"/>
          <w:szCs w:val="21"/>
          <w:color w:val="auto"/>
        </w:rPr>
        <w:t>” means that certain Fourth Amendment to Amended and Restated Senior Secured Revolving Credit Agreement, dated as of November 29, 2019, by and among the Borrower, the Parent Guarantor, the Administrative Agent, and the Lenders party thereto.</w:t>
      </w:r>
    </w:p>
    <w:p>
      <w:pPr>
        <w:spacing w:after="0" w:line="157"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Fronting Exposure</w:t>
      </w:r>
      <w:r>
        <w:rPr>
          <w:rFonts w:ascii="Arial" w:cs="Arial" w:eastAsia="Arial" w:hAnsi="Arial"/>
          <w:sz w:val="20"/>
          <w:szCs w:val="20"/>
          <w:color w:val="auto"/>
        </w:rPr>
        <w:t>” means, at any time there is a Defaulting Lender, with respect to the Issuing Bank, such Defaulting Lender’s Applicable Percentage of the outstanding LC Exposure other than LC Exposure as to which such Defaulting Lender’s participation obligation has been reallocated to other Lenders or Cash Collateralized in accordance with the terms hereof.</w:t>
      </w:r>
    </w:p>
    <w:p>
      <w:pPr>
        <w:spacing w:after="0" w:line="153"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means generally accepted accounting principles in the United States of America as in effect from time to time subject to the terms and conditions set forth in Section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47" w:name="page148"/>
    <w:bookmarkEnd w:id="147"/>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General Partner</w:t>
      </w:r>
      <w:r>
        <w:rPr>
          <w:rFonts w:ascii="Arial" w:cs="Arial" w:eastAsia="Arial" w:hAnsi="Arial"/>
          <w:sz w:val="21"/>
          <w:szCs w:val="21"/>
          <w:color w:val="auto"/>
        </w:rPr>
        <w:t>” means Viper Energy Partners GP LLC, a Delaware limited liability company.</w:t>
      </w:r>
    </w:p>
    <w:p>
      <w:pPr>
        <w:spacing w:after="0" w:line="187"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over the Borrower, any Subsidiary, any of their Properties, the Administrative Agent, the Issuing Bank or any Lender.</w:t>
      </w:r>
    </w:p>
    <w:p>
      <w:pPr>
        <w:spacing w:after="0" w:line="143"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Requirement</w:t>
      </w:r>
      <w:r>
        <w:rPr>
          <w:rFonts w:ascii="Arial" w:cs="Arial" w:eastAsia="Arial" w:hAnsi="Arial"/>
          <w:sz w:val="21"/>
          <w:szCs w:val="21"/>
          <w:color w:val="auto"/>
        </w:rPr>
        <w:t>” means any law, statute, code, ordinance, order, determination, rule, regulation, judgment, decree, injunction, franchise, permit, certificate, license, rules of common law, authorization or other directive or requirement, whether now or hereinafter in effect, including, without limitation, Environmental Laws, energy regulations and occupational, safety and health standards or controls, of any Governmental Authority.</w:t>
      </w:r>
    </w:p>
    <w:p>
      <w:pPr>
        <w:spacing w:after="0" w:line="158"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Guarantor</w:t>
      </w:r>
      <w:r>
        <w:rPr>
          <w:rFonts w:ascii="Arial" w:cs="Arial" w:eastAsia="Arial" w:hAnsi="Arial"/>
          <w:sz w:val="21"/>
          <w:szCs w:val="21"/>
          <w:color w:val="auto"/>
        </w:rPr>
        <w:t>” means the Parent Guarantor and each Restricted Subsidiary that guarantees the Indebtedness pursuant to Section 8.14(b) unless and until released pursuant to the terms of the Loan Documents.</w:t>
      </w:r>
    </w:p>
    <w:p>
      <w:pPr>
        <w:spacing w:after="0" w:line="152"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Guaranty Agreement</w:t>
      </w:r>
      <w:r>
        <w:rPr>
          <w:rFonts w:ascii="Arial" w:cs="Arial" w:eastAsia="Arial" w:hAnsi="Arial"/>
          <w:sz w:val="21"/>
          <w:szCs w:val="21"/>
          <w:color w:val="auto"/>
        </w:rPr>
        <w:t>” means that certain Guaranty and Collateral Agreement dated as of July 8, 2014 by the Borrower and the Parent Guarantor in favor of the Administrative Agent as amended by that certain Sixth Amendment to the Existing Credit Agreement and First Amendment to Guaranty and Collateral Agreement dated as of May 30, 2018 and Assignment and Assumption Agreement dated as of May 30, 2018, as the same may be further amended, amended and restated, modified or supplemented from time to time.</w:t>
      </w:r>
    </w:p>
    <w:p>
      <w:pPr>
        <w:spacing w:after="0" w:line="158"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w:t>
      </w:r>
      <w:r>
        <w:rPr>
          <w:rFonts w:ascii="Arial" w:cs="Arial" w:eastAsia="Arial" w:hAnsi="Arial"/>
          <w:sz w:val="20"/>
          <w:szCs w:val="20"/>
          <w:color w:val="auto"/>
        </w:rPr>
        <w:t>” means any substance regulated or as to which liability might arise under any applicable Environmental Law including: (a) any chemical, compound, material, product, byproduct, substance or waste defined as or included in the definition or meaning of “</w:t>
      </w:r>
      <w:r>
        <w:rPr>
          <w:rFonts w:ascii="Arial" w:cs="Arial" w:eastAsia="Arial" w:hAnsi="Arial"/>
          <w:sz w:val="20"/>
          <w:szCs w:val="20"/>
          <w:u w:val="single" w:color="auto"/>
          <w:color w:val="auto"/>
        </w:rPr>
        <w:t>hazardous substance</w:t>
      </w:r>
      <w:r>
        <w:rPr>
          <w:rFonts w:ascii="Arial" w:cs="Arial" w:eastAsia="Arial" w:hAnsi="Arial"/>
          <w:sz w:val="20"/>
          <w:szCs w:val="20"/>
          <w:color w:val="auto"/>
        </w:rPr>
        <w:t>,” “</w:t>
      </w:r>
      <w:r>
        <w:rPr>
          <w:rFonts w:ascii="Arial" w:cs="Arial" w:eastAsia="Arial" w:hAnsi="Arial"/>
          <w:sz w:val="20"/>
          <w:szCs w:val="20"/>
          <w:u w:val="single" w:color="auto"/>
          <w:color w:val="auto"/>
        </w:rPr>
        <w:t>hazardous material</w:t>
      </w:r>
      <w:r>
        <w:rPr>
          <w:rFonts w:ascii="Arial" w:cs="Arial" w:eastAsia="Arial" w:hAnsi="Arial"/>
          <w:sz w:val="20"/>
          <w:szCs w:val="20"/>
          <w:color w:val="auto"/>
        </w:rPr>
        <w:t>,” “</w:t>
      </w:r>
      <w:r>
        <w:rPr>
          <w:rFonts w:ascii="Arial" w:cs="Arial" w:eastAsia="Arial" w:hAnsi="Arial"/>
          <w:sz w:val="20"/>
          <w:szCs w:val="20"/>
          <w:u w:val="single" w:color="auto"/>
          <w:color w:val="auto"/>
        </w:rPr>
        <w:t>hazardous waste</w:t>
      </w:r>
      <w:r>
        <w:rPr>
          <w:rFonts w:ascii="Arial" w:cs="Arial" w:eastAsia="Arial" w:hAnsi="Arial"/>
          <w:sz w:val="20"/>
          <w:szCs w:val="20"/>
          <w:color w:val="auto"/>
        </w:rPr>
        <w:t>,” “</w:t>
      </w:r>
      <w:r>
        <w:rPr>
          <w:rFonts w:ascii="Arial" w:cs="Arial" w:eastAsia="Arial" w:hAnsi="Arial"/>
          <w:sz w:val="20"/>
          <w:szCs w:val="20"/>
          <w:u w:val="single" w:color="auto"/>
          <w:color w:val="auto"/>
        </w:rPr>
        <w:t>solid waste</w:t>
      </w:r>
      <w:r>
        <w:rPr>
          <w:rFonts w:ascii="Arial" w:cs="Arial" w:eastAsia="Arial" w:hAnsi="Arial"/>
          <w:sz w:val="20"/>
          <w:szCs w:val="20"/>
          <w:color w:val="auto"/>
        </w:rPr>
        <w:t>,” “</w:t>
      </w:r>
      <w:r>
        <w:rPr>
          <w:rFonts w:ascii="Arial" w:cs="Arial" w:eastAsia="Arial" w:hAnsi="Arial"/>
          <w:sz w:val="20"/>
          <w:szCs w:val="20"/>
          <w:u w:val="single" w:color="auto"/>
          <w:color w:val="auto"/>
        </w:rPr>
        <w:t>toxic</w:t>
      </w:r>
      <w:r>
        <w:rPr>
          <w:rFonts w:ascii="Arial" w:cs="Arial" w:eastAsia="Arial" w:hAnsi="Arial"/>
          <w:sz w:val="20"/>
          <w:szCs w:val="20"/>
          <w:color w:val="auto"/>
        </w:rPr>
        <w:t xml:space="preserve"> </w:t>
      </w:r>
      <w:r>
        <w:rPr>
          <w:rFonts w:ascii="Arial" w:cs="Arial" w:eastAsia="Arial" w:hAnsi="Arial"/>
          <w:sz w:val="20"/>
          <w:szCs w:val="20"/>
          <w:u w:val="single" w:color="auto"/>
          <w:color w:val="auto"/>
        </w:rPr>
        <w:t>waste</w:t>
      </w:r>
      <w:r>
        <w:rPr>
          <w:rFonts w:ascii="Arial" w:cs="Arial" w:eastAsia="Arial" w:hAnsi="Arial"/>
          <w:sz w:val="20"/>
          <w:szCs w:val="20"/>
          <w:color w:val="auto"/>
        </w:rPr>
        <w:t>,” “</w:t>
      </w:r>
      <w:r>
        <w:rPr>
          <w:rFonts w:ascii="Arial" w:cs="Arial" w:eastAsia="Arial" w:hAnsi="Arial"/>
          <w:sz w:val="20"/>
          <w:szCs w:val="20"/>
          <w:u w:val="single" w:color="auto"/>
          <w:color w:val="auto"/>
        </w:rPr>
        <w:t>extremely hazardous substance</w:t>
      </w:r>
      <w:r>
        <w:rPr>
          <w:rFonts w:ascii="Arial" w:cs="Arial" w:eastAsia="Arial" w:hAnsi="Arial"/>
          <w:sz w:val="20"/>
          <w:szCs w:val="20"/>
          <w:color w:val="auto"/>
        </w:rPr>
        <w:t>,” “</w:t>
      </w:r>
      <w:r>
        <w:rPr>
          <w:rFonts w:ascii="Arial" w:cs="Arial" w:eastAsia="Arial" w:hAnsi="Arial"/>
          <w:sz w:val="20"/>
          <w:szCs w:val="20"/>
          <w:u w:val="single" w:color="auto"/>
          <w:color w:val="auto"/>
        </w:rPr>
        <w:t>toxic substance</w:t>
      </w:r>
      <w:r>
        <w:rPr>
          <w:rFonts w:ascii="Arial" w:cs="Arial" w:eastAsia="Arial" w:hAnsi="Arial"/>
          <w:sz w:val="20"/>
          <w:szCs w:val="20"/>
          <w:color w:val="auto"/>
        </w:rPr>
        <w:t>,” “</w:t>
      </w:r>
      <w:r>
        <w:rPr>
          <w:rFonts w:ascii="Arial" w:cs="Arial" w:eastAsia="Arial" w:hAnsi="Arial"/>
          <w:sz w:val="20"/>
          <w:szCs w:val="20"/>
          <w:u w:val="single" w:color="auto"/>
          <w:color w:val="auto"/>
        </w:rPr>
        <w:t>contaminant</w:t>
      </w:r>
      <w:r>
        <w:rPr>
          <w:rFonts w:ascii="Arial" w:cs="Arial" w:eastAsia="Arial" w:hAnsi="Arial"/>
          <w:sz w:val="20"/>
          <w:szCs w:val="20"/>
          <w:color w:val="auto"/>
        </w:rPr>
        <w:t>,” “</w:t>
      </w:r>
      <w:r>
        <w:rPr>
          <w:rFonts w:ascii="Arial" w:cs="Arial" w:eastAsia="Arial" w:hAnsi="Arial"/>
          <w:sz w:val="20"/>
          <w:szCs w:val="20"/>
          <w:u w:val="single" w:color="auto"/>
          <w:color w:val="auto"/>
        </w:rPr>
        <w:t>pollutant</w:t>
      </w:r>
      <w:r>
        <w:rPr>
          <w:rFonts w:ascii="Arial" w:cs="Arial" w:eastAsia="Arial" w:hAnsi="Arial"/>
          <w:sz w:val="20"/>
          <w:szCs w:val="20"/>
          <w:color w:val="auto"/>
        </w:rPr>
        <w:t>,” or words of similar meaning or import found in any applicable Environmental Law; (b) Hydrocarbons, petroleum products, petroleum substances, natural gas, oil, oil and gas waste, crude oil, and any components, fractions, or derivatives thereof; and (c) radioactive materials, explosives, asbestos or asbestos containing materials, polychlorinated biphenyls, radon, infectious or medical waste.</w:t>
      </w:r>
    </w:p>
    <w:p>
      <w:pPr>
        <w:spacing w:after="0" w:line="158"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Highest Lawful Rate</w:t>
      </w:r>
      <w:r>
        <w:rPr>
          <w:rFonts w:ascii="Arial" w:cs="Arial" w:eastAsia="Arial" w:hAnsi="Arial"/>
          <w:sz w:val="21"/>
          <w:szCs w:val="21"/>
          <w:color w:val="auto"/>
        </w:rPr>
        <w:t>” means, with respect to each Lender, the maximum nonusurious interest rate, if any, that at any time or from time to time may be contracted for, taken, reserved, charged or received on the Notes or on other Indebtedness under laws applicable to such Lender which are presently in effect or, to the extent allowed by law, under such applicable laws which may hereafter be in effect and which allow a higher maximum nonusurious interest rate than applicable laws allow as of the date hereof.</w:t>
      </w:r>
    </w:p>
    <w:p>
      <w:pPr>
        <w:spacing w:after="0" w:line="158" w:lineRule="exact"/>
        <w:rPr>
          <w:sz w:val="20"/>
          <w:szCs w:val="20"/>
          <w:color w:val="auto"/>
        </w:rPr>
      </w:pPr>
    </w:p>
    <w:p>
      <w:pPr>
        <w:jc w:val="both"/>
        <w:ind w:firstLine="643"/>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Hydrocarbon Interests</w:t>
      </w:r>
      <w:r>
        <w:rPr>
          <w:rFonts w:ascii="Arial" w:cs="Arial" w:eastAsia="Arial" w:hAnsi="Arial"/>
          <w:sz w:val="19"/>
          <w:szCs w:val="19"/>
          <w:color w:val="auto"/>
        </w:rPr>
        <w:t>” means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spacing w:after="0" w:line="133"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Hydrocarbons</w:t>
      </w:r>
      <w:r>
        <w:rPr>
          <w:rFonts w:ascii="Arial" w:cs="Arial" w:eastAsia="Arial" w:hAnsi="Arial"/>
          <w:sz w:val="21"/>
          <w:szCs w:val="21"/>
          <w:color w:val="auto"/>
        </w:rPr>
        <w:t xml:space="preserve"> ” means oil, gas, casinghead gas, drip gasoline, natural gasoline, condensate, distillate, liquid hydrocarbons, gaseous hydrocarbons and all products refined or separated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48" w:name="page149"/>
    <w:bookmarkEnd w:id="148"/>
    <w:p>
      <w:pPr>
        <w:jc w:val="both"/>
        <w:ind w:firstLine="643"/>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Indebtedness</w:t>
      </w:r>
      <w:r>
        <w:rPr>
          <w:rFonts w:ascii="Arial" w:cs="Arial" w:eastAsia="Arial" w:hAnsi="Arial"/>
          <w:sz w:val="21"/>
          <w:szCs w:val="21"/>
          <w:color w:val="auto"/>
        </w:rPr>
        <w:t>” means any and all amounts owing or to be owing by the Borrower or any Guarantor (whether direct or indirect (including those acquired by assumption), absolute or contingent, due or to become due, now existing or hereafter arising): (a) to the Administrative Agent, the Issuing Bank or any Lender under any Loan Document; (b) to any Secured Swap Party under any Secured Swap Obligations (provided that notwithstanding anything to the contrary herein or in any other Loan Document, “</w:t>
      </w:r>
      <w:r>
        <w:rPr>
          <w:rFonts w:ascii="Arial" w:cs="Arial" w:eastAsia="Arial" w:hAnsi="Arial"/>
          <w:sz w:val="21"/>
          <w:szCs w:val="21"/>
          <w:u w:val="single" w:color="auto"/>
          <w:color w:val="auto"/>
        </w:rPr>
        <w:t>Indebtedness</w:t>
      </w:r>
      <w:r>
        <w:rPr>
          <w:rFonts w:ascii="Arial" w:cs="Arial" w:eastAsia="Arial" w:hAnsi="Arial"/>
          <w:sz w:val="21"/>
          <w:szCs w:val="21"/>
          <w:color w:val="auto"/>
        </w:rPr>
        <w:t>” shall not include with respect to any Person any Excluded Swap Obligations of such Person); (c) to any Cash Management Provider in respect of any Cash Management Agreement and (d) all renewals, extensions and/or rearrangements of any of the above.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Taxes</w:t>
      </w:r>
      <w:r>
        <w:rPr>
          <w:rFonts w:ascii="Arial" w:cs="Arial" w:eastAsia="Arial" w:hAnsi="Arial"/>
          <w:sz w:val="21"/>
          <w:szCs w:val="21"/>
          <w:color w:val="auto"/>
        </w:rPr>
        <w:t>” means Taxes other than Excluded Taxes.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Indemnitee</w:t>
      </w:r>
      <w:r>
        <w:rPr>
          <w:rFonts w:ascii="Arial" w:cs="Arial" w:eastAsia="Arial" w:hAnsi="Arial"/>
          <w:sz w:val="21"/>
          <w:szCs w:val="21"/>
          <w:color w:val="auto"/>
        </w:rPr>
        <w:t>” has the meaning set forth in Section 12.03(b).</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Information</w:t>
      </w:r>
      <w:r>
        <w:rPr>
          <w:rFonts w:ascii="Arial" w:cs="Arial" w:eastAsia="Arial" w:hAnsi="Arial"/>
          <w:sz w:val="21"/>
          <w:szCs w:val="21"/>
          <w:color w:val="auto"/>
        </w:rPr>
        <w:t>” has the meaning set forth in Section 12.11.</w:t>
      </w:r>
    </w:p>
    <w:p>
      <w:pPr>
        <w:spacing w:after="0" w:line="187" w:lineRule="exact"/>
        <w:rPr>
          <w:sz w:val="20"/>
          <w:szCs w:val="20"/>
          <w:color w:val="auto"/>
        </w:rPr>
      </w:pPr>
    </w:p>
    <w:p>
      <w:pPr>
        <w:jc w:val="both"/>
        <w:ind w:right="20"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Reserve Report</w:t>
      </w:r>
      <w:r>
        <w:rPr>
          <w:rFonts w:ascii="Arial" w:cs="Arial" w:eastAsia="Arial" w:hAnsi="Arial"/>
          <w:sz w:val="21"/>
          <w:szCs w:val="21"/>
          <w:color w:val="auto"/>
        </w:rPr>
        <w:t>” means the report of Ryder Scott Company, L.P. dated as of January 18, 2018 with respect to certain Oil and Gas Properties of the Borrower as of December 31, 2017.</w:t>
      </w:r>
    </w:p>
    <w:p>
      <w:pPr>
        <w:spacing w:after="0" w:line="152" w:lineRule="exact"/>
        <w:rPr>
          <w:sz w:val="20"/>
          <w:szCs w:val="20"/>
          <w:color w:val="auto"/>
        </w:rPr>
      </w:pPr>
    </w:p>
    <w:p>
      <w:pPr>
        <w:jc w:val="both"/>
        <w:ind w:right="20"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Election Request</w:t>
      </w:r>
      <w:r>
        <w:rPr>
          <w:rFonts w:ascii="Arial" w:cs="Arial" w:eastAsia="Arial" w:hAnsi="Arial"/>
          <w:sz w:val="21"/>
          <w:szCs w:val="21"/>
          <w:color w:val="auto"/>
        </w:rPr>
        <w:t>” means a request by the Borrower to convert or continue a Borrowing in accordance with Section 2.04.</w:t>
      </w:r>
    </w:p>
    <w:p>
      <w:pPr>
        <w:spacing w:after="0" w:line="152"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means (a) with respect to any ABR Loan, the last day of each March, June, September and December and (b) with respect to any SOFR Loan, the last day of the 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w:t>
      </w:r>
    </w:p>
    <w:p>
      <w:pPr>
        <w:spacing w:after="0" w:line="143"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any SOFR Loan, the period commencing on the date such SOFR Loan is disbursed or converted to or continued as a SOFR Loan and ending on the date one (1), three (3) or six (6) months thereafter, in each case as selected by the Borrower in its Borrowing Request or Interest Election Request and subject to availability;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53" w:lineRule="exact"/>
        <w:rPr>
          <w:sz w:val="20"/>
          <w:szCs w:val="20"/>
          <w:color w:val="auto"/>
        </w:rPr>
      </w:pPr>
    </w:p>
    <w:p>
      <w:pPr>
        <w:jc w:val="both"/>
        <w:ind w:firstLine="650"/>
        <w:spacing w:after="0" w:line="232" w:lineRule="auto"/>
        <w:tabs>
          <w:tab w:leader="none" w:pos="1161"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Interest Period shall commence on the date of advance of or conversion to any SOFR Loan and, in the case of immediately successive Interest Periods, each successive Interest Period shall commence on the date on which the immediately preceding Interest Period expires;</w:t>
      </w:r>
    </w:p>
    <w:p>
      <w:pPr>
        <w:spacing w:after="0" w:line="49" w:lineRule="exact"/>
        <w:rPr>
          <w:rFonts w:ascii="Arial" w:cs="Arial" w:eastAsia="Arial" w:hAnsi="Arial"/>
          <w:sz w:val="21"/>
          <w:szCs w:val="21"/>
          <w:color w:val="auto"/>
        </w:rPr>
      </w:pPr>
    </w:p>
    <w:p>
      <w:pPr>
        <w:jc w:val="both"/>
        <w:ind w:firstLine="650"/>
        <w:spacing w:after="0" w:line="227" w:lineRule="auto"/>
        <w:tabs>
          <w:tab w:leader="none" w:pos="1122"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if any Interest Period would otherwise expire on a day that is not a Business Day, such Interest Period shall expire on the next succeeding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50" w:lineRule="exact"/>
        <w:rPr>
          <w:rFonts w:ascii="Arial" w:cs="Arial" w:eastAsia="Arial" w:hAnsi="Arial"/>
          <w:sz w:val="21"/>
          <w:szCs w:val="21"/>
          <w:color w:val="auto"/>
        </w:rPr>
      </w:pPr>
    </w:p>
    <w:p>
      <w:pPr>
        <w:jc w:val="both"/>
        <w:ind w:firstLine="650"/>
        <w:spacing w:after="0" w:line="232" w:lineRule="auto"/>
        <w:tabs>
          <w:tab w:leader="none" w:pos="1202" w:val="left"/>
        </w:tabs>
        <w:numPr>
          <w:ilvl w:val="0"/>
          <w:numId w:val="55"/>
        </w:numPr>
        <w:rPr>
          <w:rFonts w:ascii="Arial" w:cs="Arial" w:eastAsia="Arial" w:hAnsi="Arial"/>
          <w:sz w:val="21"/>
          <w:szCs w:val="21"/>
          <w:color w:val="auto"/>
        </w:rPr>
      </w:pPr>
      <w:r>
        <w:rPr>
          <w:rFonts w:ascii="Arial" w:cs="Arial" w:eastAsia="Arial" w:hAnsi="Arial"/>
          <w:sz w:val="21"/>
          <w:szCs w:val="21"/>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49" w:lineRule="exact"/>
        <w:rPr>
          <w:rFonts w:ascii="Arial" w:cs="Arial" w:eastAsia="Arial" w:hAnsi="Arial"/>
          <w:sz w:val="21"/>
          <w:szCs w:val="21"/>
          <w:color w:val="auto"/>
        </w:rPr>
      </w:pPr>
    </w:p>
    <w:p>
      <w:pPr>
        <w:ind w:left="1120" w:hanging="470"/>
        <w:spacing w:after="0"/>
        <w:tabs>
          <w:tab w:leader="none" w:pos="1120" w:val="left"/>
        </w:tabs>
        <w:numPr>
          <w:ilvl w:val="0"/>
          <w:numId w:val="55"/>
        </w:numPr>
        <w:rPr>
          <w:rFonts w:ascii="Arial" w:cs="Arial" w:eastAsia="Arial" w:hAnsi="Arial"/>
          <w:sz w:val="21"/>
          <w:szCs w:val="21"/>
          <w:color w:val="auto"/>
        </w:rPr>
      </w:pPr>
      <w:r>
        <w:rPr>
          <w:rFonts w:ascii="Arial" w:cs="Arial" w:eastAsia="Arial" w:hAnsi="Arial"/>
          <w:sz w:val="21"/>
          <w:szCs w:val="21"/>
          <w:color w:val="auto"/>
        </w:rPr>
        <w:t>no Interest Period shall extend beyond the Maturity Date;</w:t>
      </w:r>
    </w:p>
    <w:p>
      <w:pPr>
        <w:spacing w:after="0" w:line="79" w:lineRule="exact"/>
        <w:rPr>
          <w:rFonts w:ascii="Arial" w:cs="Arial" w:eastAsia="Arial" w:hAnsi="Arial"/>
          <w:sz w:val="21"/>
          <w:szCs w:val="21"/>
          <w:color w:val="auto"/>
        </w:rPr>
      </w:pPr>
    </w:p>
    <w:p>
      <w:pPr>
        <w:ind w:left="1100" w:hanging="450"/>
        <w:spacing w:after="0"/>
        <w:tabs>
          <w:tab w:leader="none" w:pos="110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there shall be no more than five (5) Interest Periods in effect at any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49" w:name="page150"/>
    <w:bookmarkEnd w:id="149"/>
    <w:p>
      <w:pPr>
        <w:ind w:firstLine="650"/>
        <w:spacing w:after="0" w:line="244" w:lineRule="auto"/>
        <w:tabs>
          <w:tab w:leader="none" w:pos="1085"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no tenor that has been removed from this definition pursuant to </w:t>
      </w:r>
      <w:r>
        <w:rPr>
          <w:rFonts w:ascii="Arial" w:cs="Arial" w:eastAsia="Arial" w:hAnsi="Arial"/>
          <w:sz w:val="21"/>
          <w:szCs w:val="21"/>
          <w:u w:val="single" w:color="auto"/>
          <w:color w:val="auto"/>
        </w:rPr>
        <w:t>Section 3.03(c)(iv)</w:t>
      </w:r>
      <w:r>
        <w:rPr>
          <w:rFonts w:ascii="Arial" w:cs="Arial" w:eastAsia="Arial" w:hAnsi="Arial"/>
          <w:sz w:val="21"/>
          <w:szCs w:val="21"/>
          <w:color w:val="auto"/>
        </w:rPr>
        <w:t xml:space="preserve"> shall be available for specification in any Borrowing Request or Interest Election Request.</w:t>
      </w:r>
    </w:p>
    <w:p>
      <w:pPr>
        <w:spacing w:after="0" w:line="4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Interim Redetermination</w:t>
      </w:r>
      <w:r>
        <w:rPr>
          <w:rFonts w:ascii="Arial" w:cs="Arial" w:eastAsia="Arial" w:hAnsi="Arial"/>
          <w:sz w:val="21"/>
          <w:szCs w:val="21"/>
          <w:color w:val="auto"/>
        </w:rPr>
        <w:t>” has the meaning assigned such term in Section 2.07(b).</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Interim Redetermination Date</w:t>
      </w:r>
      <w:r>
        <w:rPr>
          <w:rFonts w:ascii="Arial" w:cs="Arial" w:eastAsia="Arial" w:hAnsi="Arial"/>
          <w:sz w:val="21"/>
          <w:szCs w:val="21"/>
          <w:color w:val="auto"/>
        </w:rPr>
        <w:t>” means the date on which a Borrowing Base that has been determined pursuant to an Interim Redetermination becomes effective as provided in Section 2.07(d).</w:t>
      </w:r>
    </w:p>
    <w:p>
      <w:pPr>
        <w:spacing w:after="0" w:line="152" w:lineRule="exact"/>
        <w:rPr>
          <w:sz w:val="20"/>
          <w:szCs w:val="20"/>
          <w:color w:val="auto"/>
        </w:rPr>
      </w:pPr>
    </w:p>
    <w:p>
      <w:pPr>
        <w:jc w:val="both"/>
        <w:ind w:firstLine="643"/>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for any Person: (a) the acquisition (whether for cash, Property, services or securities or otherwise) of Equity Interests of any other Person or any agreement to make any such acquisition (including, without limitation, any “</w:t>
      </w:r>
      <w:r>
        <w:rPr>
          <w:rFonts w:ascii="Arial" w:cs="Arial" w:eastAsia="Arial" w:hAnsi="Arial"/>
          <w:sz w:val="19"/>
          <w:szCs w:val="19"/>
          <w:u w:val="single" w:color="auto"/>
          <w:color w:val="auto"/>
        </w:rPr>
        <w:t>short sale</w:t>
      </w:r>
      <w:r>
        <w:rPr>
          <w:rFonts w:ascii="Arial" w:cs="Arial" w:eastAsia="Arial" w:hAnsi="Arial"/>
          <w:sz w:val="19"/>
          <w:szCs w:val="19"/>
          <w:color w:val="auto"/>
        </w:rPr>
        <w:t>” or any sale of any securities at a time when such securities are not owned by the Person entering into such short sale); (b) the making of any deposit with, or advance, loan or capital contribution to, assumption of Debt of, purchase or other acquisition of any other Debt or equity participation or interest in,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ninety (90) days representing the purchase price of inventory or supplies sold by such Person in the ordinary course of business); or (c) the entering into of any guarantee of, or other contingent obligation (including the deposit of any Equity Interests to be sold) with respect to, Debt or other liability of any other Person and (without duplication) any amount committed to be advanced, lent or extended to such Person.</w:t>
      </w:r>
    </w:p>
    <w:p>
      <w:pPr>
        <w:spacing w:after="0" w:line="163"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means Wells Fargo, in its capacity as the issuer of Letters of Credit hereunder, and its successors in such capacity as provided in Section 2.08(i). The Issuing Bank may, in its discretion, arrange for one or more Letters of Credit to be issued by Affiliates of the Issuing Bank, in which case the term “</w:t>
      </w:r>
      <w:r>
        <w:rPr>
          <w:rFonts w:ascii="Arial" w:cs="Arial" w:eastAsia="Arial" w:hAnsi="Arial"/>
          <w:sz w:val="21"/>
          <w:szCs w:val="21"/>
          <w:u w:val="single" w:color="auto"/>
          <w:color w:val="auto"/>
        </w:rPr>
        <w:t>Issuing Bank</w:t>
      </w:r>
      <w:r>
        <w:rPr>
          <w:rFonts w:ascii="Arial" w:cs="Arial" w:eastAsia="Arial" w:hAnsi="Arial"/>
          <w:sz w:val="21"/>
          <w:szCs w:val="21"/>
          <w:color w:val="auto"/>
        </w:rPr>
        <w:t>” shall include any such Affiliate with respect to Letters of Credit issued by such Affiliate.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Commitment</w:t>
      </w:r>
      <w:r>
        <w:rPr>
          <w:rFonts w:ascii="Arial" w:cs="Arial" w:eastAsia="Arial" w:hAnsi="Arial"/>
          <w:sz w:val="21"/>
          <w:szCs w:val="21"/>
          <w:color w:val="auto"/>
        </w:rPr>
        <w:t>” at any time means five million dollars ($5,000,000).</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Disbursement</w:t>
      </w:r>
      <w:r>
        <w:rPr>
          <w:rFonts w:ascii="Arial" w:cs="Arial" w:eastAsia="Arial" w:hAnsi="Arial"/>
          <w:sz w:val="21"/>
          <w:szCs w:val="21"/>
          <w:color w:val="auto"/>
        </w:rPr>
        <w:t>” means a payment made by the Issuing Bank pursuant to a Letter of Credit.</w:t>
      </w:r>
    </w:p>
    <w:p>
      <w:pPr>
        <w:spacing w:after="0" w:line="187"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Exposure</w:t>
      </w:r>
      <w:r>
        <w:rPr>
          <w:rFonts w:ascii="Arial" w:cs="Arial" w:eastAsia="Arial" w:hAnsi="Arial"/>
          <w:sz w:val="21"/>
          <w:szCs w:val="21"/>
          <w:color w:val="auto"/>
        </w:rPr>
        <w:t>” means, at any time, the sum of (a) the aggregate undrawn amount of all outstanding Letters of Credit at such time plus (b) the aggregate amount of all LC Disbursements that have not yet been reimbursed by or on behalf of the Borrower at such time. The LC Exposure of any Lender at any time shall be its Applicable Percentage of the total LC Exposure at such time.</w:t>
      </w:r>
    </w:p>
    <w:p>
      <w:pPr>
        <w:spacing w:after="0" w:line="158"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means the Persons listed on Annex I and any Person that shall have become a party hereto pursuant to an Assignment and Assumption, other than any such Person that ceases to be a party hereto pursuant to an Assignment and Assumption, and any Person that shall have become a party hereto as an Additional Lender pursuant to Section 2.06(b)(ii).</w:t>
      </w:r>
    </w:p>
    <w:p>
      <w:pPr>
        <w:spacing w:after="0" w:line="153"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with respect to any Lender, the office of such Lender maintaining such Lender’s extensions of credit made hereunder, which office may, to the extent the applicable Lender notifies the Administrative Agent in writing, include an office of any Affiliate of such Lender or any domestic or foreign branch of such Lender or Affiliate.</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w:t>
      </w:r>
      <w:r>
        <w:rPr>
          <w:rFonts w:ascii="Arial" w:cs="Arial" w:eastAsia="Arial" w:hAnsi="Arial"/>
          <w:sz w:val="21"/>
          <w:szCs w:val="21"/>
          <w:color w:val="auto"/>
        </w:rPr>
        <w:t>” means any letter of credit issued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50" w:name="page151"/>
    <w:bookmarkEnd w:id="150"/>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Agreements</w:t>
      </w:r>
      <w:r>
        <w:rPr>
          <w:rFonts w:ascii="Arial" w:cs="Arial" w:eastAsia="Arial" w:hAnsi="Arial"/>
          <w:sz w:val="21"/>
          <w:szCs w:val="21"/>
          <w:color w:val="auto"/>
        </w:rPr>
        <w:t>” means all letter of credit applications and other agreements (including any amendments, modifications or supplements thereto) submitted by the Borrower, or entered into by the Borrower, with the Issuing Bank relating to any Letter of Credit.</w:t>
      </w:r>
    </w:p>
    <w:p>
      <w:pPr>
        <w:spacing w:after="0" w:line="157" w:lineRule="exact"/>
        <w:rPr>
          <w:sz w:val="20"/>
          <w:szCs w:val="20"/>
          <w:color w:val="auto"/>
        </w:rPr>
      </w:pPr>
    </w:p>
    <w:p>
      <w:pPr>
        <w:jc w:val="both"/>
        <w:ind w:firstLine="643"/>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interest in Property securing an obligation owed to, or a claim by, a Person other than the owner of the Property, whether such interest is based on the common law, statute or contract, and whether such obligation or claim is fixed or contingent, and including but not limited to (a) the lien or security interest arising from a mortgage, encumbrance, pledge, security agreement, conditional sale or trust receipt or a lease, consignment or bailment for security purposes or (b) production payments and the like payable out of Oil and Gas Properties. The term “</w:t>
      </w:r>
      <w:r>
        <w:rPr>
          <w:rFonts w:ascii="Arial" w:cs="Arial" w:eastAsia="Arial" w:hAnsi="Arial"/>
          <w:sz w:val="20"/>
          <w:szCs w:val="20"/>
          <w:u w:val="single" w:color="auto"/>
          <w:color w:val="auto"/>
        </w:rPr>
        <w:t>Lien</w:t>
      </w:r>
      <w:r>
        <w:rPr>
          <w:rFonts w:ascii="Arial" w:cs="Arial" w:eastAsia="Arial" w:hAnsi="Arial"/>
          <w:sz w:val="20"/>
          <w:szCs w:val="20"/>
          <w:color w:val="auto"/>
        </w:rPr>
        <w:t>” shall include easements, restrictions, servitudes, permits, conditions, covenants, exceptions or reservations. For the purposes of this Agreement, the Borrower or any Restricted Subsidiary shall be deemed to be the owner of any Property which it has acquired or holds subject to a conditional sale agreement, or leases under a financing lease or other arrangement pursuant to which title to the Property has been retained by or vested in some other Person in a transaction intended to create a financing.</w:t>
      </w:r>
    </w:p>
    <w:p>
      <w:pPr>
        <w:spacing w:after="0" w:line="159" w:lineRule="exact"/>
        <w:rPr>
          <w:sz w:val="20"/>
          <w:szCs w:val="20"/>
          <w:color w:val="auto"/>
        </w:rPr>
      </w:pPr>
    </w:p>
    <w:p>
      <w:pPr>
        <w:jc w:val="both"/>
        <w:ind w:firstLine="643"/>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this Agreement, the First Amendment, the Second Amendment, the Third Amendment, the Fourth Amendment, the Fifth Amendment, the Sixth Amendment, the Seventh Amendment, the Eighth Amendment, the Ninth Amendment, the Notes, the Letter of Credit Agreements, the Letters of Credit and the Security Instruments, certain Existing Loan Documents as provided in Section 2.02(e) and any other document or agreement executed by the Borrower or any other Loan Party in connection with this Agreement and expressly designated by the Borrower and the Administrative Agent to be a Loan Document.</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Party</w:t>
      </w:r>
      <w:r>
        <w:rPr>
          <w:rFonts w:ascii="Arial" w:cs="Arial" w:eastAsia="Arial" w:hAnsi="Arial"/>
          <w:sz w:val="21"/>
          <w:szCs w:val="21"/>
          <w:color w:val="auto"/>
        </w:rPr>
        <w:t>” means, collectively, the Borrower and each Guarantor.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Loans</w:t>
      </w:r>
      <w:r>
        <w:rPr>
          <w:rFonts w:ascii="Arial" w:cs="Arial" w:eastAsia="Arial" w:hAnsi="Arial"/>
          <w:sz w:val="21"/>
          <w:szCs w:val="21"/>
          <w:color w:val="auto"/>
        </w:rPr>
        <w:t>” means the loans made by the Lenders to the Borrower pursuant to this Agreement.</w:t>
      </w:r>
    </w:p>
    <w:p>
      <w:pPr>
        <w:spacing w:after="0" w:line="187" w:lineRule="exact"/>
        <w:rPr>
          <w:sz w:val="20"/>
          <w:szCs w:val="20"/>
          <w:color w:val="auto"/>
        </w:rPr>
      </w:pPr>
    </w:p>
    <w:p>
      <w:pPr>
        <w:jc w:val="both"/>
        <w:ind w:firstLine="643"/>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Majority Lenders</w:t>
      </w:r>
      <w:r>
        <w:rPr>
          <w:rFonts w:ascii="Arial" w:cs="Arial" w:eastAsia="Arial" w:hAnsi="Arial"/>
          <w:sz w:val="20"/>
          <w:szCs w:val="20"/>
          <w:color w:val="auto"/>
        </w:rPr>
        <w:t>” means, at any time while no Loans or LC Exposure is outstanding, if there are only two Lenders, two Lenders, and if there are more than two, three or more Lenders, in each instance having more than fifty percent (50%) of the Aggregate Maximum Credit Amounts; and at any time while any Loans or LC Exposure is outstanding, if there are only two Lenders, two Lenders, and if there are more than two, three or more Lenders, in each instance holding more than fifty percent (50%) of the outstanding aggregate principal amount of the Loans and participation interests in Letters of Credit (without regard to any sale by a Lender of a participation in any Loan under Section 12.04(c)); provided that the Maximum Credit Amounts and the principal amount of the Loans and participation interests in Letters of Credit of the Defaulting Lenders (if any) shall be excluded from the determination of Majority Lenders.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Margin Rule</w:t>
      </w:r>
      <w:r>
        <w:rPr>
          <w:rFonts w:ascii="Arial" w:cs="Arial" w:eastAsia="Arial" w:hAnsi="Arial"/>
          <w:sz w:val="21"/>
          <w:szCs w:val="21"/>
          <w:color w:val="auto"/>
        </w:rPr>
        <w:t>” has the meaning assigned such term in Section 12.18(e).</w:t>
      </w:r>
    </w:p>
    <w:p>
      <w:pPr>
        <w:spacing w:after="0" w:line="187"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means a material adverse change in, or material adverse effect on (a) the business, operations, Property or condition (financial or otherwise) of the Borrower and its Restricted Subsidiaries taken as a whole, (b) the ability of the Borrower, any Restricted Subsidiaries or any Guarantor to perform any of its obligations under any Loan Document, (c) the validity or enforceability of any Loan Document or (d) the rights and remedies of or benefits available to the Administrative Agent, the Issuing Bank or any Lender under any Loan Document.</w:t>
      </w:r>
    </w:p>
    <w:p>
      <w:pPr>
        <w:spacing w:after="0" w:line="158"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means Debt (other than the Loans and Letters of Credit), or obligations in respect of one or more Swap Agreements, of the Borrower or its Restricted Subsidiaries in an aggregate principal amount exceeding $25,000,000.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51" w:name="page152"/>
    <w:bookmarkEnd w:id="151"/>
    <w:p>
      <w:pPr>
        <w:jc w:val="both"/>
        <w:spacing w:after="0" w:line="244" w:lineRule="auto"/>
        <w:rPr>
          <w:sz w:val="20"/>
          <w:szCs w:val="20"/>
          <w:color w:val="auto"/>
        </w:rPr>
      </w:pPr>
      <w:r>
        <w:rPr>
          <w:rFonts w:ascii="Arial" w:cs="Arial" w:eastAsia="Arial" w:hAnsi="Arial"/>
          <w:sz w:val="21"/>
          <w:szCs w:val="21"/>
          <w:color w:val="auto"/>
        </w:rPr>
        <w:t>determining Material Indebtedness, the “</w:t>
      </w:r>
      <w:r>
        <w:rPr>
          <w:rFonts w:ascii="Arial" w:cs="Arial" w:eastAsia="Arial" w:hAnsi="Arial"/>
          <w:sz w:val="21"/>
          <w:szCs w:val="21"/>
          <w:u w:val="single" w:color="auto"/>
          <w:color w:val="auto"/>
        </w:rPr>
        <w:t>principal amount</w:t>
      </w:r>
      <w:r>
        <w:rPr>
          <w:rFonts w:ascii="Arial" w:cs="Arial" w:eastAsia="Arial" w:hAnsi="Arial"/>
          <w:sz w:val="21"/>
          <w:szCs w:val="21"/>
          <w:color w:val="auto"/>
        </w:rPr>
        <w:t>” of the obligations of the Borrower or its Restricted Subsidiaries in respect of any Swap Agreement at any time shall be the Swap Termination Value.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 Date</w:t>
      </w:r>
      <w:r>
        <w:rPr>
          <w:rFonts w:ascii="Arial" w:cs="Arial" w:eastAsia="Arial" w:hAnsi="Arial"/>
          <w:sz w:val="21"/>
          <w:szCs w:val="21"/>
          <w:color w:val="auto"/>
        </w:rPr>
        <w:t>” means June 2, 2025.</w:t>
      </w:r>
    </w:p>
    <w:p>
      <w:pPr>
        <w:spacing w:after="0" w:line="187"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Maximum Credit Amount</w:t>
      </w:r>
      <w:r>
        <w:rPr>
          <w:rFonts w:ascii="Arial" w:cs="Arial" w:eastAsia="Arial" w:hAnsi="Arial"/>
          <w:sz w:val="21"/>
          <w:szCs w:val="21"/>
          <w:color w:val="auto"/>
        </w:rPr>
        <w:t>” means, as to each Lender, the amount set forth opposite such Lender’s name on Annex I under the caption “</w:t>
      </w:r>
      <w:r>
        <w:rPr>
          <w:rFonts w:ascii="Arial" w:cs="Arial" w:eastAsia="Arial" w:hAnsi="Arial"/>
          <w:sz w:val="21"/>
          <w:szCs w:val="21"/>
          <w:u w:val="single" w:color="auto"/>
          <w:color w:val="auto"/>
        </w:rPr>
        <w:t>Maximum Credit Amounts</w:t>
      </w:r>
      <w:r>
        <w:rPr>
          <w:rFonts w:ascii="Arial" w:cs="Arial" w:eastAsia="Arial" w:hAnsi="Arial"/>
          <w:sz w:val="21"/>
          <w:szCs w:val="21"/>
          <w:color w:val="auto"/>
        </w:rPr>
        <w:t>”, as the same may be (a) reduced or terminated from time to time in connection with a reduction or termination of the Aggregate Maximum Credit Amounts pursuant to Section 2.06(a)(ii), (b) increased from time to time pursuant to Section 2.06(b)(ii)(E) or (c) modified from time to time pursuant to any assignment permitted by Section 12.04(b).</w:t>
      </w:r>
    </w:p>
    <w:p>
      <w:pPr>
        <w:spacing w:after="0" w:line="158"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Collateral Amount</w:t>
      </w:r>
      <w:r>
        <w:rPr>
          <w:rFonts w:ascii="Arial" w:cs="Arial" w:eastAsia="Arial" w:hAnsi="Arial"/>
          <w:sz w:val="19"/>
          <w:szCs w:val="19"/>
          <w:color w:val="auto"/>
        </w:rPr>
        <w:t>” means, at any time, (i) with respect to Cash Collateral consisting of cash or deposit account balances, an amount equal to 105% of the Fronting Exposure of all Issuing Banks with respect to Letters of Credit issued and outstanding at such time and (ii) if the Borrower agrees to deliver Cash Collateral consisting of property other than cash or deposit account balances, an amount determined by the Administrative Agent and the Issuing Bank in their sole discretion.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means Moody’s Investors Service, Inc. and any successor thereto that is a nationally recognized rating agency.</w:t>
      </w:r>
    </w:p>
    <w:p>
      <w:pPr>
        <w:spacing w:after="0" w:line="210"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Mortgaged Property</w:t>
      </w:r>
      <w:r>
        <w:rPr>
          <w:rFonts w:ascii="Arial" w:cs="Arial" w:eastAsia="Arial" w:hAnsi="Arial"/>
          <w:sz w:val="21"/>
          <w:szCs w:val="21"/>
          <w:color w:val="auto"/>
        </w:rPr>
        <w:t>” means any Property owned by the Borrower or any Guarantor which is subject to the Liens existing and to exist under the terms of the Security Instruments.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Borrowing Base Notice</w:t>
      </w:r>
      <w:r>
        <w:rPr>
          <w:rFonts w:ascii="Arial" w:cs="Arial" w:eastAsia="Arial" w:hAnsi="Arial"/>
          <w:sz w:val="21"/>
          <w:szCs w:val="21"/>
          <w:color w:val="auto"/>
        </w:rPr>
        <w:t>” has the meaning assigned such term in Section 2.07(d).</w:t>
      </w:r>
    </w:p>
    <w:p>
      <w:pPr>
        <w:spacing w:after="0" w:line="18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Ninth Amendment</w:t>
      </w:r>
      <w:r>
        <w:rPr>
          <w:rFonts w:ascii="Arial" w:cs="Arial" w:eastAsia="Arial" w:hAnsi="Arial"/>
          <w:sz w:val="21"/>
          <w:szCs w:val="21"/>
          <w:color w:val="auto"/>
        </w:rPr>
        <w:t>” means that certain Ninth Amendment to Amended and Restated Senior Secured Revolving Credit Agreement, dated as of the Ninth Amendment Effective Date, by and among the Borrower, the Parent Guarantor, the Administrative Agent, and the Lenders party thereto.</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Ninth Amendment Effective Date</w:t>
      </w:r>
      <w:r>
        <w:rPr>
          <w:rFonts w:ascii="Arial" w:cs="Arial" w:eastAsia="Arial" w:hAnsi="Arial"/>
          <w:sz w:val="21"/>
          <w:szCs w:val="21"/>
          <w:color w:val="auto"/>
        </w:rPr>
        <w:t>” means November 18, 2022.</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Non-Defaulting Lender</w:t>
      </w:r>
      <w:r>
        <w:rPr>
          <w:rFonts w:ascii="Arial" w:cs="Arial" w:eastAsia="Arial" w:hAnsi="Arial"/>
          <w:sz w:val="21"/>
          <w:szCs w:val="21"/>
          <w:color w:val="auto"/>
        </w:rPr>
        <w:t>” means, at any time, each Lender that is not a Defaulting Lender at such time.</w:t>
      </w:r>
    </w:p>
    <w:p>
      <w:pPr>
        <w:spacing w:after="0" w:line="187" w:lineRule="exact"/>
        <w:rPr>
          <w:sz w:val="20"/>
          <w:szCs w:val="20"/>
          <w:color w:val="auto"/>
        </w:rPr>
      </w:pPr>
    </w:p>
    <w:p>
      <w:pPr>
        <w:jc w:val="both"/>
        <w:ind w:firstLine="643"/>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Non-Recourse Debt</w:t>
      </w:r>
      <w:r>
        <w:rPr>
          <w:rFonts w:ascii="Arial" w:cs="Arial" w:eastAsia="Arial" w:hAnsi="Arial"/>
          <w:sz w:val="21"/>
          <w:szCs w:val="21"/>
          <w:color w:val="auto"/>
        </w:rPr>
        <w:t>” means any Debt of any Unrestricted Subsidiary, in each case in respect of which: the holder or holders thereof (a) shall have recourse only to, and shall have the right to require the obligations of such Unrestricted Subsidiary to be performed, satisfied, and paid only out of, (i) the Property of such Unrestricted Subsidiary and/or one or more other Unrestricted Subsidiaries and/or any other Person (other than the Borrower and/or any Restricted Subsidiary) and (ii) the Equity Interests of an Unrestricted Subsidiary and (b) shall have no direct or indirect recourse (including by way of guaranty, support or indemnity) to the Borrower or any Restricted Subsidiary or to any of the Property of the Borrower or any Restricted Subsidiary, in each case other than Equity Interests held by them in Unrestricted Subsidiaries, whether for principal, interest, fees, expenses or otherwise.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Non-Voting Units</w:t>
      </w:r>
      <w:r>
        <w:rPr>
          <w:rFonts w:ascii="Arial" w:cs="Arial" w:eastAsia="Arial" w:hAnsi="Arial"/>
          <w:sz w:val="21"/>
          <w:szCs w:val="21"/>
          <w:color w:val="auto"/>
        </w:rPr>
        <w:t>” means the Units of the Borrower held by a holder of Partnership Class B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52" w:name="page153"/>
    <w:bookmarkEnd w:id="152"/>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Notes</w:t>
      </w:r>
      <w:r>
        <w:rPr>
          <w:rFonts w:ascii="Arial" w:cs="Arial" w:eastAsia="Arial" w:hAnsi="Arial"/>
          <w:sz w:val="21"/>
          <w:szCs w:val="21"/>
          <w:color w:val="auto"/>
        </w:rPr>
        <w:t>” means the promissory notes of the Borrower described in Section 2.02(d) and being substantially in the form of Exhibit A, together with all amendments, modifications, replacements, extensions and rearrangements thereof.</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OFAC</w:t>
      </w:r>
      <w:r>
        <w:rPr>
          <w:rFonts w:ascii="Arial" w:cs="Arial" w:eastAsia="Arial" w:hAnsi="Arial"/>
          <w:sz w:val="21"/>
          <w:szCs w:val="21"/>
          <w:color w:val="auto"/>
        </w:rPr>
        <w:t>” means the U.S. Department of the Treasury’s Office of Foreign Assets Control.</w:t>
      </w:r>
    </w:p>
    <w:p>
      <w:pPr>
        <w:spacing w:after="0" w:line="187" w:lineRule="exact"/>
        <w:rPr>
          <w:sz w:val="20"/>
          <w:szCs w:val="20"/>
          <w:color w:val="auto"/>
        </w:rPr>
      </w:pPr>
    </w:p>
    <w:p>
      <w:pPr>
        <w:jc w:val="both"/>
        <w:ind w:firstLine="643"/>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Oil and Gas Business</w:t>
      </w:r>
      <w:r>
        <w:rPr>
          <w:rFonts w:ascii="Arial" w:cs="Arial" w:eastAsia="Arial" w:hAnsi="Arial"/>
          <w:sz w:val="21"/>
          <w:szCs w:val="21"/>
          <w:color w:val="auto"/>
        </w:rPr>
        <w:t>” means (i) the acquisition, ownership, operation, exploration, exploitation, development, production, operation, mining and disposition of Hydrocarbons, Hydrocarbon Interests, Oil and Gas Properties, sand, and other minerals and other products commonly created, used, recovered or produced in the conduct of the activities described in this definition, (ii) the gathering, distributing, marketing, treating, processing (but not refining), storage, selling, transporting and other handling of any production from such interests or properties, and (iii) any activity that is ancillary to or necessary or appropriate for the activities described in clauses (i) and (ii) of this definition.</w:t>
      </w:r>
    </w:p>
    <w:p>
      <w:pPr>
        <w:spacing w:after="0" w:line="159"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Oil and Gas Properties</w:t>
      </w:r>
      <w:r>
        <w:rPr>
          <w:rFonts w:ascii="Arial" w:cs="Arial" w:eastAsia="Arial" w:hAnsi="Arial"/>
          <w:sz w:val="19"/>
          <w:szCs w:val="19"/>
          <w:color w:val="auto"/>
        </w:rPr>
        <w:t>” means (a) Hydrocarbon Interests; (b) the Properties now or hereafter pooled or unitized with Hydrocarbon Interests; (c) all presently existing or future unitization, pooling agreements and declarations of pooled units and the units created thereby (including without limitation all units created under orders, regulations and rules of any Governmental Authority) which may affect all or any portion of the Hydrocarbon Interests; (d) all operating agreements, contracts and other agreements, including production sharing contracts and agreements, which relate to any of the Hydrocarbon Interests or the production, sale, purchase, exchange or processing of Hydrocarbons from or attributable to such Hydrocarbon Interests; (e) all Hydrocarbons in and under and which may be produced and saved or attributable to the Hydrocarbon Interests, including all oil in tanks, and all rents, issues, profits, proceeds, products, revenues and other incomes from or attributable to the Hydrocarbon Interests; (f) all tenements, hereditaments, appurtenances and Properties in any manner appertaining, belonging, affixed or incidental to the Hydrocarbon Interests and (g) all Properties, rights, titles, interests and estates described or referred to above, including any and all Property, real or personal, now owned or hereinafter acquired and situated upon, used, held for use or useful in connection with the operating, working or development of any of such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 plants, plant compressors, pumps, pumping units, field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170"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Secured Persons</w:t>
      </w:r>
      <w:r>
        <w:rPr>
          <w:rFonts w:ascii="Arial" w:cs="Arial" w:eastAsia="Arial" w:hAnsi="Arial"/>
          <w:sz w:val="21"/>
          <w:szCs w:val="21"/>
          <w:color w:val="auto"/>
        </w:rPr>
        <w:t>” means each Lender, each Issuing Bank, each Secured Swap Party, each Indemnitee and any legal owner, holder, assignee or pledgee of any of the Indebtedness.</w:t>
      </w:r>
    </w:p>
    <w:p>
      <w:pPr>
        <w:spacing w:after="0" w:line="152"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Taxes</w:t>
      </w:r>
      <w:r>
        <w:rPr>
          <w:rFonts w:ascii="Arial" w:cs="Arial" w:eastAsia="Arial" w:hAnsi="Arial"/>
          <w:sz w:val="21"/>
          <w:szCs w:val="21"/>
          <w:color w:val="auto"/>
        </w:rPr>
        <w:t>” means any and all present or future stamp or documentary taxes or any other excise or Property taxes, charges or similar levies arising from any payment made hereunder or from the execution, delivery or enforcement of, or otherwise with respect to, this Agreement and any other Loan Document.</w:t>
      </w:r>
    </w:p>
    <w:p>
      <w:pPr>
        <w:spacing w:after="0" w:line="15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Overnight Rate</w:t>
      </w:r>
      <w:r>
        <w:rPr>
          <w:rFonts w:ascii="Arial" w:cs="Arial" w:eastAsia="Arial" w:hAnsi="Arial"/>
          <w:sz w:val="21"/>
          <w:szCs w:val="21"/>
          <w:color w:val="auto"/>
        </w:rPr>
        <w:t>” means, for any day, the greater of (a) the Federal Funds Effective Rate and (b) an overnight rate determined by the Administrative Agent in accordance with banking industry rules on interbank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53" w:name="page154"/>
    <w:bookmarkEnd w:id="153"/>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has the meaning set forth in Section 12.04(c)(i).</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 Register</w:t>
      </w:r>
      <w:r>
        <w:rPr>
          <w:rFonts w:ascii="Arial" w:cs="Arial" w:eastAsia="Arial" w:hAnsi="Arial"/>
          <w:sz w:val="21"/>
          <w:szCs w:val="21"/>
          <w:color w:val="auto"/>
        </w:rPr>
        <w:t>” has the meaning set forth in Section 12.04(c)(iii).</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Partnership Class B Units</w:t>
      </w:r>
      <w:r>
        <w:rPr>
          <w:rFonts w:ascii="Arial" w:cs="Arial" w:eastAsia="Arial" w:hAnsi="Arial"/>
          <w:sz w:val="21"/>
          <w:szCs w:val="21"/>
          <w:color w:val="auto"/>
        </w:rPr>
        <w:t>” has the meaning assigned to such term in the Borrower LLC Agreement.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Periodic Term SOFR Determination Day</w:t>
      </w:r>
      <w:r>
        <w:rPr>
          <w:rFonts w:ascii="Arial" w:cs="Arial" w:eastAsia="Arial" w:hAnsi="Arial"/>
          <w:sz w:val="21"/>
          <w:szCs w:val="21"/>
          <w:color w:val="auto"/>
        </w:rPr>
        <w:t>” has the meaning assigned thereto in the definition of “Term SOFR”.</w:t>
      </w:r>
    </w:p>
    <w:p>
      <w:pPr>
        <w:spacing w:after="0" w:line="80"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Acquisitions</w:t>
      </w:r>
      <w:r>
        <w:rPr>
          <w:rFonts w:ascii="Arial" w:cs="Arial" w:eastAsia="Arial" w:hAnsi="Arial"/>
          <w:sz w:val="19"/>
          <w:szCs w:val="19"/>
          <w:color w:val="auto"/>
        </w:rPr>
        <w:t>” means Investments in Persons engaged primarily in the business of acquiring, developing and producing Oil and Gas Properties or transporting or processing Hydrocarbons from or attributable to such Oil and Gas Properties, in each case if (a) the aggregate amount of all such Investments at any one time outstanding (measured by consideration paid at the time such Investment is made) does not exceed $50,000,000, (b) immediately after making such Investment, either (i) such Person shall merge into the Borrower or a Guarantor or (ii) such Person shall be a wholly-owned Subsidiary and the Borrower shall comply with Section 8.14(b) within the time period specified therein, and (c) such Person shall not be a publicly-traded entity.</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Holders</w:t>
      </w:r>
      <w:r>
        <w:rPr>
          <w:rFonts w:ascii="Arial" w:cs="Arial" w:eastAsia="Arial" w:hAnsi="Arial"/>
          <w:sz w:val="21"/>
          <w:szCs w:val="21"/>
          <w:color w:val="auto"/>
        </w:rPr>
        <w:t>” means Diamondback Energy, Inc. and its Subsidiaries.</w:t>
      </w:r>
    </w:p>
    <w:p>
      <w:pPr>
        <w:spacing w:after="0" w:line="187" w:lineRule="exact"/>
        <w:rPr>
          <w:sz w:val="20"/>
          <w:szCs w:val="20"/>
          <w:color w:val="auto"/>
        </w:rPr>
      </w:pPr>
    </w:p>
    <w:p>
      <w:pPr>
        <w:jc w:val="both"/>
        <w:ind w:firstLine="643"/>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 Debt</w:t>
      </w:r>
      <w:r>
        <w:rPr>
          <w:rFonts w:ascii="Arial" w:cs="Arial" w:eastAsia="Arial" w:hAnsi="Arial"/>
          <w:sz w:val="19"/>
          <w:szCs w:val="19"/>
          <w:color w:val="auto"/>
        </w:rPr>
        <w:t>” means Debt (for purposes of this definition, “</w:t>
      </w:r>
      <w:r>
        <w:rPr>
          <w:rFonts w:ascii="Arial" w:cs="Arial" w:eastAsia="Arial" w:hAnsi="Arial"/>
          <w:sz w:val="19"/>
          <w:szCs w:val="19"/>
          <w:u w:val="single" w:color="auto"/>
          <w:color w:val="auto"/>
        </w:rPr>
        <w:t>new Debt</w:t>
      </w:r>
      <w:r>
        <w:rPr>
          <w:rFonts w:ascii="Arial" w:cs="Arial" w:eastAsia="Arial" w:hAnsi="Arial"/>
          <w:sz w:val="19"/>
          <w:szCs w:val="19"/>
          <w:color w:val="auto"/>
        </w:rPr>
        <w:t>”) incurred in exchange for, or proceeds of which are used to repay, repurchase, redeem, defease, refund, replace, acquire or otherwise retire or refinance, all or part of any other Debt (the “</w:t>
      </w:r>
      <w:r>
        <w:rPr>
          <w:rFonts w:ascii="Arial" w:cs="Arial" w:eastAsia="Arial" w:hAnsi="Arial"/>
          <w:sz w:val="19"/>
          <w:szCs w:val="19"/>
          <w:u w:val="single" w:color="auto"/>
          <w:color w:val="auto"/>
        </w:rPr>
        <w:t>Refinanced Debt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new Debt is in an aggregate principal amount not in excess of the sum of (i) the aggregate principal amount then outstanding of the Refinanced Debt (or, if the Refinanced Debt is exchanged or acquired for an amount less than the principal amount thereof to be due and payable upon a declaration of acceleration thereof, such lesser amount) and (ii) an amount necessary to pay any accrued and unpaid interest on such Refinanced Debt and any fees and expenses, including premiums, related to such exchange or refinancing; (b) such new Debt has a stated maturity no earlier than the stated maturity of the Refinanced Debt and an average life no shorter than the average life of the Refinanced Debt; (c) such new Debt’s stated interest rate, fees, and premiums are on “</w:t>
      </w:r>
      <w:r>
        <w:rPr>
          <w:rFonts w:ascii="Arial" w:cs="Arial" w:eastAsia="Arial" w:hAnsi="Arial"/>
          <w:sz w:val="19"/>
          <w:szCs w:val="19"/>
          <w:u w:val="single" w:color="auto"/>
          <w:color w:val="auto"/>
        </w:rPr>
        <w:t>market</w:t>
      </w:r>
      <w:r>
        <w:rPr>
          <w:rFonts w:ascii="Arial" w:cs="Arial" w:eastAsia="Arial" w:hAnsi="Arial"/>
          <w:sz w:val="19"/>
          <w:szCs w:val="19"/>
          <w:color w:val="auto"/>
        </w:rPr>
        <w:t>” terms; (d) such new Debt does not contain covenants that, taken as a whole, are materially more onerous to the Borrower and the Restricted Subsidiaries than those imposed by the Refinanced Debt and (e) if the Refinanced Debt (or any guarantee thereof) is subordinated in right of payment to the Indebtedness (or, if applicable, the Guaranty Agreement), then such new Debt (and any guarantees thereof) is subordinated in right of payment to the Indebtedness (or, if applicable, the Guaranty Agreement) to at least the same extent as the Refinanced Debt or is otherwise subordinated on terms substantially reasonably satisfactory to the Administrative Agent.</w:t>
      </w:r>
    </w:p>
    <w:p>
      <w:pPr>
        <w:spacing w:after="0" w:line="16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natural person, corporation, limited liability company, trust, joint venture, association, company, partnership, Governmental Authority or other entity.</w:t>
      </w:r>
    </w:p>
    <w:p>
      <w:pPr>
        <w:spacing w:after="0" w:line="152"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any employee pension benefit plan, as defined in section 3(2) of ERISA, which (a) is currently or hereafter sponsored, maintained or contributed to by the Borrower, a Subsidiary or an ERISA Affiliate or (b) was at any time during the six calendar years preceding the date hereof, sponsored, maintained or contributed to by the Borrower, a Subsidiary or an ERISA Affiliate.</w:t>
      </w:r>
    </w:p>
    <w:p>
      <w:pPr>
        <w:spacing w:after="0" w:line="158"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54" w:name="page155"/>
    <w:bookmarkEnd w:id="154"/>
    <w:p>
      <w:pPr>
        <w:jc w:val="both"/>
        <w:spacing w:after="0" w:line="244" w:lineRule="auto"/>
        <w:rPr>
          <w:sz w:val="20"/>
          <w:szCs w:val="20"/>
          <w:color w:val="auto"/>
        </w:rPr>
      </w:pPr>
      <w:r>
        <w:rPr>
          <w:rFonts w:ascii="Arial" w:cs="Arial" w:eastAsia="Arial" w:hAnsi="Arial"/>
          <w:sz w:val="21"/>
          <w:szCs w:val="21"/>
          <w:color w:val="auto"/>
        </w:rPr>
        <w:t>parties hereto acknowledge that the rate announced publicly by the Administrative Agent as its prime rate is an index or base rate and shall not necessarily be its lowest or best rate charged to its customers or other banks.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 Forma Properties</w:t>
      </w:r>
      <w:r>
        <w:rPr>
          <w:rFonts w:ascii="Arial" w:cs="Arial" w:eastAsia="Arial" w:hAnsi="Arial"/>
          <w:sz w:val="21"/>
          <w:szCs w:val="21"/>
          <w:color w:val="auto"/>
        </w:rPr>
        <w:t>” has the meaning assigned such term in Section 9.18(b).</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Property</w:t>
      </w:r>
      <w:r>
        <w:rPr>
          <w:rFonts w:ascii="Arial" w:cs="Arial" w:eastAsia="Arial" w:hAnsi="Arial"/>
          <w:sz w:val="21"/>
          <w:szCs w:val="21"/>
          <w:color w:val="auto"/>
        </w:rPr>
        <w:t>” means any interest in any kind of property or asset, whether real, personal or mixed, or tangible or intangible, including, without limitation, cash, securities, accounts and contract rights.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Proposed Borrowing Base</w:t>
      </w:r>
      <w:r>
        <w:rPr>
          <w:rFonts w:ascii="Arial" w:cs="Arial" w:eastAsia="Arial" w:hAnsi="Arial"/>
          <w:sz w:val="21"/>
          <w:szCs w:val="21"/>
          <w:color w:val="auto"/>
        </w:rPr>
        <w:t>” has the meaning assigned to such term in Section 2.07(c)(i).</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Proposed Borrowing Base Notice</w:t>
      </w:r>
      <w:r>
        <w:rPr>
          <w:rFonts w:ascii="Arial" w:cs="Arial" w:eastAsia="Arial" w:hAnsi="Arial"/>
          <w:sz w:val="21"/>
          <w:szCs w:val="21"/>
          <w:color w:val="auto"/>
        </w:rPr>
        <w:t>” has the meaning assigned to such term in Section 2.07(c)(ii).</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PTE</w:t>
      </w:r>
      <w:r>
        <w:rPr>
          <w:rFonts w:ascii="Arial" w:cs="Arial" w:eastAsia="Arial" w:hAnsi="Arial"/>
          <w:sz w:val="21"/>
          <w:szCs w:val="21"/>
          <w:color w:val="auto"/>
        </w:rPr>
        <w:t>” means a prohibited transaction class exemption issued by the U.S. Department of Labor, as any such exemption may be amended from time to time.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QFC</w:t>
      </w:r>
      <w:r>
        <w:rPr>
          <w:rFonts w:ascii="Arial" w:cs="Arial" w:eastAsia="Arial" w:hAnsi="Arial"/>
          <w:sz w:val="21"/>
          <w:szCs w:val="21"/>
          <w:color w:val="auto"/>
        </w:rPr>
        <w:t>” has the meaning set forth in Section 12.20(b)(iv).</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QFC Credit Support</w:t>
      </w:r>
      <w:r>
        <w:rPr>
          <w:rFonts w:ascii="Arial" w:cs="Arial" w:eastAsia="Arial" w:hAnsi="Arial"/>
          <w:sz w:val="21"/>
          <w:szCs w:val="21"/>
          <w:color w:val="auto"/>
        </w:rPr>
        <w:t>” has the meaning set forth in Section 12.20.</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Professional Asset Manager</w:t>
      </w:r>
      <w:r>
        <w:rPr>
          <w:rFonts w:ascii="Arial" w:cs="Arial" w:eastAsia="Arial" w:hAnsi="Arial"/>
          <w:sz w:val="21"/>
          <w:szCs w:val="21"/>
          <w:color w:val="auto"/>
        </w:rPr>
        <w:t>” has the meaning set forth in Section 12.21(a)(iii).</w:t>
      </w:r>
    </w:p>
    <w:p>
      <w:pPr>
        <w:spacing w:after="0" w:line="187"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Redemption</w:t>
      </w:r>
      <w:r>
        <w:rPr>
          <w:rFonts w:ascii="Arial" w:cs="Arial" w:eastAsia="Arial" w:hAnsi="Arial"/>
          <w:sz w:val="20"/>
          <w:szCs w:val="20"/>
          <w:color w:val="auto"/>
        </w:rPr>
        <w:t>” means with respect to any Debt, the repurchase, redemption, prepayment, repayment, defeasance or any other acquisition or retirement for value (or the segregation of funds with respect to any of the foregoing) of such Debt, except as provided in the definition of the term “</w:t>
      </w:r>
      <w:r>
        <w:rPr>
          <w:rFonts w:ascii="Arial" w:cs="Arial" w:eastAsia="Arial" w:hAnsi="Arial"/>
          <w:sz w:val="20"/>
          <w:szCs w:val="20"/>
          <w:u w:val="single" w:color="auto"/>
          <w:color w:val="auto"/>
        </w:rPr>
        <w:t>Senior Unsecured Notes</w:t>
      </w:r>
      <w:r>
        <w:rPr>
          <w:rFonts w:ascii="Arial" w:cs="Arial" w:eastAsia="Arial" w:hAnsi="Arial"/>
          <w:sz w:val="20"/>
          <w:szCs w:val="20"/>
          <w:color w:val="auto"/>
        </w:rPr>
        <w:t>”. “</w:t>
      </w:r>
      <w:r>
        <w:rPr>
          <w:rFonts w:ascii="Arial" w:cs="Arial" w:eastAsia="Arial" w:hAnsi="Arial"/>
          <w:sz w:val="20"/>
          <w:szCs w:val="20"/>
          <w:u w:val="single" w:color="auto"/>
          <w:color w:val="auto"/>
        </w:rPr>
        <w:t>Redeem</w:t>
      </w:r>
      <w:r>
        <w:rPr>
          <w:rFonts w:ascii="Arial" w:cs="Arial" w:eastAsia="Arial" w:hAnsi="Arial"/>
          <w:sz w:val="20"/>
          <w:szCs w:val="20"/>
          <w:color w:val="auto"/>
        </w:rPr>
        <w:t>” has the correlative meaning thereto.</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Redemption Calculation Date</w:t>
      </w:r>
      <w:r>
        <w:rPr>
          <w:rFonts w:ascii="Arial" w:cs="Arial" w:eastAsia="Arial" w:hAnsi="Arial"/>
          <w:sz w:val="21"/>
          <w:szCs w:val="21"/>
          <w:color w:val="auto"/>
        </w:rPr>
        <w:t>” means November 28, 2017.</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Redetermination Date</w:t>
      </w:r>
      <w:r>
        <w:rPr>
          <w:rFonts w:ascii="Arial" w:cs="Arial" w:eastAsia="Arial" w:hAnsi="Arial"/>
          <w:sz w:val="21"/>
          <w:szCs w:val="21"/>
          <w:color w:val="auto"/>
        </w:rPr>
        <w:t>” means, with respect to any Scheduled Redetermination or any Interim Redetermination, the date that the redetermined Borrowing Base related thereto becomes effective pursuant to Section 2.07(d).</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Register</w:t>
      </w:r>
      <w:r>
        <w:rPr>
          <w:rFonts w:ascii="Arial" w:cs="Arial" w:eastAsia="Arial" w:hAnsi="Arial"/>
          <w:sz w:val="21"/>
          <w:szCs w:val="21"/>
          <w:color w:val="auto"/>
        </w:rPr>
        <w:t>” has the meaning assigned such term in Section 12.04(b)(iv).</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D</w:t>
      </w:r>
      <w:r>
        <w:rPr>
          <w:rFonts w:ascii="Arial" w:cs="Arial" w:eastAsia="Arial" w:hAnsi="Arial"/>
          <w:sz w:val="19"/>
          <w:szCs w:val="19"/>
          <w:color w:val="auto"/>
        </w:rPr>
        <w:t>” means Regulation D of the Board, as the same may be amended, supplemented or replaced from time to</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time.</w:t>
      </w:r>
    </w:p>
    <w:p>
      <w:pPr>
        <w:spacing w:after="0" w:line="169"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Parties</w:t>
      </w:r>
      <w:r>
        <w:rPr>
          <w:rFonts w:ascii="Arial" w:cs="Arial" w:eastAsia="Arial" w:hAnsi="Arial"/>
          <w:sz w:val="21"/>
          <w:szCs w:val="21"/>
          <w:color w:val="auto"/>
        </w:rPr>
        <w:t>” means, with respect to any specified Person, such Person’s Affiliates and the respective directors, officers, employees, agents and advisors (including attorneys, accountants and experts) of such Person and such Person’s Affiliates.</w:t>
      </w:r>
    </w:p>
    <w:p>
      <w:pPr>
        <w:spacing w:after="0" w:line="15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Release</w:t>
      </w:r>
      <w:r>
        <w:rPr>
          <w:rFonts w:ascii="Arial" w:cs="Arial" w:eastAsia="Arial" w:hAnsi="Arial"/>
          <w:sz w:val="21"/>
          <w:szCs w:val="21"/>
          <w:color w:val="auto"/>
        </w:rPr>
        <w:t>” means any depositing, spilling, leaking, pumping, pouring, placing, emitting, discarding, abandoning, emptying, discharging, migrating, injecting, escaping, leaching, dumping, or disposing.</w:t>
      </w:r>
    </w:p>
    <w:p>
      <w:pPr>
        <w:spacing w:after="0" w:line="152"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Relevant Governmental Body</w:t>
      </w:r>
      <w:r>
        <w:rPr>
          <w:rFonts w:ascii="Arial" w:cs="Arial" w:eastAsia="Arial" w:hAnsi="Arial"/>
          <w:sz w:val="21"/>
          <w:szCs w:val="21"/>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55" w:name="page156"/>
    <w:bookmarkEnd w:id="155"/>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Remedial Work</w:t>
      </w:r>
      <w:r>
        <w:rPr>
          <w:rFonts w:ascii="Arial" w:cs="Arial" w:eastAsia="Arial" w:hAnsi="Arial"/>
          <w:sz w:val="21"/>
          <w:szCs w:val="21"/>
          <w:color w:val="auto"/>
        </w:rPr>
        <w:t>” has the meaning assigned such term in Section 8.10(a).</w:t>
      </w:r>
    </w:p>
    <w:p>
      <w:pPr>
        <w:spacing w:after="0" w:line="187" w:lineRule="exact"/>
        <w:rPr>
          <w:sz w:val="20"/>
          <w:szCs w:val="20"/>
          <w:color w:val="auto"/>
        </w:rPr>
      </w:pPr>
    </w:p>
    <w:p>
      <w:pPr>
        <w:jc w:val="both"/>
        <w:ind w:firstLine="643"/>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while no Loans or LC Exposure is outstanding, if there are only two Lenders, two Lenders, and if there are more than two, three or more Lenders, in each instance having at least sixty-six and two-thirds percent (66-2/3%) of the Aggregate Maximum Credit Amounts; and at any time while any Loans or LC Exposure is outstanding, if there are only two Lenders, two Lenders, and if there are more than two, three or more Lenders, in each instance holding at least sixty-six and two-thirds percent (66-2/3%) of the outstanding aggregate principal amount of the Loans and participation interests in Letters of Credit (without regard to any sale by a Lender of a participation in any Loan under Section 12.04(c)); provided that the Maximum Credit Amounts and the principal amount of the Loans and participation interests in Letters of Credit of the Defaulting Lenders (if any) shall be excluded from the determination of Required Lenders.</w:t>
      </w:r>
    </w:p>
    <w:p>
      <w:pPr>
        <w:spacing w:after="0" w:line="157" w:lineRule="exact"/>
        <w:rPr>
          <w:sz w:val="20"/>
          <w:szCs w:val="20"/>
          <w:color w:val="auto"/>
        </w:rPr>
      </w:pPr>
    </w:p>
    <w:p>
      <w:pPr>
        <w:jc w:val="both"/>
        <w:ind w:firstLine="643"/>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 Report</w:t>
      </w:r>
      <w:r>
        <w:rPr>
          <w:rFonts w:ascii="Arial" w:cs="Arial" w:eastAsia="Arial" w:hAnsi="Arial"/>
          <w:sz w:val="20"/>
          <w:szCs w:val="20"/>
          <w:color w:val="auto"/>
        </w:rPr>
        <w:t>” means a report, in form and substance reasonably satisfactory to the Administrative Agent, setting forth, as of each January 1st or July 1st (or such other date in the event of an Interim Redetermination) the oil and gas reserves attributable to the Oil and Gas Properties of the Borrower and the Restricted Subsidiaries, together with a projection of the rate of production and future net income, taxes, operating expenses and capital expenditures with respect thereto as of such date, based upon the pricing assumptions consistent with the Administrative Agent’s lending requirements at the time.</w:t>
      </w:r>
    </w:p>
    <w:p>
      <w:pPr>
        <w:spacing w:after="0" w:line="159"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Resolution Authority</w:t>
      </w:r>
      <w:r>
        <w:rPr>
          <w:rFonts w:ascii="Arial" w:cs="Arial" w:eastAsia="Arial" w:hAnsi="Arial"/>
          <w:sz w:val="21"/>
          <w:szCs w:val="21"/>
          <w:color w:val="auto"/>
        </w:rPr>
        <w:t>” means an EEA Resolution Authority or, with respect to any UK Financial Institution, a UK Resolution Authority.</w:t>
      </w:r>
    </w:p>
    <w:p>
      <w:pPr>
        <w:spacing w:after="0" w:line="152"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Responsible Officer</w:t>
      </w:r>
      <w:r>
        <w:rPr>
          <w:rFonts w:ascii="Arial" w:cs="Arial" w:eastAsia="Arial" w:hAnsi="Arial"/>
          <w:sz w:val="21"/>
          <w:szCs w:val="21"/>
          <w:color w:val="auto"/>
        </w:rPr>
        <w:t>” means, as to any Person, the Chief Executive Officer, the President, any Financial Officer or any Vice President of such Person. Unless otherwise specified, all references to a Responsible Officer herein shall mean a Responsible Officer of the Borrower.</w:t>
      </w:r>
    </w:p>
    <w:p>
      <w:pPr>
        <w:spacing w:after="0" w:line="157" w:lineRule="exact"/>
        <w:rPr>
          <w:sz w:val="20"/>
          <w:szCs w:val="20"/>
          <w:color w:val="auto"/>
        </w:rPr>
      </w:pPr>
    </w:p>
    <w:p>
      <w:pPr>
        <w:jc w:val="both"/>
        <w:ind w:firstLine="643"/>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any dividend or other distribution (whether in cash, securities or other Property) with respect to any Equity Interests in the Borrower or any of the Restricted Subsidiaries or any payment (whether in cash, securities or other Property), including any sinking fund or similar deposit, on account of the purchase, redemption, retirement, acquisition, cancellation or termination of any such Equity Interests in the Borrower or any Restricted Subsidiary or any option, warrant or other right to acquire any such Equity Interests in the Borrower or any Restricted Subsidiary.</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Subsidiary</w:t>
      </w:r>
      <w:r>
        <w:rPr>
          <w:rFonts w:ascii="Arial" w:cs="Arial" w:eastAsia="Arial" w:hAnsi="Arial"/>
          <w:sz w:val="21"/>
          <w:szCs w:val="21"/>
          <w:color w:val="auto"/>
        </w:rPr>
        <w:t>” means any Subsidiary of the Borrower that is not an Unrestricted Subsidiary.</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Exposure</w:t>
      </w:r>
      <w:r>
        <w:rPr>
          <w:rFonts w:ascii="Arial" w:cs="Arial" w:eastAsia="Arial" w:hAnsi="Arial"/>
          <w:sz w:val="21"/>
          <w:szCs w:val="21"/>
          <w:color w:val="auto"/>
        </w:rPr>
        <w:t>” means, with respect to any Lender at any time, the sum of the outstanding principal amount of such Lender’s Loans and its LC Exposure at such time.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S&amp;P</w:t>
      </w:r>
      <w:r>
        <w:rPr>
          <w:rFonts w:ascii="Arial" w:cs="Arial" w:eastAsia="Arial" w:hAnsi="Arial"/>
          <w:sz w:val="21"/>
          <w:szCs w:val="21"/>
          <w:color w:val="auto"/>
        </w:rPr>
        <w:t>” means Standard &amp; Poor’s Rating Service, a division of S&amp;P Global Inc. and any successor thereto.</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Scheduled Redetermination</w:t>
      </w:r>
      <w:r>
        <w:rPr>
          <w:rFonts w:ascii="Arial" w:cs="Arial" w:eastAsia="Arial" w:hAnsi="Arial"/>
          <w:sz w:val="21"/>
          <w:szCs w:val="21"/>
          <w:color w:val="auto"/>
        </w:rPr>
        <w:t>” has the meaning assigned such term in Section 2.07(b).</w:t>
      </w:r>
    </w:p>
    <w:p>
      <w:pPr>
        <w:spacing w:after="0" w:line="187"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Scheduled Redetermination Date</w:t>
      </w:r>
      <w:r>
        <w:rPr>
          <w:rFonts w:ascii="Arial" w:cs="Arial" w:eastAsia="Arial" w:hAnsi="Arial"/>
          <w:sz w:val="21"/>
          <w:szCs w:val="21"/>
          <w:color w:val="auto"/>
        </w:rPr>
        <w:t>” means the date on which a Borrowing Base that has been redetermined pursuant to a Scheduled Redetermination becomes effective as provided in Section 2.07(d).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56" w:name="page157"/>
    <w:bookmarkEnd w:id="156"/>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w:t>
      </w:r>
      <w:r>
        <w:rPr>
          <w:rFonts w:ascii="Arial" w:cs="Arial" w:eastAsia="Arial" w:hAnsi="Arial"/>
          <w:sz w:val="21"/>
          <w:szCs w:val="21"/>
          <w:color w:val="auto"/>
        </w:rPr>
        <w:t>” means the Securities and Exchange Commission or any successor Governmental Authority.</w:t>
      </w:r>
    </w:p>
    <w:p>
      <w:pPr>
        <w:spacing w:after="0" w:line="18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 Amendment</w:t>
      </w:r>
      <w:r>
        <w:rPr>
          <w:rFonts w:ascii="Arial" w:cs="Arial" w:eastAsia="Arial" w:hAnsi="Arial"/>
          <w:sz w:val="21"/>
          <w:szCs w:val="21"/>
          <w:color w:val="auto"/>
        </w:rPr>
        <w:t>” means that certain Second Amendment to Amended and Restated Senior Secured Revolving Credit Agreement, dated as of September 24, 2019, among the Borrower, the Parent Guarantor, the Administrative Agent, and the Lenders party thereto.</w:t>
      </w:r>
    </w:p>
    <w:p>
      <w:pPr>
        <w:spacing w:after="0" w:line="15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Debt</w:t>
      </w:r>
      <w:r>
        <w:rPr>
          <w:rFonts w:ascii="Arial" w:cs="Arial" w:eastAsia="Arial" w:hAnsi="Arial"/>
          <w:sz w:val="21"/>
          <w:szCs w:val="21"/>
          <w:color w:val="auto"/>
        </w:rPr>
        <w:t>” means, as of any date, Total Debt that is secured by a Lien on any Property of the Parent Guarantor, the Borrower, or any Restricted Subsidiary (including, without limitation, the total Revolving Credit Exposures of all Lenders as of such date).</w:t>
      </w:r>
    </w:p>
    <w:p>
      <w:pPr>
        <w:spacing w:after="0" w:line="157" w:lineRule="exact"/>
        <w:rPr>
          <w:sz w:val="20"/>
          <w:szCs w:val="20"/>
          <w:color w:val="auto"/>
        </w:rPr>
      </w:pPr>
    </w:p>
    <w:p>
      <w:pPr>
        <w:jc w:val="both"/>
        <w:ind w:firstLine="643"/>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Swap Agreement</w:t>
      </w:r>
      <w:r>
        <w:rPr>
          <w:rFonts w:ascii="Arial" w:cs="Arial" w:eastAsia="Arial" w:hAnsi="Arial"/>
          <w:sz w:val="21"/>
          <w:szCs w:val="21"/>
          <w:color w:val="auto"/>
        </w:rPr>
        <w:t>” means any Swap Agreement between the Borrower or any Restricted Subsidiary and any Person that is entered into prior to the time, or during the time, that such Person was a Lender or an Affiliate of a Lender (including any such Swap Agreement in existence prior to the date hereof), even if such Person ceases to be a Lender or an Affiliate of a Lender for any reason (any such Person, a “</w:t>
      </w:r>
      <w:r>
        <w:rPr>
          <w:rFonts w:ascii="Arial" w:cs="Arial" w:eastAsia="Arial" w:hAnsi="Arial"/>
          <w:sz w:val="21"/>
          <w:szCs w:val="21"/>
          <w:u w:val="single" w:color="auto"/>
          <w:color w:val="auto"/>
        </w:rPr>
        <w:t>Secured Swap Party</w:t>
      </w:r>
      <w:r>
        <w:rPr>
          <w:rFonts w:ascii="Arial" w:cs="Arial" w:eastAsia="Arial" w:hAnsi="Arial"/>
          <w:sz w:val="21"/>
          <w:szCs w:val="21"/>
          <w:color w:val="auto"/>
        </w:rPr>
        <w:t>”). For the avoidance of doubt, for purposes of this definition and the definitions of “</w:t>
      </w:r>
      <w:r>
        <w:rPr>
          <w:rFonts w:ascii="Arial" w:cs="Arial" w:eastAsia="Arial" w:hAnsi="Arial"/>
          <w:sz w:val="21"/>
          <w:szCs w:val="21"/>
          <w:u w:val="single" w:color="auto"/>
          <w:color w:val="auto"/>
        </w:rPr>
        <w:t>Secured Swap Party</w:t>
      </w:r>
      <w:r>
        <w:rPr>
          <w:rFonts w:ascii="Arial" w:cs="Arial" w:eastAsia="Arial" w:hAnsi="Arial"/>
          <w:sz w:val="21"/>
          <w:szCs w:val="21"/>
          <w:color w:val="auto"/>
        </w:rPr>
        <w:t>” and “</w:t>
      </w:r>
      <w:r>
        <w:rPr>
          <w:rFonts w:ascii="Arial" w:cs="Arial" w:eastAsia="Arial" w:hAnsi="Arial"/>
          <w:sz w:val="21"/>
          <w:szCs w:val="21"/>
          <w:u w:val="single" w:color="auto"/>
          <w:color w:val="auto"/>
        </w:rPr>
        <w:t>Secured Swap Obligations</w:t>
      </w:r>
      <w:r>
        <w:rPr>
          <w:rFonts w:ascii="Arial" w:cs="Arial" w:eastAsia="Arial" w:hAnsi="Arial"/>
          <w:sz w:val="21"/>
          <w:szCs w:val="21"/>
          <w:color w:val="auto"/>
        </w:rPr>
        <w:t>,” the term “</w:t>
      </w:r>
      <w:r>
        <w:rPr>
          <w:rFonts w:ascii="Arial" w:cs="Arial" w:eastAsia="Arial" w:hAnsi="Arial"/>
          <w:sz w:val="21"/>
          <w:szCs w:val="21"/>
          <w:u w:val="single" w:color="auto"/>
          <w:color w:val="auto"/>
        </w:rPr>
        <w:t>Lender</w:t>
      </w:r>
      <w:r>
        <w:rPr>
          <w:rFonts w:ascii="Arial" w:cs="Arial" w:eastAsia="Arial" w:hAnsi="Arial"/>
          <w:sz w:val="21"/>
          <w:szCs w:val="21"/>
          <w:color w:val="auto"/>
        </w:rPr>
        <w:t>” includes each Person that was a “</w:t>
      </w:r>
      <w:r>
        <w:rPr>
          <w:rFonts w:ascii="Arial" w:cs="Arial" w:eastAsia="Arial" w:hAnsi="Arial"/>
          <w:sz w:val="21"/>
          <w:szCs w:val="21"/>
          <w:u w:val="single" w:color="auto"/>
          <w:color w:val="auto"/>
        </w:rPr>
        <w:t>Lender</w:t>
      </w:r>
      <w:r>
        <w:rPr>
          <w:rFonts w:ascii="Arial" w:cs="Arial" w:eastAsia="Arial" w:hAnsi="Arial"/>
          <w:sz w:val="21"/>
          <w:szCs w:val="21"/>
          <w:color w:val="auto"/>
        </w:rPr>
        <w:t>” under the Existing Credit Agreement at the relevant time.</w:t>
      </w:r>
    </w:p>
    <w:p>
      <w:pPr>
        <w:spacing w:after="0" w:line="159"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Swap Obligations</w:t>
      </w:r>
      <w:r>
        <w:rPr>
          <w:rFonts w:ascii="Arial" w:cs="Arial" w:eastAsia="Arial" w:hAnsi="Arial"/>
          <w:sz w:val="21"/>
          <w:szCs w:val="21"/>
          <w:color w:val="auto"/>
        </w:rPr>
        <w:t>” means all amounts and other obligations owing to any Secured Swap Party under any Secured Swap Agreement; provided that, for the avoidance of doubt, if a Secured Swap Party ceases to be a Lender (or an Affiliate of a Lender), then the Secured Swap Obligations owing to such Secured Swap Party under any such Secured Swap Agreement shall not include any obligations arising from transactions entered into after the time that such Secured Swap Party ceases to be a Lender or an Affiliate of a Lender.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Swap Party</w:t>
      </w:r>
      <w:r>
        <w:rPr>
          <w:rFonts w:ascii="Arial" w:cs="Arial" w:eastAsia="Arial" w:hAnsi="Arial"/>
          <w:sz w:val="21"/>
          <w:szCs w:val="21"/>
          <w:color w:val="auto"/>
        </w:rPr>
        <w:t>” has the meaning assigned to such term in the definition of Secured Swap Agreement.</w:t>
      </w:r>
    </w:p>
    <w:p>
      <w:pPr>
        <w:spacing w:after="0" w:line="187"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Instruments</w:t>
      </w:r>
      <w:r>
        <w:rPr>
          <w:rFonts w:ascii="Arial" w:cs="Arial" w:eastAsia="Arial" w:hAnsi="Arial"/>
          <w:sz w:val="19"/>
          <w:szCs w:val="19"/>
          <w:color w:val="auto"/>
        </w:rPr>
        <w:t>” means the Guaranty Agreement, mortgages, deeds of trust, deposit account control agreements, securities account control agreements, and other agreements, instruments, including, without limitation, those described or referred to in Exhibit E, and any and all other agreements, instruments, consents or certificates now or hereafter executed and delivered by the Borrower or any other Person (other than Swap Agreements with a Secured Swap Party or participation or similar agreements between any Lender and any other lender or creditor with respect to any Indebtedness pursuant to this Agreement) in connection with, or as security for the payment or performance of the Indebtedness, the Notes, this Agreement, or reimbursement obligations under the Letters of Credit, as such agreements may be amended, modified, supplemented or restated from time to time.</w:t>
      </w:r>
    </w:p>
    <w:p>
      <w:pPr>
        <w:spacing w:after="0" w:line="153" w:lineRule="exact"/>
        <w:rPr>
          <w:sz w:val="20"/>
          <w:szCs w:val="20"/>
          <w:color w:val="auto"/>
        </w:rPr>
      </w:pPr>
    </w:p>
    <w:p>
      <w:pPr>
        <w:jc w:val="both"/>
        <w:ind w:firstLine="643"/>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Unsecured Notes</w:t>
      </w:r>
      <w:r>
        <w:rPr>
          <w:rFonts w:ascii="Arial" w:cs="Arial" w:eastAsia="Arial" w:hAnsi="Arial"/>
          <w:sz w:val="20"/>
          <w:szCs w:val="20"/>
          <w:color w:val="auto"/>
        </w:rPr>
        <w:t xml:space="preserve">” means Debt in the form of unsecured senior or senior subordinated notes issued by the Borrower or the Parent Guarantor in an aggregate principal amount not to exceed $1,000,000,000 at any one time outstanding, including exchange notes issued in exchange therefor pursuant to any registration rights agreement (it being agreed that any such exchange or offer to exchange shall not constitute a Redemption or an offer to Redeem for purposes of this Agreement), and, in each case, any guarantees thereof by a Guarantor (and, in the case of Senior Unsecured Notes issued by the Parent Guarantor, any guarantee thereof by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at the time of incurring such Debt (i) no Default has occurred and is then continuing and (ii) no Default would result from the incurrence of such Debt after giving effect to the incurrence of such Debt (and any concurrent repayment, redemption or satisfaction and discharge of Debt with the proceeds of such incurrence and for the avoidance of doubt, including pro forma compliance with Section 9.01(a)), (b) such Debt does not have any scheduled amortization prior to 91 days after the Maturity Date, (c) such Debt does not mature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57" w:name="page158"/>
    <w:bookmarkEnd w:id="157"/>
    <w:p>
      <w:pPr>
        <w:jc w:val="both"/>
        <w:spacing w:after="0" w:line="227" w:lineRule="auto"/>
        <w:rPr>
          <w:sz w:val="20"/>
          <w:szCs w:val="20"/>
          <w:color w:val="auto"/>
        </w:rPr>
      </w:pPr>
      <w:r>
        <w:rPr>
          <w:rFonts w:ascii="Arial" w:cs="Arial" w:eastAsia="Arial" w:hAnsi="Arial"/>
          <w:sz w:val="21"/>
          <w:szCs w:val="21"/>
          <w:color w:val="auto"/>
        </w:rPr>
        <w:t>sooner than 91 days after the Maturity Date, (d) the terms of such Debt are not materially more onerous, taken as a whole, than the terms of this Agreement and the other Loan Documents, (e) such Debt and any guarantees thereof are on prevailing market terms for similarly situated companies and (f) the Borrowing Base is adjusted as contemplated by Section 2.07(f) if required pursuant thereto and the Borrower makes any prepayment required under Section 3.04(c)(iii).</w:t>
      </w:r>
    </w:p>
    <w:p>
      <w:pPr>
        <w:spacing w:after="0" w:line="158"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Seventh Amendment</w:t>
      </w:r>
      <w:r>
        <w:rPr>
          <w:rFonts w:ascii="Arial" w:cs="Arial" w:eastAsia="Arial" w:hAnsi="Arial"/>
          <w:sz w:val="21"/>
          <w:szCs w:val="21"/>
          <w:color w:val="auto"/>
        </w:rPr>
        <w:t>” means that certain Seventh Amendment to Amended and Restated Senior Secured Revolving Credit Agreement, dated as of the Seventh Amendment Effective Date, by and among the Borrower, the Parent Guarantor, the Administrative Agent, and the Lenders party thereto.</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Seventh Amendment Effective Date</w:t>
      </w:r>
      <w:r>
        <w:rPr>
          <w:rFonts w:ascii="Arial" w:cs="Arial" w:eastAsia="Arial" w:hAnsi="Arial"/>
          <w:sz w:val="21"/>
          <w:szCs w:val="21"/>
          <w:color w:val="auto"/>
        </w:rPr>
        <w:t>” means June 2, 2021.</w:t>
      </w:r>
    </w:p>
    <w:p>
      <w:pPr>
        <w:spacing w:after="0" w:line="18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Sixth Amendment</w:t>
      </w:r>
      <w:r>
        <w:rPr>
          <w:rFonts w:ascii="Arial" w:cs="Arial" w:eastAsia="Arial" w:hAnsi="Arial"/>
          <w:sz w:val="21"/>
          <w:szCs w:val="21"/>
          <w:color w:val="auto"/>
        </w:rPr>
        <w:t>” means that certain Sixth Amendment to Amended and Restated Senior Secured Revolving Credit Agreement, dated as of the Sixth Amendment Effective Date, by and among the Borrower, the Parent Guarantor, the Administrative Agent, and the Lenders party thereto.</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Sixth Amendment Effective Date</w:t>
      </w:r>
      <w:r>
        <w:rPr>
          <w:rFonts w:ascii="Arial" w:cs="Arial" w:eastAsia="Arial" w:hAnsi="Arial"/>
          <w:sz w:val="21"/>
          <w:szCs w:val="21"/>
          <w:color w:val="auto"/>
        </w:rPr>
        <w:t>” means November 6, 2020.</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means a rate per annum equal to the secured overnight financing rate as administered by the SOFR Administrator.</w:t>
      </w:r>
    </w:p>
    <w:p>
      <w:pPr>
        <w:spacing w:after="0" w:line="210"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 Administrator</w:t>
      </w:r>
      <w:r>
        <w:rPr>
          <w:rFonts w:ascii="Arial" w:cs="Arial" w:eastAsia="Arial" w:hAnsi="Arial"/>
          <w:sz w:val="21"/>
          <w:szCs w:val="21"/>
          <w:color w:val="auto"/>
        </w:rPr>
        <w:t>” means the Federal Reserve Bank of New York (or a successor administrator of the secured overnight financing rate).</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Loan</w:t>
      </w:r>
      <w:r>
        <w:rPr>
          <w:rFonts w:ascii="Arial" w:cs="Arial" w:eastAsia="Arial" w:hAnsi="Arial"/>
          <w:sz w:val="20"/>
          <w:szCs w:val="20"/>
          <w:color w:val="auto"/>
        </w:rPr>
        <w:t>” means any Loan bearing interest at a rate based on Adjusted Term SOFR as provided in Section 3.02(b).</w:t>
      </w:r>
    </w:p>
    <w:p>
      <w:pPr>
        <w:spacing w:after="0" w:line="198"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 any Person of which at least a majority of the outstanding Equity Interests having by the terms thereof ordinary voting power to elect a majority of the board of directors, managers or other governing body of such Person (irrespective of whether or not at the time Equity Interests of any other class or classes of such Person shall have or might have voting power by reason of the happening of any contingency) is at the time directly or indirectly owned or controlled by the Borrower or one or more of its Subsidiaries and (b) any partnership of which the Borrower or any of its Subsidiaries is a general partner. Unless otherwise indicated herein, each reference to the term “</w:t>
      </w:r>
      <w:r>
        <w:rPr>
          <w:rFonts w:ascii="Arial" w:cs="Arial" w:eastAsia="Arial" w:hAnsi="Arial"/>
          <w:sz w:val="19"/>
          <w:szCs w:val="19"/>
          <w:u w:val="single" w:color="auto"/>
          <w:color w:val="auto"/>
        </w:rPr>
        <w:t>Subsidiary</w:t>
      </w:r>
      <w:r>
        <w:rPr>
          <w:rFonts w:ascii="Arial" w:cs="Arial" w:eastAsia="Arial" w:hAnsi="Arial"/>
          <w:sz w:val="19"/>
          <w:szCs w:val="19"/>
          <w:color w:val="auto"/>
        </w:rPr>
        <w:t>” shall mean a Subsidiary the Borrower.</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Supported QFC</w:t>
      </w:r>
      <w:r>
        <w:rPr>
          <w:rFonts w:ascii="Arial" w:cs="Arial" w:eastAsia="Arial" w:hAnsi="Arial"/>
          <w:sz w:val="21"/>
          <w:szCs w:val="21"/>
          <w:color w:val="auto"/>
        </w:rPr>
        <w:t>” has the meaning set forth in Section 12.20.</w:t>
      </w:r>
    </w:p>
    <w:p>
      <w:pPr>
        <w:spacing w:after="0" w:line="187" w:lineRule="exact"/>
        <w:rPr>
          <w:sz w:val="20"/>
          <w:szCs w:val="20"/>
          <w:color w:val="auto"/>
        </w:rPr>
      </w:pPr>
    </w:p>
    <w:p>
      <w:pPr>
        <w:jc w:val="both"/>
        <w:ind w:firstLine="643"/>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Agreement</w:t>
      </w:r>
      <w:r>
        <w:rPr>
          <w:rFonts w:ascii="Arial" w:cs="Arial" w:eastAsia="Arial" w:hAnsi="Arial"/>
          <w:sz w:val="20"/>
          <w:szCs w:val="20"/>
          <w:color w:val="auto"/>
        </w:rPr>
        <w:t>” means any agreement with respect to any swap, forward, future or derivative transaction or option or similar agreement, whether exchange traded, “</w:t>
      </w:r>
      <w:r>
        <w:rPr>
          <w:rFonts w:ascii="Arial" w:cs="Arial" w:eastAsia="Arial" w:hAnsi="Arial"/>
          <w:sz w:val="20"/>
          <w:szCs w:val="20"/>
          <w:u w:val="single" w:color="auto"/>
          <w:color w:val="auto"/>
        </w:rPr>
        <w:t>over-the-counter</w:t>
      </w:r>
      <w:r>
        <w:rPr>
          <w:rFonts w:ascii="Arial" w:cs="Arial" w:eastAsia="Arial" w:hAnsi="Arial"/>
          <w:sz w:val="20"/>
          <w:szCs w:val="20"/>
          <w:color w:val="auto"/>
        </w:rPr>
        <w:t>” or otherwise,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Borrower or its Subsidiaries shall be a Swap Agreement.</w:t>
      </w:r>
    </w:p>
    <w:p>
      <w:pPr>
        <w:spacing w:after="0" w:line="160"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Obligation</w:t>
      </w:r>
      <w:r>
        <w:rPr>
          <w:rFonts w:ascii="Arial" w:cs="Arial" w:eastAsia="Arial" w:hAnsi="Arial"/>
          <w:sz w:val="21"/>
          <w:szCs w:val="21"/>
          <w:color w:val="auto"/>
        </w:rPr>
        <w:t>” means, with respect to any Person, any obligation to pay or perform under any agreement, contract or transaction that constitutes a “</w:t>
      </w:r>
      <w:r>
        <w:rPr>
          <w:rFonts w:ascii="Arial" w:cs="Arial" w:eastAsia="Arial" w:hAnsi="Arial"/>
          <w:sz w:val="21"/>
          <w:szCs w:val="21"/>
          <w:u w:val="single" w:color="auto"/>
          <w:color w:val="auto"/>
        </w:rPr>
        <w:t>swap</w:t>
      </w:r>
      <w:r>
        <w:rPr>
          <w:rFonts w:ascii="Arial" w:cs="Arial" w:eastAsia="Arial" w:hAnsi="Arial"/>
          <w:sz w:val="21"/>
          <w:szCs w:val="21"/>
          <w:color w:val="auto"/>
        </w:rPr>
        <w:t>” within the meaning of section 1a(47) of the Commodity Exchange Act, including any such obligation comprised of a guaranty or a security interest or other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58" w:name="page159"/>
    <w:bookmarkEnd w:id="158"/>
    <w:p>
      <w:pPr>
        <w:jc w:val="both"/>
        <w:ind w:firstLine="643"/>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Termination Value</w:t>
      </w:r>
      <w:r>
        <w:rPr>
          <w:rFonts w:ascii="Arial" w:cs="Arial" w:eastAsia="Arial" w:hAnsi="Arial"/>
          <w:sz w:val="21"/>
          <w:szCs w:val="21"/>
          <w:color w:val="auto"/>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by the counterparties to such Swap Agreements.</w:t>
      </w:r>
    </w:p>
    <w:p>
      <w:pPr>
        <w:spacing w:after="0" w:line="158" w:lineRule="exact"/>
        <w:rPr>
          <w:sz w:val="20"/>
          <w:szCs w:val="20"/>
          <w:color w:val="auto"/>
        </w:rPr>
      </w:pPr>
    </w:p>
    <w:p>
      <w:pPr>
        <w:jc w:val="both"/>
        <w:ind w:right="20"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Syndication Agents</w:t>
      </w:r>
      <w:r>
        <w:rPr>
          <w:rFonts w:ascii="Arial" w:cs="Arial" w:eastAsia="Arial" w:hAnsi="Arial"/>
          <w:sz w:val="21"/>
          <w:szCs w:val="21"/>
          <w:color w:val="auto"/>
        </w:rPr>
        <w:t>” means PNC Bank, National Association and Truist Bank, as co-syndication agents for the Lenders under this Agreement and the other Loan Documents.</w:t>
      </w:r>
    </w:p>
    <w:p>
      <w:pPr>
        <w:spacing w:after="0" w:line="152" w:lineRule="exact"/>
        <w:rPr>
          <w:sz w:val="20"/>
          <w:szCs w:val="20"/>
          <w:color w:val="auto"/>
        </w:rPr>
      </w:pPr>
    </w:p>
    <w:p>
      <w:pPr>
        <w:jc w:val="both"/>
        <w:ind w:firstLine="643"/>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Synthetic Leases</w:t>
      </w:r>
      <w:r>
        <w:rPr>
          <w:rFonts w:ascii="Arial" w:cs="Arial" w:eastAsia="Arial" w:hAnsi="Arial"/>
          <w:sz w:val="21"/>
          <w:szCs w:val="21"/>
          <w:color w:val="auto"/>
        </w:rPr>
        <w:t>” means, in respect of any Person, all leases which shall have been, or should have been, in accordance with GAAP, treated as operating leases on the financial statements of the Person liable (whether contingently or otherwise) for the payment of rent thereunder and which were properly treated as indebtedness for borrowed money for purposes of U.S. federal income taxes, if the lessee in respect thereof is obligated to either purchase for an amount in excess of, or pay upon early termination an amount in excess of, 80% of the residual value of the Property subject to such operating lease upon expiration or early termination of such lease.</w:t>
      </w:r>
    </w:p>
    <w:p>
      <w:pPr>
        <w:spacing w:after="0" w:line="159"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means any and all present or future taxes, levies, imposts, duties, deductions, charges or withholdings imposed by any Governmental Authority.</w:t>
      </w:r>
    </w:p>
    <w:p>
      <w:pPr>
        <w:spacing w:after="0" w:line="152" w:lineRule="exact"/>
        <w:rPr>
          <w:sz w:val="20"/>
          <w:szCs w:val="20"/>
          <w:color w:val="auto"/>
        </w:rPr>
      </w:pPr>
    </w:p>
    <w:p>
      <w:pPr>
        <w:ind w:left="640" w:right="1340"/>
        <w:spacing w:after="0" w:line="42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Date</w:t>
      </w:r>
      <w:r>
        <w:rPr>
          <w:rFonts w:ascii="Arial" w:cs="Arial" w:eastAsia="Arial" w:hAnsi="Arial"/>
          <w:sz w:val="21"/>
          <w:szCs w:val="21"/>
          <w:color w:val="auto"/>
        </w:rPr>
        <w:t>” means the earlier of the Maturity Date and the date of termination of the Commitments. “</w:t>
      </w:r>
      <w:r>
        <w:rPr>
          <w:rFonts w:ascii="Arial" w:cs="Arial" w:eastAsia="Arial" w:hAnsi="Arial"/>
          <w:sz w:val="21"/>
          <w:szCs w:val="21"/>
          <w:u w:val="single" w:color="auto"/>
          <w:color w:val="auto"/>
        </w:rPr>
        <w:t>Term SOFR</w:t>
      </w:r>
      <w:r>
        <w:rPr>
          <w:rFonts w:ascii="Arial" w:cs="Arial" w:eastAsia="Arial" w:hAnsi="Arial"/>
          <w:sz w:val="21"/>
          <w:szCs w:val="21"/>
          <w:color w:val="auto"/>
        </w:rPr>
        <w:t>” means,</w:t>
      </w:r>
    </w:p>
    <w:p>
      <w:pPr>
        <w:spacing w:after="0" w:line="2" w:lineRule="exact"/>
        <w:rPr>
          <w:sz w:val="20"/>
          <w:szCs w:val="20"/>
          <w:color w:val="auto"/>
        </w:rPr>
      </w:pPr>
    </w:p>
    <w:p>
      <w:pPr>
        <w:jc w:val="both"/>
        <w:ind w:firstLine="650"/>
        <w:spacing w:after="0" w:line="229" w:lineRule="auto"/>
        <w:tabs>
          <w:tab w:leader="none" w:pos="1202" w:val="left"/>
        </w:tabs>
        <w:numPr>
          <w:ilvl w:val="0"/>
          <w:numId w:val="57"/>
        </w:numPr>
        <w:rPr>
          <w:rFonts w:ascii="Arial" w:cs="Arial" w:eastAsia="Arial" w:hAnsi="Arial"/>
          <w:sz w:val="20"/>
          <w:szCs w:val="20"/>
          <w:color w:val="auto"/>
        </w:rPr>
      </w:pPr>
      <w:r>
        <w:rPr>
          <w:rFonts w:ascii="Arial" w:cs="Arial" w:eastAsia="Arial" w:hAnsi="Arial"/>
          <w:sz w:val="20"/>
          <w:szCs w:val="20"/>
          <w:color w:val="auto"/>
        </w:rPr>
        <w:t>for any calculation with respect to a SOFR Loan, the Term SOFR Reference Rate for a tenor comparable to the applicable Interest Period on the day (such day, the “</w:t>
      </w:r>
      <w:r>
        <w:rPr>
          <w:rFonts w:ascii="Arial" w:cs="Arial" w:eastAsia="Arial" w:hAnsi="Arial"/>
          <w:sz w:val="20"/>
          <w:szCs w:val="20"/>
          <w:u w:val="single" w:color="auto"/>
          <w:color w:val="auto"/>
        </w:rPr>
        <w:t>Periodic Term SOFR Determination Day</w:t>
      </w:r>
      <w:r>
        <w:rPr>
          <w:rFonts w:ascii="Arial" w:cs="Arial" w:eastAsia="Arial" w:hAnsi="Arial"/>
          <w:sz w:val="20"/>
          <w:szCs w:val="20"/>
          <w:color w:val="auto"/>
        </w:rPr>
        <w:t xml:space="preserve">”) that is two (2) U.S. Government Securities Business Days prior to the first day of such Interest Period, as such rate is published by the Term SOFR Administrator;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55" w:lineRule="exact"/>
        <w:rPr>
          <w:rFonts w:ascii="Arial" w:cs="Arial" w:eastAsia="Arial" w:hAnsi="Arial"/>
          <w:sz w:val="20"/>
          <w:szCs w:val="20"/>
          <w:color w:val="auto"/>
        </w:rPr>
      </w:pPr>
    </w:p>
    <w:p>
      <w:pPr>
        <w:jc w:val="both"/>
        <w:ind w:firstLine="650"/>
        <w:spacing w:after="0" w:line="243" w:lineRule="auto"/>
        <w:tabs>
          <w:tab w:leader="none" w:pos="1107" w:val="left"/>
        </w:tabs>
        <w:numPr>
          <w:ilvl w:val="0"/>
          <w:numId w:val="57"/>
        </w:numPr>
        <w:rPr>
          <w:rFonts w:ascii="Arial" w:cs="Arial" w:eastAsia="Arial" w:hAnsi="Arial"/>
          <w:sz w:val="19"/>
          <w:szCs w:val="19"/>
          <w:color w:val="auto"/>
        </w:rPr>
      </w:pPr>
      <w:r>
        <w:rPr>
          <w:rFonts w:ascii="Arial" w:cs="Arial" w:eastAsia="Arial" w:hAnsi="Arial"/>
          <w:sz w:val="19"/>
          <w:szCs w:val="19"/>
          <w:color w:val="auto"/>
        </w:rPr>
        <w:t>for any calculation with respect to an ABR Loan on any day, the Term SOFR Reference Rate for a tenor of one month on the day (such day, the “</w:t>
      </w:r>
      <w:r>
        <w:rPr>
          <w:rFonts w:ascii="Arial" w:cs="Arial" w:eastAsia="Arial" w:hAnsi="Arial"/>
          <w:sz w:val="19"/>
          <w:szCs w:val="19"/>
          <w:u w:val="single" w:color="auto"/>
          <w:color w:val="auto"/>
        </w:rPr>
        <w:t>Base Rate Term SOFR Determination Day</w:t>
      </w:r>
      <w:r>
        <w:rPr>
          <w:rFonts w:ascii="Arial" w:cs="Arial" w:eastAsia="Arial" w:hAnsi="Arial"/>
          <w:sz w:val="19"/>
          <w:szCs w:val="19"/>
          <w:color w:val="auto"/>
        </w:rPr>
        <w:t xml:space="preserve">”) that is two (2) U.S. Government Securities Business Days prior to such day, as such rate is published by the Term SOFR Administrator;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59" w:name="page160"/>
    <w:bookmarkEnd w:id="159"/>
    <w:p>
      <w:pPr>
        <w:spacing w:after="0"/>
        <w:rPr>
          <w:sz w:val="20"/>
          <w:szCs w:val="20"/>
          <w:color w:val="auto"/>
        </w:rPr>
      </w:pPr>
      <w:r>
        <w:rPr>
          <w:rFonts w:ascii="Arial" w:cs="Arial" w:eastAsia="Arial" w:hAnsi="Arial"/>
          <w:sz w:val="19"/>
          <w:szCs w:val="19"/>
          <w:color w:val="auto"/>
        </w:rPr>
        <w:t>Day is not more than three (3) U.S. Government Securities Business Days prior to such Base Rate Term SOFR Determination Day.</w:t>
      </w:r>
    </w:p>
    <w:p>
      <w:pPr>
        <w:spacing w:after="0" w:line="103"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 Adjustment</w:t>
      </w:r>
      <w:r>
        <w:rPr>
          <w:rFonts w:ascii="Arial" w:cs="Arial" w:eastAsia="Arial" w:hAnsi="Arial"/>
          <w:sz w:val="21"/>
          <w:szCs w:val="21"/>
          <w:color w:val="auto"/>
        </w:rPr>
        <w:t>” means, for any calculation (a) with respect to an ABR Loan (if calculated pursuant to clause (c) of the definition of “Alternate Base Rate”), a percentage per annum equal to 0.10% for such ABR Loan or (b) with respect to a SOFR Loan, a percentage per annum equal to 0.10% for such SOFR Loan.</w:t>
      </w:r>
    </w:p>
    <w:p>
      <w:pPr>
        <w:spacing w:after="0" w:line="50" w:lineRule="exact"/>
        <w:rPr>
          <w:sz w:val="20"/>
          <w:szCs w:val="20"/>
          <w:color w:val="auto"/>
        </w:rPr>
      </w:pPr>
    </w:p>
    <w:p>
      <w:pPr>
        <w:jc w:val="both"/>
        <w:ind w:right="20"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 Administrator</w:t>
      </w:r>
      <w:r>
        <w:rPr>
          <w:rFonts w:ascii="Arial" w:cs="Arial" w:eastAsia="Arial" w:hAnsi="Arial"/>
          <w:sz w:val="21"/>
          <w:szCs w:val="21"/>
          <w:color w:val="auto"/>
        </w:rPr>
        <w:t>” means CME Group Benchmark Administration Limited (CBA) (or a successor administrator of the Term SOFR Reference Rate selected by the Administrative Agent in its reasonable discretion).</w:t>
      </w:r>
    </w:p>
    <w:p>
      <w:pPr>
        <w:spacing w:after="0" w:line="4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 Reference Rate</w:t>
      </w:r>
      <w:r>
        <w:rPr>
          <w:rFonts w:ascii="Arial" w:cs="Arial" w:eastAsia="Arial" w:hAnsi="Arial"/>
          <w:sz w:val="21"/>
          <w:szCs w:val="21"/>
          <w:color w:val="auto"/>
        </w:rPr>
        <w:t>” means the forward-looking term rate based on SOFR.</w:t>
      </w:r>
    </w:p>
    <w:p>
      <w:pPr>
        <w:spacing w:after="0" w:line="80"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Third Amendment</w:t>
      </w:r>
      <w:r>
        <w:rPr>
          <w:rFonts w:ascii="Arial" w:cs="Arial" w:eastAsia="Arial" w:hAnsi="Arial"/>
          <w:sz w:val="21"/>
          <w:szCs w:val="21"/>
          <w:color w:val="auto"/>
        </w:rPr>
        <w:t>” means that certain Third Amendment to Amended and Restated Senior Secured Revolving Credit Agreement, dated as of the Third Amendment Effective Date, by and among the Borrower, the Parent Guarantor, the Administrative Agent, and the Lenders party thereto.</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Third Amendment Effective Date</w:t>
      </w:r>
      <w:r>
        <w:rPr>
          <w:rFonts w:ascii="Arial" w:cs="Arial" w:eastAsia="Arial" w:hAnsi="Arial"/>
          <w:sz w:val="21"/>
          <w:szCs w:val="21"/>
          <w:color w:val="auto"/>
        </w:rPr>
        <w:t>” means October 8, 2019.</w:t>
      </w:r>
    </w:p>
    <w:p>
      <w:pPr>
        <w:spacing w:after="0" w:line="187" w:lineRule="exact"/>
        <w:rPr>
          <w:sz w:val="20"/>
          <w:szCs w:val="20"/>
          <w:color w:val="auto"/>
        </w:rPr>
      </w:pPr>
    </w:p>
    <w:p>
      <w:pPr>
        <w:jc w:val="both"/>
        <w:ind w:firstLine="643"/>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Debt</w:t>
      </w:r>
      <w:r>
        <w:rPr>
          <w:rFonts w:ascii="Arial" w:cs="Arial" w:eastAsia="Arial" w:hAnsi="Arial"/>
          <w:sz w:val="19"/>
          <w:szCs w:val="19"/>
          <w:color w:val="auto"/>
        </w:rPr>
        <w:t>” means, at any date, all Debt of the Parent Guarantor, the Borrower and the Consolidated Restricted Subsidiaries, on a consolidated basis, under clause (a) of the definition of “Debt,” excluding non-cash obligations under ASC 815.</w:t>
      </w:r>
    </w:p>
    <w:p>
      <w:pPr>
        <w:spacing w:after="0" w:line="106"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with respect to (a) the Borrower, the execution, delivery and performance by the Borrower of this Agreement and each other Loan Document to which it is a party, the borrowing of Loans, the use of the proceeds thereof and the issuance of Letters of Credit hereunder, and the grant of Liens by the Borrower on Mortgaged Properties and other Properties pursuant to the Security Instruments and (b) each Guarantor, the execution, delivery and performance by such Guarantor of each Loan Document to which it is a party, the guaranteeing of the Indebtedness and the other obligations under the Guaranty Agreement and such Guarantor’s grant of the security interests and provision of collateral under the Security Instruments, and the grant of Liens by such Guarantor on Mortgaged Properties pursuant to the Security Instruments.</w:t>
      </w:r>
    </w:p>
    <w:p>
      <w:pPr>
        <w:spacing w:after="0" w:line="158"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Type</w:t>
      </w:r>
      <w:r>
        <w:rPr>
          <w:rFonts w:ascii="Arial" w:cs="Arial" w:eastAsia="Arial" w:hAnsi="Arial"/>
          <w:sz w:val="21"/>
          <w:szCs w:val="21"/>
          <w:color w:val="auto"/>
        </w:rPr>
        <w:t>”, when used in reference to any Loan or Borrowing, refers to whether the rate of interest on such Loan, or on the Loans comprising such Borrowing, is determined by reference to the Alternate Base Rate, Adjusted Term SOFR or any Benchmark Replacement.</w:t>
      </w:r>
    </w:p>
    <w:p>
      <w:pPr>
        <w:spacing w:after="0" w:line="157"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3"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Resolution Authority</w:t>
      </w:r>
      <w:r>
        <w:rPr>
          <w:rFonts w:ascii="Arial" w:cs="Arial" w:eastAsia="Arial" w:hAnsi="Arial"/>
          <w:sz w:val="21"/>
          <w:szCs w:val="21"/>
          <w:color w:val="auto"/>
        </w:rPr>
        <w:t>” means the Bank of England or any other public administrative authority having responsibility for the resolution of any UK Financial Institution.</w:t>
      </w:r>
    </w:p>
    <w:p>
      <w:pPr>
        <w:spacing w:after="0" w:line="152"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Unadjusted Benchmark Replacement</w:t>
      </w:r>
      <w:r>
        <w:rPr>
          <w:rFonts w:ascii="Arial" w:cs="Arial" w:eastAsia="Arial" w:hAnsi="Arial"/>
          <w:sz w:val="21"/>
          <w:szCs w:val="21"/>
          <w:color w:val="auto"/>
        </w:rPr>
        <w:t>” means the applicable Benchmark Replacement excluding the related Benchmark Replacement Adjustment.</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Units</w:t>
      </w:r>
      <w:r>
        <w:rPr>
          <w:rFonts w:ascii="Arial" w:cs="Arial" w:eastAsia="Arial" w:hAnsi="Arial"/>
          <w:sz w:val="21"/>
          <w:szCs w:val="21"/>
          <w:color w:val="auto"/>
        </w:rPr>
        <w:t>” has the meaning assigned to such term in the Borrower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60" w:name="page161"/>
    <w:bookmarkEnd w:id="160"/>
    <w:p>
      <w:pPr>
        <w:jc w:val="both"/>
        <w:ind w:firstLine="643"/>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Unrestricted Subsidiary</w:t>
      </w:r>
      <w:r>
        <w:rPr>
          <w:rFonts w:ascii="Arial" w:cs="Arial" w:eastAsia="Arial" w:hAnsi="Arial"/>
          <w:sz w:val="21"/>
          <w:szCs w:val="21"/>
          <w:color w:val="auto"/>
        </w:rPr>
        <w:t>” means any Subsidiary of the Borrower designated as such on Schedule 7.14 from time to time or which the Borrower has designated in writing to the Administrative Agent to be an Unrestricted Subsidiary pursuant to Section 9.19, until such time as the Borrower redesignates such Unrestricted Subsidiary as a Restricted Subsidiary in accordance with this Agreement.</w:t>
      </w:r>
    </w:p>
    <w:p>
      <w:pPr>
        <w:spacing w:after="0" w:line="158"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Government Securities Business Day</w:t>
      </w:r>
      <w:r>
        <w:rPr>
          <w:rFonts w:ascii="Arial" w:cs="Arial" w:eastAsia="Arial" w:hAnsi="Arial"/>
          <w:sz w:val="21"/>
          <w:szCs w:val="21"/>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Sections 2.03, 2.04 and 3.04, in each case, such day is also a Business Day.</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Special Resolution Regimes</w:t>
      </w:r>
      <w:r>
        <w:rPr>
          <w:rFonts w:ascii="Arial" w:cs="Arial" w:eastAsia="Arial" w:hAnsi="Arial"/>
          <w:sz w:val="21"/>
          <w:szCs w:val="21"/>
          <w:color w:val="auto"/>
        </w:rPr>
        <w:t>” has the meaning set forth in Section 12.20.</w:t>
      </w:r>
    </w:p>
    <w:p>
      <w:pPr>
        <w:spacing w:after="0" w:line="187" w:lineRule="exact"/>
        <w:rPr>
          <w:sz w:val="20"/>
          <w:szCs w:val="20"/>
          <w:color w:val="auto"/>
        </w:rPr>
      </w:pPr>
    </w:p>
    <w:p>
      <w:pPr>
        <w:jc w:val="both"/>
        <w:ind w:firstLine="643"/>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Utilization Percentage</w:t>
      </w:r>
      <w:r>
        <w:rPr>
          <w:rFonts w:ascii="Arial" w:cs="Arial" w:eastAsia="Arial" w:hAnsi="Arial"/>
          <w:sz w:val="19"/>
          <w:szCs w:val="19"/>
          <w:color w:val="auto"/>
        </w:rPr>
        <w:t>” means, as of any day, the fraction expressed as a percentage, the numerator of which is the sum of the Revolving Credit Exposures on such day, and the denominator of which is the total Commitments in effect on such day.</w:t>
      </w:r>
    </w:p>
    <w:p>
      <w:pPr>
        <w:spacing w:after="0" w:line="106" w:lineRule="exact"/>
        <w:rPr>
          <w:sz w:val="20"/>
          <w:szCs w:val="20"/>
          <w:color w:val="auto"/>
        </w:rPr>
      </w:pPr>
    </w:p>
    <w:p>
      <w:pPr>
        <w:jc w:val="both"/>
        <w:ind w:firstLine="643"/>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8"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u w:val="single" w:color="auto"/>
          <w:color w:val="auto"/>
        </w:rPr>
        <w:t>Types of Loans and Borrowings</w:t>
      </w:r>
      <w:r>
        <w:rPr>
          <w:rFonts w:ascii="Arial" w:cs="Arial" w:eastAsia="Arial" w:hAnsi="Arial"/>
          <w:sz w:val="21"/>
          <w:szCs w:val="21"/>
          <w:color w:val="auto"/>
        </w:rPr>
        <w:t>. For purposes of this Agreement, Loans and Borrowings, respectively, may be classified and referred to by Type (e.g., a “</w:t>
      </w:r>
      <w:r>
        <w:rPr>
          <w:rFonts w:ascii="Arial" w:cs="Arial" w:eastAsia="Arial" w:hAnsi="Arial"/>
          <w:sz w:val="21"/>
          <w:szCs w:val="21"/>
          <w:u w:val="single" w:color="auto"/>
          <w:color w:val="auto"/>
        </w:rPr>
        <w:t>SOFR Loan</w:t>
      </w:r>
      <w:r>
        <w:rPr>
          <w:rFonts w:ascii="Arial" w:cs="Arial" w:eastAsia="Arial" w:hAnsi="Arial"/>
          <w:sz w:val="21"/>
          <w:szCs w:val="21"/>
          <w:color w:val="auto"/>
        </w:rPr>
        <w:t>” or a “</w:t>
      </w:r>
      <w:r>
        <w:rPr>
          <w:rFonts w:ascii="Arial" w:cs="Arial" w:eastAsia="Arial" w:hAnsi="Arial"/>
          <w:sz w:val="21"/>
          <w:szCs w:val="21"/>
          <w:u w:val="single" w:color="auto"/>
          <w:color w:val="auto"/>
        </w:rPr>
        <w:t>SOFR Borrowing</w:t>
      </w:r>
      <w:r>
        <w:rPr>
          <w:rFonts w:ascii="Arial" w:cs="Arial" w:eastAsia="Arial" w:hAnsi="Arial"/>
          <w:sz w:val="21"/>
          <w:szCs w:val="21"/>
          <w:color w:val="auto"/>
        </w:rPr>
        <w:t>”).</w:t>
      </w:r>
    </w:p>
    <w:p>
      <w:pPr>
        <w:spacing w:after="0" w:line="152" w:lineRule="exact"/>
        <w:rPr>
          <w:sz w:val="20"/>
          <w:szCs w:val="20"/>
          <w:color w:val="auto"/>
        </w:rPr>
      </w:pPr>
    </w:p>
    <w:p>
      <w:pPr>
        <w:jc w:val="both"/>
        <w:ind w:firstLine="643"/>
        <w:spacing w:after="0" w:line="216" w:lineRule="auto"/>
        <w:rPr>
          <w:sz w:val="20"/>
          <w:szCs w:val="20"/>
          <w:color w:val="auto"/>
        </w:rPr>
      </w:pPr>
      <w:r>
        <w:rPr>
          <w:rFonts w:ascii="Arial" w:cs="Arial" w:eastAsia="Arial" w:hAnsi="Arial"/>
          <w:sz w:val="21"/>
          <w:szCs w:val="21"/>
          <w:color w:val="auto"/>
        </w:rPr>
        <w:t xml:space="preserve">Section 1.04 </w:t>
      </w:r>
      <w:r>
        <w:rPr>
          <w:rFonts w:ascii="Arial" w:cs="Arial" w:eastAsia="Arial" w:hAnsi="Arial"/>
          <w:sz w:val="21"/>
          <w:szCs w:val="21"/>
          <w:u w:val="single" w:color="auto"/>
          <w:color w:val="auto"/>
        </w:rPr>
        <w:t>Terms Generally; Rules of Construction.</w:t>
      </w:r>
      <w:r>
        <w:rPr>
          <w:rFonts w:ascii="Arial" w:cs="Arial" w:eastAsia="Arial" w:hAnsi="Arial"/>
          <w:sz w:val="21"/>
          <w:szCs w:val="21"/>
          <w:color w:val="auto"/>
        </w:rPr>
        <w:t xml:space="preserve"> 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21"/>
          <w:szCs w:val="21"/>
          <w:u w:val="single" w:color="auto"/>
          <w:color w:val="auto"/>
        </w:rPr>
        <w:t>include</w:t>
      </w:r>
      <w:r>
        <w:rPr>
          <w:rFonts w:ascii="Arial" w:cs="Arial" w:eastAsia="Arial" w:hAnsi="Arial"/>
          <w:sz w:val="21"/>
          <w:szCs w:val="21"/>
          <w:color w:val="auto"/>
        </w:rPr>
        <w:t>”, “</w:t>
      </w:r>
      <w:r>
        <w:rPr>
          <w:rFonts w:ascii="Arial" w:cs="Arial" w:eastAsia="Arial" w:hAnsi="Arial"/>
          <w:sz w:val="21"/>
          <w:szCs w:val="21"/>
          <w:u w:val="single" w:color="auto"/>
          <w:color w:val="auto"/>
        </w:rPr>
        <w:t>includes</w:t>
      </w:r>
      <w:r>
        <w:rPr>
          <w:rFonts w:ascii="Arial" w:cs="Arial" w:eastAsia="Arial" w:hAnsi="Arial"/>
          <w:sz w:val="21"/>
          <w:szCs w:val="21"/>
          <w:color w:val="auto"/>
        </w:rPr>
        <w:t>” and “</w:t>
      </w:r>
      <w:r>
        <w:rPr>
          <w:rFonts w:ascii="Arial" w:cs="Arial" w:eastAsia="Arial" w:hAnsi="Arial"/>
          <w:sz w:val="21"/>
          <w:szCs w:val="21"/>
          <w:u w:val="single" w:color="auto"/>
          <w:color w:val="auto"/>
        </w:rPr>
        <w:t>including</w:t>
      </w:r>
      <w:r>
        <w:rPr>
          <w:rFonts w:ascii="Arial" w:cs="Arial" w:eastAsia="Arial" w:hAnsi="Arial"/>
          <w:sz w:val="21"/>
          <w:szCs w:val="21"/>
          <w:color w:val="auto"/>
        </w:rPr>
        <w:t>” as used in this Agreement shall be deemed to be followed by the phrase “</w:t>
      </w:r>
      <w:r>
        <w:rPr>
          <w:rFonts w:ascii="Arial" w:cs="Arial" w:eastAsia="Arial" w:hAnsi="Arial"/>
          <w:sz w:val="21"/>
          <w:szCs w:val="21"/>
          <w:u w:val="single" w:color="auto"/>
          <w:color w:val="auto"/>
        </w:rPr>
        <w:t>without limitation</w:t>
      </w:r>
      <w:r>
        <w:rPr>
          <w:rFonts w:ascii="Arial" w:cs="Arial" w:eastAsia="Arial" w:hAnsi="Arial"/>
          <w:sz w:val="21"/>
          <w:szCs w:val="21"/>
          <w:color w:val="auto"/>
        </w:rPr>
        <w:t>”. The word “</w:t>
      </w:r>
      <w:r>
        <w:rPr>
          <w:rFonts w:ascii="Arial" w:cs="Arial" w:eastAsia="Arial" w:hAnsi="Arial"/>
          <w:sz w:val="21"/>
          <w:szCs w:val="21"/>
          <w:u w:val="single" w:color="auto"/>
          <w:color w:val="auto"/>
        </w:rPr>
        <w:t>will</w:t>
      </w:r>
      <w:r>
        <w:rPr>
          <w:rFonts w:ascii="Arial" w:cs="Arial" w:eastAsia="Arial" w:hAnsi="Arial"/>
          <w:sz w:val="21"/>
          <w:szCs w:val="21"/>
          <w:color w:val="auto"/>
        </w:rPr>
        <w:t>” shall be construed to have the same meaning and effect as the word “</w:t>
      </w:r>
      <w:r>
        <w:rPr>
          <w:rFonts w:ascii="Arial" w:cs="Arial" w:eastAsia="Arial" w:hAnsi="Arial"/>
          <w:sz w:val="21"/>
          <w:szCs w:val="21"/>
          <w:u w:val="single" w:color="auto"/>
          <w:color w:val="auto"/>
        </w:rPr>
        <w:t>shall</w:t>
      </w:r>
      <w:r>
        <w:rPr>
          <w:rFonts w:ascii="Arial" w:cs="Arial" w:eastAsia="Arial" w:hAnsi="Arial"/>
          <w:sz w:val="21"/>
          <w:szCs w:val="21"/>
          <w:color w:val="auto"/>
        </w:rPr>
        <w:t>”.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in the Loan Documents), (b) any reference herein to any law shall be construed as referring to such law as amended, modified, codified or reenacted, in whole or in part, and in effect from time to time, (c) any reference herein to any Person shall be construed to include such Person’s successors and assigns (subject to the restrictions contained in the Loan Documents), (d) the words “</w:t>
      </w:r>
      <w:r>
        <w:rPr>
          <w:rFonts w:ascii="Arial" w:cs="Arial" w:eastAsia="Arial" w:hAnsi="Arial"/>
          <w:sz w:val="21"/>
          <w:szCs w:val="21"/>
          <w:u w:val="single" w:color="auto"/>
          <w:color w:val="auto"/>
        </w:rPr>
        <w:t>herein</w:t>
      </w:r>
      <w:r>
        <w:rPr>
          <w:rFonts w:ascii="Arial" w:cs="Arial" w:eastAsia="Arial" w:hAnsi="Arial"/>
          <w:sz w:val="21"/>
          <w:szCs w:val="21"/>
          <w:color w:val="auto"/>
        </w:rPr>
        <w:t>”, “</w:t>
      </w:r>
      <w:r>
        <w:rPr>
          <w:rFonts w:ascii="Arial" w:cs="Arial" w:eastAsia="Arial" w:hAnsi="Arial"/>
          <w:sz w:val="21"/>
          <w:szCs w:val="21"/>
          <w:u w:val="single" w:color="auto"/>
          <w:color w:val="auto"/>
        </w:rPr>
        <w:t>hereof</w:t>
      </w:r>
      <w:r>
        <w:rPr>
          <w:rFonts w:ascii="Arial" w:cs="Arial" w:eastAsia="Arial" w:hAnsi="Arial"/>
          <w:sz w:val="21"/>
          <w:szCs w:val="21"/>
          <w:color w:val="auto"/>
        </w:rPr>
        <w:t>” and “</w:t>
      </w:r>
      <w:r>
        <w:rPr>
          <w:rFonts w:ascii="Arial" w:cs="Arial" w:eastAsia="Arial" w:hAnsi="Arial"/>
          <w:sz w:val="21"/>
          <w:szCs w:val="21"/>
          <w:u w:val="single" w:color="auto"/>
          <w:color w:val="auto"/>
        </w:rPr>
        <w:t>hereunder</w:t>
      </w:r>
      <w:r>
        <w:rPr>
          <w:rFonts w:ascii="Arial" w:cs="Arial" w:eastAsia="Arial" w:hAnsi="Arial"/>
          <w:sz w:val="21"/>
          <w:szCs w:val="21"/>
          <w:color w:val="auto"/>
        </w:rPr>
        <w:t>”, and words of similar import, shall be construed to refer to this Agreement in its entirety and not to any particular provision hereof, (e) with respect to the determination of any time period, the word “</w:t>
      </w:r>
      <w:r>
        <w:rPr>
          <w:rFonts w:ascii="Arial" w:cs="Arial" w:eastAsia="Arial" w:hAnsi="Arial"/>
          <w:sz w:val="21"/>
          <w:szCs w:val="21"/>
          <w:u w:val="single" w:color="auto"/>
          <w:color w:val="auto"/>
        </w:rPr>
        <w:t>from</w:t>
      </w:r>
      <w:r>
        <w:rPr>
          <w:rFonts w:ascii="Arial" w:cs="Arial" w:eastAsia="Arial" w:hAnsi="Arial"/>
          <w:sz w:val="21"/>
          <w:szCs w:val="21"/>
          <w:color w:val="auto"/>
        </w:rPr>
        <w:t>” means “</w:t>
      </w:r>
      <w:r>
        <w:rPr>
          <w:rFonts w:ascii="Arial" w:cs="Arial" w:eastAsia="Arial" w:hAnsi="Arial"/>
          <w:sz w:val="21"/>
          <w:szCs w:val="21"/>
          <w:u w:val="single" w:color="auto"/>
          <w:color w:val="auto"/>
        </w:rPr>
        <w:t>from and</w:t>
      </w:r>
      <w:r>
        <w:rPr>
          <w:rFonts w:ascii="Arial" w:cs="Arial" w:eastAsia="Arial" w:hAnsi="Arial"/>
          <w:sz w:val="21"/>
          <w:szCs w:val="21"/>
          <w:color w:val="auto"/>
        </w:rPr>
        <w:t xml:space="preserve"> </w:t>
      </w:r>
      <w:r>
        <w:rPr>
          <w:rFonts w:ascii="Arial" w:cs="Arial" w:eastAsia="Arial" w:hAnsi="Arial"/>
          <w:sz w:val="21"/>
          <w:szCs w:val="21"/>
          <w:u w:val="single" w:color="auto"/>
          <w:color w:val="auto"/>
        </w:rPr>
        <w:t>including</w:t>
      </w:r>
      <w:r>
        <w:rPr>
          <w:rFonts w:ascii="Arial" w:cs="Arial" w:eastAsia="Arial" w:hAnsi="Arial"/>
          <w:sz w:val="21"/>
          <w:szCs w:val="21"/>
          <w:color w:val="auto"/>
        </w:rPr>
        <w:t>” and the word “</w:t>
      </w:r>
      <w:r>
        <w:rPr>
          <w:rFonts w:ascii="Arial" w:cs="Arial" w:eastAsia="Arial" w:hAnsi="Arial"/>
          <w:sz w:val="21"/>
          <w:szCs w:val="21"/>
          <w:u w:val="single" w:color="auto"/>
          <w:color w:val="auto"/>
        </w:rPr>
        <w:t>to</w:t>
      </w:r>
      <w:r>
        <w:rPr>
          <w:rFonts w:ascii="Arial" w:cs="Arial" w:eastAsia="Arial" w:hAnsi="Arial"/>
          <w:sz w:val="21"/>
          <w:szCs w:val="21"/>
          <w:color w:val="auto"/>
        </w:rPr>
        <w:t>” means “</w:t>
      </w:r>
      <w:r>
        <w:rPr>
          <w:rFonts w:ascii="Arial" w:cs="Arial" w:eastAsia="Arial" w:hAnsi="Arial"/>
          <w:sz w:val="21"/>
          <w:szCs w:val="21"/>
          <w:u w:val="single" w:color="auto"/>
          <w:color w:val="auto"/>
        </w:rPr>
        <w:t>to and including</w:t>
      </w:r>
      <w:r>
        <w:rPr>
          <w:rFonts w:ascii="Arial" w:cs="Arial" w:eastAsia="Arial" w:hAnsi="Arial"/>
          <w:sz w:val="21"/>
          <w:szCs w:val="21"/>
          <w:color w:val="auto"/>
        </w:rPr>
        <w:t>” and (f) any reference herein to Articles, Sections, Annexes, Exhibits and Schedules shall be construed to refer to Articles and Sections of, and Annexes, Exhibits and Schedules to, this Agreement. No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61" w:name="page162"/>
    <w:bookmarkEnd w:id="161"/>
    <w:p>
      <w:pPr>
        <w:jc w:val="both"/>
        <w:spacing w:after="0" w:line="244" w:lineRule="auto"/>
        <w:rPr>
          <w:sz w:val="20"/>
          <w:szCs w:val="20"/>
          <w:color w:val="auto"/>
        </w:rPr>
      </w:pPr>
      <w:r>
        <w:rPr>
          <w:rFonts w:ascii="Arial" w:cs="Arial" w:eastAsia="Arial" w:hAnsi="Arial"/>
          <w:sz w:val="21"/>
          <w:szCs w:val="21"/>
          <w:color w:val="auto"/>
        </w:rPr>
        <w:t>of this Agreement or any other Loan Document shall be interpreted or construed against any Person solely because such Person or its legal representative drafted such provision.</w:t>
      </w:r>
    </w:p>
    <w:p>
      <w:pPr>
        <w:spacing w:after="0" w:line="152" w:lineRule="exact"/>
        <w:rPr>
          <w:sz w:val="20"/>
          <w:szCs w:val="20"/>
          <w:color w:val="auto"/>
        </w:rPr>
      </w:pPr>
    </w:p>
    <w:p>
      <w:pPr>
        <w:jc w:val="both"/>
        <w:ind w:firstLine="643"/>
        <w:spacing w:after="0" w:line="230"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u w:val="single" w:color="auto"/>
          <w:color w:val="auto"/>
        </w:rPr>
        <w:t>Accounting Terms and Determinations; GAAP.</w:t>
      </w:r>
      <w:r>
        <w:rPr>
          <w:rFonts w:ascii="Arial" w:cs="Arial" w:eastAsia="Arial" w:hAnsi="Arial"/>
          <w:sz w:val="20"/>
          <w:szCs w:val="20"/>
          <w:color w:val="auto"/>
        </w:rPr>
        <w:t xml:space="preserve"> Unless otherwise specified herein, all accounting terms used herein shall be interpreted, all determinations with respect to accounting matters hereunder shall be made, and all financial statements and certificates and reports as to financial matters required to be furnished to the Administrative Agent or the Lenders hereunder shall be prepared, in accordance with GAAP, applied on a basis consistent with the Financial Statements except for changes in which the Borrower’s independent certified public accountants concur and which are disclosed to Administrative Agent on the next date on which financial statements are required to be delivered to the Lenders pursuant to Section 8.01(a); provided that, unless the Borrower and the Majority Lenders shall otherwise agree in writing, no such change shall modify or affect the manner in which compliance with the covenants contained herein is computed such that all such computations shall be conducted utilizing financial information presented consistently with prior periods.</w:t>
      </w:r>
    </w:p>
    <w:p>
      <w:pPr>
        <w:spacing w:after="0" w:line="159" w:lineRule="exact"/>
        <w:rPr>
          <w:sz w:val="20"/>
          <w:szCs w:val="20"/>
          <w:color w:val="auto"/>
        </w:rPr>
      </w:pPr>
    </w:p>
    <w:p>
      <w:pPr>
        <w:jc w:val="both"/>
        <w:ind w:firstLine="643"/>
        <w:spacing w:after="0" w:line="250"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47" w:lineRule="exact"/>
        <w:rPr>
          <w:sz w:val="20"/>
          <w:szCs w:val="20"/>
          <w:color w:val="auto"/>
        </w:rPr>
      </w:pPr>
    </w:p>
    <w:p>
      <w:pPr>
        <w:jc w:val="both"/>
        <w:ind w:firstLine="643"/>
        <w:spacing w:after="0" w:line="226" w:lineRule="auto"/>
        <w:rPr>
          <w:sz w:val="20"/>
          <w:szCs w:val="20"/>
          <w:color w:val="auto"/>
        </w:rPr>
      </w:pPr>
      <w:r>
        <w:rPr>
          <w:rFonts w:ascii="Arial" w:cs="Arial" w:eastAsia="Arial" w:hAnsi="Arial"/>
          <w:sz w:val="20"/>
          <w:szCs w:val="20"/>
          <w:color w:val="auto"/>
        </w:rPr>
        <w:t xml:space="preserve">Section 1.07 </w:t>
      </w:r>
      <w:r>
        <w:rPr>
          <w:rFonts w:ascii="Arial" w:cs="Arial" w:eastAsia="Arial" w:hAnsi="Arial"/>
          <w:sz w:val="20"/>
          <w:szCs w:val="20"/>
          <w:u w:val="single" w:color="auto"/>
          <w:color w:val="auto"/>
        </w:rPr>
        <w:t>Interest Rates.</w:t>
      </w:r>
      <w:r>
        <w:rPr>
          <w:rFonts w:ascii="Arial" w:cs="Arial" w:eastAsia="Arial" w:hAnsi="Arial"/>
          <w:sz w:val="20"/>
          <w:szCs w:val="20"/>
          <w:color w:val="auto"/>
        </w:rPr>
        <w:t xml:space="preserve"> The Administrative Agent does not warrant or accept any responsibility for, and shall not have any liability with respect to, (a) the continuation of, administration of, submission of, calculation of or any other matter related to the Term SOFR Reference Rate, Adjusted Term SOFR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3.03(c),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Adjusted Term SOFR,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the Term SOFR Reference Rate, Adjusted Term SOFR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62" w:name="page163"/>
    <w:bookmarkEnd w:id="162"/>
    <w:p>
      <w:pPr>
        <w:ind w:left="5020"/>
        <w:spacing w:after="0"/>
        <w:rPr>
          <w:sz w:val="20"/>
          <w:szCs w:val="20"/>
          <w:color w:val="auto"/>
        </w:rPr>
      </w:pPr>
      <w:r>
        <w:rPr>
          <w:rFonts w:ascii="Arial" w:cs="Arial" w:eastAsia="Arial" w:hAnsi="Arial"/>
          <w:sz w:val="21"/>
          <w:szCs w:val="21"/>
          <w:b w:val="1"/>
          <w:bCs w:val="1"/>
          <w:color w:val="auto"/>
        </w:rPr>
        <w:t>ARTICLE II</w:t>
      </w:r>
    </w:p>
    <w:p>
      <w:pPr>
        <w:ind w:left="5080"/>
        <w:spacing w:after="0"/>
        <w:rPr>
          <w:sz w:val="20"/>
          <w:szCs w:val="20"/>
          <w:color w:val="auto"/>
        </w:rPr>
      </w:pPr>
      <w:r>
        <w:rPr>
          <w:rFonts w:ascii="Arial" w:cs="Arial" w:eastAsia="Arial" w:hAnsi="Arial"/>
          <w:sz w:val="21"/>
          <w:szCs w:val="21"/>
          <w:b w:val="1"/>
          <w:bCs w:val="1"/>
          <w:color w:val="auto"/>
        </w:rPr>
        <w:t>The Credits</w:t>
      </w:r>
    </w:p>
    <w:p>
      <w:pPr>
        <w:spacing w:after="0" w:line="169"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u w:val="single" w:color="auto"/>
          <w:color w:val="auto"/>
        </w:rPr>
        <w:t>Commitments.</w:t>
      </w:r>
      <w:r>
        <w:rPr>
          <w:rFonts w:ascii="Arial" w:cs="Arial" w:eastAsia="Arial" w:hAnsi="Arial"/>
          <w:sz w:val="21"/>
          <w:szCs w:val="21"/>
          <w:color w:val="auto"/>
        </w:rPr>
        <w:t xml:space="preserve"> Subject to the terms and conditions set forth herein, each Lender agrees to make Loans to the Borrower during the Availability Period in an aggregate principal amount that will not result in (a) such Lender’s Revolving Credit Exposure exceeding such Lender’s Commitment or (b) the total Revolving Credit Exposures exceeding the total Commitments. Within the foregoing limits and subject to the terms and conditions set forth herein, the Borrower may borrow, repay and reborrow the Loans.</w:t>
      </w:r>
    </w:p>
    <w:p>
      <w:pPr>
        <w:spacing w:after="0" w:line="15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2.02</w:t>
      </w:r>
      <w:r>
        <w:rPr>
          <w:sz w:val="20"/>
          <w:szCs w:val="20"/>
          <w:color w:val="auto"/>
        </w:rPr>
        <w:tab/>
      </w:r>
      <w:r>
        <w:rPr>
          <w:rFonts w:ascii="Arial" w:cs="Arial" w:eastAsia="Arial" w:hAnsi="Arial"/>
          <w:sz w:val="19"/>
          <w:szCs w:val="19"/>
          <w:u w:val="single" w:color="auto"/>
          <w:color w:val="auto"/>
        </w:rPr>
        <w:t>Loans and Borrowings.</w:t>
      </w:r>
    </w:p>
    <w:p>
      <w:pPr>
        <w:spacing w:after="0" w:line="187" w:lineRule="exact"/>
        <w:rPr>
          <w:sz w:val="20"/>
          <w:szCs w:val="20"/>
          <w:color w:val="auto"/>
        </w:rPr>
      </w:pPr>
    </w:p>
    <w:p>
      <w:pPr>
        <w:jc w:val="both"/>
        <w:ind w:firstLine="1293"/>
        <w:spacing w:after="0" w:line="227" w:lineRule="auto"/>
        <w:tabs>
          <w:tab w:leader="none" w:pos="1764"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Borrowings; Several Obligations</w:t>
      </w:r>
      <w:r>
        <w:rPr>
          <w:rFonts w:ascii="Arial" w:cs="Arial" w:eastAsia="Arial" w:hAnsi="Arial"/>
          <w:sz w:val="21"/>
          <w:szCs w:val="21"/>
          <w:color w:val="auto"/>
        </w:rPr>
        <w:t>. Each Loan shall be made as part of a Borrowing consisting of Loans made by the Lenders ratably in accordance with their respective Commitments. The failure of any Lender to make any Loan required to be made by it shall not relieve any other Lender of its obligations hereunder; provided that the Commitments are several and no Lender shall be responsible for any other Lender’s failure to make Loans as required.</w:t>
      </w:r>
    </w:p>
    <w:p>
      <w:pPr>
        <w:spacing w:after="0" w:line="157" w:lineRule="exact"/>
        <w:rPr>
          <w:rFonts w:ascii="Arial" w:cs="Arial" w:eastAsia="Arial" w:hAnsi="Arial"/>
          <w:sz w:val="21"/>
          <w:szCs w:val="21"/>
          <w:color w:val="auto"/>
        </w:rPr>
      </w:pPr>
    </w:p>
    <w:p>
      <w:pPr>
        <w:jc w:val="both"/>
        <w:ind w:firstLine="1293"/>
        <w:spacing w:after="0" w:line="238" w:lineRule="auto"/>
        <w:tabs>
          <w:tab w:leader="none" w:pos="183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Types of Loans</w:t>
      </w:r>
      <w:r>
        <w:rPr>
          <w:rFonts w:ascii="Arial" w:cs="Arial" w:eastAsia="Arial" w:hAnsi="Arial"/>
          <w:sz w:val="20"/>
          <w:szCs w:val="20"/>
          <w:color w:val="auto"/>
        </w:rPr>
        <w:t>. Subject to Section 3.03(c), each Borrowing shall be comprised entirely of ABR Loans or SOFR Loans as the Borrower may request in accordance herewith. Each Lender at its option may make any SOFR Loan by causing any domestic or foreign branch or Affiliate of such Lender to make such Loan; provided that any exercise of such option shall not affect the obligation of the Borrower to repay such Loan in accordance with the terms of this Agreement.</w:t>
      </w:r>
    </w:p>
    <w:p>
      <w:pPr>
        <w:spacing w:after="0" w:line="158" w:lineRule="exact"/>
        <w:rPr>
          <w:rFonts w:ascii="Arial" w:cs="Arial" w:eastAsia="Arial" w:hAnsi="Arial"/>
          <w:sz w:val="20"/>
          <w:szCs w:val="20"/>
          <w:color w:val="auto"/>
        </w:rPr>
      </w:pPr>
    </w:p>
    <w:p>
      <w:pPr>
        <w:jc w:val="both"/>
        <w:ind w:firstLine="1293"/>
        <w:spacing w:after="0" w:line="219" w:lineRule="auto"/>
        <w:tabs>
          <w:tab w:leader="none" w:pos="1764"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Minimum Amounts; Limitation on Number of Borrowings</w:t>
      </w:r>
      <w:r>
        <w:rPr>
          <w:rFonts w:ascii="Arial" w:cs="Arial" w:eastAsia="Arial" w:hAnsi="Arial"/>
          <w:sz w:val="21"/>
          <w:szCs w:val="21"/>
          <w:color w:val="auto"/>
        </w:rPr>
        <w:t>. At the commencement of each Interest Period for any SOFR Borrowing, such Borrowing shall be in an aggregate amount that is an integral multiple of $250,000 and not less than $250,000. At the time that each ABR Borrowing is made, such Borrowing shall be in an aggregate amount that is an integral multiple of $250,000 and not less than $250,000; provided that, notwithstanding the foregoing, an ABR Borrowing may be in an aggregate amount that is equal to the entire unused balance of the total Commitments or that is required to finance the reimbursement of an LC Disbursement as contemplated by Section 2.08(e). Borrowings of more than one Type may be outstanding at the same time. Notwithstanding any other provision of this Agreement, the Borrower shall not be entitled to request, or to elect to convert or continue, any Borrowing if the Interest Period requested with respect thereto would end after the Maturity Date.</w:t>
      </w:r>
    </w:p>
    <w:p>
      <w:pPr>
        <w:spacing w:after="0" w:line="159" w:lineRule="exact"/>
        <w:rPr>
          <w:rFonts w:ascii="Arial" w:cs="Arial" w:eastAsia="Arial" w:hAnsi="Arial"/>
          <w:sz w:val="21"/>
          <w:szCs w:val="21"/>
          <w:color w:val="auto"/>
        </w:rPr>
      </w:pPr>
    </w:p>
    <w:p>
      <w:pPr>
        <w:jc w:val="both"/>
        <w:ind w:firstLine="1293"/>
        <w:spacing w:after="0" w:line="228" w:lineRule="auto"/>
        <w:tabs>
          <w:tab w:leader="none" w:pos="181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The Loans made by each Lender shall be evidenced by a single promissory note of the Borrower in substantially the form of Exhibit A, dated, in the case of (i) any Lender party hereto as of the date of this Agreement, as of the date of this Agreement, (ii) any Lender that becomes a party hereto pursuant to an Assignment and Assumption, as of the effective date of the Assignment and Assumption, or (iii) any Lender that becomes a party hereto in connection with an increase in the Aggregate Maximum Credit Amounts pursuant to Section 2.06(b), as of the effective date of such increase, payable to such Lender in a principal amount equal to its Maximum Credit Amount as in effect on such date, and otherwise duly completed. In the event that any Lender’s Maximum Credit Amount increases or decreases for any reason (whether pursuant to Section 2.06, Section 12.04(b) or otherwise), the Borrower shall deliver or cause to be delivered on the effective date of such increase or decrease, a new Note payable to such Lender in a principal amount equal to its Maximum Credit Amount after giving effect to such increase or decrease, and otherwise duly completed. The date, amount, Type, interest rate and, if applicable, Interest Period of each Loan made by each Lender, and all payments made on account of the principal thereof, shall be recorded by such Lender on its books for its Note, and, prior to any transfer, may be endorsed by such Lender on a schedule attached to such Note or any continuation thereof or on any separate record maintained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81" w:right="339" w:bottom="1440" w:gutter="0" w:footer="0" w:header="0"/>
        </w:sectPr>
      </w:pPr>
    </w:p>
    <w:bookmarkStart w:id="163" w:name="page164"/>
    <w:bookmarkEnd w:id="163"/>
    <w:p>
      <w:pPr>
        <w:spacing w:after="0" w:line="244" w:lineRule="auto"/>
        <w:rPr>
          <w:sz w:val="20"/>
          <w:szCs w:val="20"/>
          <w:color w:val="auto"/>
        </w:rPr>
      </w:pPr>
      <w:r>
        <w:rPr>
          <w:rFonts w:ascii="Arial" w:cs="Arial" w:eastAsia="Arial" w:hAnsi="Arial"/>
          <w:sz w:val="21"/>
          <w:szCs w:val="21"/>
          <w:color w:val="auto"/>
        </w:rPr>
        <w:t>Lender. Failure to make any such notation or to attach a schedule shall not affect any Lender’s or the Borrower’s rights or obligations in respect of such Loans or affect the validity of such transfer by any Lender of its Note.</w:t>
      </w:r>
    </w:p>
    <w:p>
      <w:pPr>
        <w:spacing w:after="0" w:line="152" w:lineRule="exact"/>
        <w:rPr>
          <w:sz w:val="20"/>
          <w:szCs w:val="20"/>
          <w:color w:val="auto"/>
        </w:rPr>
      </w:pPr>
    </w:p>
    <w:p>
      <w:pPr>
        <w:ind w:left="1740" w:hanging="447"/>
        <w:spacing w:after="0"/>
        <w:tabs>
          <w:tab w:leader="none" w:pos="1740"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Loans and Borrowings under the Existing Credit Agreement</w:t>
      </w:r>
      <w:r>
        <w:rPr>
          <w:rFonts w:ascii="Arial" w:cs="Arial" w:eastAsia="Arial" w:hAnsi="Arial"/>
          <w:sz w:val="21"/>
          <w:szCs w:val="21"/>
          <w:color w:val="auto"/>
        </w:rPr>
        <w:t>. On the Effective Date:</w:t>
      </w:r>
    </w:p>
    <w:p>
      <w:pPr>
        <w:spacing w:after="0" w:line="186" w:lineRule="exact"/>
        <w:rPr>
          <w:rFonts w:ascii="Arial" w:cs="Arial" w:eastAsia="Arial" w:hAnsi="Arial"/>
          <w:sz w:val="21"/>
          <w:szCs w:val="21"/>
          <w:color w:val="auto"/>
        </w:rPr>
      </w:pPr>
    </w:p>
    <w:p>
      <w:pPr>
        <w:jc w:val="both"/>
        <w:ind w:firstLine="1935"/>
        <w:spacing w:after="0" w:line="232" w:lineRule="auto"/>
        <w:tabs>
          <w:tab w:leader="none" w:pos="2353" w:val="left"/>
        </w:tabs>
        <w:numPr>
          <w:ilvl w:val="1"/>
          <w:numId w:val="59"/>
        </w:numPr>
        <w:rPr>
          <w:rFonts w:ascii="Arial" w:cs="Arial" w:eastAsia="Arial" w:hAnsi="Arial"/>
          <w:sz w:val="21"/>
          <w:szCs w:val="21"/>
          <w:color w:val="auto"/>
        </w:rPr>
      </w:pPr>
      <w:r>
        <w:rPr>
          <w:rFonts w:ascii="Arial" w:cs="Arial" w:eastAsia="Arial" w:hAnsi="Arial"/>
          <w:sz w:val="21"/>
          <w:szCs w:val="21"/>
          <w:color w:val="auto"/>
        </w:rPr>
        <w:t>the Borrower shall pay all accrued and unpaid commitment fees, break funding fees under Section 5.02 and all other fees that are outstanding under the Existing Credit Agreement for the account of each “</w:t>
      </w:r>
      <w:r>
        <w:rPr>
          <w:rFonts w:ascii="Arial" w:cs="Arial" w:eastAsia="Arial" w:hAnsi="Arial"/>
          <w:sz w:val="21"/>
          <w:szCs w:val="21"/>
          <w:u w:val="single" w:color="auto"/>
          <w:color w:val="auto"/>
        </w:rPr>
        <w:t>Lender</w:t>
      </w:r>
      <w:r>
        <w:rPr>
          <w:rFonts w:ascii="Arial" w:cs="Arial" w:eastAsia="Arial" w:hAnsi="Arial"/>
          <w:sz w:val="21"/>
          <w:szCs w:val="21"/>
          <w:color w:val="auto"/>
        </w:rPr>
        <w:t>” under the Existing Credit Agreement;</w:t>
      </w:r>
    </w:p>
    <w:p>
      <w:pPr>
        <w:spacing w:after="0" w:line="156" w:lineRule="exact"/>
        <w:rPr>
          <w:rFonts w:ascii="Arial" w:cs="Arial" w:eastAsia="Arial" w:hAnsi="Arial"/>
          <w:sz w:val="21"/>
          <w:szCs w:val="21"/>
          <w:color w:val="auto"/>
        </w:rPr>
      </w:pPr>
    </w:p>
    <w:p>
      <w:pPr>
        <w:jc w:val="both"/>
        <w:ind w:firstLine="1935"/>
        <w:spacing w:after="0" w:line="232" w:lineRule="auto"/>
        <w:tabs>
          <w:tab w:leader="none" w:pos="2447" w:val="left"/>
        </w:tabs>
        <w:numPr>
          <w:ilvl w:val="1"/>
          <w:numId w:val="59"/>
        </w:numPr>
        <w:rPr>
          <w:rFonts w:ascii="Arial" w:cs="Arial" w:eastAsia="Arial" w:hAnsi="Arial"/>
          <w:sz w:val="21"/>
          <w:szCs w:val="21"/>
          <w:color w:val="auto"/>
        </w:rPr>
      </w:pPr>
      <w:r>
        <w:rPr>
          <w:rFonts w:ascii="Arial" w:cs="Arial" w:eastAsia="Arial" w:hAnsi="Arial"/>
          <w:sz w:val="21"/>
          <w:szCs w:val="21"/>
          <w:color w:val="auto"/>
        </w:rPr>
        <w:t>each “</w:t>
      </w:r>
      <w:r>
        <w:rPr>
          <w:rFonts w:ascii="Arial" w:cs="Arial" w:eastAsia="Arial" w:hAnsi="Arial"/>
          <w:sz w:val="21"/>
          <w:szCs w:val="21"/>
          <w:u w:val="single" w:color="auto"/>
          <w:color w:val="auto"/>
        </w:rPr>
        <w:t>ABR Loan</w:t>
      </w:r>
      <w:r>
        <w:rPr>
          <w:rFonts w:ascii="Arial" w:cs="Arial" w:eastAsia="Arial" w:hAnsi="Arial"/>
          <w:sz w:val="21"/>
          <w:szCs w:val="21"/>
          <w:color w:val="auto"/>
        </w:rPr>
        <w:t>” and “</w:t>
      </w:r>
      <w:r>
        <w:rPr>
          <w:rFonts w:ascii="Arial" w:cs="Arial" w:eastAsia="Arial" w:hAnsi="Arial"/>
          <w:sz w:val="21"/>
          <w:szCs w:val="21"/>
          <w:u w:val="single" w:color="auto"/>
          <w:color w:val="auto"/>
        </w:rPr>
        <w:t>Eurodollar Loan</w:t>
      </w:r>
      <w:r>
        <w:rPr>
          <w:rFonts w:ascii="Arial" w:cs="Arial" w:eastAsia="Arial" w:hAnsi="Arial"/>
          <w:sz w:val="21"/>
          <w:szCs w:val="21"/>
          <w:color w:val="auto"/>
        </w:rPr>
        <w:t>” (as defined in the Existing Credit Agreement) outstanding under the Existing Credit Agreement shall be deemed to be continued as existing Loans under this Agreement and not as a novation;</w:t>
      </w:r>
    </w:p>
    <w:p>
      <w:pPr>
        <w:spacing w:after="0" w:line="156" w:lineRule="exact"/>
        <w:rPr>
          <w:rFonts w:ascii="Arial" w:cs="Arial" w:eastAsia="Arial" w:hAnsi="Arial"/>
          <w:sz w:val="21"/>
          <w:szCs w:val="21"/>
          <w:color w:val="auto"/>
        </w:rPr>
      </w:pPr>
    </w:p>
    <w:p>
      <w:pPr>
        <w:ind w:left="2540" w:hanging="605"/>
        <w:spacing w:after="0"/>
        <w:tabs>
          <w:tab w:leader="none" w:pos="2540" w:val="left"/>
        </w:tabs>
        <w:numPr>
          <w:ilvl w:val="1"/>
          <w:numId w:val="59"/>
        </w:numPr>
        <w:rPr>
          <w:rFonts w:ascii="Arial" w:cs="Arial" w:eastAsia="Arial" w:hAnsi="Arial"/>
          <w:sz w:val="19"/>
          <w:szCs w:val="19"/>
          <w:color w:val="auto"/>
        </w:rPr>
      </w:pPr>
      <w:r>
        <w:rPr>
          <w:rFonts w:ascii="Arial" w:cs="Arial" w:eastAsia="Arial" w:hAnsi="Arial"/>
          <w:sz w:val="19"/>
          <w:szCs w:val="19"/>
          <w:color w:val="auto"/>
        </w:rPr>
        <w:t>any letters of credit outstanding under the Existing Credit Agreement shall be deemed issued under</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this Agreement; and</w:t>
      </w:r>
    </w:p>
    <w:p>
      <w:pPr>
        <w:spacing w:after="0" w:line="159" w:lineRule="exact"/>
        <w:rPr>
          <w:rFonts w:ascii="Arial" w:cs="Arial" w:eastAsia="Arial" w:hAnsi="Arial"/>
          <w:sz w:val="19"/>
          <w:szCs w:val="19"/>
          <w:color w:val="auto"/>
        </w:rPr>
      </w:pPr>
    </w:p>
    <w:p>
      <w:pPr>
        <w:ind w:left="2700" w:hanging="765"/>
        <w:spacing w:after="0"/>
        <w:tabs>
          <w:tab w:leader="none" w:pos="2700" w:val="left"/>
        </w:tabs>
        <w:numPr>
          <w:ilvl w:val="1"/>
          <w:numId w:val="59"/>
        </w:numPr>
        <w:rPr>
          <w:rFonts w:ascii="Arial" w:cs="Arial" w:eastAsia="Arial" w:hAnsi="Arial"/>
          <w:sz w:val="21"/>
          <w:szCs w:val="21"/>
          <w:color w:val="auto"/>
        </w:rPr>
      </w:pPr>
      <w:r>
        <w:rPr>
          <w:rFonts w:ascii="Arial" w:cs="Arial" w:eastAsia="Arial" w:hAnsi="Arial"/>
          <w:sz w:val="21"/>
          <w:szCs w:val="21"/>
          <w:color w:val="auto"/>
        </w:rPr>
        <w:t>the Existing Credit Agreement and the commitments thereunder shall be superseded by this</w:t>
      </w:r>
    </w:p>
    <w:p>
      <w:pPr>
        <w:spacing w:after="0"/>
        <w:rPr>
          <w:rFonts w:ascii="Arial" w:cs="Arial" w:eastAsia="Arial" w:hAnsi="Arial"/>
          <w:sz w:val="21"/>
          <w:szCs w:val="21"/>
          <w:color w:val="auto"/>
        </w:rPr>
      </w:pPr>
      <w:r>
        <w:rPr>
          <w:rFonts w:ascii="Arial" w:cs="Arial" w:eastAsia="Arial" w:hAnsi="Arial"/>
          <w:sz w:val="21"/>
          <w:szCs w:val="21"/>
          <w:color w:val="auto"/>
        </w:rPr>
        <w:t>Agreement.</w:t>
      </w:r>
    </w:p>
    <w:p>
      <w:pPr>
        <w:spacing w:after="0" w:line="169" w:lineRule="exact"/>
        <w:rPr>
          <w:sz w:val="20"/>
          <w:szCs w:val="20"/>
          <w:color w:val="auto"/>
        </w:rPr>
      </w:pPr>
    </w:p>
    <w:p>
      <w:pPr>
        <w:jc w:val="both"/>
        <w:ind w:firstLine="1285"/>
        <w:spacing w:after="0" w:line="236" w:lineRule="auto"/>
        <w:rPr>
          <w:sz w:val="20"/>
          <w:szCs w:val="20"/>
          <w:color w:val="auto"/>
        </w:rPr>
      </w:pPr>
      <w:r>
        <w:rPr>
          <w:rFonts w:ascii="Arial" w:cs="Arial" w:eastAsia="Arial" w:hAnsi="Arial"/>
          <w:sz w:val="19"/>
          <w:szCs w:val="19"/>
          <w:color w:val="auto"/>
        </w:rPr>
        <w:t>It is the intent of the parties hereto that this Agreement not constitute a novation of the obligations and liabilities existing under the Existing Credit Agreement or evidence repayment of any such obligations and liabilities and that this Agreement amend and restate in its entirety the Existing Credit Agreement and re-evidence the obligations of the Borrower outstanding thereunder. To the extent not amended and restated as of the Effective Date, the Loan Documents executed in connection with the Existing Credit Agreement and in effect prior to the Effective Date (the “</w:t>
      </w:r>
      <w:r>
        <w:rPr>
          <w:rFonts w:ascii="Arial" w:cs="Arial" w:eastAsia="Arial" w:hAnsi="Arial"/>
          <w:sz w:val="19"/>
          <w:szCs w:val="19"/>
          <w:u w:val="single" w:color="auto"/>
          <w:color w:val="auto"/>
        </w:rPr>
        <w:t>Existing Loan Documents</w:t>
      </w:r>
      <w:r>
        <w:rPr>
          <w:rFonts w:ascii="Arial" w:cs="Arial" w:eastAsia="Arial" w:hAnsi="Arial"/>
          <w:sz w:val="19"/>
          <w:szCs w:val="19"/>
          <w:color w:val="auto"/>
        </w:rPr>
        <w:t>”) shall continue in full force and effect, are hereby ratified, reaffirmed and confirmed in all respects, and shall, for the avoidance of doubt, constitute “</w:t>
      </w:r>
      <w:r>
        <w:rPr>
          <w:rFonts w:ascii="Arial" w:cs="Arial" w:eastAsia="Arial" w:hAnsi="Arial"/>
          <w:sz w:val="19"/>
          <w:szCs w:val="19"/>
          <w:u w:val="single" w:color="auto"/>
          <w:color w:val="auto"/>
        </w:rPr>
        <w:t>Loan Documents</w:t>
      </w:r>
      <w:r>
        <w:rPr>
          <w:rFonts w:ascii="Arial" w:cs="Arial" w:eastAsia="Arial" w:hAnsi="Arial"/>
          <w:sz w:val="19"/>
          <w:szCs w:val="19"/>
          <w:color w:val="auto"/>
        </w:rPr>
        <w:t>” under this Agreement. The terms of the Loan Documents that correspond to the Existing Loan Documents that have been amended and restated as of the Effective Date shall govern for any period occurring on or after the Effective Date, and the terms of such Existing Loan Documents prior to their amendment and restatement shall govern for any period beginning before the Effective Date and ending on the day immediately preceding the Effective Date. In furtherance of the foregoing, (A) each reference in any Loan Document to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any other Loan Document that is being amended and restated as of the Effective Date, “</w:t>
      </w:r>
      <w:r>
        <w:rPr>
          <w:rFonts w:ascii="Arial" w:cs="Arial" w:eastAsia="Arial" w:hAnsi="Arial"/>
          <w:sz w:val="19"/>
          <w:szCs w:val="19"/>
          <w:u w:val="single" w:color="auto"/>
          <w:color w:val="auto"/>
        </w:rPr>
        <w:t>thereunder</w:t>
      </w:r>
      <w:r>
        <w:rPr>
          <w:rFonts w:ascii="Arial" w:cs="Arial" w:eastAsia="Arial" w:hAnsi="Arial"/>
          <w:sz w:val="19"/>
          <w:szCs w:val="19"/>
          <w:color w:val="auto"/>
        </w:rPr>
        <w:t>”, “</w:t>
      </w:r>
      <w:r>
        <w:rPr>
          <w:rFonts w:ascii="Arial" w:cs="Arial" w:eastAsia="Arial" w:hAnsi="Arial"/>
          <w:sz w:val="19"/>
          <w:szCs w:val="19"/>
          <w:u w:val="single" w:color="auto"/>
          <w:color w:val="auto"/>
        </w:rPr>
        <w:t>thereof</w:t>
      </w:r>
      <w:r>
        <w:rPr>
          <w:rFonts w:ascii="Arial" w:cs="Arial" w:eastAsia="Arial" w:hAnsi="Arial"/>
          <w:sz w:val="19"/>
          <w:szCs w:val="19"/>
          <w:color w:val="auto"/>
        </w:rPr>
        <w:t>” or words of like import, is hereby amended, mutatis mutandis, as applicable in the context, to be a reference to, and shall thereafter mean, this Agreement or such other amended and restated Loan Document, as applicable in the context (as each may be amended, modified or supplemented and in effect from time to time) and</w:t>
      </w:r>
    </w:p>
    <w:p>
      <w:pPr>
        <w:spacing w:after="0" w:line="9" w:lineRule="exact"/>
        <w:rPr>
          <w:sz w:val="20"/>
          <w:szCs w:val="20"/>
          <w:color w:val="auto"/>
        </w:rPr>
      </w:pPr>
    </w:p>
    <w:p>
      <w:pPr>
        <w:jc w:val="both"/>
        <w:ind w:firstLine="7"/>
        <w:spacing w:after="0" w:line="223" w:lineRule="auto"/>
        <w:tabs>
          <w:tab w:leader="none" w:pos="348"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definition of any term defined in any Loan Document by reference to the terms defined in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or any other Loan Document that is being amended and restated as of the Effective Date is hereby amended to be defined by reference to the defined term in this Agreement or such other amended and restated Loan Document, as applicable (as each may be amended, modified or supplemented and in effect from time to time).</w:t>
      </w:r>
    </w:p>
    <w:p>
      <w:pPr>
        <w:spacing w:after="0" w:line="156" w:lineRule="exact"/>
        <w:rPr>
          <w:sz w:val="20"/>
          <w:szCs w:val="20"/>
          <w:color w:val="auto"/>
        </w:rPr>
      </w:pPr>
    </w:p>
    <w:p>
      <w:pPr>
        <w:jc w:val="both"/>
        <w:ind w:firstLine="643"/>
        <w:spacing w:after="0" w:line="233"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Requests for Borrowings.</w:t>
      </w:r>
      <w:r>
        <w:rPr>
          <w:rFonts w:ascii="Arial" w:cs="Arial" w:eastAsia="Arial" w:hAnsi="Arial"/>
          <w:sz w:val="20"/>
          <w:szCs w:val="20"/>
          <w:color w:val="auto"/>
        </w:rPr>
        <w:t xml:space="preserve"> To request a Borrowing, the Borrower shall notify the Administrative Agent of such request by telephone (a) in the case of a SOFR Borrowing, not later than 12:00 noon, Houston, Texas time, three U.S. Government Securities Business Days before the date of the proposed SOFR Borrowing or (b) in the case of an ABR Borrowing, not later than 11:00 A.M., Houston, Texas time, on the Business Day of the proposed ABR Borrowing; provided that no such notice shall be required for any deemed request of an ABR Borrowing to finance the reimbursement of an LC Disbursement as provided in Section 2.08(e). Each such telephonic Borrowing Request shall be irrevocable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64" w:name="page165"/>
    <w:bookmarkEnd w:id="164"/>
    <w:p>
      <w:pPr>
        <w:jc w:val="both"/>
        <w:spacing w:after="0" w:line="232" w:lineRule="auto"/>
        <w:rPr>
          <w:sz w:val="20"/>
          <w:szCs w:val="20"/>
          <w:color w:val="auto"/>
        </w:rPr>
      </w:pPr>
      <w:r>
        <w:rPr>
          <w:rFonts w:ascii="Arial" w:cs="Arial" w:eastAsia="Arial" w:hAnsi="Arial"/>
          <w:sz w:val="21"/>
          <w:szCs w:val="21"/>
          <w:color w:val="auto"/>
        </w:rPr>
        <w:t>confirmed promptly by hand delivery, electronic communication or telecopy to the Administrative Agent of a written Borrowing Request in substantially the form of Exhibit B and signed by the Borrower. Each such telephonic and written Borrowing Request shall specify the following information in compliance with Section 2.02:</w:t>
      </w:r>
    </w:p>
    <w:p>
      <w:pPr>
        <w:spacing w:after="0" w:line="157" w:lineRule="exact"/>
        <w:rPr>
          <w:sz w:val="20"/>
          <w:szCs w:val="20"/>
          <w:color w:val="auto"/>
        </w:rPr>
      </w:pPr>
    </w:p>
    <w:p>
      <w:pPr>
        <w:ind w:left="2360" w:hanging="425"/>
        <w:spacing w:after="0"/>
        <w:tabs>
          <w:tab w:leader="none" w:pos="236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aggregate amount of the requested Borrowing;</w:t>
      </w:r>
    </w:p>
    <w:p>
      <w:pPr>
        <w:spacing w:after="0" w:line="186" w:lineRule="exact"/>
        <w:rPr>
          <w:rFonts w:ascii="Arial" w:cs="Arial" w:eastAsia="Arial" w:hAnsi="Arial"/>
          <w:sz w:val="21"/>
          <w:szCs w:val="21"/>
          <w:color w:val="auto"/>
        </w:rPr>
      </w:pPr>
    </w:p>
    <w:p>
      <w:pPr>
        <w:ind w:left="2420" w:hanging="485"/>
        <w:spacing w:after="0"/>
        <w:tabs>
          <w:tab w:leader="none" w:pos="242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date of such Borrowing, which shall be a Business Day;</w:t>
      </w:r>
    </w:p>
    <w:p>
      <w:pPr>
        <w:spacing w:after="0" w:line="186" w:lineRule="exact"/>
        <w:rPr>
          <w:rFonts w:ascii="Arial" w:cs="Arial" w:eastAsia="Arial" w:hAnsi="Arial"/>
          <w:sz w:val="21"/>
          <w:szCs w:val="21"/>
          <w:color w:val="auto"/>
        </w:rPr>
      </w:pPr>
    </w:p>
    <w:p>
      <w:pPr>
        <w:ind w:left="2480" w:hanging="545"/>
        <w:spacing w:after="0"/>
        <w:tabs>
          <w:tab w:leader="none" w:pos="24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whether such Borrowing is to be an ABR Borrowing or a SOFR Borrowing;</w:t>
      </w:r>
    </w:p>
    <w:p>
      <w:pPr>
        <w:spacing w:after="0" w:line="186" w:lineRule="exact"/>
        <w:rPr>
          <w:rFonts w:ascii="Arial" w:cs="Arial" w:eastAsia="Arial" w:hAnsi="Arial"/>
          <w:sz w:val="21"/>
          <w:szCs w:val="21"/>
          <w:color w:val="auto"/>
        </w:rPr>
      </w:pPr>
    </w:p>
    <w:p>
      <w:pPr>
        <w:ind w:firstLine="1935"/>
        <w:spacing w:after="0" w:line="244" w:lineRule="auto"/>
        <w:tabs>
          <w:tab w:leader="none" w:pos="2476" w:val="left"/>
        </w:tabs>
        <w:numPr>
          <w:ilvl w:val="0"/>
          <w:numId w:val="61"/>
        </w:numPr>
        <w:rPr>
          <w:rFonts w:ascii="Arial" w:cs="Arial" w:eastAsia="Arial" w:hAnsi="Arial"/>
          <w:sz w:val="21"/>
          <w:szCs w:val="21"/>
          <w:color w:val="auto"/>
        </w:rPr>
      </w:pPr>
      <w:r>
        <w:rPr>
          <w:rFonts w:ascii="Arial" w:cs="Arial" w:eastAsia="Arial" w:hAnsi="Arial"/>
          <w:sz w:val="21"/>
          <w:szCs w:val="21"/>
          <w:color w:val="auto"/>
        </w:rPr>
        <w:t>in the case of a SOFR Borrowing, the initial Interest Period to be applicable thereto, which shall be a period contemplated by the definition of the term “</w:t>
      </w:r>
      <w:r>
        <w:rPr>
          <w:rFonts w:ascii="Arial" w:cs="Arial" w:eastAsia="Arial" w:hAnsi="Arial"/>
          <w:sz w:val="21"/>
          <w:szCs w:val="21"/>
          <w:u w:val="single" w:color="auto"/>
          <w:color w:val="auto"/>
        </w:rPr>
        <w:t>Interest Period</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firstLine="1935"/>
        <w:spacing w:after="0" w:line="232" w:lineRule="auto"/>
        <w:tabs>
          <w:tab w:leader="none" w:pos="2431"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the amount of the then effective Borrowing Base, the amount of the then effective Aggregate Elected Commitment Amounts, the current total Revolving Credit Exposures (without regard to the requested Borrowing) and the </w:t>
      </w:r>
      <w:r>
        <w:rPr>
          <w:rFonts w:ascii="Arial" w:cs="Arial" w:eastAsia="Arial" w:hAnsi="Arial"/>
          <w:sz w:val="21"/>
          <w:szCs w:val="21"/>
          <w:i w:val="1"/>
          <w:iCs w:val="1"/>
          <w:color w:val="auto"/>
        </w:rPr>
        <w:t>pro</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forma </w:t>
      </w:r>
      <w:r>
        <w:rPr>
          <w:rFonts w:ascii="Arial" w:cs="Arial" w:eastAsia="Arial" w:hAnsi="Arial"/>
          <w:sz w:val="21"/>
          <w:szCs w:val="21"/>
          <w:color w:val="auto"/>
        </w:rPr>
        <w:t>total Revolving Credit Exposures (giving effect to the requested Borrowing); and</w:t>
      </w:r>
    </w:p>
    <w:p>
      <w:pPr>
        <w:spacing w:after="0" w:line="156" w:lineRule="exact"/>
        <w:rPr>
          <w:rFonts w:ascii="Arial" w:cs="Arial" w:eastAsia="Arial" w:hAnsi="Arial"/>
          <w:sz w:val="21"/>
          <w:szCs w:val="21"/>
          <w:color w:val="auto"/>
        </w:rPr>
      </w:pPr>
    </w:p>
    <w:p>
      <w:pPr>
        <w:ind w:firstLine="1935"/>
        <w:spacing w:after="0" w:line="244" w:lineRule="auto"/>
        <w:tabs>
          <w:tab w:leader="none" w:pos="2516"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location and number of the Borrower’s account to which funds are to be disbursed, which shall comply with the requirements of Section 2.05.</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If no election as to the Type of Borrowing is specified, then the requested Borrowing shall be an ABR Borrowing. If no Interest Period is specified with respect to any requested SOFR Borrowing, then the Borrower shall be deemed to have selected an Interest Period of one month’s duration. Each Borrowing Request shall constitute a representation that the amount of the requested Borrowing shall not cause the total Revolving Credit Exposures to exceed the total Commitments (i.e., the least of the Aggregate Maximum Credit Amounts, the Aggregate Elected Commitment Amounts, and the then effective Borrowing Base).</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Promptly following receipt of a Borrowing Request in accordance with this Section 2.03, the Administrative Agent shall advise each Lender of the details thereof and of the amount of such Lender’s Loan to be made as part of the requested Borrowing.</w:t>
      </w:r>
    </w:p>
    <w:p>
      <w:pPr>
        <w:spacing w:after="0" w:line="12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2.04</w:t>
      </w:r>
      <w:r>
        <w:rPr>
          <w:sz w:val="20"/>
          <w:szCs w:val="20"/>
          <w:color w:val="auto"/>
        </w:rPr>
        <w:tab/>
      </w:r>
      <w:r>
        <w:rPr>
          <w:rFonts w:ascii="Arial" w:cs="Arial" w:eastAsia="Arial" w:hAnsi="Arial"/>
          <w:sz w:val="19"/>
          <w:szCs w:val="19"/>
          <w:u w:val="single" w:color="auto"/>
          <w:color w:val="auto"/>
        </w:rPr>
        <w:t>Interest Elections</w:t>
      </w:r>
      <w:r>
        <w:rPr>
          <w:rFonts w:ascii="Arial" w:cs="Arial" w:eastAsia="Arial" w:hAnsi="Arial"/>
          <w:sz w:val="19"/>
          <w:szCs w:val="19"/>
          <w:color w:val="auto"/>
        </w:rPr>
        <w:t>.</w:t>
      </w:r>
    </w:p>
    <w:p>
      <w:pPr>
        <w:spacing w:after="0" w:line="187" w:lineRule="exact"/>
        <w:rPr>
          <w:sz w:val="20"/>
          <w:szCs w:val="20"/>
          <w:color w:val="auto"/>
        </w:rPr>
      </w:pPr>
    </w:p>
    <w:p>
      <w:pPr>
        <w:jc w:val="both"/>
        <w:ind w:firstLine="1293"/>
        <w:spacing w:after="0" w:line="221" w:lineRule="auto"/>
        <w:tabs>
          <w:tab w:leader="none" w:pos="1898"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Conversion and Continuance</w:t>
      </w:r>
      <w:r>
        <w:rPr>
          <w:rFonts w:ascii="Arial" w:cs="Arial" w:eastAsia="Arial" w:hAnsi="Arial"/>
          <w:sz w:val="21"/>
          <w:szCs w:val="21"/>
          <w:color w:val="auto"/>
        </w:rPr>
        <w:t>. Each Borrowing initially shall be of the Type specified in the applicable Borrowing Request and, in the case of a SOFR Borrowing, shall have an initial Interest Period as specified in such Borrowing Request. Thereafter, the Borrower may elect to convert such Borrowing to a different Type or to continue such Borrowing and, in the case of a SOFR Borrowing, may elect Interest Periods therefor, all as provided in this Section 2.04.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57" w:lineRule="exact"/>
        <w:rPr>
          <w:rFonts w:ascii="Arial" w:cs="Arial" w:eastAsia="Arial" w:hAnsi="Arial"/>
          <w:sz w:val="21"/>
          <w:szCs w:val="21"/>
          <w:color w:val="auto"/>
        </w:rPr>
      </w:pPr>
    </w:p>
    <w:p>
      <w:pPr>
        <w:jc w:val="both"/>
        <w:ind w:firstLine="1293"/>
        <w:spacing w:after="0" w:line="224" w:lineRule="auto"/>
        <w:tabs>
          <w:tab w:leader="none" w:pos="1803"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Interest Election Requests</w:t>
      </w:r>
      <w:r>
        <w:rPr>
          <w:rFonts w:ascii="Arial" w:cs="Arial" w:eastAsia="Arial" w:hAnsi="Arial"/>
          <w:sz w:val="21"/>
          <w:szCs w:val="21"/>
          <w:color w:val="auto"/>
        </w:rPr>
        <w:t>. To make an election pursuant to this Section 2.04, the Borrower shall notify the Administrative Agent of such election by telephone by the time that a Borrowing Request would be required under Section 2.03 if the Borrower was requesting a Borrowing of the Type resulting from such election to be made on the effective date of such election. Each such telephonic Interest Election Request shall be irrevocable and shall be confirmed promptly by hand delivery, electronic communication or telecopy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65" w:name="page166"/>
    <w:bookmarkEnd w:id="165"/>
    <w:p>
      <w:pPr>
        <w:spacing w:after="0"/>
        <w:rPr>
          <w:sz w:val="20"/>
          <w:szCs w:val="20"/>
          <w:color w:val="auto"/>
        </w:rPr>
      </w:pPr>
      <w:r>
        <w:rPr>
          <w:rFonts w:ascii="Arial" w:cs="Arial" w:eastAsia="Arial" w:hAnsi="Arial"/>
          <w:sz w:val="20"/>
          <w:szCs w:val="20"/>
          <w:color w:val="auto"/>
        </w:rPr>
        <w:t>Administrative Agent of a written Interest Election Request in substantially the form of Exhibit C and signed by the Borrower.</w:t>
      </w:r>
    </w:p>
    <w:p>
      <w:pPr>
        <w:spacing w:after="0" w:line="198" w:lineRule="exact"/>
        <w:rPr>
          <w:sz w:val="20"/>
          <w:szCs w:val="20"/>
          <w:color w:val="auto"/>
        </w:rPr>
      </w:pPr>
    </w:p>
    <w:p>
      <w:pPr>
        <w:ind w:firstLine="1293"/>
        <w:spacing w:after="0" w:line="244" w:lineRule="auto"/>
        <w:tabs>
          <w:tab w:leader="none" w:pos="1764"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Information in Interest Election Requests</w:t>
      </w:r>
      <w:r>
        <w:rPr>
          <w:rFonts w:ascii="Arial" w:cs="Arial" w:eastAsia="Arial" w:hAnsi="Arial"/>
          <w:sz w:val="21"/>
          <w:szCs w:val="21"/>
          <w:color w:val="auto"/>
        </w:rPr>
        <w:t>. Each telephonic and written Interest Election Request shall specify the following information in compliance with Section 2.02:</w:t>
      </w:r>
    </w:p>
    <w:p>
      <w:pPr>
        <w:spacing w:after="0" w:line="151" w:lineRule="exact"/>
        <w:rPr>
          <w:rFonts w:ascii="Arial" w:cs="Arial" w:eastAsia="Arial" w:hAnsi="Arial"/>
          <w:sz w:val="21"/>
          <w:szCs w:val="21"/>
          <w:color w:val="auto"/>
        </w:rPr>
      </w:pPr>
    </w:p>
    <w:p>
      <w:pPr>
        <w:jc w:val="both"/>
        <w:ind w:firstLine="1935"/>
        <w:spacing w:after="0" w:line="245" w:lineRule="auto"/>
        <w:tabs>
          <w:tab w:leader="none" w:pos="2481"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Section 2.04(c)(iii) and (iv) shall be specified for each resulting Borrowing);</w:t>
      </w:r>
    </w:p>
    <w:p>
      <w:pPr>
        <w:spacing w:after="0" w:line="152" w:lineRule="exact"/>
        <w:rPr>
          <w:rFonts w:ascii="Arial" w:cs="Arial" w:eastAsia="Arial" w:hAnsi="Arial"/>
          <w:sz w:val="20"/>
          <w:szCs w:val="20"/>
          <w:color w:val="auto"/>
        </w:rPr>
      </w:pPr>
    </w:p>
    <w:p>
      <w:pPr>
        <w:ind w:left="2500" w:hanging="565"/>
        <w:spacing w:after="0"/>
        <w:tabs>
          <w:tab w:leader="none" w:pos="2500"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effective date of the election made pursuant to such Interest Election Request, which shall be a</w:t>
      </w:r>
    </w:p>
    <w:p>
      <w:pPr>
        <w:spacing w:after="0" w:line="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Business Day;</w:t>
      </w:r>
    </w:p>
    <w:p>
      <w:pPr>
        <w:spacing w:after="0" w:line="168" w:lineRule="exact"/>
        <w:rPr>
          <w:rFonts w:ascii="Arial" w:cs="Arial" w:eastAsia="Arial" w:hAnsi="Arial"/>
          <w:sz w:val="20"/>
          <w:szCs w:val="20"/>
          <w:color w:val="auto"/>
        </w:rPr>
      </w:pPr>
    </w:p>
    <w:p>
      <w:pPr>
        <w:ind w:left="2480" w:hanging="545"/>
        <w:spacing w:after="0"/>
        <w:tabs>
          <w:tab w:leader="none" w:pos="2480" w:val="left"/>
        </w:tabs>
        <w:numPr>
          <w:ilvl w:val="1"/>
          <w:numId w:val="63"/>
        </w:numPr>
        <w:rPr>
          <w:rFonts w:ascii="Arial" w:cs="Arial" w:eastAsia="Arial" w:hAnsi="Arial"/>
          <w:sz w:val="21"/>
          <w:szCs w:val="21"/>
          <w:color w:val="auto"/>
        </w:rPr>
      </w:pPr>
      <w:r>
        <w:rPr>
          <w:rFonts w:ascii="Arial" w:cs="Arial" w:eastAsia="Arial" w:hAnsi="Arial"/>
          <w:sz w:val="21"/>
          <w:szCs w:val="21"/>
          <w:color w:val="auto"/>
        </w:rPr>
        <w:t>whether the resulting Borrowing is to be an ABR Borrowing or a SOFR Borrowing; and</w:t>
      </w:r>
    </w:p>
    <w:p>
      <w:pPr>
        <w:spacing w:after="0" w:line="186" w:lineRule="exact"/>
        <w:rPr>
          <w:rFonts w:ascii="Arial" w:cs="Arial" w:eastAsia="Arial" w:hAnsi="Arial"/>
          <w:sz w:val="21"/>
          <w:szCs w:val="21"/>
          <w:color w:val="auto"/>
        </w:rPr>
      </w:pPr>
    </w:p>
    <w:p>
      <w:pPr>
        <w:ind w:firstLine="1935"/>
        <w:spacing w:after="0" w:line="244" w:lineRule="auto"/>
        <w:tabs>
          <w:tab w:leader="none" w:pos="2545" w:val="left"/>
        </w:tabs>
        <w:numPr>
          <w:ilvl w:val="1"/>
          <w:numId w:val="63"/>
        </w:numPr>
        <w:rPr>
          <w:rFonts w:ascii="Arial" w:cs="Arial" w:eastAsia="Arial" w:hAnsi="Arial"/>
          <w:sz w:val="21"/>
          <w:szCs w:val="21"/>
          <w:color w:val="auto"/>
        </w:rPr>
      </w:pPr>
      <w:r>
        <w:rPr>
          <w:rFonts w:ascii="Arial" w:cs="Arial" w:eastAsia="Arial" w:hAnsi="Arial"/>
          <w:sz w:val="21"/>
          <w:szCs w:val="21"/>
          <w:color w:val="auto"/>
        </w:rPr>
        <w:t>if the resulting Borrowing is a SOFR Borrowing, the Interest Period to be applicable thereto after giving effect to such election, which shall be a period contemplated by the definition of the term “</w:t>
      </w:r>
      <w:r>
        <w:rPr>
          <w:rFonts w:ascii="Arial" w:cs="Arial" w:eastAsia="Arial" w:hAnsi="Arial"/>
          <w:sz w:val="21"/>
          <w:szCs w:val="21"/>
          <w:u w:val="single" w:color="auto"/>
          <w:color w:val="auto"/>
        </w:rPr>
        <w:t>Interest Period</w:t>
      </w:r>
      <w:r>
        <w:rPr>
          <w:rFonts w:ascii="Arial" w:cs="Arial" w:eastAsia="Arial" w:hAnsi="Arial"/>
          <w:sz w:val="21"/>
          <w:szCs w:val="21"/>
          <w:color w:val="auto"/>
        </w:rPr>
        <w:t>”.</w:t>
      </w:r>
    </w:p>
    <w:p>
      <w:pPr>
        <w:spacing w:after="0" w:line="152"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If any such Interest Election Request requests a SOFR Borrowing but does not specify an Interest Period, then the Borrower shall be deemed to have selected an Interest Period of one month’s duration.</w:t>
      </w:r>
    </w:p>
    <w:p>
      <w:pPr>
        <w:spacing w:after="0" w:line="152" w:lineRule="exact"/>
        <w:rPr>
          <w:sz w:val="20"/>
          <w:szCs w:val="20"/>
          <w:color w:val="auto"/>
        </w:rPr>
      </w:pPr>
    </w:p>
    <w:p>
      <w:pPr>
        <w:jc w:val="both"/>
        <w:ind w:firstLine="1293"/>
        <w:spacing w:after="0" w:line="295" w:lineRule="auto"/>
        <w:tabs>
          <w:tab w:leader="none" w:pos="1803"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Notice to Lenders by the Administrative Agent</w:t>
      </w:r>
      <w:r>
        <w:rPr>
          <w:rFonts w:ascii="Arial" w:cs="Arial" w:eastAsia="Arial" w:hAnsi="Arial"/>
          <w:sz w:val="19"/>
          <w:szCs w:val="19"/>
          <w:color w:val="auto"/>
        </w:rPr>
        <w:t>. Promptly following receipt of an Interest Election Request, the Administrative Agent shall advise each Lender of the details thereof and of such Lender’s portion of each resulting Borrowing.</w:t>
      </w:r>
    </w:p>
    <w:p>
      <w:pPr>
        <w:spacing w:after="0" w:line="105" w:lineRule="exact"/>
        <w:rPr>
          <w:rFonts w:ascii="Arial" w:cs="Arial" w:eastAsia="Arial" w:hAnsi="Arial"/>
          <w:sz w:val="19"/>
          <w:szCs w:val="19"/>
          <w:color w:val="auto"/>
        </w:rPr>
      </w:pPr>
    </w:p>
    <w:p>
      <w:pPr>
        <w:jc w:val="both"/>
        <w:ind w:firstLine="1293"/>
        <w:spacing w:after="0" w:line="218" w:lineRule="auto"/>
        <w:tabs>
          <w:tab w:leader="none" w:pos="1844"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Effect of Failure to Deliver Timely Interest Election Request and Events of Default and Borrowing Base Deficiencies on Interest Election</w:t>
      </w:r>
      <w:r>
        <w:rPr>
          <w:rFonts w:ascii="Arial" w:cs="Arial" w:eastAsia="Arial" w:hAnsi="Arial"/>
          <w:sz w:val="21"/>
          <w:szCs w:val="21"/>
          <w:color w:val="auto"/>
        </w:rPr>
        <w:t>. If the Borrower fails to deliver a timely Interest Election Request with respect to a SOFR Borrowing prior to the end of the Interest Period applicable thereto, then, unless such Borrowing is repaid as provided herein, at the end of such Interest Period such Borrowing shall be automatically continued as a SOFR Borrowing with an Interest Period of one month’s duration. Any such continuation shall be effective as of the last day of the Interest Period then in effect with respect to the applicable SOFR Loan. Notwithstanding any contrary provision hereof, if an Event of Default or a Borrowing Base Deficiency has occurred and is continuing, no outstanding Borrowing may be converted to or continued as a SOFR Borrowing (and any Interest Election Request that requests the conversion of any Borrowing to, or continuation of any Borrowing as, a SOFR Borrowing shall be ineffective) and unless repaid, each SOFR Borrowing shall be converted to an ABR Borrowing at the end of the Interest Period applicable thereto.</w:t>
      </w:r>
    </w:p>
    <w:p>
      <w:pPr>
        <w:spacing w:after="0" w:line="16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2.05</w:t>
      </w:r>
      <w:r>
        <w:rPr>
          <w:sz w:val="20"/>
          <w:szCs w:val="20"/>
          <w:color w:val="auto"/>
        </w:rPr>
        <w:tab/>
      </w:r>
      <w:r>
        <w:rPr>
          <w:rFonts w:ascii="Arial" w:cs="Arial" w:eastAsia="Arial" w:hAnsi="Arial"/>
          <w:sz w:val="20"/>
          <w:szCs w:val="20"/>
          <w:u w:val="single" w:color="auto"/>
          <w:color w:val="auto"/>
        </w:rPr>
        <w:t>Funding of Borrowings.</w:t>
      </w:r>
    </w:p>
    <w:p>
      <w:pPr>
        <w:spacing w:after="0" w:line="187" w:lineRule="exact"/>
        <w:rPr>
          <w:sz w:val="20"/>
          <w:szCs w:val="20"/>
          <w:color w:val="auto"/>
        </w:rPr>
      </w:pPr>
    </w:p>
    <w:p>
      <w:pPr>
        <w:jc w:val="both"/>
        <w:ind w:firstLine="1293"/>
        <w:spacing w:after="0" w:line="247" w:lineRule="auto"/>
        <w:tabs>
          <w:tab w:leader="none" w:pos="1818"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Funding by Lenders</w:t>
      </w:r>
      <w:r>
        <w:rPr>
          <w:rFonts w:ascii="Arial" w:cs="Arial" w:eastAsia="Arial" w:hAnsi="Arial"/>
          <w:sz w:val="19"/>
          <w:szCs w:val="19"/>
          <w:color w:val="auto"/>
        </w:rPr>
        <w:t>. Each Lender shall make each Loan to be made by it hereunder on the proposed date thereof by wire transfer of immediately available funds by 1:00 p.m., Houston, Texas time, to the account of the Administrative Agent most recently designated by it for such purpose by notice to the Lenders. The Administrative Agent will make such Loans available to the Borrower by promptly crediting the amounts so received, in like funds, to an account of the Borrower maintained with the Administrative Agent in Houston, Texas and designated by the Borrower in the applicable Borrowing Request; provided that ABR Loans made to finance the reimbursement of an LC Disbursement as provided in Section 2.08(e)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66" w:name="page167"/>
    <w:bookmarkEnd w:id="166"/>
    <w:p>
      <w:pPr>
        <w:jc w:val="both"/>
        <w:spacing w:after="0" w:line="232" w:lineRule="auto"/>
        <w:rPr>
          <w:sz w:val="20"/>
          <w:szCs w:val="20"/>
          <w:color w:val="auto"/>
        </w:rPr>
      </w:pPr>
      <w:r>
        <w:rPr>
          <w:rFonts w:ascii="Arial" w:cs="Arial" w:eastAsia="Arial" w:hAnsi="Arial"/>
          <w:sz w:val="21"/>
          <w:szCs w:val="21"/>
          <w:color w:val="auto"/>
        </w:rPr>
        <w:t>be remitted by the Administrative Agent to the Issuing Bank. Nothing herein shall be deemed to obligate any Lender to obtain the funds for its Loan in any particular place or manner or to constitute a representation by any Lender that it has obtained or will obtain the funds for its Loan in any particular place or manner.</w:t>
      </w:r>
    </w:p>
    <w:p>
      <w:pPr>
        <w:spacing w:after="0" w:line="157" w:lineRule="exact"/>
        <w:rPr>
          <w:sz w:val="20"/>
          <w:szCs w:val="20"/>
          <w:color w:val="auto"/>
        </w:rPr>
      </w:pPr>
    </w:p>
    <w:p>
      <w:pPr>
        <w:jc w:val="both"/>
        <w:ind w:firstLine="1293"/>
        <w:spacing w:after="0" w:line="217" w:lineRule="auto"/>
        <w:tabs>
          <w:tab w:leader="none" w:pos="1803"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Presumption of Funding by the Lenders</w:t>
      </w:r>
      <w:r>
        <w:rPr>
          <w:rFonts w:ascii="Arial" w:cs="Arial" w:eastAsia="Arial" w:hAnsi="Arial"/>
          <w:sz w:val="21"/>
          <w:szCs w:val="21"/>
          <w:color w:val="auto"/>
        </w:rPr>
        <w:t>.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Section 2.05(a)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65" w:lineRule="exact"/>
        <w:rPr>
          <w:sz w:val="20"/>
          <w:szCs w:val="20"/>
          <w:color w:val="auto"/>
        </w:rPr>
      </w:pPr>
    </w:p>
    <w:p>
      <w:pPr>
        <w:ind w:firstLine="643"/>
        <w:spacing w:after="0" w:line="244"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u w:val="single" w:color="auto"/>
          <w:color w:val="auto"/>
        </w:rPr>
        <w:t>Termination and Modifications of Aggregate Maximum Credit Amounts and Optional Modifications of</w:t>
      </w:r>
      <w:r>
        <w:rPr>
          <w:rFonts w:ascii="Arial" w:cs="Arial" w:eastAsia="Arial" w:hAnsi="Arial"/>
          <w:sz w:val="21"/>
          <w:szCs w:val="21"/>
          <w:color w:val="auto"/>
        </w:rPr>
        <w:t xml:space="preserve"> </w:t>
      </w:r>
      <w:r>
        <w:rPr>
          <w:rFonts w:ascii="Arial" w:cs="Arial" w:eastAsia="Arial" w:hAnsi="Arial"/>
          <w:sz w:val="21"/>
          <w:szCs w:val="21"/>
          <w:u w:val="single" w:color="auto"/>
          <w:color w:val="auto"/>
        </w:rPr>
        <w:t>Aggregate Elected Commitment Amounts.</w:t>
      </w:r>
    </w:p>
    <w:p>
      <w:pPr>
        <w:spacing w:after="0" w:line="152" w:lineRule="exact"/>
        <w:rPr>
          <w:sz w:val="20"/>
          <w:szCs w:val="20"/>
          <w:color w:val="auto"/>
        </w:rPr>
      </w:pPr>
    </w:p>
    <w:p>
      <w:pPr>
        <w:ind w:left="1740" w:hanging="447"/>
        <w:spacing w:after="0"/>
        <w:tabs>
          <w:tab w:leader="none" w:pos="1740"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Termination, Reduction and Increase of Aggregate Maximum Credit Amounts</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1935"/>
        <w:spacing w:after="0" w:line="245" w:lineRule="auto"/>
        <w:tabs>
          <w:tab w:leader="none" w:pos="2545" w:val="left"/>
        </w:tabs>
        <w:numPr>
          <w:ilvl w:val="1"/>
          <w:numId w:val="67"/>
        </w:numPr>
        <w:rPr>
          <w:rFonts w:ascii="Arial" w:cs="Arial" w:eastAsia="Arial" w:hAnsi="Arial"/>
          <w:sz w:val="20"/>
          <w:szCs w:val="20"/>
          <w:color w:val="auto"/>
        </w:rPr>
      </w:pPr>
      <w:r>
        <w:rPr>
          <w:rFonts w:ascii="Arial" w:cs="Arial" w:eastAsia="Arial" w:hAnsi="Arial"/>
          <w:sz w:val="20"/>
          <w:szCs w:val="20"/>
          <w:u w:val="single" w:color="auto"/>
          <w:color w:val="auto"/>
        </w:rPr>
        <w:t>Scheduled Termination of Commitments</w:t>
      </w:r>
      <w:r>
        <w:rPr>
          <w:rFonts w:ascii="Arial" w:cs="Arial" w:eastAsia="Arial" w:hAnsi="Arial"/>
          <w:sz w:val="20"/>
          <w:szCs w:val="20"/>
          <w:color w:val="auto"/>
        </w:rPr>
        <w:t>. Unless previously terminated, the Commitments shall terminate on the Maturity Date. If at any time the Aggregate Maximum Credit Amounts or the Borrowing Base is terminated or reduced to zero, then the Commitments shall terminate on the effective date of such termination or reduction.</w:t>
      </w:r>
    </w:p>
    <w:p>
      <w:pPr>
        <w:spacing w:after="0" w:line="152" w:lineRule="exact"/>
        <w:rPr>
          <w:rFonts w:ascii="Arial" w:cs="Arial" w:eastAsia="Arial" w:hAnsi="Arial"/>
          <w:sz w:val="20"/>
          <w:szCs w:val="20"/>
          <w:color w:val="auto"/>
        </w:rPr>
      </w:pPr>
    </w:p>
    <w:p>
      <w:pPr>
        <w:ind w:left="2420" w:hanging="485"/>
        <w:spacing w:after="0"/>
        <w:tabs>
          <w:tab w:leader="none" w:pos="2420"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Optional Termination and Reduction of Aggregate Maximum Credit Amounts</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2578"/>
        <w:spacing w:after="0" w:line="224" w:lineRule="auto"/>
        <w:tabs>
          <w:tab w:leader="none" w:pos="3270" w:val="left"/>
        </w:tabs>
        <w:numPr>
          <w:ilvl w:val="2"/>
          <w:numId w:val="67"/>
        </w:numPr>
        <w:rPr>
          <w:rFonts w:ascii="Arial" w:cs="Arial" w:eastAsia="Arial" w:hAnsi="Arial"/>
          <w:sz w:val="21"/>
          <w:szCs w:val="21"/>
          <w:color w:val="010000"/>
        </w:rPr>
      </w:pPr>
      <w:r>
        <w:rPr>
          <w:rFonts w:ascii="Arial" w:cs="Arial" w:eastAsia="Arial" w:hAnsi="Arial"/>
          <w:sz w:val="21"/>
          <w:szCs w:val="21"/>
          <w:color w:val="auto"/>
        </w:rPr>
        <w:t xml:space="preserve">The Borrower may at any time terminate, or from time to time reduce, the Aggregate Maximum Credit Amounts;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(1) each reduction of the Aggregate Maximum Credit Amounts shall be in an amount that is an integral multiple of $1,000,000 and not less than $1,000,000 and (2) the Borrower shall not terminate or reduce the Aggregate Maximum Credit Amounts if, after giving effect to any concurrent prepayment of the Loans in accordance with Section 3.04(c), the total Revolving Credit Exposures would exceed the total Commitments.</w:t>
      </w:r>
    </w:p>
    <w:p>
      <w:pPr>
        <w:spacing w:after="0" w:line="158" w:lineRule="exact"/>
        <w:rPr>
          <w:rFonts w:ascii="Arial" w:cs="Arial" w:eastAsia="Arial" w:hAnsi="Arial"/>
          <w:sz w:val="21"/>
          <w:szCs w:val="21"/>
          <w:color w:val="010000"/>
        </w:rPr>
      </w:pPr>
    </w:p>
    <w:p>
      <w:pPr>
        <w:jc w:val="both"/>
        <w:ind w:firstLine="2578"/>
        <w:spacing w:after="0" w:line="221" w:lineRule="auto"/>
        <w:tabs>
          <w:tab w:leader="none" w:pos="3084" w:val="left"/>
        </w:tabs>
        <w:numPr>
          <w:ilvl w:val="2"/>
          <w:numId w:val="67"/>
        </w:numPr>
        <w:rPr>
          <w:rFonts w:ascii="Arial" w:cs="Arial" w:eastAsia="Arial" w:hAnsi="Arial"/>
          <w:sz w:val="21"/>
          <w:szCs w:val="21"/>
          <w:color w:val="010000"/>
        </w:rPr>
      </w:pPr>
      <w:r>
        <w:rPr>
          <w:rFonts w:ascii="Arial" w:cs="Arial" w:eastAsia="Arial" w:hAnsi="Arial"/>
          <w:sz w:val="21"/>
          <w:szCs w:val="21"/>
          <w:color w:val="auto"/>
        </w:rPr>
        <w:t>The Borrower shall notify the Administrative Agent of any election to terminate or reduce the Aggregate Maximum Credit Amounts under Section 2.06(a)(ii)(A)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2.06(a)(ii)(B) shall be irrevocable. Any termination or reduction of the Aggregate Maximum Credit Amounts shall be permanent and may not be reinstated. Each reduction of the Aggregate Maximum Credit Amounts shall be made ratably among the Lenders in accordance with each Lender’s Applicable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67" w:name="page168"/>
    <w:bookmarkEnd w:id="167"/>
    <w:p>
      <w:pPr>
        <w:ind w:left="1760" w:hanging="467"/>
        <w:spacing w:after="0"/>
        <w:tabs>
          <w:tab w:leader="none" w:pos="176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Optional Modifications of Aggregate Elected Commitment Amounts</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1935"/>
        <w:spacing w:after="0" w:line="247" w:lineRule="auto"/>
        <w:tabs>
          <w:tab w:leader="none" w:pos="2371"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Establishment of Aggregate Elected Commitment Amounts</w:t>
      </w:r>
      <w:r>
        <w:rPr>
          <w:rFonts w:ascii="Arial" w:cs="Arial" w:eastAsia="Arial" w:hAnsi="Arial"/>
          <w:sz w:val="19"/>
          <w:szCs w:val="19"/>
          <w:color w:val="auto"/>
        </w:rPr>
        <w:t>. Within the three (3) Business Day period following its receipt of the New Borrowing Base Notice as a result of a Scheduled Redetermination or Interim Redetermination, as applicable, the Borrower shall provide written notice to the Administrative Agent and the Lenders that specifies for the period from the effective date of the New Borrowing Base Notice until the earliest of the next succeeding Scheduled Redetermination Date or Interim Redetermination Date or other adjustment to the Borrowing Base as provided hereunder, the amount it requests that the Lenders provide as the Aggregate Elected Commitment Amounts in accordance with the following procedure:</w:t>
      </w:r>
    </w:p>
    <w:p>
      <w:pPr>
        <w:spacing w:after="0" w:line="150" w:lineRule="exact"/>
        <w:rPr>
          <w:rFonts w:ascii="Arial" w:cs="Arial" w:eastAsia="Arial" w:hAnsi="Arial"/>
          <w:sz w:val="19"/>
          <w:szCs w:val="19"/>
          <w:color w:val="auto"/>
        </w:rPr>
      </w:pPr>
    </w:p>
    <w:p>
      <w:pPr>
        <w:ind w:firstLine="2578"/>
        <w:spacing w:after="0" w:line="244" w:lineRule="auto"/>
        <w:tabs>
          <w:tab w:leader="none" w:pos="3256" w:val="left"/>
        </w:tabs>
        <w:numPr>
          <w:ilvl w:val="2"/>
          <w:numId w:val="68"/>
        </w:numPr>
        <w:rPr>
          <w:rFonts w:ascii="Arial" w:cs="Arial" w:eastAsia="Arial" w:hAnsi="Arial"/>
          <w:sz w:val="21"/>
          <w:szCs w:val="21"/>
          <w:color w:val="010000"/>
        </w:rPr>
      </w:pPr>
      <w:r>
        <w:rPr>
          <w:rFonts w:ascii="Arial" w:cs="Arial" w:eastAsia="Arial" w:hAnsi="Arial"/>
          <w:sz w:val="21"/>
          <w:szCs w:val="21"/>
          <w:color w:val="auto"/>
        </w:rPr>
        <w:t>if the amount of the Aggregate Elected Commitment Amounts is unchanged, then each Lender’s Elected Commitment Amount will remain unchanged;</w:t>
      </w:r>
    </w:p>
    <w:p>
      <w:pPr>
        <w:spacing w:after="0" w:line="151" w:lineRule="exact"/>
        <w:rPr>
          <w:rFonts w:ascii="Arial" w:cs="Arial" w:eastAsia="Arial" w:hAnsi="Arial"/>
          <w:sz w:val="21"/>
          <w:szCs w:val="21"/>
          <w:color w:val="010000"/>
        </w:rPr>
      </w:pPr>
    </w:p>
    <w:p>
      <w:pPr>
        <w:jc w:val="both"/>
        <w:ind w:firstLine="2578"/>
        <w:spacing w:after="0" w:line="232" w:lineRule="auto"/>
        <w:tabs>
          <w:tab w:leader="none" w:pos="3218" w:val="left"/>
        </w:tabs>
        <w:numPr>
          <w:ilvl w:val="2"/>
          <w:numId w:val="68"/>
        </w:numPr>
        <w:rPr>
          <w:rFonts w:ascii="Arial" w:cs="Arial" w:eastAsia="Arial" w:hAnsi="Arial"/>
          <w:sz w:val="21"/>
          <w:szCs w:val="21"/>
          <w:color w:val="010000"/>
        </w:rPr>
      </w:pPr>
      <w:r>
        <w:rPr>
          <w:rFonts w:ascii="Arial" w:cs="Arial" w:eastAsia="Arial" w:hAnsi="Arial"/>
          <w:sz w:val="21"/>
          <w:szCs w:val="21"/>
          <w:color w:val="auto"/>
        </w:rPr>
        <w:t>if the amount of the Aggregate Elected Commitment Amounts is to decrease, then each Lender’s Elected Commitment Amount will be decreased ratably in accordance with its Applicable Percentage of the reduction; and</w:t>
      </w:r>
    </w:p>
    <w:p>
      <w:pPr>
        <w:spacing w:after="0" w:line="156" w:lineRule="exact"/>
        <w:rPr>
          <w:rFonts w:ascii="Arial" w:cs="Arial" w:eastAsia="Arial" w:hAnsi="Arial"/>
          <w:sz w:val="21"/>
          <w:szCs w:val="21"/>
          <w:color w:val="010000"/>
        </w:rPr>
      </w:pPr>
    </w:p>
    <w:p>
      <w:pPr>
        <w:ind w:firstLine="2578"/>
        <w:spacing w:after="0" w:line="244" w:lineRule="auto"/>
        <w:tabs>
          <w:tab w:leader="none" w:pos="3070" w:val="left"/>
        </w:tabs>
        <w:numPr>
          <w:ilvl w:val="2"/>
          <w:numId w:val="68"/>
        </w:numPr>
        <w:rPr>
          <w:rFonts w:ascii="Arial" w:cs="Arial" w:eastAsia="Arial" w:hAnsi="Arial"/>
          <w:sz w:val="21"/>
          <w:szCs w:val="21"/>
          <w:color w:val="010000"/>
        </w:rPr>
      </w:pPr>
      <w:r>
        <w:rPr>
          <w:rFonts w:ascii="Arial" w:cs="Arial" w:eastAsia="Arial" w:hAnsi="Arial"/>
          <w:sz w:val="21"/>
          <w:szCs w:val="21"/>
          <w:color w:val="auto"/>
        </w:rPr>
        <w:t>if the amount of the Aggregate Elected Commitment Amounts is to increase, then any increase will be effected in accordance with Section 2.06(b)(ii).</w:t>
      </w:r>
    </w:p>
    <w:p>
      <w:pPr>
        <w:spacing w:after="0" w:line="151" w:lineRule="exact"/>
        <w:rPr>
          <w:rFonts w:ascii="Arial" w:cs="Arial" w:eastAsia="Arial" w:hAnsi="Arial"/>
          <w:sz w:val="21"/>
          <w:szCs w:val="21"/>
          <w:color w:val="010000"/>
        </w:rPr>
      </w:pPr>
    </w:p>
    <w:p>
      <w:pPr>
        <w:ind w:left="2420" w:hanging="485"/>
        <w:spacing w:after="0"/>
        <w:tabs>
          <w:tab w:leader="none" w:pos="2420" w:val="left"/>
        </w:tabs>
        <w:numPr>
          <w:ilvl w:val="1"/>
          <w:numId w:val="68"/>
        </w:numPr>
        <w:rPr>
          <w:rFonts w:ascii="Arial" w:cs="Arial" w:eastAsia="Arial" w:hAnsi="Arial"/>
          <w:sz w:val="21"/>
          <w:szCs w:val="21"/>
          <w:color w:val="auto"/>
        </w:rPr>
      </w:pPr>
      <w:r>
        <w:rPr>
          <w:rFonts w:ascii="Arial" w:cs="Arial" w:eastAsia="Arial" w:hAnsi="Arial"/>
          <w:sz w:val="21"/>
          <w:szCs w:val="21"/>
          <w:u w:val="single" w:color="auto"/>
          <w:color w:val="auto"/>
        </w:rPr>
        <w:t>Optional Increase of Aggregate Elected Commitment Amount</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2578"/>
        <w:spacing w:after="0" w:line="224" w:lineRule="auto"/>
        <w:tabs>
          <w:tab w:leader="none" w:pos="3163" w:val="left"/>
        </w:tabs>
        <w:numPr>
          <w:ilvl w:val="2"/>
          <w:numId w:val="68"/>
        </w:numPr>
        <w:rPr>
          <w:rFonts w:ascii="Arial" w:cs="Arial" w:eastAsia="Arial" w:hAnsi="Arial"/>
          <w:sz w:val="21"/>
          <w:szCs w:val="21"/>
          <w:color w:val="010000"/>
        </w:rPr>
      </w:pPr>
      <w:r>
        <w:rPr>
          <w:rFonts w:ascii="Arial" w:cs="Arial" w:eastAsia="Arial" w:hAnsi="Arial"/>
          <w:sz w:val="21"/>
          <w:szCs w:val="21"/>
          <w:color w:val="auto"/>
        </w:rPr>
        <w:t>Subject to the conditions set forth in Section 2.06(b)(ii)(B), the Borrower may increase the Aggregate Elected Commitment Amounts then in effect by increasing the Elected Commitment Amount of any one or more Lenders and/or by causing a Person that is reasonably acceptable to the Administrative Agent that at such time is not a Lender (it being agreed that any Affiliate of a Lender shall be deemed acceptable to the Administrative Agent) to become a Lender (an “</w:t>
      </w:r>
      <w:r>
        <w:rPr>
          <w:rFonts w:ascii="Arial" w:cs="Arial" w:eastAsia="Arial" w:hAnsi="Arial"/>
          <w:sz w:val="21"/>
          <w:szCs w:val="21"/>
          <w:u w:val="single" w:color="auto"/>
          <w:color w:val="auto"/>
        </w:rPr>
        <w:t>Additional Lender</w:t>
      </w:r>
      <w:r>
        <w:rPr>
          <w:rFonts w:ascii="Arial" w:cs="Arial" w:eastAsia="Arial" w:hAnsi="Arial"/>
          <w:sz w:val="21"/>
          <w:szCs w:val="21"/>
          <w:color w:val="auto"/>
        </w:rPr>
        <w:t>”).</w:t>
      </w:r>
    </w:p>
    <w:p>
      <w:pPr>
        <w:spacing w:after="0" w:line="158" w:lineRule="exact"/>
        <w:rPr>
          <w:rFonts w:ascii="Arial" w:cs="Arial" w:eastAsia="Arial" w:hAnsi="Arial"/>
          <w:sz w:val="21"/>
          <w:szCs w:val="21"/>
          <w:color w:val="010000"/>
        </w:rPr>
      </w:pPr>
    </w:p>
    <w:p>
      <w:pPr>
        <w:ind w:left="3080" w:hanging="502"/>
        <w:spacing w:after="0"/>
        <w:tabs>
          <w:tab w:leader="none" w:pos="3080" w:val="left"/>
        </w:tabs>
        <w:numPr>
          <w:ilvl w:val="2"/>
          <w:numId w:val="68"/>
        </w:numPr>
        <w:rPr>
          <w:rFonts w:ascii="Arial" w:cs="Arial" w:eastAsia="Arial" w:hAnsi="Arial"/>
          <w:sz w:val="19"/>
          <w:szCs w:val="19"/>
          <w:color w:val="010000"/>
        </w:rPr>
      </w:pPr>
      <w:r>
        <w:rPr>
          <w:rFonts w:ascii="Arial" w:cs="Arial" w:eastAsia="Arial" w:hAnsi="Arial"/>
          <w:sz w:val="19"/>
          <w:szCs w:val="19"/>
          <w:color w:val="auto"/>
        </w:rPr>
        <w:t>Any increase in the Aggregate Elected Commitment Amounts shall be subject to the following</w:t>
      </w:r>
    </w:p>
    <w:p>
      <w:pPr>
        <w:spacing w:after="0" w:line="13"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1"/>
          <w:szCs w:val="21"/>
          <w:color w:val="auto"/>
        </w:rPr>
        <w:t>additional conditions:</w:t>
      </w:r>
    </w:p>
    <w:p>
      <w:pPr>
        <w:spacing w:after="0" w:line="168" w:lineRule="exact"/>
        <w:rPr>
          <w:rFonts w:ascii="Arial" w:cs="Arial" w:eastAsia="Arial" w:hAnsi="Arial"/>
          <w:sz w:val="19"/>
          <w:szCs w:val="19"/>
          <w:color w:val="010000"/>
        </w:rPr>
      </w:pPr>
    </w:p>
    <w:p>
      <w:pPr>
        <w:jc w:val="both"/>
        <w:ind w:firstLine="3221"/>
        <w:spacing w:after="0" w:line="227" w:lineRule="auto"/>
        <w:tabs>
          <w:tab w:leader="none" w:pos="3691" w:val="left"/>
        </w:tabs>
        <w:numPr>
          <w:ilvl w:val="3"/>
          <w:numId w:val="68"/>
        </w:numPr>
        <w:rPr>
          <w:rFonts w:ascii="Arial" w:cs="Arial" w:eastAsia="Arial" w:hAnsi="Arial"/>
          <w:sz w:val="21"/>
          <w:szCs w:val="21"/>
          <w:color w:val="010000"/>
        </w:rPr>
      </w:pPr>
      <w:r>
        <w:rPr>
          <w:rFonts w:ascii="Arial" w:cs="Arial" w:eastAsia="Arial" w:hAnsi="Arial"/>
          <w:sz w:val="21"/>
          <w:szCs w:val="21"/>
          <w:color w:val="auto"/>
        </w:rPr>
        <w:t>such increase shall not (I) result in the Aggregate Elected Commitment Amounts or the total Revolving Credit Exposure exceeding the Borrowing Base then in effect and (II) if not in connection with any Scheduled Redetermination or Interim Redetermination, be less than $5,000,000 unless such increase is equal to the remaining difference between the Aggregate Elected Commitment Amounts and the Borrowing Base then in effect;</w:t>
      </w:r>
    </w:p>
    <w:p>
      <w:pPr>
        <w:spacing w:after="0" w:line="157" w:lineRule="exact"/>
        <w:rPr>
          <w:rFonts w:ascii="Arial" w:cs="Arial" w:eastAsia="Arial" w:hAnsi="Arial"/>
          <w:sz w:val="21"/>
          <w:szCs w:val="21"/>
          <w:color w:val="010000"/>
        </w:rPr>
      </w:pPr>
    </w:p>
    <w:p>
      <w:pPr>
        <w:jc w:val="both"/>
        <w:ind w:firstLine="3221"/>
        <w:spacing w:after="0" w:line="232" w:lineRule="auto"/>
        <w:tabs>
          <w:tab w:leader="none" w:pos="3744" w:val="left"/>
        </w:tabs>
        <w:numPr>
          <w:ilvl w:val="3"/>
          <w:numId w:val="68"/>
        </w:numPr>
        <w:rPr>
          <w:rFonts w:ascii="Arial" w:cs="Arial" w:eastAsia="Arial" w:hAnsi="Arial"/>
          <w:sz w:val="21"/>
          <w:szCs w:val="21"/>
          <w:color w:val="010000"/>
        </w:rPr>
      </w:pPr>
      <w:r>
        <w:rPr>
          <w:rFonts w:ascii="Arial" w:cs="Arial" w:eastAsia="Arial" w:hAnsi="Arial"/>
          <w:sz w:val="21"/>
          <w:szCs w:val="21"/>
          <w:color w:val="auto"/>
        </w:rPr>
        <w:t>following any Scheduled Redetermination Date or Interim Redetermination Date, the Borrower may not increase the Aggregate Elected Commitment Amounts more than once before the next Scheduled Redetermination Date or Interim Redetermination Date, as applicable;</w:t>
      </w:r>
    </w:p>
    <w:p>
      <w:pPr>
        <w:spacing w:after="0" w:line="156" w:lineRule="exact"/>
        <w:rPr>
          <w:rFonts w:ascii="Arial" w:cs="Arial" w:eastAsia="Arial" w:hAnsi="Arial"/>
          <w:sz w:val="21"/>
          <w:szCs w:val="21"/>
          <w:color w:val="010000"/>
        </w:rPr>
      </w:pPr>
    </w:p>
    <w:p>
      <w:pPr>
        <w:ind w:left="3740" w:hanging="519"/>
        <w:spacing w:after="0"/>
        <w:tabs>
          <w:tab w:leader="none" w:pos="3740" w:val="left"/>
        </w:tabs>
        <w:numPr>
          <w:ilvl w:val="3"/>
          <w:numId w:val="68"/>
        </w:numPr>
        <w:rPr>
          <w:rFonts w:ascii="Arial" w:cs="Arial" w:eastAsia="Arial" w:hAnsi="Arial"/>
          <w:sz w:val="20"/>
          <w:szCs w:val="20"/>
          <w:color w:val="010000"/>
        </w:rPr>
      </w:pPr>
      <w:r>
        <w:rPr>
          <w:rFonts w:ascii="Arial" w:cs="Arial" w:eastAsia="Arial" w:hAnsi="Arial"/>
          <w:sz w:val="20"/>
          <w:szCs w:val="20"/>
          <w:color w:val="auto"/>
        </w:rPr>
        <w:t>no Default or Event of Default shall have occurred and be continuing on the effective</w:t>
      </w:r>
    </w:p>
    <w:p>
      <w:pPr>
        <w:spacing w:after="0" w:line="2" w:lineRule="exact"/>
        <w:rPr>
          <w:rFonts w:ascii="Arial" w:cs="Arial" w:eastAsia="Arial" w:hAnsi="Arial"/>
          <w:sz w:val="20"/>
          <w:szCs w:val="20"/>
          <w:color w:val="010000"/>
        </w:rPr>
      </w:pPr>
    </w:p>
    <w:p>
      <w:pPr>
        <w:spacing w:after="0"/>
        <w:rPr>
          <w:rFonts w:ascii="Arial" w:cs="Arial" w:eastAsia="Arial" w:hAnsi="Arial"/>
          <w:sz w:val="20"/>
          <w:szCs w:val="20"/>
          <w:color w:val="010000"/>
        </w:rPr>
      </w:pPr>
      <w:r>
        <w:rPr>
          <w:rFonts w:ascii="Arial" w:cs="Arial" w:eastAsia="Arial" w:hAnsi="Arial"/>
          <w:sz w:val="21"/>
          <w:szCs w:val="21"/>
          <w:color w:val="auto"/>
        </w:rPr>
        <w:t>date of such increase;</w:t>
      </w:r>
    </w:p>
    <w:p>
      <w:pPr>
        <w:spacing w:after="0" w:line="168" w:lineRule="exact"/>
        <w:rPr>
          <w:rFonts w:ascii="Arial" w:cs="Arial" w:eastAsia="Arial" w:hAnsi="Arial"/>
          <w:sz w:val="20"/>
          <w:szCs w:val="20"/>
          <w:color w:val="010000"/>
        </w:rPr>
      </w:pPr>
    </w:p>
    <w:p>
      <w:pPr>
        <w:jc w:val="both"/>
        <w:ind w:firstLine="3221"/>
        <w:spacing w:after="0" w:line="245" w:lineRule="auto"/>
        <w:tabs>
          <w:tab w:leader="none" w:pos="3677" w:val="left"/>
        </w:tabs>
        <w:numPr>
          <w:ilvl w:val="3"/>
          <w:numId w:val="68"/>
        </w:numPr>
        <w:rPr>
          <w:rFonts w:ascii="Arial" w:cs="Arial" w:eastAsia="Arial" w:hAnsi="Arial"/>
          <w:sz w:val="20"/>
          <w:szCs w:val="20"/>
          <w:color w:val="010000"/>
        </w:rPr>
      </w:pPr>
      <w:r>
        <w:rPr>
          <w:rFonts w:ascii="Arial" w:cs="Arial" w:eastAsia="Arial" w:hAnsi="Arial"/>
          <w:sz w:val="20"/>
          <w:szCs w:val="20"/>
          <w:color w:val="auto"/>
        </w:rPr>
        <w:t>on the effective date of such increase, if any SOFR Borrowings are outstanding, then (I) the effective date of such increase shall be the last day of the Interest Period in respect of such SOFR Borrowings, (II) the Lenders shall each take a ratable share of such increase or (III) the Borrower shall pay compensation required by Section 5.02;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68" w:name="page169"/>
    <w:bookmarkEnd w:id="168"/>
    <w:p>
      <w:pPr>
        <w:ind w:left="3220"/>
        <w:spacing w:after="0"/>
        <w:tabs>
          <w:tab w:leader="none" w:pos="3860" w:val="left"/>
        </w:tabs>
        <w:rPr>
          <w:sz w:val="20"/>
          <w:szCs w:val="20"/>
          <w:color w:val="auto"/>
        </w:rPr>
      </w:pPr>
      <w:r>
        <w:rPr>
          <w:rFonts w:ascii="Arial" w:cs="Arial" w:eastAsia="Arial" w:hAnsi="Arial"/>
          <w:sz w:val="21"/>
          <w:szCs w:val="21"/>
          <w:color w:val="010000"/>
        </w:rPr>
        <w:t>(5)</w:t>
      </w:r>
      <w:r>
        <w:rPr>
          <w:sz w:val="20"/>
          <w:szCs w:val="20"/>
          <w:color w:val="auto"/>
        </w:rPr>
        <w:tab/>
      </w:r>
      <w:r>
        <w:rPr>
          <w:rFonts w:ascii="Arial" w:cs="Arial" w:eastAsia="Arial" w:hAnsi="Arial"/>
          <w:sz w:val="21"/>
          <w:szCs w:val="21"/>
          <w:color w:val="auto"/>
        </w:rPr>
        <w:t>no Lender’s Elected Commitment Amount may be increased without the written</w:t>
      </w:r>
    </w:p>
    <w:p>
      <w:pPr>
        <w:spacing w:after="0"/>
        <w:rPr>
          <w:sz w:val="20"/>
          <w:szCs w:val="20"/>
          <w:color w:val="auto"/>
        </w:rPr>
      </w:pPr>
      <w:r>
        <w:rPr>
          <w:rFonts w:ascii="Arial" w:cs="Arial" w:eastAsia="Arial" w:hAnsi="Arial"/>
          <w:sz w:val="21"/>
          <w:szCs w:val="21"/>
          <w:color w:val="auto"/>
        </w:rPr>
        <w:t>consent of such Lender;</w:t>
      </w:r>
    </w:p>
    <w:p>
      <w:pPr>
        <w:spacing w:after="0" w:line="169" w:lineRule="exact"/>
        <w:rPr>
          <w:sz w:val="20"/>
          <w:szCs w:val="20"/>
          <w:color w:val="auto"/>
        </w:rPr>
      </w:pPr>
    </w:p>
    <w:p>
      <w:pPr>
        <w:jc w:val="both"/>
        <w:ind w:firstLine="3221"/>
        <w:spacing w:after="0" w:line="233" w:lineRule="auto"/>
        <w:tabs>
          <w:tab w:leader="none" w:pos="3798" w:val="left"/>
        </w:tabs>
        <w:numPr>
          <w:ilvl w:val="1"/>
          <w:numId w:val="69"/>
        </w:numPr>
        <w:rPr>
          <w:rFonts w:ascii="Arial" w:cs="Arial" w:eastAsia="Arial" w:hAnsi="Arial"/>
          <w:sz w:val="20"/>
          <w:szCs w:val="20"/>
          <w:color w:val="010000"/>
        </w:rPr>
      </w:pPr>
      <w:r>
        <w:rPr>
          <w:rFonts w:ascii="Arial" w:cs="Arial" w:eastAsia="Arial" w:hAnsi="Arial"/>
          <w:sz w:val="20"/>
          <w:szCs w:val="20"/>
          <w:color w:val="auto"/>
        </w:rPr>
        <w:t>if the Borrower elects to increase the Aggregate Elected Commitment Amounts by increasing the Elected Commitment Amount of a Lender, then (I) the Borrower and such Lender shall execute and deliver to the Administrative Agent an agreement substantially in the form of Exhibit H-1 (an “</w:t>
      </w:r>
      <w:r>
        <w:rPr>
          <w:rFonts w:ascii="Arial" w:cs="Arial" w:eastAsia="Arial" w:hAnsi="Arial"/>
          <w:sz w:val="20"/>
          <w:szCs w:val="20"/>
          <w:u w:val="single" w:color="auto"/>
          <w:color w:val="auto"/>
        </w:rPr>
        <w:t>Elected Commitment Amount Increase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and (II) the Borrower shall (1) if requested by such Lender, deliver a Note payable to such Lender in a principal amount equal to its Maximum Credit Amount, and otherwise duly completed (if its Maximum Credit Amount has also increased) and (2) pay any fees as may have been agreed to between the Borrower, such Lender and/or the Administrative Agent; and</w:t>
      </w:r>
    </w:p>
    <w:p>
      <w:pPr>
        <w:spacing w:after="0" w:line="159" w:lineRule="exact"/>
        <w:rPr>
          <w:rFonts w:ascii="Arial" w:cs="Arial" w:eastAsia="Arial" w:hAnsi="Arial"/>
          <w:sz w:val="20"/>
          <w:szCs w:val="20"/>
          <w:color w:val="010000"/>
        </w:rPr>
      </w:pPr>
    </w:p>
    <w:p>
      <w:pPr>
        <w:jc w:val="both"/>
        <w:ind w:firstLine="3221"/>
        <w:spacing w:after="0" w:line="221" w:lineRule="auto"/>
        <w:tabs>
          <w:tab w:leader="none" w:pos="3798" w:val="left"/>
        </w:tabs>
        <w:numPr>
          <w:ilvl w:val="1"/>
          <w:numId w:val="69"/>
        </w:numPr>
        <w:rPr>
          <w:rFonts w:ascii="Arial" w:cs="Arial" w:eastAsia="Arial" w:hAnsi="Arial"/>
          <w:sz w:val="21"/>
          <w:szCs w:val="21"/>
          <w:color w:val="010000"/>
        </w:rPr>
      </w:pPr>
      <w:r>
        <w:rPr>
          <w:rFonts w:ascii="Arial" w:cs="Arial" w:eastAsia="Arial" w:hAnsi="Arial"/>
          <w:sz w:val="21"/>
          <w:szCs w:val="21"/>
          <w:color w:val="auto"/>
        </w:rPr>
        <w:t>if the Borrower elects to increase the Aggregate Elected Commitment Amounts by causing an Additional Lender to become a party to this Agreement, then (I) the Borrower and such Additional Lender shall execute and deliver to the Administrative Agent an agreement substantially in the form of Exhibit H-2 (an “</w:t>
      </w:r>
      <w:r>
        <w:rPr>
          <w:rFonts w:ascii="Arial" w:cs="Arial" w:eastAsia="Arial" w:hAnsi="Arial"/>
          <w:sz w:val="21"/>
          <w:szCs w:val="21"/>
          <w:u w:val="single" w:color="auto"/>
          <w:color w:val="auto"/>
        </w:rPr>
        <w:t>Additional Lender</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together with an Administrative Questionnaire and a processing and recordation fee of $3,500; and (II) the Borrower shall (1) if requested by such Lender, deliver a Note payable to such Additional Lender in a principal amount equal to its Maximum Credit Amount, and otherwise duly completed and (2) pay any fees as may have been agreed to between the Borrower, the Additional Lender and/or the Administrative Agent.</w:t>
      </w:r>
    </w:p>
    <w:p>
      <w:pPr>
        <w:spacing w:after="0" w:line="157" w:lineRule="exact"/>
        <w:rPr>
          <w:rFonts w:ascii="Arial" w:cs="Arial" w:eastAsia="Arial" w:hAnsi="Arial"/>
          <w:sz w:val="21"/>
          <w:szCs w:val="21"/>
          <w:color w:val="010000"/>
        </w:rPr>
      </w:pPr>
    </w:p>
    <w:p>
      <w:pPr>
        <w:jc w:val="both"/>
        <w:ind w:firstLine="2578"/>
        <w:spacing w:after="0" w:line="242" w:lineRule="auto"/>
        <w:tabs>
          <w:tab w:leader="none" w:pos="3097" w:val="left"/>
        </w:tabs>
        <w:numPr>
          <w:ilvl w:val="0"/>
          <w:numId w:val="70"/>
        </w:numPr>
        <w:rPr>
          <w:rFonts w:ascii="Arial" w:cs="Arial" w:eastAsia="Arial" w:hAnsi="Arial"/>
          <w:sz w:val="19"/>
          <w:szCs w:val="19"/>
          <w:color w:val="010000"/>
        </w:rPr>
      </w:pPr>
      <w:r>
        <w:rPr>
          <w:rFonts w:ascii="Arial" w:cs="Arial" w:eastAsia="Arial" w:hAnsi="Arial"/>
          <w:sz w:val="19"/>
          <w:szCs w:val="19"/>
          <w:color w:val="auto"/>
        </w:rPr>
        <w:t>Subject to acceptance and recording thereof pursuant to Section 2.06(b)(ii)(D), from and after the effective date specified in the Elected Commitment Amount Increase Agreement or the Additional Lender Agreement: (1) the amount of the Aggregate Elected Commitment Amounts shall be increased as set forth therein; and (2) in the case of an Additional Lender Agreement, any Additional Lender party thereto shall be a party to this Agreement and have the rights and obligations of a Lender under this Agreement and the other Loan Documents. In addition, the Lender or the Additional Lender, as applicable, shall purchase a pro rata portion of the outstanding Loans (and participation interests in Letters of Credit) of each of the other Lenders (and such Lenders hereby agree to sell and to take all such further action to effectuate such sale) such that each Lender (including any Additional Lender, if applicable) shall hold its Applicable Percentage of the outstanding Loans (and participation interests in Letters of Credit) after giving effect to the increase in the Aggregate Elected Commitment Amount.</w:t>
      </w:r>
    </w:p>
    <w:p>
      <w:pPr>
        <w:spacing w:after="0" w:line="159" w:lineRule="exact"/>
        <w:rPr>
          <w:rFonts w:ascii="Arial" w:cs="Arial" w:eastAsia="Arial" w:hAnsi="Arial"/>
          <w:sz w:val="19"/>
          <w:szCs w:val="19"/>
          <w:color w:val="010000"/>
        </w:rPr>
      </w:pPr>
    </w:p>
    <w:p>
      <w:pPr>
        <w:jc w:val="both"/>
        <w:ind w:firstLine="2578"/>
        <w:spacing w:after="0" w:line="220" w:lineRule="auto"/>
        <w:tabs>
          <w:tab w:leader="none" w:pos="3109" w:val="left"/>
        </w:tabs>
        <w:numPr>
          <w:ilvl w:val="0"/>
          <w:numId w:val="70"/>
        </w:numPr>
        <w:rPr>
          <w:rFonts w:ascii="Arial" w:cs="Arial" w:eastAsia="Arial" w:hAnsi="Arial"/>
          <w:sz w:val="21"/>
          <w:szCs w:val="21"/>
          <w:color w:val="010000"/>
        </w:rPr>
      </w:pPr>
      <w:r>
        <w:rPr>
          <w:rFonts w:ascii="Arial" w:cs="Arial" w:eastAsia="Arial" w:hAnsi="Arial"/>
          <w:sz w:val="21"/>
          <w:szCs w:val="21"/>
          <w:color w:val="auto"/>
        </w:rPr>
        <w:t>Upon its receipt of a duly completed Elected Commitment Amount Increase Agreement or an Additional Lender Agreement, executed by the Borrower and the Lender or by the Borrower and the Additional Lender party thereto, as applicable, the processing and recording fee referred to in Section 2.06(b)(ii)(B) and the Administrative Questionnaire referred to in Section 2.06(b)(ii)(B), if applicable, the Administrative Agent shall accept such Elected Commitment Amount Increase Agreement or Additional Lender Agreement and record the information contained therein in the Register required to be maintained by the Administrative Agent pursuant to Section 12.04(b)(iv). No increase in the Aggregate Elected Commitment Amounts shall be effective for purposes of this Agreement unless it has been recorded in the Register as provided in this Section 2.06(b)(ii)(D).</w:t>
      </w:r>
    </w:p>
    <w:p>
      <w:pPr>
        <w:spacing w:after="0" w:line="157" w:lineRule="exact"/>
        <w:rPr>
          <w:rFonts w:ascii="Arial" w:cs="Arial" w:eastAsia="Arial" w:hAnsi="Arial"/>
          <w:sz w:val="21"/>
          <w:szCs w:val="21"/>
          <w:color w:val="010000"/>
        </w:rPr>
      </w:pPr>
    </w:p>
    <w:p>
      <w:pPr>
        <w:jc w:val="both"/>
        <w:ind w:firstLine="2578"/>
        <w:spacing w:after="0" w:line="224" w:lineRule="auto"/>
        <w:tabs>
          <w:tab w:leader="none" w:pos="3326" w:val="left"/>
        </w:tabs>
        <w:numPr>
          <w:ilvl w:val="0"/>
          <w:numId w:val="70"/>
        </w:numPr>
        <w:rPr>
          <w:rFonts w:ascii="Arial" w:cs="Arial" w:eastAsia="Arial" w:hAnsi="Arial"/>
          <w:sz w:val="21"/>
          <w:szCs w:val="21"/>
          <w:color w:val="010000"/>
        </w:rPr>
      </w:pPr>
      <w:r>
        <w:rPr>
          <w:rFonts w:ascii="Arial" w:cs="Arial" w:eastAsia="Arial" w:hAnsi="Arial"/>
          <w:sz w:val="21"/>
          <w:szCs w:val="21"/>
          <w:color w:val="auto"/>
        </w:rPr>
        <w:t>Upon any increase in the Aggregate Elected Commitment Amounts pursuant to this Section 2.06(b)(ii), (1) each Lender’s Maximum Credit Amount shall be automatically deemed amended to the extent necessary so that each such Lender’s percentage of the Aggregate Maximum Credit Amounts equals such Lender’s Applicable Percentage, in each case after giving effect to such increase, and (2) Annex I to this Agreement shall be deemed amended to reflect the Maximum Credit Amount and Elected Commitment Amount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81" w:right="339" w:bottom="1440" w:gutter="0" w:footer="0" w:header="0"/>
        </w:sectPr>
      </w:pPr>
    </w:p>
    <w:bookmarkStart w:id="169" w:name="page170"/>
    <w:bookmarkEnd w:id="169"/>
    <w:p>
      <w:pPr>
        <w:spacing w:after="0"/>
        <w:rPr>
          <w:sz w:val="20"/>
          <w:szCs w:val="20"/>
          <w:color w:val="auto"/>
        </w:rPr>
      </w:pPr>
      <w:r>
        <w:rPr>
          <w:rFonts w:ascii="Arial" w:cs="Arial" w:eastAsia="Arial" w:hAnsi="Arial"/>
          <w:sz w:val="19"/>
          <w:szCs w:val="19"/>
          <w:color w:val="auto"/>
        </w:rPr>
        <w:t>Lender (including any Additional Lender) as thereby amended and any resulting changes in the Lenders’ Applicable Percentages.</w:t>
      </w:r>
    </w:p>
    <w:p>
      <w:pPr>
        <w:spacing w:after="0" w:line="210" w:lineRule="exact"/>
        <w:rPr>
          <w:sz w:val="20"/>
          <w:szCs w:val="20"/>
          <w:color w:val="auto"/>
        </w:rPr>
      </w:pPr>
    </w:p>
    <w:p>
      <w:pPr>
        <w:jc w:val="both"/>
        <w:ind w:firstLine="2578"/>
        <w:spacing w:after="0" w:line="238" w:lineRule="auto"/>
        <w:tabs>
          <w:tab w:leader="none" w:pos="3087" w:val="left"/>
        </w:tabs>
        <w:numPr>
          <w:ilvl w:val="2"/>
          <w:numId w:val="71"/>
        </w:numPr>
        <w:rPr>
          <w:rFonts w:ascii="Arial" w:cs="Arial" w:eastAsia="Arial" w:hAnsi="Arial"/>
          <w:sz w:val="20"/>
          <w:szCs w:val="20"/>
          <w:color w:val="010000"/>
        </w:rPr>
      </w:pPr>
      <w:r>
        <w:rPr>
          <w:rFonts w:ascii="Arial" w:cs="Arial" w:eastAsia="Arial" w:hAnsi="Arial"/>
          <w:sz w:val="20"/>
          <w:szCs w:val="20"/>
          <w:color w:val="auto"/>
        </w:rPr>
        <w:t>In the event that any Lender’s Maximum Credit Amount increases or decreases as a result of the foregoing sub-clause (E), if requested, the Borrower shall deliver or cause to be delivered, to the extent such Lender is then holding a Note, on the effective date of such increase or decrease, a new Note payable to such Lender in a principal amount equal to its Maximum Credit Amount after giving effect to such increase or decrease, and otherwise duly completed.</w:t>
      </w:r>
    </w:p>
    <w:p>
      <w:pPr>
        <w:spacing w:after="0" w:line="158" w:lineRule="exact"/>
        <w:rPr>
          <w:rFonts w:ascii="Arial" w:cs="Arial" w:eastAsia="Arial" w:hAnsi="Arial"/>
          <w:sz w:val="20"/>
          <w:szCs w:val="20"/>
          <w:color w:val="010000"/>
        </w:rPr>
      </w:pPr>
    </w:p>
    <w:p>
      <w:pPr>
        <w:ind w:left="2480" w:hanging="545"/>
        <w:spacing w:after="0"/>
        <w:tabs>
          <w:tab w:leader="none" w:pos="2480"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Optional Reduction of Aggregate Elected Commitment Amounts</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2578"/>
        <w:spacing w:after="0" w:line="238" w:lineRule="auto"/>
        <w:tabs>
          <w:tab w:leader="none" w:pos="3109" w:val="left"/>
        </w:tabs>
        <w:numPr>
          <w:ilvl w:val="2"/>
          <w:numId w:val="72"/>
        </w:numPr>
        <w:rPr>
          <w:rFonts w:ascii="Arial" w:cs="Arial" w:eastAsia="Arial" w:hAnsi="Arial"/>
          <w:sz w:val="20"/>
          <w:szCs w:val="20"/>
          <w:color w:val="010000"/>
        </w:rPr>
      </w:pPr>
      <w:r>
        <w:rPr>
          <w:rFonts w:ascii="Arial" w:cs="Arial" w:eastAsia="Arial" w:hAnsi="Arial"/>
          <w:sz w:val="20"/>
          <w:szCs w:val="20"/>
          <w:color w:val="auto"/>
        </w:rPr>
        <w:t xml:space="preserve">The Borrower may at any time reduce the Aggregate Elected Commitment Amount;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(1) each reduction shall be in an amount that is an integral multiple of $1,000,000 and not less than $1,000,000 and (2) the Borrower shall not terminate or reduce the Aggregate Elected Commitment Amounts unless, after giving effect to any concurrent prepayment of the Loans, the total Revolving Credit Exposures would not exceed the total Commitments.</w:t>
      </w:r>
    </w:p>
    <w:p>
      <w:pPr>
        <w:spacing w:after="0" w:line="158" w:lineRule="exact"/>
        <w:rPr>
          <w:rFonts w:ascii="Arial" w:cs="Arial" w:eastAsia="Arial" w:hAnsi="Arial"/>
          <w:sz w:val="20"/>
          <w:szCs w:val="20"/>
          <w:color w:val="010000"/>
        </w:rPr>
      </w:pPr>
    </w:p>
    <w:p>
      <w:pPr>
        <w:jc w:val="both"/>
        <w:ind w:firstLine="2578"/>
        <w:spacing w:after="0"/>
        <w:tabs>
          <w:tab w:leader="none" w:pos="3124" w:val="left"/>
        </w:tabs>
        <w:numPr>
          <w:ilvl w:val="2"/>
          <w:numId w:val="72"/>
        </w:numPr>
        <w:rPr>
          <w:rFonts w:ascii="Arial" w:cs="Arial" w:eastAsia="Arial" w:hAnsi="Arial"/>
          <w:sz w:val="19"/>
          <w:szCs w:val="19"/>
          <w:color w:val="010000"/>
        </w:rPr>
      </w:pPr>
      <w:r>
        <w:rPr>
          <w:rFonts w:ascii="Arial" w:cs="Arial" w:eastAsia="Arial" w:hAnsi="Arial"/>
          <w:sz w:val="19"/>
          <w:szCs w:val="19"/>
          <w:color w:val="auto"/>
        </w:rPr>
        <w:t>The Borrower shall notify the Administrative Agent of any election to reduce the Aggregate Elected Commitment Amounts under Section 2.06(b)(iii)(A) at least three Business Days prior to the effective date of such reduction, specifying such election and the effective date thereof. Promptly following receipt of any notice, the Administrative Agent shall advise the Lenders of the contents thereof. Each notice delivered by the Borrower pursuant to this Section 2.06(b)(iii)</w:t>
      </w:r>
    </w:p>
    <w:p>
      <w:pPr>
        <w:ind w:firstLine="7"/>
        <w:spacing w:after="0" w:line="233" w:lineRule="auto"/>
        <w:tabs>
          <w:tab w:leader="none" w:pos="339" w:val="left"/>
        </w:tabs>
        <w:numPr>
          <w:ilvl w:val="0"/>
          <w:numId w:val="73"/>
        </w:numPr>
        <w:rPr>
          <w:rFonts w:ascii="Arial" w:cs="Arial" w:eastAsia="Arial" w:hAnsi="Arial"/>
          <w:sz w:val="21"/>
          <w:szCs w:val="21"/>
          <w:color w:val="auto"/>
        </w:rPr>
      </w:pPr>
      <w:r>
        <w:rPr>
          <w:rFonts w:ascii="Arial" w:cs="Arial" w:eastAsia="Arial" w:hAnsi="Arial"/>
          <w:sz w:val="21"/>
          <w:szCs w:val="21"/>
          <w:color w:val="auto"/>
        </w:rPr>
        <w:t>shall be irrevocable. Each reduction of the Aggregate Elected Commitment Amounts shall be made ratably among the Lenders in accordance with each Lender’s Applicable Percentage.</w:t>
      </w:r>
    </w:p>
    <w:p>
      <w:pPr>
        <w:spacing w:after="0" w:line="156"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2.07</w:t>
      </w:r>
      <w:r>
        <w:rPr>
          <w:sz w:val="20"/>
          <w:szCs w:val="20"/>
          <w:color w:val="auto"/>
        </w:rPr>
        <w:tab/>
      </w:r>
      <w:r>
        <w:rPr>
          <w:rFonts w:ascii="Arial" w:cs="Arial" w:eastAsia="Arial" w:hAnsi="Arial"/>
          <w:sz w:val="19"/>
          <w:szCs w:val="19"/>
          <w:u w:val="single" w:color="auto"/>
          <w:color w:val="auto"/>
        </w:rPr>
        <w:t>Borrowing Base.</w:t>
      </w:r>
    </w:p>
    <w:p>
      <w:pPr>
        <w:spacing w:after="0" w:line="187" w:lineRule="exact"/>
        <w:rPr>
          <w:sz w:val="20"/>
          <w:szCs w:val="20"/>
          <w:color w:val="auto"/>
        </w:rPr>
      </w:pPr>
    </w:p>
    <w:p>
      <w:pPr>
        <w:jc w:val="both"/>
        <w:ind w:firstLine="1293"/>
        <w:spacing w:after="0" w:line="227" w:lineRule="auto"/>
        <w:tabs>
          <w:tab w:leader="none" w:pos="1871"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Initial Borrowing Base</w:t>
      </w:r>
      <w:r>
        <w:rPr>
          <w:rFonts w:ascii="Arial" w:cs="Arial" w:eastAsia="Arial" w:hAnsi="Arial"/>
          <w:sz w:val="21"/>
          <w:szCs w:val="21"/>
          <w:color w:val="auto"/>
        </w:rPr>
        <w:t>. For the period from and including the Effective Date to but excluding the next Redetermination Date, the amount of the Borrowing Base shall be $475,000,000. Notwithstanding the foregoing, the Borrowing Base may be subject to further adjustments from time to time pursuant to Section 2.07(e), Section 2.07(f), Section 8.13(c), Section 9.05(m)(ii), or Section 9.12(d).</w:t>
      </w:r>
    </w:p>
    <w:p>
      <w:pPr>
        <w:spacing w:after="0" w:line="157" w:lineRule="exact"/>
        <w:rPr>
          <w:rFonts w:ascii="Arial" w:cs="Arial" w:eastAsia="Arial" w:hAnsi="Arial"/>
          <w:sz w:val="21"/>
          <w:szCs w:val="21"/>
          <w:color w:val="auto"/>
        </w:rPr>
      </w:pPr>
    </w:p>
    <w:p>
      <w:pPr>
        <w:jc w:val="both"/>
        <w:ind w:firstLine="1293"/>
        <w:spacing w:after="0" w:line="232" w:lineRule="auto"/>
        <w:tabs>
          <w:tab w:leader="none" w:pos="1937"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Scheduled and Interim Redeterminations</w:t>
      </w:r>
      <w:r>
        <w:rPr>
          <w:rFonts w:ascii="Arial" w:cs="Arial" w:eastAsia="Arial" w:hAnsi="Arial"/>
          <w:sz w:val="20"/>
          <w:szCs w:val="20"/>
          <w:color w:val="auto"/>
        </w:rPr>
        <w:t>. The Borrowing Base shall be redetermined semi-annually in accordance with this Section 2.07 (a “</w:t>
      </w:r>
      <w:r>
        <w:rPr>
          <w:rFonts w:ascii="Arial" w:cs="Arial" w:eastAsia="Arial" w:hAnsi="Arial"/>
          <w:sz w:val="20"/>
          <w:szCs w:val="20"/>
          <w:u w:val="single" w:color="auto"/>
          <w:color w:val="auto"/>
        </w:rPr>
        <w:t>Scheduled Redetermination</w:t>
      </w:r>
      <w:r>
        <w:rPr>
          <w:rFonts w:ascii="Arial" w:cs="Arial" w:eastAsia="Arial" w:hAnsi="Arial"/>
          <w:sz w:val="20"/>
          <w:szCs w:val="20"/>
          <w:color w:val="auto"/>
        </w:rPr>
        <w:t>”), and, subject to Section 2.07(d), such redetermined Borrowing Base shall become effective and applicable to the Borrower, the Agents, the Issuing Bank and the Lenders on May 1st and November 1st of each year, commencing November 1, 2018. In addition, the Borrower may, by notifying the Administrative Agent thereof, and the Administrative Agent may, at the direction of the Majority Lenders, by notifying the Borrower thereof, three times during any twelve month period, each elect to cause the Borrowing Base to be redetermined between Scheduled Redeterminations (an “</w:t>
      </w:r>
      <w:r>
        <w:rPr>
          <w:rFonts w:ascii="Arial" w:cs="Arial" w:eastAsia="Arial" w:hAnsi="Arial"/>
          <w:sz w:val="20"/>
          <w:szCs w:val="20"/>
          <w:u w:val="single" w:color="auto"/>
          <w:color w:val="auto"/>
        </w:rPr>
        <w:t>Interim Redetermination</w:t>
      </w:r>
      <w:r>
        <w:rPr>
          <w:rFonts w:ascii="Arial" w:cs="Arial" w:eastAsia="Arial" w:hAnsi="Arial"/>
          <w:sz w:val="20"/>
          <w:szCs w:val="20"/>
          <w:color w:val="auto"/>
        </w:rPr>
        <w:t>”) in accordance with this Section 2.07.</w:t>
      </w:r>
    </w:p>
    <w:p>
      <w:pPr>
        <w:spacing w:after="0" w:line="157" w:lineRule="exact"/>
        <w:rPr>
          <w:rFonts w:ascii="Arial" w:cs="Arial" w:eastAsia="Arial" w:hAnsi="Arial"/>
          <w:sz w:val="20"/>
          <w:szCs w:val="20"/>
          <w:color w:val="auto"/>
        </w:rPr>
      </w:pPr>
    </w:p>
    <w:p>
      <w:pPr>
        <w:ind w:left="1740" w:hanging="447"/>
        <w:spacing w:after="0"/>
        <w:tabs>
          <w:tab w:leader="none" w:pos="1740" w:val="left"/>
        </w:tabs>
        <w:numPr>
          <w:ilvl w:val="0"/>
          <w:numId w:val="74"/>
        </w:numPr>
        <w:rPr>
          <w:rFonts w:ascii="Arial" w:cs="Arial" w:eastAsia="Arial" w:hAnsi="Arial"/>
          <w:sz w:val="21"/>
          <w:szCs w:val="21"/>
          <w:color w:val="auto"/>
        </w:rPr>
      </w:pPr>
      <w:r>
        <w:rPr>
          <w:rFonts w:ascii="Arial" w:cs="Arial" w:eastAsia="Arial" w:hAnsi="Arial"/>
          <w:sz w:val="21"/>
          <w:szCs w:val="21"/>
          <w:color w:val="auto"/>
        </w:rPr>
        <w:t>Scheduled and Interim Redetermination Procedure.</w:t>
      </w:r>
    </w:p>
    <w:p>
      <w:pPr>
        <w:spacing w:after="0" w:line="186" w:lineRule="exact"/>
        <w:rPr>
          <w:rFonts w:ascii="Arial" w:cs="Arial" w:eastAsia="Arial" w:hAnsi="Arial"/>
          <w:sz w:val="21"/>
          <w:szCs w:val="21"/>
          <w:color w:val="auto"/>
        </w:rPr>
      </w:pPr>
    </w:p>
    <w:p>
      <w:pPr>
        <w:jc w:val="both"/>
        <w:ind w:firstLine="1935"/>
        <w:spacing w:after="0" w:line="227" w:lineRule="auto"/>
        <w:tabs>
          <w:tab w:leader="none" w:pos="2437" w:val="left"/>
        </w:tabs>
        <w:numPr>
          <w:ilvl w:val="1"/>
          <w:numId w:val="74"/>
        </w:numPr>
        <w:rPr>
          <w:rFonts w:ascii="Arial" w:cs="Arial" w:eastAsia="Arial" w:hAnsi="Arial"/>
          <w:sz w:val="21"/>
          <w:szCs w:val="21"/>
          <w:color w:val="auto"/>
        </w:rPr>
      </w:pPr>
      <w:r>
        <w:rPr>
          <w:rFonts w:ascii="Arial" w:cs="Arial" w:eastAsia="Arial" w:hAnsi="Arial"/>
          <w:sz w:val="21"/>
          <w:szCs w:val="21"/>
          <w:color w:val="auto"/>
        </w:rPr>
        <w:t>Each Scheduled Redetermination and each Interim Redetermination shall be effectuated as follows: Upon receipt by the Administrative Agent of (A) the Reserve Report and the certificate required to be delivered by the Borrower to the Administrative Agent, in the case of a Scheduled Redetermination, pursuant to Section 8.12(a) and (c), and, in the case of an Interim Redetermination, pursuant to Section 8.12(b) and (c),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70" w:name="page171"/>
    <w:bookmarkEnd w:id="170"/>
    <w:p>
      <w:pPr>
        <w:jc w:val="both"/>
        <w:ind w:firstLine="7"/>
        <w:spacing w:after="0" w:line="219" w:lineRule="auto"/>
        <w:tabs>
          <w:tab w:leader="none" w:pos="369" w:val="left"/>
        </w:tabs>
        <w:numPr>
          <w:ilvl w:val="0"/>
          <w:numId w:val="75"/>
        </w:numPr>
        <w:rPr>
          <w:rFonts w:ascii="Arial" w:cs="Arial" w:eastAsia="Arial" w:hAnsi="Arial"/>
          <w:sz w:val="21"/>
          <w:szCs w:val="21"/>
          <w:color w:val="auto"/>
        </w:rPr>
      </w:pPr>
      <w:r>
        <w:rPr>
          <w:rFonts w:ascii="Arial" w:cs="Arial" w:eastAsia="Arial" w:hAnsi="Arial"/>
          <w:sz w:val="21"/>
          <w:szCs w:val="21"/>
          <w:color w:val="auto"/>
        </w:rPr>
        <w:t>such other reports, data and supplemental information, including, without limitation, the information provided pursuant to Section 8.12(c), as may, from time to time, be reasonably requested by the Majority Lenders (the Reserve Report, such certificate and such other reports, data and supplemental information being the “</w:t>
      </w:r>
      <w:r>
        <w:rPr>
          <w:rFonts w:ascii="Arial" w:cs="Arial" w:eastAsia="Arial" w:hAnsi="Arial"/>
          <w:sz w:val="21"/>
          <w:szCs w:val="21"/>
          <w:u w:val="single" w:color="auto"/>
          <w:color w:val="auto"/>
        </w:rPr>
        <w:t>Engineering Reports</w:t>
      </w:r>
      <w:r>
        <w:rPr>
          <w:rFonts w:ascii="Arial" w:cs="Arial" w:eastAsia="Arial" w:hAnsi="Arial"/>
          <w:sz w:val="21"/>
          <w:szCs w:val="21"/>
          <w:color w:val="auto"/>
        </w:rPr>
        <w:t>”), the Administrative Agent shall evaluate the information contained in the Engineering Reports and shall, in good faith, propose a new Borrowing Base (the “</w:t>
      </w:r>
      <w:r>
        <w:rPr>
          <w:rFonts w:ascii="Arial" w:cs="Arial" w:eastAsia="Arial" w:hAnsi="Arial"/>
          <w:sz w:val="21"/>
          <w:szCs w:val="21"/>
          <w:u w:val="single" w:color="auto"/>
          <w:color w:val="auto"/>
        </w:rPr>
        <w:t>Proposed Borrowing Base</w:t>
      </w:r>
      <w:r>
        <w:rPr>
          <w:rFonts w:ascii="Arial" w:cs="Arial" w:eastAsia="Arial" w:hAnsi="Arial"/>
          <w:sz w:val="21"/>
          <w:szCs w:val="21"/>
          <w:color w:val="auto"/>
        </w:rPr>
        <w:t>”) based upon such information and such other information (including, without limitation, the status of title information with respect to the Oil and Gas Properties as described in the Engineering Reports and the existence of any other Debt) as the Administrative Agent deems appropriate in its sole discretion and consistent with its normal oil and gas lending criteria as it exists at the particular time. In no event shall the Proposed Borrowing Base exceed the Aggregate Maximum Credit Amounts.</w:t>
      </w:r>
    </w:p>
    <w:p>
      <w:pPr>
        <w:spacing w:after="0" w:line="159" w:lineRule="exact"/>
        <w:rPr>
          <w:rFonts w:ascii="Arial" w:cs="Arial" w:eastAsia="Arial" w:hAnsi="Arial"/>
          <w:sz w:val="21"/>
          <w:szCs w:val="21"/>
          <w:color w:val="auto"/>
        </w:rPr>
      </w:pPr>
    </w:p>
    <w:p>
      <w:pPr>
        <w:ind w:firstLine="1935"/>
        <w:spacing w:after="0" w:line="244" w:lineRule="auto"/>
        <w:tabs>
          <w:tab w:leader="none" w:pos="2421" w:val="left"/>
        </w:tabs>
        <w:numPr>
          <w:ilvl w:val="1"/>
          <w:numId w:val="75"/>
        </w:numPr>
        <w:rPr>
          <w:rFonts w:ascii="Arial" w:cs="Arial" w:eastAsia="Arial" w:hAnsi="Arial"/>
          <w:sz w:val="21"/>
          <w:szCs w:val="21"/>
          <w:color w:val="auto"/>
        </w:rPr>
      </w:pPr>
      <w:r>
        <w:rPr>
          <w:rFonts w:ascii="Arial" w:cs="Arial" w:eastAsia="Arial" w:hAnsi="Arial"/>
          <w:sz w:val="21"/>
          <w:szCs w:val="21"/>
          <w:color w:val="auto"/>
        </w:rPr>
        <w:t>The Administrative Agent shall notify the Borrower and the Lenders of the Proposed Borrowing Base (the “</w:t>
      </w:r>
      <w:r>
        <w:rPr>
          <w:rFonts w:ascii="Arial" w:cs="Arial" w:eastAsia="Arial" w:hAnsi="Arial"/>
          <w:sz w:val="21"/>
          <w:szCs w:val="21"/>
          <w:u w:val="single" w:color="auto"/>
          <w:color w:val="auto"/>
        </w:rPr>
        <w:t>Proposed Borrowing Base Notice</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firstLine="2578"/>
        <w:spacing w:after="0" w:line="225" w:lineRule="auto"/>
        <w:tabs>
          <w:tab w:leader="none" w:pos="3082" w:val="left"/>
        </w:tabs>
        <w:numPr>
          <w:ilvl w:val="2"/>
          <w:numId w:val="75"/>
        </w:numPr>
        <w:rPr>
          <w:rFonts w:ascii="Arial" w:cs="Arial" w:eastAsia="Arial" w:hAnsi="Arial"/>
          <w:sz w:val="19"/>
          <w:szCs w:val="19"/>
          <w:color w:val="010000"/>
        </w:rPr>
      </w:pPr>
      <w:r>
        <w:rPr>
          <w:rFonts w:ascii="Arial" w:cs="Arial" w:eastAsia="Arial" w:hAnsi="Arial"/>
          <w:sz w:val="19"/>
          <w:szCs w:val="19"/>
          <w:color w:val="auto"/>
        </w:rPr>
        <w:t>in the case of a Scheduled Redetermination (1) if the Administrative Agent shall have received the Engineering Reports required to be delivered by the Borrower pursuant to Section 8.12(a) and (c) in a timely and complete manner, then on or before the April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and October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of such year following the date of delivery or (2) if the Administrative Agent shall not have received the Engineering Reports required to be delivered by the Borrower pursuant to Section 8.12(a) and</w:t>
      </w:r>
    </w:p>
    <w:p>
      <w:pPr>
        <w:spacing w:after="0" w:line="1" w:lineRule="exact"/>
        <w:rPr>
          <w:rFonts w:ascii="Arial" w:cs="Arial" w:eastAsia="Arial" w:hAnsi="Arial"/>
          <w:sz w:val="19"/>
          <w:szCs w:val="19"/>
          <w:color w:val="010000"/>
        </w:rPr>
      </w:pPr>
    </w:p>
    <w:p>
      <w:pPr>
        <w:jc w:val="both"/>
        <w:spacing w:after="0" w:line="226" w:lineRule="auto"/>
        <w:rPr>
          <w:rFonts w:ascii="Arial" w:cs="Arial" w:eastAsia="Arial" w:hAnsi="Arial"/>
          <w:sz w:val="19"/>
          <w:szCs w:val="19"/>
          <w:color w:val="010000"/>
        </w:rPr>
      </w:pPr>
      <w:r>
        <w:rPr>
          <w:rFonts w:ascii="Arial" w:cs="Arial" w:eastAsia="Arial" w:hAnsi="Arial"/>
          <w:sz w:val="21"/>
          <w:szCs w:val="21"/>
          <w:color w:val="auto"/>
        </w:rPr>
        <w:t>(c) in a timely and complete manner, then promptly after the Administrative Agent has received complete Engineering Reports from the Borrower and has had a reasonable opportunity to determine the Proposed Borrowing Base in accordance with Section 2.07(c)(i); and</w:t>
      </w:r>
    </w:p>
    <w:p>
      <w:pPr>
        <w:spacing w:after="0" w:line="156" w:lineRule="exact"/>
        <w:rPr>
          <w:rFonts w:ascii="Arial" w:cs="Arial" w:eastAsia="Arial" w:hAnsi="Arial"/>
          <w:sz w:val="19"/>
          <w:szCs w:val="19"/>
          <w:color w:val="010000"/>
        </w:rPr>
      </w:pPr>
    </w:p>
    <w:p>
      <w:pPr>
        <w:ind w:firstLine="2578"/>
        <w:spacing w:after="0" w:line="244" w:lineRule="auto"/>
        <w:tabs>
          <w:tab w:leader="none" w:pos="3084" w:val="left"/>
        </w:tabs>
        <w:numPr>
          <w:ilvl w:val="2"/>
          <w:numId w:val="75"/>
        </w:numPr>
        <w:rPr>
          <w:rFonts w:ascii="Arial" w:cs="Arial" w:eastAsia="Arial" w:hAnsi="Arial"/>
          <w:sz w:val="21"/>
          <w:szCs w:val="21"/>
          <w:color w:val="010000"/>
        </w:rPr>
      </w:pPr>
      <w:r>
        <w:rPr>
          <w:rFonts w:ascii="Arial" w:cs="Arial" w:eastAsia="Arial" w:hAnsi="Arial"/>
          <w:sz w:val="21"/>
          <w:szCs w:val="21"/>
          <w:color w:val="auto"/>
        </w:rPr>
        <w:t>in the case of an Interim Redetermination, promptly, and in any event, within fifteen (15) days after the Administrative Agent has received the required Engineering Reports.</w:t>
      </w:r>
    </w:p>
    <w:p>
      <w:pPr>
        <w:spacing w:after="0" w:line="152" w:lineRule="exact"/>
        <w:rPr>
          <w:sz w:val="20"/>
          <w:szCs w:val="20"/>
          <w:color w:val="auto"/>
        </w:rPr>
      </w:pPr>
    </w:p>
    <w:p>
      <w:pPr>
        <w:jc w:val="both"/>
        <w:ind w:firstLine="1935"/>
        <w:spacing w:after="0" w:line="227" w:lineRule="auto"/>
        <w:tabs>
          <w:tab w:leader="none" w:pos="2609" w:val="left"/>
        </w:tabs>
        <w:numPr>
          <w:ilvl w:val="0"/>
          <w:numId w:val="76"/>
        </w:numPr>
        <w:rPr>
          <w:rFonts w:ascii="Arial" w:cs="Arial" w:eastAsia="Arial" w:hAnsi="Arial"/>
          <w:sz w:val="20"/>
          <w:szCs w:val="20"/>
          <w:color w:val="auto"/>
        </w:rPr>
      </w:pPr>
      <w:r>
        <w:rPr>
          <w:rFonts w:ascii="Arial" w:cs="Arial" w:eastAsia="Arial" w:hAnsi="Arial"/>
          <w:sz w:val="20"/>
          <w:szCs w:val="20"/>
          <w:color w:val="auto"/>
        </w:rPr>
        <w:t>Any Proposed Borrowing Base that would increase the Borrowing Base then in effect must be approved or deemed to have been approved by all of the Lenders as provided in this Section 2.07(c)(iii); and any Proposed Borrowing Base that would decrease or maintain the Borrowing Base then in effect must be approved or be deemed to have been approved by the Required Lenders as provided in this Section 2.07(c)(iii). Upon receipt of the Proposed Borrowing Base Notice, each Lender shall have fifteen (15) days to agree with the Proposed Borrowing Base or disagree with the Proposed Borrowing Base by proposing an alternate Borrowing Base. If at the end of such fifteen (15) days, any Lender has not communicated its approval or disapproval in writing to the Administrative Agent, such silence shall be deemed to be an approval of the Proposed Borrowing Base. If, at the end of such 15-day period, all of the Lenders, in the case of a Proposed Borrowing Base that would increase the Borrowing Base then in effect, or the Required Lenders, in the case of a Proposed Borrowing Base that would decrease or maintain the Borrowing Base then in effect, have approved or deemed to have approved, as aforesaid, then the Proposed Borrowing Base shall become the new Borrowing Base, effective on the date specified in Section 2.07(d). If, however, at the end of such 15-day period, all of the Lenders or the Required Lenders, as applicable, have not approved or deemed to have approved, as aforesaid, then the Administrative Agent shall poll the Lenders to ascertain the highest Borrowing Base then acceptable to the number of Lenders sufficient to constitute the Required Lenders for purposes of this Section 2.07 and, so long as such amount does not increase the Borrowing Base then in effect, such amount shall become the new Borrowing Base effective on the date specified in Section 2.07(d).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71" w:name="page172"/>
    <w:bookmarkEnd w:id="171"/>
    <w:p>
      <w:pPr>
        <w:jc w:val="both"/>
        <w:ind w:firstLine="1293"/>
        <w:spacing w:after="0" w:line="224" w:lineRule="auto"/>
        <w:tabs>
          <w:tab w:leader="none" w:pos="1843"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Effectiveness of a Redetermined Borrowing Base</w:t>
      </w:r>
      <w:r>
        <w:rPr>
          <w:rFonts w:ascii="Arial" w:cs="Arial" w:eastAsia="Arial" w:hAnsi="Arial"/>
          <w:sz w:val="21"/>
          <w:szCs w:val="21"/>
          <w:color w:val="auto"/>
        </w:rPr>
        <w:t>. After a redetermined Borrowing Base is approved or is deemed to have been approved by all of the Lenders or the Majority Lenders, as applicable, pursuant to Section 2.07(c)(iii), the Administrative Agent shall notify the Borrower and the Lenders of the amount of the redetermined Borrowing Base (the “</w:t>
      </w:r>
      <w:r>
        <w:rPr>
          <w:rFonts w:ascii="Arial" w:cs="Arial" w:eastAsia="Arial" w:hAnsi="Arial"/>
          <w:sz w:val="21"/>
          <w:szCs w:val="21"/>
          <w:u w:val="single" w:color="auto"/>
          <w:color w:val="auto"/>
        </w:rPr>
        <w:t>New</w:t>
      </w:r>
      <w:r>
        <w:rPr>
          <w:rFonts w:ascii="Arial" w:cs="Arial" w:eastAsia="Arial" w:hAnsi="Arial"/>
          <w:sz w:val="21"/>
          <w:szCs w:val="21"/>
          <w:color w:val="auto"/>
        </w:rPr>
        <w:t xml:space="preserve"> </w:t>
      </w:r>
      <w:r>
        <w:rPr>
          <w:rFonts w:ascii="Arial" w:cs="Arial" w:eastAsia="Arial" w:hAnsi="Arial"/>
          <w:sz w:val="21"/>
          <w:szCs w:val="21"/>
          <w:u w:val="single" w:color="auto"/>
          <w:color w:val="auto"/>
        </w:rPr>
        <w:t>Borrowing Base Notice</w:t>
      </w:r>
      <w:r>
        <w:rPr>
          <w:rFonts w:ascii="Arial" w:cs="Arial" w:eastAsia="Arial" w:hAnsi="Arial"/>
          <w:sz w:val="21"/>
          <w:szCs w:val="21"/>
          <w:color w:val="auto"/>
        </w:rPr>
        <w:t>”), and such amount shall become the new Borrowing Base, effective and applicable to the Borrower, the Administrative Agent, the Issuing Bank and the Lenders:</w:t>
      </w:r>
    </w:p>
    <w:p>
      <w:pPr>
        <w:spacing w:after="0" w:line="158" w:lineRule="exact"/>
        <w:rPr>
          <w:rFonts w:ascii="Arial" w:cs="Arial" w:eastAsia="Arial" w:hAnsi="Arial"/>
          <w:sz w:val="21"/>
          <w:szCs w:val="21"/>
          <w:color w:val="auto"/>
        </w:rPr>
      </w:pPr>
    </w:p>
    <w:p>
      <w:pPr>
        <w:jc w:val="both"/>
        <w:ind w:firstLine="1935"/>
        <w:spacing w:after="0" w:line="212" w:lineRule="auto"/>
        <w:tabs>
          <w:tab w:leader="none" w:pos="2415" w:val="left"/>
        </w:tabs>
        <w:numPr>
          <w:ilvl w:val="1"/>
          <w:numId w:val="77"/>
        </w:numPr>
        <w:rPr>
          <w:rFonts w:ascii="Arial" w:cs="Arial" w:eastAsia="Arial" w:hAnsi="Arial"/>
          <w:sz w:val="21"/>
          <w:szCs w:val="21"/>
          <w:color w:val="auto"/>
        </w:rPr>
      </w:pPr>
      <w:r>
        <w:rPr>
          <w:rFonts w:ascii="Arial" w:cs="Arial" w:eastAsia="Arial" w:hAnsi="Arial"/>
          <w:sz w:val="21"/>
          <w:szCs w:val="21"/>
          <w:color w:val="auto"/>
        </w:rPr>
        <w:t>in the case of a Scheduled Redetermination, (A) if the Administrative Agent shall have received the Engineering Reports required to be delivered by the Borrower pursuant to Section 8.12(a) and (c) in a timely and complete manner, then on the May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or November 1st, as applicable, following such notice, or (B) if the Administrative Agent shall not have received the Engineering Reports required to be delivered by the Borrower pursuant to Section 8.12(a) and (b) in a timely and complete manner, then on the Business Day next succeeding delivery of such notice; and</w:t>
      </w:r>
    </w:p>
    <w:p>
      <w:pPr>
        <w:spacing w:after="0" w:line="157" w:lineRule="exact"/>
        <w:rPr>
          <w:rFonts w:ascii="Arial" w:cs="Arial" w:eastAsia="Arial" w:hAnsi="Arial"/>
          <w:sz w:val="21"/>
          <w:szCs w:val="21"/>
          <w:color w:val="auto"/>
        </w:rPr>
      </w:pPr>
    </w:p>
    <w:p>
      <w:pPr>
        <w:ind w:left="2520" w:hanging="585"/>
        <w:spacing w:after="0"/>
        <w:tabs>
          <w:tab w:leader="none" w:pos="2520" w:val="left"/>
        </w:tabs>
        <w:numPr>
          <w:ilvl w:val="1"/>
          <w:numId w:val="77"/>
        </w:numPr>
        <w:rPr>
          <w:rFonts w:ascii="Arial" w:cs="Arial" w:eastAsia="Arial" w:hAnsi="Arial"/>
          <w:sz w:val="20"/>
          <w:szCs w:val="20"/>
          <w:color w:val="auto"/>
        </w:rPr>
      </w:pPr>
      <w:r>
        <w:rPr>
          <w:rFonts w:ascii="Arial" w:cs="Arial" w:eastAsia="Arial" w:hAnsi="Arial"/>
          <w:sz w:val="20"/>
          <w:szCs w:val="20"/>
          <w:color w:val="auto"/>
        </w:rPr>
        <w:t>in the case of an Interim Redetermination, on the Business Day next succeeding delivery of such</w:t>
      </w:r>
    </w:p>
    <w:p>
      <w:pPr>
        <w:spacing w:after="0" w:line="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notice.</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Such amount shall then become the Borrowing Base until the next Scheduled Redetermination Date, the next Interim Redetermination Date or the next adjustment to the Borrowing Base under Section 2.07(e), Section 2.07(f), Section 8.13(c), Section 9.05(m)(ii), or Section 9.12, whichever occurs first. Notwithstanding the foregoing, no Scheduled Redetermination or Interim Redetermination shall become effective until the New Borrowing Base Notice related thereto is received by the Borrower.</w:t>
      </w:r>
    </w:p>
    <w:p>
      <w:pPr>
        <w:spacing w:after="0" w:line="143" w:lineRule="exact"/>
        <w:rPr>
          <w:sz w:val="20"/>
          <w:szCs w:val="20"/>
          <w:color w:val="auto"/>
        </w:rPr>
      </w:pPr>
    </w:p>
    <w:p>
      <w:pPr>
        <w:jc w:val="both"/>
        <w:ind w:firstLine="1293"/>
        <w:spacing w:after="0" w:line="233" w:lineRule="auto"/>
        <w:tabs>
          <w:tab w:leader="none" w:pos="1844"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Potential Adjustment of Borrowing Base Upon Termination of Swap Agreements</w:t>
      </w:r>
      <w:r>
        <w:rPr>
          <w:rFonts w:ascii="Arial" w:cs="Arial" w:eastAsia="Arial" w:hAnsi="Arial"/>
          <w:sz w:val="20"/>
          <w:szCs w:val="20"/>
          <w:color w:val="auto"/>
        </w:rPr>
        <w:t>. If the Borrower or any Restricted Subsidiary shall terminate or create any off-setting positions which have the economic effect of terminating any Swap Agreements (regardless of how evidenced) upon which the Lenders relied in determining the Borrowing Base, and which would affect the Borrowing Base (after giving effect to any replacement Swap Agreements), then, to the extent required by the Majority Lenders within 10 Business Days of such termination, the Borrowing Base shall be adjusted in an amount determined by the Majority Lenders equal to the economic value of such Swap Agreements.</w:t>
      </w:r>
    </w:p>
    <w:p>
      <w:pPr>
        <w:spacing w:after="0" w:line="159" w:lineRule="exact"/>
        <w:rPr>
          <w:rFonts w:ascii="Arial" w:cs="Arial" w:eastAsia="Arial" w:hAnsi="Arial"/>
          <w:sz w:val="20"/>
          <w:szCs w:val="20"/>
          <w:color w:val="auto"/>
        </w:rPr>
      </w:pPr>
    </w:p>
    <w:p>
      <w:pPr>
        <w:jc w:val="both"/>
        <w:ind w:firstLine="1293"/>
        <w:spacing w:after="0" w:line="229" w:lineRule="auto"/>
        <w:tabs>
          <w:tab w:leader="none" w:pos="1794"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Reduction of Borrowing Base Upon Issuance of Senior Unsecured Notes</w:t>
      </w:r>
      <w:r>
        <w:rPr>
          <w:rFonts w:ascii="Arial" w:cs="Arial" w:eastAsia="Arial" w:hAnsi="Arial"/>
          <w:sz w:val="20"/>
          <w:szCs w:val="20"/>
          <w:color w:val="auto"/>
        </w:rPr>
        <w:t>. Notwithstanding anything to the contrary contained herein, upon each initial issuance of any Senior Unsecured Notes pursuant to Section 9.02(g)(i) (other than (i) for the avoidance of doubt, issuances of Senior Unsecured Notes in an exchange offer or in a refinancing of Senior Unsecured Notes pursuant to Section 9.02(g)(ii) and (ii) initial issuances of Senior Unsecured Notes in an aggregate principal amount not to exceed $500,000,000 if such issuances occur on or after the Third Amendment Effective Date and prior to the date that the Scheduled Redetermination scheduled for on or about November 1, 2019 becomes effective pursuant to Section 2.07(d), in each case as to which issuances in this parenthetical no such reduction shall occur), the Borrowing Base then in effect shall be reduced by an amount equal to the product of 0.25 multiplied by the stated principal amount of such Senior Unsecured Notes (without regard to any initial issue discount), and the Borrowing Base as so reduced shall become the new Borrowing Base immediately upon the date of such issuance, effective and applicable to the Borrower, the Issuing Bank and the Lenders on such date until the next redetermination or modification thereof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72" w:name="page173"/>
    <w:bookmarkEnd w:id="172"/>
    <w:p>
      <w:pPr>
        <w:ind w:left="640"/>
        <w:spacing w:after="0"/>
        <w:tabs>
          <w:tab w:leader="none" w:pos="1920" w:val="left"/>
        </w:tabs>
        <w:rPr>
          <w:sz w:val="20"/>
          <w:szCs w:val="20"/>
          <w:color w:val="auto"/>
        </w:rPr>
      </w:pPr>
      <w:r>
        <w:rPr>
          <w:rFonts w:ascii="Arial" w:cs="Arial" w:eastAsia="Arial" w:hAnsi="Arial"/>
          <w:sz w:val="21"/>
          <w:szCs w:val="21"/>
          <w:color w:val="auto"/>
        </w:rPr>
        <w:t>Section 2.08</w:t>
      </w:r>
      <w:r>
        <w:rPr>
          <w:sz w:val="20"/>
          <w:szCs w:val="20"/>
          <w:color w:val="auto"/>
        </w:rPr>
        <w:tab/>
      </w:r>
      <w:r>
        <w:rPr>
          <w:rFonts w:ascii="Arial" w:cs="Arial" w:eastAsia="Arial" w:hAnsi="Arial"/>
          <w:sz w:val="19"/>
          <w:szCs w:val="19"/>
          <w:u w:val="single" w:color="auto"/>
          <w:color w:val="auto"/>
        </w:rPr>
        <w:t>Letters of Credit.</w:t>
      </w:r>
    </w:p>
    <w:p>
      <w:pPr>
        <w:spacing w:after="0" w:line="187" w:lineRule="exact"/>
        <w:rPr>
          <w:sz w:val="20"/>
          <w:szCs w:val="20"/>
          <w:color w:val="auto"/>
        </w:rPr>
      </w:pPr>
    </w:p>
    <w:p>
      <w:pPr>
        <w:jc w:val="both"/>
        <w:ind w:firstLine="1293"/>
        <w:spacing w:after="0" w:line="230" w:lineRule="auto"/>
        <w:tabs>
          <w:tab w:leader="none" w:pos="1751"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Subject to the terms and conditions set forth herein, the Borrower may request the issuance of dollar denominated Letters of Credit for its own account or for the account of any of its Restricted Subsidiaries, in a form reasonably acceptable to the Administrative Agent and the Issuing Bank, at any time and from time to time during the Availability Period; provided that the Borrower may not request the issuance, amendment, renewal or extension of Letters of Credit hereunder if a Borrowing Base Deficiency exists at such time or would exist as a result thereof.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 Notwithstanding anything to the contrary contained in this Agreement, Section 2.08 shall be subject to the terms and conditions of Section 2.09 and Section 2.10.</w:t>
      </w:r>
    </w:p>
    <w:p>
      <w:pPr>
        <w:spacing w:after="0" w:line="158" w:lineRule="exact"/>
        <w:rPr>
          <w:rFonts w:ascii="Arial" w:cs="Arial" w:eastAsia="Arial" w:hAnsi="Arial"/>
          <w:sz w:val="20"/>
          <w:szCs w:val="20"/>
          <w:color w:val="auto"/>
        </w:rPr>
      </w:pPr>
    </w:p>
    <w:p>
      <w:pPr>
        <w:jc w:val="both"/>
        <w:ind w:firstLine="1293"/>
        <w:spacing w:after="0" w:line="224" w:lineRule="auto"/>
        <w:tabs>
          <w:tab w:leader="none" w:pos="1776"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Notice of Issuance, Amendment, Renewal, Extension; Certain Conditions</w:t>
      </w:r>
      <w:r>
        <w:rPr>
          <w:rFonts w:ascii="Arial" w:cs="Arial" w:eastAsia="Arial" w:hAnsi="Arial"/>
          <w:sz w:val="21"/>
          <w:szCs w:val="21"/>
          <w:color w:val="auto"/>
        </w:rPr>
        <w:t>.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(not less than five (5) Business Days in advance of the requested date of issuance, amendment, renewal or extension) a notice:</w:t>
      </w:r>
    </w:p>
    <w:p>
      <w:pPr>
        <w:spacing w:after="0" w:line="158" w:lineRule="exact"/>
        <w:rPr>
          <w:rFonts w:ascii="Arial" w:cs="Arial" w:eastAsia="Arial" w:hAnsi="Arial"/>
          <w:sz w:val="21"/>
          <w:szCs w:val="21"/>
          <w:color w:val="auto"/>
        </w:rPr>
      </w:pPr>
    </w:p>
    <w:p>
      <w:pPr>
        <w:ind w:left="2360" w:hanging="425"/>
        <w:spacing w:after="0"/>
        <w:tabs>
          <w:tab w:leader="none" w:pos="2360" w:val="left"/>
        </w:tabs>
        <w:numPr>
          <w:ilvl w:val="1"/>
          <w:numId w:val="79"/>
        </w:numPr>
        <w:rPr>
          <w:rFonts w:ascii="Arial" w:cs="Arial" w:eastAsia="Arial" w:hAnsi="Arial"/>
          <w:sz w:val="19"/>
          <w:szCs w:val="19"/>
          <w:color w:val="auto"/>
        </w:rPr>
      </w:pPr>
      <w:r>
        <w:rPr>
          <w:rFonts w:ascii="Arial" w:cs="Arial" w:eastAsia="Arial" w:hAnsi="Arial"/>
          <w:sz w:val="19"/>
          <w:szCs w:val="19"/>
          <w:color w:val="auto"/>
        </w:rPr>
        <w:t>requesting the issuance of a Letter of Credit or identifying the Letter of Credit to be amended, renewed</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or extended;</w:t>
      </w:r>
    </w:p>
    <w:p>
      <w:pPr>
        <w:spacing w:after="0" w:line="168" w:lineRule="exact"/>
        <w:rPr>
          <w:rFonts w:ascii="Arial" w:cs="Arial" w:eastAsia="Arial" w:hAnsi="Arial"/>
          <w:sz w:val="19"/>
          <w:szCs w:val="19"/>
          <w:color w:val="auto"/>
        </w:rPr>
      </w:pPr>
    </w:p>
    <w:p>
      <w:pPr>
        <w:ind w:left="2420" w:hanging="485"/>
        <w:spacing w:after="0"/>
        <w:tabs>
          <w:tab w:leader="none" w:pos="2420" w:val="left"/>
        </w:tabs>
        <w:numPr>
          <w:ilvl w:val="1"/>
          <w:numId w:val="79"/>
        </w:numPr>
        <w:rPr>
          <w:rFonts w:ascii="Arial" w:cs="Arial" w:eastAsia="Arial" w:hAnsi="Arial"/>
          <w:sz w:val="20"/>
          <w:szCs w:val="20"/>
          <w:color w:val="auto"/>
        </w:rPr>
      </w:pPr>
      <w:r>
        <w:rPr>
          <w:rFonts w:ascii="Arial" w:cs="Arial" w:eastAsia="Arial" w:hAnsi="Arial"/>
          <w:sz w:val="20"/>
          <w:szCs w:val="20"/>
          <w:color w:val="auto"/>
        </w:rPr>
        <w:t>specifying the date of issuance, amendment, renewal or extension (which shall be a Business Day);</w:t>
      </w:r>
    </w:p>
    <w:p>
      <w:pPr>
        <w:spacing w:after="0" w:line="189" w:lineRule="exact"/>
        <w:rPr>
          <w:rFonts w:ascii="Arial" w:cs="Arial" w:eastAsia="Arial" w:hAnsi="Arial"/>
          <w:sz w:val="20"/>
          <w:szCs w:val="20"/>
          <w:color w:val="auto"/>
        </w:rPr>
      </w:pPr>
    </w:p>
    <w:p>
      <w:pPr>
        <w:ind w:left="2740" w:hanging="805"/>
        <w:spacing w:after="0"/>
        <w:tabs>
          <w:tab w:leader="none" w:pos="2740" w:val="left"/>
        </w:tabs>
        <w:numPr>
          <w:ilvl w:val="1"/>
          <w:numId w:val="79"/>
        </w:numPr>
        <w:rPr>
          <w:rFonts w:ascii="Arial" w:cs="Arial" w:eastAsia="Arial" w:hAnsi="Arial"/>
          <w:sz w:val="21"/>
          <w:szCs w:val="21"/>
          <w:color w:val="auto"/>
        </w:rPr>
      </w:pPr>
      <w:r>
        <w:rPr>
          <w:rFonts w:ascii="Arial" w:cs="Arial" w:eastAsia="Arial" w:hAnsi="Arial"/>
          <w:sz w:val="21"/>
          <w:szCs w:val="21"/>
          <w:color w:val="auto"/>
        </w:rPr>
        <w:t>specifying the date on which such Letter of Credit is to expire (which shall comply with</w:t>
      </w:r>
    </w:p>
    <w:p>
      <w:pPr>
        <w:spacing w:after="0"/>
        <w:rPr>
          <w:rFonts w:ascii="Arial" w:cs="Arial" w:eastAsia="Arial" w:hAnsi="Arial"/>
          <w:sz w:val="21"/>
          <w:szCs w:val="21"/>
          <w:color w:val="auto"/>
        </w:rPr>
      </w:pPr>
      <w:r>
        <w:rPr>
          <w:rFonts w:ascii="Arial" w:cs="Arial" w:eastAsia="Arial" w:hAnsi="Arial"/>
          <w:sz w:val="21"/>
          <w:szCs w:val="21"/>
          <w:color w:val="auto"/>
        </w:rPr>
        <w:t>Section 2.08(c));</w:t>
      </w:r>
    </w:p>
    <w:p>
      <w:pPr>
        <w:spacing w:after="0" w:line="168" w:lineRule="exact"/>
        <w:rPr>
          <w:rFonts w:ascii="Arial" w:cs="Arial" w:eastAsia="Arial" w:hAnsi="Arial"/>
          <w:sz w:val="21"/>
          <w:szCs w:val="21"/>
          <w:color w:val="auto"/>
        </w:rPr>
      </w:pPr>
    </w:p>
    <w:p>
      <w:pPr>
        <w:ind w:left="2460" w:hanging="525"/>
        <w:spacing w:after="0"/>
        <w:tabs>
          <w:tab w:leader="none" w:pos="2460" w:val="left"/>
        </w:tabs>
        <w:numPr>
          <w:ilvl w:val="1"/>
          <w:numId w:val="79"/>
        </w:numPr>
        <w:rPr>
          <w:rFonts w:ascii="Arial" w:cs="Arial" w:eastAsia="Arial" w:hAnsi="Arial"/>
          <w:sz w:val="21"/>
          <w:szCs w:val="21"/>
          <w:color w:val="auto"/>
        </w:rPr>
      </w:pPr>
      <w:r>
        <w:rPr>
          <w:rFonts w:ascii="Arial" w:cs="Arial" w:eastAsia="Arial" w:hAnsi="Arial"/>
          <w:sz w:val="21"/>
          <w:szCs w:val="21"/>
          <w:color w:val="auto"/>
        </w:rPr>
        <w:t>specifying the amount of such Letter of Credit;</w:t>
      </w:r>
    </w:p>
    <w:p>
      <w:pPr>
        <w:spacing w:after="0" w:line="186" w:lineRule="exact"/>
        <w:rPr>
          <w:rFonts w:ascii="Arial" w:cs="Arial" w:eastAsia="Arial" w:hAnsi="Arial"/>
          <w:sz w:val="21"/>
          <w:szCs w:val="21"/>
          <w:color w:val="auto"/>
        </w:rPr>
      </w:pPr>
    </w:p>
    <w:p>
      <w:pPr>
        <w:ind w:firstLine="1935"/>
        <w:spacing w:after="0" w:line="244" w:lineRule="auto"/>
        <w:tabs>
          <w:tab w:leader="none" w:pos="2499" w:val="left"/>
        </w:tabs>
        <w:numPr>
          <w:ilvl w:val="1"/>
          <w:numId w:val="79"/>
        </w:numPr>
        <w:rPr>
          <w:rFonts w:ascii="Arial" w:cs="Arial" w:eastAsia="Arial" w:hAnsi="Arial"/>
          <w:sz w:val="21"/>
          <w:szCs w:val="21"/>
          <w:color w:val="auto"/>
        </w:rPr>
      </w:pPr>
      <w:r>
        <w:rPr>
          <w:rFonts w:ascii="Arial" w:cs="Arial" w:eastAsia="Arial" w:hAnsi="Arial"/>
          <w:sz w:val="21"/>
          <w:szCs w:val="21"/>
          <w:color w:val="auto"/>
        </w:rPr>
        <w:t>specifying the name and address of the beneficiary thereof and such other information as shall be necessary to prepare, amend, renew or extend such Letter of Credit; and</w:t>
      </w:r>
    </w:p>
    <w:p>
      <w:pPr>
        <w:spacing w:after="0" w:line="151" w:lineRule="exact"/>
        <w:rPr>
          <w:rFonts w:ascii="Arial" w:cs="Arial" w:eastAsia="Arial" w:hAnsi="Arial"/>
          <w:sz w:val="21"/>
          <w:szCs w:val="21"/>
          <w:color w:val="auto"/>
        </w:rPr>
      </w:pPr>
    </w:p>
    <w:p>
      <w:pPr>
        <w:jc w:val="both"/>
        <w:ind w:firstLine="1935"/>
        <w:spacing w:after="0" w:line="224" w:lineRule="auto"/>
        <w:tabs>
          <w:tab w:leader="none" w:pos="2475" w:val="left"/>
        </w:tabs>
        <w:numPr>
          <w:ilvl w:val="1"/>
          <w:numId w:val="79"/>
        </w:numPr>
        <w:rPr>
          <w:rFonts w:ascii="Arial" w:cs="Arial" w:eastAsia="Arial" w:hAnsi="Arial"/>
          <w:sz w:val="21"/>
          <w:szCs w:val="21"/>
          <w:color w:val="auto"/>
        </w:rPr>
      </w:pPr>
      <w:r>
        <w:rPr>
          <w:rFonts w:ascii="Arial" w:cs="Arial" w:eastAsia="Arial" w:hAnsi="Arial"/>
          <w:sz w:val="21"/>
          <w:szCs w:val="21"/>
          <w:color w:val="auto"/>
        </w:rPr>
        <w:t xml:space="preserve">specifying the amount of the then effective Borrowing Base and the then effective Aggregate Elected Commitment Amounts and whether a Borrowing Base Deficiency exists at such time, the current total Revolving Credit Exposures (without regard to the requested Letter of Credit or the requested amendment, renewal or extension of an outstanding Letter of Credit) and the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total Revolving Credit Exposures (giving effect to the requested Letter of Credit or the requested amendment, renewal or extension of an outstanding Letter of Credit).</w:t>
      </w:r>
    </w:p>
    <w:p>
      <w:pPr>
        <w:spacing w:after="0" w:line="158" w:lineRule="exact"/>
        <w:rPr>
          <w:sz w:val="20"/>
          <w:szCs w:val="20"/>
          <w:color w:val="auto"/>
        </w:rPr>
      </w:pPr>
    </w:p>
    <w:p>
      <w:pPr>
        <w:jc w:val="both"/>
        <w:spacing w:after="0" w:line="227" w:lineRule="auto"/>
        <w:rPr>
          <w:sz w:val="20"/>
          <w:szCs w:val="20"/>
          <w:color w:val="auto"/>
        </w:rPr>
      </w:pPr>
      <w:r>
        <w:rPr>
          <w:rFonts w:ascii="Arial" w:cs="Arial" w:eastAsia="Arial" w:hAnsi="Arial"/>
          <w:sz w:val="21"/>
          <w:szCs w:val="21"/>
          <w:color w:val="auto"/>
        </w:rPr>
        <w:t>Each such notice shall constitute a representation that after giving effect to the requested issuance, amendment, renewal or extension, as applicable, (A) the LC Exposure shall not exceed the LC Commitment and (B) the total Revolving Credit Exposures shall not exceed the total Commitments (i.e. the least of the Aggregate Maximum Credit Amounts, the Aggregate Elected Commitment Amounts, and the then effective Borrowing Base).</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If requested by the Issuing Bank, the Borrower also shall submit a letter of credit application on the Issuing Bank’s standard form in connection with any request for a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73" w:name="page174"/>
    <w:bookmarkEnd w:id="173"/>
    <w:p>
      <w:pPr>
        <w:jc w:val="both"/>
        <w:ind w:firstLine="1293"/>
        <w:spacing w:after="0" w:line="235" w:lineRule="auto"/>
        <w:tabs>
          <w:tab w:leader="none" w:pos="1764"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Expiration Date</w:t>
      </w:r>
      <w:r>
        <w:rPr>
          <w:rFonts w:ascii="Arial" w:cs="Arial" w:eastAsia="Arial" w:hAnsi="Arial"/>
          <w:sz w:val="20"/>
          <w:szCs w:val="20"/>
          <w:color w:val="auto"/>
        </w:rPr>
        <w:t>. Each Letter of Credit shall expire at or prior to the close of business on the earlier of (i) the date fifteen (15) months after the date of the issuance of such Letter of Credit (or, in the case of any renewal or extension thereof, fifteen (15) months after such renewal or extension) and (ii) the date that is five Business Days prior to the Maturity Date; provided, however, that any Letter of Credit may provide for the renewal thereof for additional periods, each of which shall not exceed fifteen (15) months (which shall in no event extend beyond the date referred to in clause (ii) above).</w:t>
      </w:r>
    </w:p>
    <w:p>
      <w:pPr>
        <w:spacing w:after="0" w:line="159" w:lineRule="exact"/>
        <w:rPr>
          <w:rFonts w:ascii="Arial" w:cs="Arial" w:eastAsia="Arial" w:hAnsi="Arial"/>
          <w:sz w:val="20"/>
          <w:szCs w:val="20"/>
          <w:color w:val="auto"/>
        </w:rPr>
      </w:pPr>
    </w:p>
    <w:p>
      <w:pPr>
        <w:jc w:val="both"/>
        <w:ind w:firstLine="1293"/>
        <w:spacing w:after="0" w:line="228" w:lineRule="auto"/>
        <w:tabs>
          <w:tab w:leader="none" w:pos="183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Borrower on the date due as provided in Section 2.08(e), or of any reimbursement payment required to be refunded to the Borrower for any reason. Each Lender acknowledges and agrees that its obligation to acquire participations pursuant to this Section 2.08(d) in respect of Letters of Credit is absolute and unconditional and shall not be affected by any circumstance whatsoever, including any amendment, renewal or extension of any Letter of Credit or the occurrence and continuance of a Default, the existence of a Borrowing Base Deficiency or reduction or termination of the Commitments, and that each such payment shall be made without any offset, abatement, withholding or reduction whatsoever.</w:t>
      </w:r>
    </w:p>
    <w:p>
      <w:pPr>
        <w:spacing w:after="0" w:line="163" w:lineRule="exact"/>
        <w:rPr>
          <w:rFonts w:ascii="Arial" w:cs="Arial" w:eastAsia="Arial" w:hAnsi="Arial"/>
          <w:sz w:val="20"/>
          <w:szCs w:val="20"/>
          <w:color w:val="auto"/>
        </w:rPr>
      </w:pPr>
    </w:p>
    <w:p>
      <w:pPr>
        <w:jc w:val="both"/>
        <w:ind w:firstLine="1293"/>
        <w:spacing w:after="0" w:line="238" w:lineRule="auto"/>
        <w:tabs>
          <w:tab w:leader="none" w:pos="1818"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the Issuing Bank shall make any LC Disbursement in respect of a Letter of Credit, the Borrower shall reimburse such LC Disbursement by paying to the Administrative Agent an amount equal to such LC Disbursement not later than 12:00 noon, Houston, Texas time, on the date that such LC Disbursement is made, if the Borrower shall have received notice of such LC Disbursement prior to 10:00 a.m., Houston, Texas time, on such date, or, if such notice has not been received by the Borrower prior to such time on such date, then not later than 12:00 noon, Houston, Texas time, on (i) the Business Day that the Borrower receives such notice, if such notice is received prior to 10:00 a.m., Houston, Texas time, on the day of receipt, or (ii) the Business Day immediately following the day that the Borrower receives such notice, if such notice is not received prior to such time on the day of receipt;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LC Disbursement is not less than $1,000,000, the Borrower shall, subject to the conditions to Borrowing set forth herein, be deemed to have requested, and the Borrower does hereby request under such circumstances, that such payment be financed with an ABR Borrowing in an equivalent amount and, to the extent so financed, the Borrower’s obligation to make such payment shall be discharged and replaced by the resulting ABR Borrowing.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2.05 with respect to Loans made by such Lender (and Section 2.05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this Section 2.08(e), the Administrative Agent shall distribute such payment to the Issuing Bank or, to the extent that Lenders have made payments pursuant to this Section 2.08(e) to reimburse the Issuing Bank, then to such Lenders and the Issuing Bank as their interests may appear. Any payment made by a Lender pursuant to this Section 2.08(e) to reimburse the Issuing Bank for any LC Disbursement (other than the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74" w:name="page175"/>
    <w:bookmarkEnd w:id="174"/>
    <w:p>
      <w:pPr>
        <w:ind w:right="20"/>
        <w:spacing w:after="0" w:line="244" w:lineRule="auto"/>
        <w:rPr>
          <w:sz w:val="20"/>
          <w:szCs w:val="20"/>
          <w:color w:val="auto"/>
        </w:rPr>
      </w:pPr>
      <w:r>
        <w:rPr>
          <w:rFonts w:ascii="Arial" w:cs="Arial" w:eastAsia="Arial" w:hAnsi="Arial"/>
          <w:sz w:val="21"/>
          <w:szCs w:val="21"/>
          <w:color w:val="auto"/>
        </w:rPr>
        <w:t>of ABR Loans as contemplated above) shall not constitute a Loan and shall not relieve the Borrower of its obligation to reimburse such LC Disbursement.</w:t>
      </w:r>
    </w:p>
    <w:p>
      <w:pPr>
        <w:spacing w:after="0" w:line="152" w:lineRule="exact"/>
        <w:rPr>
          <w:sz w:val="20"/>
          <w:szCs w:val="20"/>
          <w:color w:val="auto"/>
        </w:rPr>
      </w:pPr>
    </w:p>
    <w:p>
      <w:pPr>
        <w:jc w:val="both"/>
        <w:ind w:firstLine="1293"/>
        <w:spacing w:after="0" w:line="225" w:lineRule="auto"/>
        <w:tabs>
          <w:tab w:leader="none" w:pos="2035"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xml:space="preserve">. The Borrower’s obligation to reimburse LC Disbursements as provided in Section 2.08(e)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or any Letter of Credit Agreement, or (iv) any other event or circumstance whatsoever, whether or not similar to any of the foregoing, that might, but for the provisions of this Section 2.08(f), constitute a legal or equitable discharge of, or provide a right of setoff against, the Borrower’s obligations hereunder. Neither the Administrative Agent, the Lenders nor the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all requisite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8" w:lineRule="exact"/>
        <w:rPr>
          <w:rFonts w:ascii="Arial" w:cs="Arial" w:eastAsia="Arial" w:hAnsi="Arial"/>
          <w:sz w:val="20"/>
          <w:szCs w:val="20"/>
          <w:color w:val="auto"/>
        </w:rPr>
      </w:pPr>
    </w:p>
    <w:p>
      <w:pPr>
        <w:jc w:val="both"/>
        <w:ind w:firstLine="1293"/>
        <w:spacing w:after="0" w:line="222" w:lineRule="auto"/>
        <w:tabs>
          <w:tab w:leader="none" w:pos="1937"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Disbursement Procedures</w:t>
      </w:r>
      <w:r>
        <w:rPr>
          <w:rFonts w:ascii="Arial" w:cs="Arial" w:eastAsia="Arial" w:hAnsi="Arial"/>
          <w:sz w:val="21"/>
          <w:szCs w:val="21"/>
          <w:color w:val="auto"/>
        </w:rPr>
        <w:t xml:space="preserve">. The Issuing Bank shall, promptly following its receipt thereof, examine all documents purporting to represent a demand for payment under a Letter of Credit. The Issuing Bank shall promptly notify the Administrative Agent and the Borrower by telephone (confirmed by telecopy) of such demand for payment and whether the Issuing Bank has made or will make an LC Disbursement thereunder;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failure to give or delay in giving such notice shall not relieve the Borrower of its obligation to reimburse the Issuing Bank and the Lenders with respect to any such LC Disbursement.</w:t>
      </w:r>
    </w:p>
    <w:p>
      <w:pPr>
        <w:spacing w:after="0" w:line="159" w:lineRule="exact"/>
        <w:rPr>
          <w:rFonts w:ascii="Arial" w:cs="Arial" w:eastAsia="Arial" w:hAnsi="Arial"/>
          <w:sz w:val="21"/>
          <w:szCs w:val="21"/>
          <w:color w:val="auto"/>
        </w:rPr>
      </w:pPr>
    </w:p>
    <w:p>
      <w:pPr>
        <w:jc w:val="both"/>
        <w:ind w:firstLine="1293"/>
        <w:spacing w:after="0" w:line="222" w:lineRule="auto"/>
        <w:tabs>
          <w:tab w:leader="none" w:pos="183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Interim Interest</w:t>
      </w:r>
      <w:r>
        <w:rPr>
          <w:rFonts w:ascii="Arial" w:cs="Arial" w:eastAsia="Arial" w:hAnsi="Arial"/>
          <w:sz w:val="21"/>
          <w:szCs w:val="21"/>
          <w:color w:val="auto"/>
        </w:rPr>
        <w:t>. If the Issuing Bank shall make any LC Disbursement, then, until the Borrower shall have reimbursed the Issuing Bank for such LC Disbursement (either with its own funds or a Borrowing under Section 2.08(e)), the unpaid amount thereof shall bear interest, for each day from and including the date such LC Disbursement is made to but excluding the date that the Borrower reimburses such LC Disbursement, at the rate per annum then applicable to ABR Loans. Interest accrued pursuant to this Section 2.08(h) shall be for the account of the Issuing Bank, except that interest accrued on and after the date of payment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75" w:name="page176"/>
    <w:bookmarkEnd w:id="175"/>
    <w:p>
      <w:pPr>
        <w:spacing w:after="0" w:line="244" w:lineRule="auto"/>
        <w:rPr>
          <w:sz w:val="20"/>
          <w:szCs w:val="20"/>
          <w:color w:val="auto"/>
        </w:rPr>
      </w:pPr>
      <w:r>
        <w:rPr>
          <w:rFonts w:ascii="Arial" w:cs="Arial" w:eastAsia="Arial" w:hAnsi="Arial"/>
          <w:sz w:val="21"/>
          <w:szCs w:val="21"/>
          <w:color w:val="auto"/>
        </w:rPr>
        <w:t>Lender pursuant to Section 2.08(e) to reimburse the Issuing Bank shall be for the account of such Lender to the extent of such payment.</w:t>
      </w:r>
    </w:p>
    <w:p>
      <w:pPr>
        <w:spacing w:after="0" w:line="152" w:lineRule="exact"/>
        <w:rPr>
          <w:sz w:val="20"/>
          <w:szCs w:val="20"/>
          <w:color w:val="auto"/>
        </w:rPr>
      </w:pPr>
    </w:p>
    <w:p>
      <w:pPr>
        <w:jc w:val="both"/>
        <w:ind w:firstLine="1293"/>
        <w:spacing w:after="0" w:line="241" w:lineRule="auto"/>
        <w:tabs>
          <w:tab w:leader="none" w:pos="1715"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Replacement of the Issuing Bank</w:t>
      </w:r>
      <w:r>
        <w:rPr>
          <w:rFonts w:ascii="Arial" w:cs="Arial" w:eastAsia="Arial" w:hAnsi="Arial"/>
          <w:sz w:val="19"/>
          <w:szCs w:val="19"/>
          <w:color w:val="auto"/>
        </w:rPr>
        <w:t>. The Issuing Bank may be replaced at any time by written agreement among the Borrower, the Administrative Agent, the replaced Issuing Bank and the successor Issuing Bank. The Administrative Agent shall notify the Lenders of any such replacement of the Issuing Bank. At the time any such replacement shall become effective, the Borrower shall pay all unpaid fees accrued for the account of the replaced Issuing Bank pursuant to Section 3.05(b). From and after the effective date of any such replacement, (i) the successor Issuing Bank shall have all the rights and obligations of the Issuing Bank under this Agreement with respect to Letters of Credit to be issued thereafter and (ii) references herein to the term “</w:t>
      </w:r>
      <w:r>
        <w:rPr>
          <w:rFonts w:ascii="Arial" w:cs="Arial" w:eastAsia="Arial" w:hAnsi="Arial"/>
          <w:sz w:val="19"/>
          <w:szCs w:val="19"/>
          <w:u w:val="single" w:color="auto"/>
          <w:color w:val="auto"/>
        </w:rPr>
        <w:t>Issuing Bank</w:t>
      </w:r>
      <w:r>
        <w:rPr>
          <w:rFonts w:ascii="Arial" w:cs="Arial" w:eastAsia="Arial" w:hAnsi="Arial"/>
          <w:sz w:val="19"/>
          <w:szCs w:val="19"/>
          <w:color w:val="auto"/>
        </w:rPr>
        <w:t>” shall be deemed to refer to such successor or to any previous Issuing Bank, or to such successor and all previous Issuing Banks, as the context shall require. After the replacement of the Issuing Bank hereunder, the replaced Issuing Bank shall remain a party hereto and shall continue to have all the rights and obligations of the Issuing Bank under this Agreement with respect to Letters of Credit issued by it prior to such replacement, but shall not be required to issue additional Letters of Credit.</w:t>
      </w:r>
    </w:p>
    <w:p>
      <w:pPr>
        <w:spacing w:after="0" w:line="162" w:lineRule="exact"/>
        <w:rPr>
          <w:rFonts w:ascii="Arial" w:cs="Arial" w:eastAsia="Arial" w:hAnsi="Arial"/>
          <w:sz w:val="19"/>
          <w:szCs w:val="19"/>
          <w:color w:val="auto"/>
        </w:rPr>
      </w:pPr>
    </w:p>
    <w:p>
      <w:pPr>
        <w:jc w:val="both"/>
        <w:ind w:firstLine="1293"/>
        <w:spacing w:after="0"/>
        <w:tabs>
          <w:tab w:leader="none" w:pos="1769"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If (i) any Event of Default shall occur and be continuing and the Borrower receives notice from the Administrative Agent or the Majority Lenders demanding the deposit of cash collateral pursuant to this Section 2.08(j), or (ii) the Borrower is required to pay to the Administrative Agent the excess attributable to an LC Exposure in connection with any prepayment pursuant to Section 3.04(c), then the Borrower shall deposit, in an account with the Administrative Agent, in the name of the Administrative Agent and for the benefit of the Lenders, an amount in cash equal to, in the case of an Event of Default, the LC Exposure, and in the case of a payment required by Section 3.04(c), the amount of such excess as provided in Section 3.04(c),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Borrower or any Restricted Subsidiary described in Section 10.01(h) or Section 10.01(i). The Borrower hereby grants to the Administrative Agent, for the benefit of the Issuing Bank and the Lenders, an exclusive first priority and continuing perfected security interest in and Lien on such account and all cash, checks, drafts, certificates and instruments, if any, from time to time deposited or held in such account, all deposits or wire transfers made thereto, any and all investments purchased with funds deposited in such account, all interest, dividends, cash, instruments, financial assets and other Property from time to time received, receivable or otherwise payable in respect of, or in exchange for, any or all of the foregoing, and all proceeds, products, accessions, rents, profits, income and benefits therefrom, and any substitutions and replacements therefor. The Borrower’s obligation to deposit amounts pursuant to this Section 2.08(j) shall be absolute and unconditional, without regard to whether any beneficiary of any such Letter of Credit has attempted to draw down all or a portion of such amount under the terms of a Letter of Credit, and, to the fullest extent permitted by applicable law, shall not be subject to any defense or be affected by a right of set-off, counterclaim or recoupment which the Borrower or any Restricted Subsidiaries may now or hereafter have against any such beneficiary, the Issuing Bank, the Administrative Agent, the Lenders or any other Person for any reason whatsoever. Such deposit shall be held as collateral securing the payment and performance of the obligations of the Borrower and the Guarantors under this Agreement and the other Loan Documents. The Administrative Agent shall have exclusive dominion and control, including the exclusive right of withdrawal, over such account. Other than any interest earned on the investment of such deposits, which investments, if any, shall be made at the option and sole discretion of the Administrative Agent, but subject to the consent (not to be unreasonably withheld) of the Borrower and at the Borrower’s risk and expense, such deposits shall not bear interest. Interest or profits, if any, on such investments shall accumulate in such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76" w:name="page177"/>
    <w:bookmarkEnd w:id="176"/>
    <w:p>
      <w:pPr>
        <w:jc w:val="both"/>
        <w:spacing w:after="0" w:line="231" w:lineRule="auto"/>
        <w:rPr>
          <w:sz w:val="20"/>
          <w:szCs w:val="20"/>
          <w:color w:val="auto"/>
        </w:rPr>
      </w:pPr>
      <w:r>
        <w:rPr>
          <w:rFonts w:ascii="Arial" w:cs="Arial" w:eastAsia="Arial" w:hAnsi="Arial"/>
          <w:sz w:val="20"/>
          <w:szCs w:val="20"/>
          <w:color w:val="auto"/>
        </w:rPr>
        <w:t>Moneys in such account shall be applied by the Administrative Agent to reimburse the Issuing Bank for LC Disbursements for which it has not been reimbursed and, to the extent not so applied, shall be held for the satisfaction of the reimbursement obligations of the Borrower for the LC Exposure at such time or, if the maturity of the Loans has been accelerated, be applied to satisfy other obligations of the Borrower and any Restricted Subsidiary under this Agreement or the other Loan Documents. If the Borrower is required to provide an amount of cash collateral hereunder as a result of the occurrence of an Event of Default, and the Borrower is not otherwise required to pay to the Administrative Agent the excess attributable to an LC Exposure in connection with any prepayment pursuant to Section 3.04(c), then such amount (to the extent not applied as aforesaid) shall be returned to the Borrower within three Business Days after all Events of Default have been cured or waived.</w:t>
      </w:r>
    </w:p>
    <w:p>
      <w:pPr>
        <w:spacing w:after="0" w:line="157"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2.09</w:t>
      </w:r>
      <w:r>
        <w:rPr>
          <w:sz w:val="20"/>
          <w:szCs w:val="20"/>
          <w:color w:val="auto"/>
        </w:rPr>
        <w:tab/>
      </w:r>
      <w:r>
        <w:rPr>
          <w:rFonts w:ascii="Arial" w:cs="Arial" w:eastAsia="Arial" w:hAnsi="Arial"/>
          <w:sz w:val="19"/>
          <w:szCs w:val="19"/>
          <w:u w:val="single" w:color="auto"/>
          <w:color w:val="auto"/>
        </w:rPr>
        <w:t>Cash Collateral.</w:t>
      </w:r>
    </w:p>
    <w:p>
      <w:pPr>
        <w:spacing w:after="0" w:line="187" w:lineRule="exact"/>
        <w:rPr>
          <w:sz w:val="20"/>
          <w:szCs w:val="20"/>
          <w:color w:val="auto"/>
        </w:rPr>
      </w:pPr>
    </w:p>
    <w:p>
      <w:pPr>
        <w:jc w:val="both"/>
        <w:ind w:firstLine="1293"/>
        <w:spacing w:after="0" w:line="222" w:lineRule="auto"/>
        <w:tabs>
          <w:tab w:leader="none" w:pos="1759" w:val="left"/>
        </w:tabs>
        <w:numPr>
          <w:ilvl w:val="0"/>
          <w:numId w:val="83"/>
        </w:numPr>
        <w:rPr>
          <w:rFonts w:ascii="Arial" w:cs="Arial" w:eastAsia="Arial" w:hAnsi="Arial"/>
          <w:sz w:val="21"/>
          <w:szCs w:val="21"/>
          <w:color w:val="auto"/>
        </w:rPr>
      </w:pPr>
      <w:r>
        <w:rPr>
          <w:rFonts w:ascii="Arial" w:cs="Arial" w:eastAsia="Arial" w:hAnsi="Arial"/>
          <w:sz w:val="21"/>
          <w:szCs w:val="21"/>
          <w:color w:val="auto"/>
        </w:rPr>
        <w:t>At any time that there shall exist a Defaulting Lender, within one Business Day following the written request of the Administrative Agent or the Issuing Bank (with a copy to the Administrative Agent), the Borrower shall Cash Collateralize the Fronting Exposure of the Issuing Bank with respect to such Defaulting Lender (determined after giving effect to Section 2.10(a)(iv) and any Cash Collateral provided by such Defaulting Lender) in an amount not less than the Minimum Collateral Amount. The Borrower may use proceeds of Borrowings for the provision of Cash Collateral (so long as no Borrowing Base Deficiency, Default or Event of Default exists).</w:t>
      </w:r>
    </w:p>
    <w:p>
      <w:pPr>
        <w:spacing w:after="0" w:line="159" w:lineRule="exact"/>
        <w:rPr>
          <w:rFonts w:ascii="Arial" w:cs="Arial" w:eastAsia="Arial" w:hAnsi="Arial"/>
          <w:sz w:val="21"/>
          <w:szCs w:val="21"/>
          <w:color w:val="auto"/>
        </w:rPr>
      </w:pPr>
    </w:p>
    <w:p>
      <w:pPr>
        <w:jc w:val="both"/>
        <w:ind w:firstLine="1293"/>
        <w:spacing w:after="0" w:line="243" w:lineRule="auto"/>
        <w:tabs>
          <w:tab w:leader="none" w:pos="1937"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The Borrower, and to the extent provided by any Defaulting Lender, such Defaulting Lender, hereby grants to the Administrative Agent, for the benefit of the Issuing Bank, and agrees to maintain, a first priority security interest in all such Cash Collateral as security for the Defaulting Lender’s obligation to fund participations in respect of LC Exposure, to be applied pursuant to subsection (ii) below. If at any time the Administrative Agent determines that Cash Collateral is subject to any right or claim of any Person other than the Administrative Agent and the Issuing Bank as herein provided, or that the total amount of such Cash Collateral is less than the Minimum Collateral Amount, the Borrower will, within 2 Business Days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58" w:lineRule="exact"/>
        <w:rPr>
          <w:rFonts w:ascii="Arial" w:cs="Arial" w:eastAsia="Arial" w:hAnsi="Arial"/>
          <w:sz w:val="19"/>
          <w:szCs w:val="19"/>
          <w:color w:val="auto"/>
        </w:rPr>
      </w:pPr>
    </w:p>
    <w:p>
      <w:pPr>
        <w:jc w:val="both"/>
        <w:ind w:firstLine="1293"/>
        <w:spacing w:after="0" w:line="224" w:lineRule="auto"/>
        <w:tabs>
          <w:tab w:leader="none" w:pos="1764"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Application</w:t>
      </w:r>
      <w:r>
        <w:rPr>
          <w:rFonts w:ascii="Arial" w:cs="Arial" w:eastAsia="Arial" w:hAnsi="Arial"/>
          <w:sz w:val="21"/>
          <w:szCs w:val="21"/>
          <w:color w:val="auto"/>
        </w:rPr>
        <w:t>. Notwithstanding anything to the contrary contained in this Agreement, Cash Collateral provided under this Section 2.09 or Section 2.10 in respect of Letters of Credit shall be applied to the satisfaction of the Defaulting Lender’s obligation to fund participations in respect of LC Exposure (including, as to Cash Collateral provided by a Defaulting Lender, any interest accrued on such obligation) for which the Cash Collateral was so provided, prior to any other application of such property as may otherwise be provided for herein.</w:t>
      </w:r>
    </w:p>
    <w:p>
      <w:pPr>
        <w:spacing w:after="0" w:line="158" w:lineRule="exact"/>
        <w:rPr>
          <w:rFonts w:ascii="Arial" w:cs="Arial" w:eastAsia="Arial" w:hAnsi="Arial"/>
          <w:sz w:val="21"/>
          <w:szCs w:val="21"/>
          <w:color w:val="auto"/>
        </w:rPr>
      </w:pPr>
    </w:p>
    <w:p>
      <w:pPr>
        <w:jc w:val="both"/>
        <w:ind w:firstLine="1293"/>
        <w:spacing w:after="0" w:line="220" w:lineRule="auto"/>
        <w:tabs>
          <w:tab w:leader="none" w:pos="1883"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Termination of Requirement</w:t>
      </w:r>
      <w:r>
        <w:rPr>
          <w:rFonts w:ascii="Arial" w:cs="Arial" w:eastAsia="Arial" w:hAnsi="Arial"/>
          <w:sz w:val="21"/>
          <w:szCs w:val="21"/>
          <w:color w:val="auto"/>
        </w:rPr>
        <w:t>. Cash Collateral (or the appropriate portion thereof) provided to reduce the Fronting Exposure of the Issuing Bank shall no longer be required to be held as Cash Collateral pursuant to this Section 2.09 following (i) the elimination of the applicable Fronting Exposure (including by the termination of Defaulting Lender status of the applicable Lender), or (ii) the determination by the Administrative Agent and the Issuing Bank that there exists excess Cash Collateral; provided that, subject to Section 2.10, the Person providing Cash Collateral and the Issuing Bank may agree that Cash Collateral shall be held to support future anticipated Fronting Exposure or other obligations; and provided further that to the extent that such Cash Collateral was provided by the Borrower, such Cash Collateral shall remain subject to the security interest granted pursuant to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77" w:name="page178"/>
    <w:bookmarkEnd w:id="177"/>
    <w:p>
      <w:pPr>
        <w:ind w:left="640"/>
        <w:spacing w:after="0"/>
        <w:tabs>
          <w:tab w:leader="none" w:pos="1920" w:val="left"/>
        </w:tabs>
        <w:rPr>
          <w:sz w:val="20"/>
          <w:szCs w:val="20"/>
          <w:color w:val="auto"/>
        </w:rPr>
      </w:pPr>
      <w:r>
        <w:rPr>
          <w:rFonts w:ascii="Arial" w:cs="Arial" w:eastAsia="Arial" w:hAnsi="Arial"/>
          <w:sz w:val="21"/>
          <w:szCs w:val="21"/>
          <w:color w:val="auto"/>
        </w:rPr>
        <w:t>Section 2.10</w:t>
      </w:r>
      <w:r>
        <w:rPr>
          <w:sz w:val="20"/>
          <w:szCs w:val="20"/>
          <w:color w:val="auto"/>
        </w:rPr>
        <w:tab/>
      </w:r>
      <w:r>
        <w:rPr>
          <w:rFonts w:ascii="Arial" w:cs="Arial" w:eastAsia="Arial" w:hAnsi="Arial"/>
          <w:sz w:val="19"/>
          <w:szCs w:val="19"/>
          <w:u w:val="single" w:color="auto"/>
          <w:color w:val="auto"/>
        </w:rPr>
        <w:t>Defaulting Lenders.</w:t>
      </w:r>
    </w:p>
    <w:p>
      <w:pPr>
        <w:spacing w:after="0" w:line="187" w:lineRule="exact"/>
        <w:rPr>
          <w:sz w:val="20"/>
          <w:szCs w:val="20"/>
          <w:color w:val="auto"/>
        </w:rPr>
      </w:pPr>
    </w:p>
    <w:p>
      <w:pPr>
        <w:jc w:val="both"/>
        <w:ind w:firstLine="1293"/>
        <w:spacing w:after="0" w:line="232" w:lineRule="auto"/>
        <w:tabs>
          <w:tab w:leader="none" w:pos="1751"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Defaulting Lender Adjustments</w:t>
      </w:r>
      <w:r>
        <w:rPr>
          <w:rFonts w:ascii="Arial" w:cs="Arial" w:eastAsia="Arial" w:hAnsi="Arial"/>
          <w:sz w:val="21"/>
          <w:szCs w:val="21"/>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56" w:lineRule="exact"/>
        <w:rPr>
          <w:rFonts w:ascii="Arial" w:cs="Arial" w:eastAsia="Arial" w:hAnsi="Arial"/>
          <w:sz w:val="21"/>
          <w:szCs w:val="21"/>
          <w:color w:val="auto"/>
        </w:rPr>
      </w:pPr>
    </w:p>
    <w:p>
      <w:pPr>
        <w:ind w:firstLine="1935"/>
        <w:spacing w:after="0" w:line="295" w:lineRule="auto"/>
        <w:tabs>
          <w:tab w:leader="none" w:pos="2384"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Such Defaulting Lender’s right to approve or disapprove any amendment, waiver or consent with respect to this Agreement shall be restricted as set forth in the definition of Majority Lenders.</w:t>
      </w:r>
    </w:p>
    <w:p>
      <w:pPr>
        <w:spacing w:after="0" w:line="105" w:lineRule="exact"/>
        <w:rPr>
          <w:rFonts w:ascii="Arial" w:cs="Arial" w:eastAsia="Arial" w:hAnsi="Arial"/>
          <w:sz w:val="19"/>
          <w:szCs w:val="19"/>
          <w:color w:val="auto"/>
        </w:rPr>
      </w:pPr>
    </w:p>
    <w:p>
      <w:pPr>
        <w:jc w:val="both"/>
        <w:ind w:firstLine="1935"/>
        <w:spacing w:after="0" w:line="225" w:lineRule="auto"/>
        <w:tabs>
          <w:tab w:leader="none" w:pos="2404" w:val="left"/>
        </w:tabs>
        <w:numPr>
          <w:ilvl w:val="1"/>
          <w:numId w:val="84"/>
        </w:numPr>
        <w:rPr>
          <w:rFonts w:ascii="Arial" w:cs="Arial" w:eastAsia="Arial" w:hAnsi="Arial"/>
          <w:sz w:val="20"/>
          <w:szCs w:val="20"/>
          <w:color w:val="auto"/>
        </w:rPr>
      </w:pPr>
      <w:r>
        <w:rPr>
          <w:rFonts w:ascii="Arial" w:cs="Arial" w:eastAsia="Arial" w:hAnsi="Arial"/>
          <w:sz w:val="20"/>
          <w:szCs w:val="20"/>
          <w:u w:val="single" w:color="auto"/>
          <w:color w:val="auto"/>
        </w:rPr>
        <w:t>Defaulting Lender Waterfall</w:t>
      </w:r>
      <w:r>
        <w:rPr>
          <w:rFonts w:ascii="Arial" w:cs="Arial" w:eastAsia="Arial" w:hAnsi="Arial"/>
          <w:sz w:val="20"/>
          <w:szCs w:val="20"/>
          <w:color w:val="auto"/>
        </w:rPr>
        <w:t>.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12.08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Issuing Bank hereunder; third, to Cash Collateralize the Fronting Exposure of the Issuing Bank with respect to such Defaulting Lender in accordance with Section 2.09; fourth, as the Borrower may request (so long as no Default or Event of Default exists), to the funding of any Loan or funded participation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(A) satisfy such Defaulting Lender’s potential future funding obligations with respect to Loans and funded participations under this Agreement and (B) Cash Collateralize the Issuing Bank’s future Fronting Exposure with respect to such Defaulting Lender with respect to future Letters of Credit issued under this Agreement, in accordance with Section 2.09; sixth, to the payment of any amounts owing to the Lenders or the Issuing Bank as a result of any judgment of a court of competent jurisdiction obtained by any Lender or the Issuing Bank against such Defaulting Lender as a result of such Defaulting Lender’s breach of its obligations under this Agreement;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eighth, to such Defaulting Lender or as otherwise directed by a court of competent jurisdiction; provided that if (1) such payment is a payment of the principal amount of any Loans or funded participations in Letters of Credit in respect of which such Defaulting Lender has not fully funded its appropriate share, and (2) such Loans were made or the related Letters of Credit were issued at a time when the conditions set forth in Section 6.02 were satisfied or waived, such payment shall be applied solely to pay the Loans of, and funded participations in Letters of Credit owed to, all Non-Defaulting Lenders on a pro rata basis prior to being applied to the payment of any Loans of, or funded participations in Letters of Credit owed to, such Defaulting Lender until such time as all Loans and funded and unfunded participations in LC Exposure are held by the Lenders pro rata in accordance with the Commitment under the Agreement without giving effect to Section 2.10(a)(iv). Any payments, prepayments or other amounts paid or payable to a Defaulting Lender that are applied (or held) to pay amounts owed by a Defaulting Lender or to post Cash Collateral pursuant to this Section 2.10(a)(ii) shall be deemed paid to and redirected by such Defaulting Lender, and each Lender irrevocably consents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78" w:name="page179"/>
    <w:bookmarkEnd w:id="178"/>
    <w:p>
      <w:pPr>
        <w:ind w:left="2480" w:hanging="545"/>
        <w:spacing w:after="0"/>
        <w:tabs>
          <w:tab w:leader="none" w:pos="2480" w:val="left"/>
        </w:tabs>
        <w:numPr>
          <w:ilvl w:val="1"/>
          <w:numId w:val="85"/>
        </w:numPr>
        <w:rPr>
          <w:rFonts w:ascii="Arial" w:cs="Arial" w:eastAsia="Arial" w:hAnsi="Arial"/>
          <w:sz w:val="21"/>
          <w:szCs w:val="21"/>
          <w:color w:val="auto"/>
        </w:rPr>
      </w:pPr>
      <w:r>
        <w:rPr>
          <w:rFonts w:ascii="Arial" w:cs="Arial" w:eastAsia="Arial" w:hAnsi="Arial"/>
          <w:sz w:val="21"/>
          <w:szCs w:val="21"/>
          <w:u w:val="single" w:color="auto"/>
          <w:color w:val="auto"/>
        </w:rPr>
        <w:t>Certain Fees</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2578"/>
        <w:spacing w:after="0" w:line="232" w:lineRule="auto"/>
        <w:tabs>
          <w:tab w:leader="none" w:pos="3136" w:val="left"/>
        </w:tabs>
        <w:numPr>
          <w:ilvl w:val="2"/>
          <w:numId w:val="85"/>
        </w:numPr>
        <w:rPr>
          <w:rFonts w:ascii="Arial" w:cs="Arial" w:eastAsia="Arial" w:hAnsi="Arial"/>
          <w:sz w:val="21"/>
          <w:szCs w:val="21"/>
          <w:color w:val="010000"/>
        </w:rPr>
      </w:pPr>
      <w:r>
        <w:rPr>
          <w:rFonts w:ascii="Arial" w:cs="Arial" w:eastAsia="Arial" w:hAnsi="Arial"/>
          <w:sz w:val="21"/>
          <w:szCs w:val="21"/>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56" w:lineRule="exact"/>
        <w:rPr>
          <w:rFonts w:ascii="Arial" w:cs="Arial" w:eastAsia="Arial" w:hAnsi="Arial"/>
          <w:sz w:val="21"/>
          <w:szCs w:val="21"/>
          <w:color w:val="010000"/>
        </w:rPr>
      </w:pPr>
    </w:p>
    <w:p>
      <w:pPr>
        <w:jc w:val="both"/>
        <w:ind w:firstLine="2578"/>
        <w:spacing w:after="0" w:line="245" w:lineRule="auto"/>
        <w:tabs>
          <w:tab w:leader="none" w:pos="3325" w:val="left"/>
        </w:tabs>
        <w:numPr>
          <w:ilvl w:val="2"/>
          <w:numId w:val="85"/>
        </w:numPr>
        <w:rPr>
          <w:rFonts w:ascii="Arial" w:cs="Arial" w:eastAsia="Arial" w:hAnsi="Arial"/>
          <w:sz w:val="20"/>
          <w:szCs w:val="20"/>
          <w:color w:val="010000"/>
        </w:rPr>
      </w:pPr>
      <w:r>
        <w:rPr>
          <w:rFonts w:ascii="Arial" w:cs="Arial" w:eastAsia="Arial" w:hAnsi="Arial"/>
          <w:sz w:val="20"/>
          <w:szCs w:val="20"/>
          <w:color w:val="auto"/>
        </w:rPr>
        <w:t>Each Defaulting Lender shall be entitled to receive letter of credit fees pursuant to Section 3.05(b) for any period during which that Lender is a Defaulting Lender only to the extent allocable to its Applicable Percentage of the stated amount of Letters of Credit for which it has provided Cash Collateral pursuant to Section 2.09.</w:t>
      </w:r>
    </w:p>
    <w:p>
      <w:pPr>
        <w:spacing w:after="0" w:line="152" w:lineRule="exact"/>
        <w:rPr>
          <w:rFonts w:ascii="Arial" w:cs="Arial" w:eastAsia="Arial" w:hAnsi="Arial"/>
          <w:sz w:val="20"/>
          <w:szCs w:val="20"/>
          <w:color w:val="010000"/>
        </w:rPr>
      </w:pPr>
    </w:p>
    <w:p>
      <w:pPr>
        <w:jc w:val="both"/>
        <w:ind w:firstLine="2578"/>
        <w:spacing w:after="0" w:line="233" w:lineRule="auto"/>
        <w:tabs>
          <w:tab w:leader="none" w:pos="3191" w:val="left"/>
        </w:tabs>
        <w:numPr>
          <w:ilvl w:val="2"/>
          <w:numId w:val="85"/>
        </w:numPr>
        <w:rPr>
          <w:rFonts w:ascii="Arial" w:cs="Arial" w:eastAsia="Arial" w:hAnsi="Arial"/>
          <w:sz w:val="20"/>
          <w:szCs w:val="20"/>
          <w:color w:val="010000"/>
        </w:rPr>
      </w:pPr>
      <w:r>
        <w:rPr>
          <w:rFonts w:ascii="Arial" w:cs="Arial" w:eastAsia="Arial" w:hAnsi="Arial"/>
          <w:sz w:val="20"/>
          <w:szCs w:val="20"/>
          <w:color w:val="auto"/>
        </w:rPr>
        <w:t>With respect to any commitment fee or letter of credit fee not required to be paid to any Defaulting Lender pursuant to clause (a) or (b) above, the Borrower shall (1) pay to each Non-Defaulting Lender that portion of any such fee otherwise payable to such Defaulting Lender with respect to such Defaulting Lender’s participation in LC Exposure that has been reallocated to such Non-Defaulting Lender pursuant to clause (iv) below, (2) pay to each Issuing Bank, as applicable, the amount of any such fee otherwise payable to such Defaulting Lender to the extent allocable to such Issuing Bank’s Fronting Exposure to such Defaulting Lender, and (3) not be required to pay the remaining amount of any such fee.</w:t>
      </w:r>
    </w:p>
    <w:p>
      <w:pPr>
        <w:spacing w:after="0" w:line="159" w:lineRule="exact"/>
        <w:rPr>
          <w:rFonts w:ascii="Arial" w:cs="Arial" w:eastAsia="Arial" w:hAnsi="Arial"/>
          <w:sz w:val="20"/>
          <w:szCs w:val="20"/>
          <w:color w:val="010000"/>
        </w:rPr>
      </w:pPr>
    </w:p>
    <w:p>
      <w:pPr>
        <w:jc w:val="both"/>
        <w:ind w:firstLine="1935"/>
        <w:spacing w:after="0" w:line="229" w:lineRule="auto"/>
        <w:tabs>
          <w:tab w:leader="none" w:pos="2599"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Reallocation of Participations to Reduce Fronting Exposure</w:t>
      </w:r>
      <w:r>
        <w:rPr>
          <w:rFonts w:ascii="Arial" w:cs="Arial" w:eastAsia="Arial" w:hAnsi="Arial"/>
          <w:sz w:val="20"/>
          <w:szCs w:val="20"/>
          <w:color w:val="auto"/>
        </w:rPr>
        <w:t>. All or any part of such Defaulting Lender’s participation in LC Exposure shall be reallocated among the Non-Defaulting Lenders in accordance with their respective Applicable Percentages (calculated without regard to such Defaulting Lender’s Commitment) but only to the extent that (A) the conditions set forth in Section 6.02 are satisfied at the time of such reallocation (and, unless the Borrower shall have otherwise notified the Administrative Agent at such time, the Borrower shall be deemed to have represented and warranted that such conditions are satisfied at such time), and (B) such reallocation does not cause the aggregate Revolving Credit Exposure of any Non-Defaulting Lender to exceed such Non-Defaulting Lender’s Applicable Percentage of the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2" w:lineRule="exact"/>
        <w:rPr>
          <w:rFonts w:ascii="Arial" w:cs="Arial" w:eastAsia="Arial" w:hAnsi="Arial"/>
          <w:sz w:val="20"/>
          <w:szCs w:val="20"/>
          <w:color w:val="auto"/>
        </w:rPr>
      </w:pPr>
    </w:p>
    <w:p>
      <w:pPr>
        <w:jc w:val="both"/>
        <w:ind w:firstLine="1935"/>
        <w:spacing w:after="0" w:line="232" w:lineRule="auto"/>
        <w:tabs>
          <w:tab w:leader="none" w:pos="2499" w:val="left"/>
        </w:tabs>
        <w:numPr>
          <w:ilvl w:val="1"/>
          <w:numId w:val="85"/>
        </w:numPr>
        <w:rPr>
          <w:rFonts w:ascii="Arial" w:cs="Arial" w:eastAsia="Arial" w:hAnsi="Arial"/>
          <w:sz w:val="21"/>
          <w:szCs w:val="21"/>
          <w:color w:val="auto"/>
        </w:rPr>
      </w:pPr>
      <w:r>
        <w:rPr>
          <w:rFonts w:ascii="Arial" w:cs="Arial" w:eastAsia="Arial" w:hAnsi="Arial"/>
          <w:sz w:val="21"/>
          <w:szCs w:val="21"/>
          <w:u w:val="single" w:color="auto"/>
          <w:color w:val="auto"/>
        </w:rPr>
        <w:t>Cash Collateral</w:t>
      </w:r>
      <w:r>
        <w:rPr>
          <w:rFonts w:ascii="Arial" w:cs="Arial" w:eastAsia="Arial" w:hAnsi="Arial"/>
          <w:sz w:val="21"/>
          <w:szCs w:val="21"/>
          <w:color w:val="auto"/>
        </w:rPr>
        <w:t>. If the reallocation described in clause (iv) above cannot, or can only partially, be effected, the Borrower shall, without prejudice to any right or remedy available to it hereunder or under law, Cash Collateralize the Issuing Bank’s Fronting Exposure in accordance with the procedures set forth in Section 2.09.</w:t>
      </w:r>
    </w:p>
    <w:p>
      <w:pPr>
        <w:spacing w:after="0" w:line="156" w:lineRule="exact"/>
        <w:rPr>
          <w:rFonts w:ascii="Arial" w:cs="Arial" w:eastAsia="Arial" w:hAnsi="Arial"/>
          <w:sz w:val="21"/>
          <w:szCs w:val="21"/>
          <w:color w:val="auto"/>
        </w:rPr>
      </w:pPr>
    </w:p>
    <w:p>
      <w:pPr>
        <w:jc w:val="both"/>
        <w:ind w:firstLine="1293"/>
        <w:spacing w:after="0" w:line="229" w:lineRule="auto"/>
        <w:tabs>
          <w:tab w:leader="none" w:pos="1763"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Defaulting Lender Cure</w:t>
      </w:r>
      <w:r>
        <w:rPr>
          <w:rFonts w:ascii="Arial" w:cs="Arial" w:eastAsia="Arial" w:hAnsi="Arial"/>
          <w:sz w:val="20"/>
          <w:szCs w:val="20"/>
          <w:color w:val="auto"/>
        </w:rPr>
        <w:t xml:space="preserve">. If the Borrower, the Administrative Agent and the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pro rata by the Lenders in accordance with the Commitments under this Agreement (without giving effect to Section 2.10(a)(iv)), whereupon such Lender will cease to be a Defaulting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except to the extent otherwise expressly agreed by the affected parties, no change hereunder from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79" w:name="page180"/>
    <w:bookmarkEnd w:id="179"/>
    <w:p>
      <w:pPr>
        <w:spacing w:after="0" w:line="244" w:lineRule="auto"/>
        <w:rPr>
          <w:sz w:val="20"/>
          <w:szCs w:val="20"/>
          <w:color w:val="auto"/>
        </w:rPr>
      </w:pPr>
      <w:r>
        <w:rPr>
          <w:rFonts w:ascii="Arial" w:cs="Arial" w:eastAsia="Arial" w:hAnsi="Arial"/>
          <w:sz w:val="21"/>
          <w:szCs w:val="21"/>
          <w:color w:val="auto"/>
        </w:rPr>
        <w:t>Lender to Lender will constitute a waiver or release of any claim of any party hereunder arising from that Lender’s having been a Defaulting Lender.</w:t>
      </w:r>
    </w:p>
    <w:p>
      <w:pPr>
        <w:spacing w:after="0" w:line="152" w:lineRule="exact"/>
        <w:rPr>
          <w:sz w:val="20"/>
          <w:szCs w:val="20"/>
          <w:color w:val="auto"/>
        </w:rPr>
      </w:pPr>
    </w:p>
    <w:p>
      <w:pPr>
        <w:jc w:val="both"/>
        <w:ind w:firstLine="1293"/>
        <w:spacing w:after="0" w:line="232" w:lineRule="auto"/>
        <w:tabs>
          <w:tab w:leader="none" w:pos="1804"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New Letters of Credit</w:t>
      </w:r>
      <w:r>
        <w:rPr>
          <w:rFonts w:ascii="Arial" w:cs="Arial" w:eastAsia="Arial" w:hAnsi="Arial"/>
          <w:sz w:val="21"/>
          <w:szCs w:val="21"/>
          <w:color w:val="auto"/>
        </w:rPr>
        <w:t>. So long as any Lender is a Defaulting Lender, no Issuing Bank shall be required to issue, extend, renew or increase any Letter of Credit unless it is satisfied that it will have no Fronting Exposure after giving effect thereto.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III</w:t>
      </w:r>
    </w:p>
    <w:p>
      <w:pPr>
        <w:jc w:val="center"/>
        <w:spacing w:after="0"/>
        <w:rPr>
          <w:sz w:val="20"/>
          <w:szCs w:val="20"/>
          <w:color w:val="auto"/>
        </w:rPr>
      </w:pPr>
      <w:r>
        <w:rPr>
          <w:rFonts w:ascii="Arial" w:cs="Arial" w:eastAsia="Arial" w:hAnsi="Arial"/>
          <w:sz w:val="21"/>
          <w:szCs w:val="21"/>
          <w:b w:val="1"/>
          <w:bCs w:val="1"/>
          <w:color w:val="auto"/>
        </w:rPr>
        <w:t>Payments of Principal and Interest; Prepayments; Fees</w:t>
      </w:r>
    </w:p>
    <w:p>
      <w:pPr>
        <w:spacing w:after="0" w:line="169" w:lineRule="exact"/>
        <w:rPr>
          <w:sz w:val="20"/>
          <w:szCs w:val="20"/>
          <w:color w:val="auto"/>
        </w:rPr>
      </w:pPr>
    </w:p>
    <w:p>
      <w:pPr>
        <w:ind w:firstLine="643"/>
        <w:spacing w:after="0" w:line="244"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Repayment of Loans.</w:t>
      </w:r>
      <w:r>
        <w:rPr>
          <w:rFonts w:ascii="Arial" w:cs="Arial" w:eastAsia="Arial" w:hAnsi="Arial"/>
          <w:sz w:val="21"/>
          <w:szCs w:val="21"/>
          <w:color w:val="auto"/>
        </w:rPr>
        <w:t xml:space="preserve"> The Borrower hereby unconditionally promises to pay to the Administrative Agent for the account of each Lender the then unpaid principal amount of each Loan on the Termination Date.</w:t>
      </w:r>
    </w:p>
    <w:p>
      <w:pPr>
        <w:spacing w:after="0" w:line="15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3.02</w:t>
      </w:r>
      <w:r>
        <w:rPr>
          <w:sz w:val="20"/>
          <w:szCs w:val="20"/>
          <w:color w:val="auto"/>
        </w:rPr>
        <w:tab/>
      </w:r>
      <w:r>
        <w:rPr>
          <w:rFonts w:ascii="Arial" w:cs="Arial" w:eastAsia="Arial" w:hAnsi="Arial"/>
          <w:sz w:val="19"/>
          <w:szCs w:val="19"/>
          <w:u w:val="single" w:color="auto"/>
          <w:color w:val="auto"/>
        </w:rPr>
        <w:t>Interest.</w:t>
      </w:r>
    </w:p>
    <w:p>
      <w:pPr>
        <w:spacing w:after="0" w:line="187" w:lineRule="exact"/>
        <w:rPr>
          <w:sz w:val="20"/>
          <w:szCs w:val="20"/>
          <w:color w:val="auto"/>
        </w:rPr>
      </w:pPr>
    </w:p>
    <w:p>
      <w:pPr>
        <w:ind w:firstLine="1293"/>
        <w:spacing w:after="0" w:line="244" w:lineRule="auto"/>
        <w:tabs>
          <w:tab w:leader="none" w:pos="1777"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ABR Loans</w:t>
      </w:r>
      <w:r>
        <w:rPr>
          <w:rFonts w:ascii="Arial" w:cs="Arial" w:eastAsia="Arial" w:hAnsi="Arial"/>
          <w:sz w:val="21"/>
          <w:szCs w:val="21"/>
          <w:color w:val="auto"/>
        </w:rPr>
        <w:t>. The Loans comprising each ABR Borrowing shall bear interest at the Alternate Base Rate plus the Applicable Margin, but in no event to exceed the Highest Lawful Rate.</w:t>
      </w:r>
    </w:p>
    <w:p>
      <w:pPr>
        <w:spacing w:after="0" w:line="151" w:lineRule="exact"/>
        <w:rPr>
          <w:rFonts w:ascii="Arial" w:cs="Arial" w:eastAsia="Arial" w:hAnsi="Arial"/>
          <w:sz w:val="21"/>
          <w:szCs w:val="21"/>
          <w:color w:val="auto"/>
        </w:rPr>
      </w:pPr>
    </w:p>
    <w:p>
      <w:pPr>
        <w:ind w:firstLine="1293"/>
        <w:spacing w:after="0" w:line="268" w:lineRule="auto"/>
        <w:tabs>
          <w:tab w:leader="none" w:pos="1749"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SOFR Loans</w:t>
      </w:r>
      <w:r>
        <w:rPr>
          <w:rFonts w:ascii="Arial" w:cs="Arial" w:eastAsia="Arial" w:hAnsi="Arial"/>
          <w:sz w:val="20"/>
          <w:szCs w:val="20"/>
          <w:color w:val="auto"/>
        </w:rPr>
        <w:t>. The Loans comprising each SOFR Borrowing shall bear interest at Adjusted Term SOFR for the Interest Period in effect for such Borrowing plus the Applicable Margin, but in no event to exceed the Highest Lawful Rate.</w:t>
      </w:r>
    </w:p>
    <w:p>
      <w:pPr>
        <w:spacing w:after="0" w:line="129" w:lineRule="exact"/>
        <w:rPr>
          <w:rFonts w:ascii="Arial" w:cs="Arial" w:eastAsia="Arial" w:hAnsi="Arial"/>
          <w:sz w:val="20"/>
          <w:szCs w:val="20"/>
          <w:color w:val="auto"/>
        </w:rPr>
      </w:pPr>
    </w:p>
    <w:p>
      <w:pPr>
        <w:jc w:val="both"/>
        <w:ind w:firstLine="1293"/>
        <w:spacing w:after="0" w:line="218" w:lineRule="auto"/>
        <w:tabs>
          <w:tab w:leader="none" w:pos="1831"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Post-Default Rate and Borrowing Base Deficiency Rate</w:t>
      </w:r>
      <w:r>
        <w:rPr>
          <w:rFonts w:ascii="Arial" w:cs="Arial" w:eastAsia="Arial" w:hAnsi="Arial"/>
          <w:sz w:val="21"/>
          <w:szCs w:val="21"/>
          <w:color w:val="auto"/>
        </w:rPr>
        <w:t>. Notwithstanding the foregoing, (i) if an Event of Default has occurred and is continuing, or if any principal of or interest on any Loan or any fee or other amount payable by the Borrower or any Guarantor hereunder or under any other Loan Document is not paid when due, whether at stated maturity, upon acceleration or otherwise, and including any payments in respect of a Borrowing Base Deficiency under Section 3.04(c), then all Loans outstanding, in the case of an Event of Default, and such overdue amount, in the case of a failure to pay amounts when due, shall bear interest, after as well as before judgment, at a rate per annum equal to two percent (2%) plus the rate applicable to ABR Loans as provided in Section 3.02(a), but in no event to exceed the Highest Lawful Rate, and (ii) during any Borrowing Base Deficiency, all Loans outstanding at such time shall bear interest, after as well as before judgment, at the rate then applicable to such Loans, plus the Applicable Margin, if any, plus an additional two percent (2%), but in no event to exceed the Highest Lawful Rate.</w:t>
      </w:r>
    </w:p>
    <w:p>
      <w:pPr>
        <w:spacing w:after="0" w:line="163" w:lineRule="exact"/>
        <w:rPr>
          <w:rFonts w:ascii="Arial" w:cs="Arial" w:eastAsia="Arial" w:hAnsi="Arial"/>
          <w:sz w:val="21"/>
          <w:szCs w:val="21"/>
          <w:color w:val="auto"/>
        </w:rPr>
      </w:pPr>
    </w:p>
    <w:p>
      <w:pPr>
        <w:jc w:val="both"/>
        <w:ind w:firstLine="1293"/>
        <w:spacing w:after="0" w:line="233" w:lineRule="auto"/>
        <w:tabs>
          <w:tab w:leader="none" w:pos="1803"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Interest Payment Dates</w:t>
      </w:r>
      <w:r>
        <w:rPr>
          <w:rFonts w:ascii="Arial" w:cs="Arial" w:eastAsia="Arial" w:hAnsi="Arial"/>
          <w:sz w:val="20"/>
          <w:szCs w:val="20"/>
          <w:color w:val="auto"/>
        </w:rPr>
        <w:t>. Accrued interest on each Loan shall be payable in arrears on each Interest Payment Date for such Loan and on the Termination Date; provided that (i) interest accrued pursuant to Section 3.02(c) shall be payable on demand, (ii) in the event of any repayment or prepayment of any Loan (other than an optional prepayment of an ABR Loan prior to the Termination Date),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59" w:lineRule="exact"/>
        <w:rPr>
          <w:rFonts w:ascii="Arial" w:cs="Arial" w:eastAsia="Arial" w:hAnsi="Arial"/>
          <w:sz w:val="20"/>
          <w:szCs w:val="20"/>
          <w:color w:val="auto"/>
        </w:rPr>
      </w:pPr>
    </w:p>
    <w:p>
      <w:pPr>
        <w:jc w:val="both"/>
        <w:ind w:firstLine="1293"/>
        <w:spacing w:after="0" w:line="222" w:lineRule="auto"/>
        <w:tabs>
          <w:tab w:leader="none" w:pos="1737"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Interest Rate Computations</w:t>
      </w:r>
      <w:r>
        <w:rPr>
          <w:rFonts w:ascii="Arial" w:cs="Arial" w:eastAsia="Arial" w:hAnsi="Arial"/>
          <w:sz w:val="21"/>
          <w:szCs w:val="21"/>
          <w:color w:val="auto"/>
        </w:rPr>
        <w:t>. All interest hereunder shall be computed on the basis of a year of 360 days, unless such computation would exceed the Highest Lawful Rate, in which case interest shall be computed on the basis of a year of 365 days (or 366 days in a leap year),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80" w:name="page181"/>
    <w:bookmarkEnd w:id="180"/>
    <w:p>
      <w:pPr>
        <w:spacing w:after="0" w:line="244" w:lineRule="auto"/>
        <w:rPr>
          <w:sz w:val="20"/>
          <w:szCs w:val="20"/>
          <w:color w:val="auto"/>
        </w:rPr>
      </w:pPr>
      <w:r>
        <w:rPr>
          <w:rFonts w:ascii="Arial" w:cs="Arial" w:eastAsia="Arial" w:hAnsi="Arial"/>
          <w:sz w:val="21"/>
          <w:szCs w:val="21"/>
          <w:color w:val="auto"/>
        </w:rPr>
        <w:t>Adjusted Term SOFR and Term SOFR shall be determined by the Administrative Agent, and such determination shall be conclusive absent manifest error, and be binding upon the parties hereto.</w:t>
      </w:r>
    </w:p>
    <w:p>
      <w:pPr>
        <w:spacing w:after="0" w:line="152" w:lineRule="exact"/>
        <w:rPr>
          <w:sz w:val="20"/>
          <w:szCs w:val="20"/>
          <w:color w:val="auto"/>
        </w:rPr>
      </w:pPr>
    </w:p>
    <w:p>
      <w:pPr>
        <w:jc w:val="both"/>
        <w:ind w:firstLine="1293"/>
        <w:spacing w:after="0" w:line="222" w:lineRule="auto"/>
        <w:tabs>
          <w:tab w:leader="none" w:pos="1928"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Term SOFR Conforming Changes</w:t>
      </w:r>
      <w:r>
        <w:rPr>
          <w:rFonts w:ascii="Arial" w:cs="Arial" w:eastAsia="Arial" w:hAnsi="Arial"/>
          <w:sz w:val="21"/>
          <w:szCs w:val="21"/>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5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3.03</w:t>
      </w:r>
      <w:r>
        <w:rPr>
          <w:sz w:val="20"/>
          <w:szCs w:val="20"/>
          <w:color w:val="auto"/>
        </w:rPr>
        <w:tab/>
      </w:r>
      <w:r>
        <w:rPr>
          <w:rFonts w:ascii="Arial" w:cs="Arial" w:eastAsia="Arial" w:hAnsi="Arial"/>
          <w:sz w:val="18"/>
          <w:szCs w:val="18"/>
          <w:u w:val="single" w:color="auto"/>
          <w:color w:val="auto"/>
        </w:rPr>
        <w:t>Changed Circumstances.</w:t>
      </w:r>
    </w:p>
    <w:p>
      <w:pPr>
        <w:spacing w:after="0" w:line="187" w:lineRule="exact"/>
        <w:rPr>
          <w:sz w:val="20"/>
          <w:szCs w:val="20"/>
          <w:color w:val="auto"/>
        </w:rPr>
      </w:pPr>
    </w:p>
    <w:p>
      <w:pPr>
        <w:jc w:val="both"/>
        <w:ind w:firstLine="1293"/>
        <w:spacing w:after="0" w:line="227" w:lineRule="auto"/>
        <w:tabs>
          <w:tab w:leader="none" w:pos="1751" w:val="left"/>
        </w:tabs>
        <w:numPr>
          <w:ilvl w:val="0"/>
          <w:numId w:val="90"/>
        </w:numPr>
        <w:rPr>
          <w:rFonts w:ascii="Arial" w:cs="Arial" w:eastAsia="Arial" w:hAnsi="Arial"/>
          <w:sz w:val="20"/>
          <w:szCs w:val="20"/>
          <w:color w:val="010000"/>
        </w:rPr>
      </w:pPr>
      <w:r>
        <w:rPr>
          <w:rFonts w:ascii="Arial" w:cs="Arial" w:eastAsia="Arial" w:hAnsi="Arial"/>
          <w:sz w:val="20"/>
          <w:szCs w:val="20"/>
          <w:u w:val="single" w:color="auto"/>
          <w:color w:val="auto"/>
        </w:rPr>
        <w:t>Circumstances Affecting Benchmark Availability</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Adjusted Term SOFR for the applicable Interest Period with respect to a proposed SOFR Loan on or prior to the first day of such Interest Period or (ii) the Majority Lenders shall determine (which determination shall be conclusive and binding absent manifest error) that Adjusted Term SOFR does not adequately and fairly reflect the cost to such Lenders of making or maintaining such Loans during such Interest Period,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Majority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ABR Loans in the amount specified therein and (B) any outstanding affected SOFR Loans will be deemed to have been converted into ABR Loans at the end of the applicable Interest Period. Upon any such prepayment or conversion, the Borrower shall also pay accrued interest on the amount so prepaid or converted, together with any additional amounts required pursuant to </w:t>
      </w:r>
      <w:r>
        <w:rPr>
          <w:rFonts w:ascii="Arial" w:cs="Arial" w:eastAsia="Arial" w:hAnsi="Arial"/>
          <w:sz w:val="20"/>
          <w:szCs w:val="20"/>
          <w:u w:val="single" w:color="auto"/>
          <w:color w:val="auto"/>
        </w:rPr>
        <w:t>Section 5.02</w:t>
      </w:r>
      <w:r>
        <w:rPr>
          <w:rFonts w:ascii="Arial" w:cs="Arial" w:eastAsia="Arial" w:hAnsi="Arial"/>
          <w:sz w:val="20"/>
          <w:szCs w:val="20"/>
          <w:color w:val="auto"/>
        </w:rPr>
        <w:t>.</w:t>
      </w:r>
    </w:p>
    <w:p>
      <w:pPr>
        <w:spacing w:after="0" w:line="158" w:lineRule="exact"/>
        <w:rPr>
          <w:rFonts w:ascii="Arial" w:cs="Arial" w:eastAsia="Arial" w:hAnsi="Arial"/>
          <w:sz w:val="20"/>
          <w:szCs w:val="20"/>
          <w:color w:val="010000"/>
        </w:rPr>
      </w:pPr>
    </w:p>
    <w:p>
      <w:pPr>
        <w:jc w:val="both"/>
        <w:ind w:firstLine="1293"/>
        <w:spacing w:after="0" w:line="217" w:lineRule="auto"/>
        <w:tabs>
          <w:tab w:leader="none" w:pos="1897" w:val="left"/>
        </w:tabs>
        <w:numPr>
          <w:ilvl w:val="0"/>
          <w:numId w:val="90"/>
        </w:numPr>
        <w:rPr>
          <w:rFonts w:ascii="Arial" w:cs="Arial" w:eastAsia="Arial" w:hAnsi="Arial"/>
          <w:sz w:val="21"/>
          <w:szCs w:val="21"/>
          <w:color w:val="010000"/>
        </w:rPr>
      </w:pPr>
      <w:r>
        <w:rPr>
          <w:rFonts w:ascii="Arial" w:cs="Arial" w:eastAsia="Arial" w:hAnsi="Arial"/>
          <w:sz w:val="21"/>
          <w:szCs w:val="21"/>
          <w:u w:val="single" w:color="auto"/>
          <w:color w:val="auto"/>
        </w:rPr>
        <w:t>Laws Affecting SOFR Availability</w:t>
      </w:r>
      <w:r>
        <w:rPr>
          <w:rFonts w:ascii="Arial" w:cs="Arial" w:eastAsia="Arial" w:hAnsi="Arial"/>
          <w:sz w:val="21"/>
          <w:szCs w:val="21"/>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Adjusted Term SOFR or Term SOFR, such Lender shall promptly give notice thereof to the Administrative Agent and the Administrative Agent shall promptly give notice to the Borrower and the other Lenders. Thereafter, until the Administrative Agent notifies the Borrower that such circumstances no longer exist, (i) the obligations of the Lenders to make SOFR Loans, and any right of the Borrower to convert any Loan to a SOFR Loan or continue any Loan as a SOFR Loan, shall be suspended and (ii) if necessary to avoid such illegality, the Administrative Agent shall compute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81" w:name="page182"/>
    <w:bookmarkEnd w:id="181"/>
    <w:p>
      <w:pPr>
        <w:jc w:val="both"/>
        <w:spacing w:after="0" w:line="230" w:lineRule="auto"/>
        <w:rPr>
          <w:sz w:val="20"/>
          <w:szCs w:val="20"/>
          <w:color w:val="auto"/>
        </w:rPr>
      </w:pPr>
      <w:r>
        <w:rPr>
          <w:rFonts w:ascii="Arial" w:cs="Arial" w:eastAsia="Arial" w:hAnsi="Arial"/>
          <w:sz w:val="20"/>
          <w:szCs w:val="20"/>
          <w:color w:val="auto"/>
        </w:rPr>
        <w:t>the Alternate Base Rate without reference to clause (c) of the definition of “Alternate Base Rate”, in each case until each such affected Lender notifies the Administrative Agent and the Borrower that the circumstances giving rise to such determination no longer exist. Upon receipt of such notice, the Borrower shall, if necessary to avoid such illegality, upon demand from any Lender (with a copy to the Administrative Agent), prepay or, if applicable, convert all SOFR Loans to ABR Loans (in each case, if necessary to avoid such illegality, the Administrative Agent shall compute the Alternate Base Rate without reference to clause (c) of the definition of “Alternate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 shall also pay accrued interest on the amount so prepaid or converted, together with any additional amounts required pursuant to Section 5.02.</w:t>
      </w:r>
    </w:p>
    <w:p>
      <w:pPr>
        <w:spacing w:after="0" w:line="159" w:lineRule="exact"/>
        <w:rPr>
          <w:sz w:val="20"/>
          <w:szCs w:val="20"/>
          <w:color w:val="auto"/>
        </w:rPr>
      </w:pPr>
    </w:p>
    <w:p>
      <w:pPr>
        <w:ind w:left="1740" w:hanging="447"/>
        <w:spacing w:after="0"/>
        <w:tabs>
          <w:tab w:leader="none" w:pos="1740" w:val="left"/>
        </w:tabs>
        <w:numPr>
          <w:ilvl w:val="0"/>
          <w:numId w:val="91"/>
        </w:numPr>
        <w:rPr>
          <w:rFonts w:ascii="Arial" w:cs="Arial" w:eastAsia="Arial" w:hAnsi="Arial"/>
          <w:sz w:val="21"/>
          <w:szCs w:val="21"/>
          <w:color w:val="010000"/>
        </w:rPr>
      </w:pPr>
      <w:r>
        <w:rPr>
          <w:rFonts w:ascii="Arial" w:cs="Arial" w:eastAsia="Arial" w:hAnsi="Arial"/>
          <w:sz w:val="21"/>
          <w:szCs w:val="21"/>
          <w:u w:val="single" w:color="auto"/>
          <w:color w:val="auto"/>
        </w:rPr>
        <w:t>Benchmark Replacement Setting</w:t>
      </w:r>
      <w:r>
        <w:rPr>
          <w:rFonts w:ascii="Arial" w:cs="Arial" w:eastAsia="Arial" w:hAnsi="Arial"/>
          <w:sz w:val="21"/>
          <w:szCs w:val="21"/>
          <w:color w:val="auto"/>
        </w:rPr>
        <w:t>.</w:t>
      </w:r>
    </w:p>
    <w:p>
      <w:pPr>
        <w:spacing w:after="0" w:line="186" w:lineRule="exact"/>
        <w:rPr>
          <w:rFonts w:ascii="Arial" w:cs="Arial" w:eastAsia="Arial" w:hAnsi="Arial"/>
          <w:sz w:val="21"/>
          <w:szCs w:val="21"/>
          <w:color w:val="010000"/>
        </w:rPr>
      </w:pPr>
    </w:p>
    <w:p>
      <w:pPr>
        <w:jc w:val="both"/>
        <w:ind w:firstLine="1935"/>
        <w:spacing w:after="0" w:line="220" w:lineRule="auto"/>
        <w:tabs>
          <w:tab w:leader="none" w:pos="2518" w:val="left"/>
        </w:tabs>
        <w:numPr>
          <w:ilvl w:val="1"/>
          <w:numId w:val="91"/>
        </w:numPr>
        <w:rPr>
          <w:rFonts w:ascii="Arial" w:cs="Arial" w:eastAsia="Arial" w:hAnsi="Arial"/>
          <w:sz w:val="21"/>
          <w:szCs w:val="21"/>
          <w:color w:val="010000"/>
        </w:rPr>
      </w:pPr>
      <w:r>
        <w:rPr>
          <w:rFonts w:ascii="Arial" w:cs="Arial" w:eastAsia="Arial" w:hAnsi="Arial"/>
          <w:sz w:val="21"/>
          <w:szCs w:val="21"/>
          <w:u w:val="single" w:color="auto"/>
          <w:color w:val="auto"/>
        </w:rPr>
        <w:t>Benchmark Replacement</w:t>
      </w:r>
      <w:r>
        <w:rPr>
          <w:rFonts w:ascii="Arial" w:cs="Arial" w:eastAsia="Arial" w:hAnsi="Arial"/>
          <w:sz w:val="21"/>
          <w:szCs w:val="21"/>
          <w:color w:val="auto"/>
        </w:rPr>
        <w:t xml:space="preserve">.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Majority Lenders. No replacement of a Benchmark with a Benchmark Replacement pursuant to this </w:t>
      </w:r>
      <w:r>
        <w:rPr>
          <w:rFonts w:ascii="Arial" w:cs="Arial" w:eastAsia="Arial" w:hAnsi="Arial"/>
          <w:sz w:val="21"/>
          <w:szCs w:val="21"/>
          <w:u w:val="single" w:color="auto"/>
          <w:color w:val="auto"/>
        </w:rPr>
        <w:t>Section 3.03(c)(i)</w:t>
      </w:r>
      <w:r>
        <w:rPr>
          <w:rFonts w:ascii="Arial" w:cs="Arial" w:eastAsia="Arial" w:hAnsi="Arial"/>
          <w:sz w:val="21"/>
          <w:szCs w:val="21"/>
          <w:color w:val="auto"/>
        </w:rPr>
        <w:t xml:space="preserve"> will occur prior to the applicable Benchmark Transition Start Date.</w:t>
      </w:r>
    </w:p>
    <w:p>
      <w:pPr>
        <w:spacing w:after="0" w:line="157" w:lineRule="exact"/>
        <w:rPr>
          <w:rFonts w:ascii="Arial" w:cs="Arial" w:eastAsia="Arial" w:hAnsi="Arial"/>
          <w:sz w:val="21"/>
          <w:szCs w:val="21"/>
          <w:color w:val="010000"/>
        </w:rPr>
      </w:pPr>
    </w:p>
    <w:p>
      <w:pPr>
        <w:jc w:val="both"/>
        <w:ind w:firstLine="1935"/>
        <w:spacing w:after="0" w:line="224" w:lineRule="auto"/>
        <w:tabs>
          <w:tab w:leader="none" w:pos="2458" w:val="left"/>
        </w:tabs>
        <w:numPr>
          <w:ilvl w:val="1"/>
          <w:numId w:val="91"/>
        </w:numPr>
        <w:rPr>
          <w:rFonts w:ascii="Arial" w:cs="Arial" w:eastAsia="Arial" w:hAnsi="Arial"/>
          <w:sz w:val="21"/>
          <w:szCs w:val="21"/>
          <w:color w:val="010000"/>
        </w:rPr>
      </w:pP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8" w:lineRule="exact"/>
        <w:rPr>
          <w:rFonts w:ascii="Arial" w:cs="Arial" w:eastAsia="Arial" w:hAnsi="Arial"/>
          <w:sz w:val="21"/>
          <w:szCs w:val="21"/>
          <w:color w:val="010000"/>
        </w:rPr>
      </w:pPr>
    </w:p>
    <w:p>
      <w:pPr>
        <w:jc w:val="both"/>
        <w:ind w:firstLine="1935"/>
        <w:spacing w:after="0" w:line="229" w:lineRule="auto"/>
        <w:tabs>
          <w:tab w:leader="none" w:pos="2477" w:val="left"/>
        </w:tabs>
        <w:numPr>
          <w:ilvl w:val="1"/>
          <w:numId w:val="91"/>
        </w:numPr>
        <w:rPr>
          <w:rFonts w:ascii="Arial" w:cs="Arial" w:eastAsia="Arial" w:hAnsi="Arial"/>
          <w:sz w:val="20"/>
          <w:szCs w:val="20"/>
          <w:color w:val="010000"/>
        </w:rPr>
      </w:pPr>
      <w:r>
        <w:rPr>
          <w:rFonts w:ascii="Arial" w:cs="Arial" w:eastAsia="Arial" w:hAnsi="Arial"/>
          <w:sz w:val="20"/>
          <w:szCs w:val="20"/>
          <w:u w:val="single" w:color="auto"/>
          <w:color w:val="auto"/>
        </w:rPr>
        <w:t>Notices; Standards for Decisions and Determinations</w:t>
      </w:r>
      <w:r>
        <w:rPr>
          <w:rFonts w:ascii="Arial" w:cs="Arial" w:eastAsia="Arial" w:hAnsi="Arial"/>
          <w:sz w:val="20"/>
          <w:szCs w:val="20"/>
          <w:color w:val="auto"/>
        </w:rPr>
        <w:t>.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Section 3.03(c). Any determination, decision or election that may be made by the Administrative Agent or, if applicable, any Lender (or group of Lenders) pursuant to this Section 3.03(c),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3.03(c).</w:t>
      </w:r>
    </w:p>
    <w:p>
      <w:pPr>
        <w:spacing w:after="0" w:line="162" w:lineRule="exact"/>
        <w:rPr>
          <w:rFonts w:ascii="Arial" w:cs="Arial" w:eastAsia="Arial" w:hAnsi="Arial"/>
          <w:sz w:val="20"/>
          <w:szCs w:val="20"/>
          <w:color w:val="010000"/>
        </w:rPr>
      </w:pPr>
    </w:p>
    <w:p>
      <w:pPr>
        <w:jc w:val="both"/>
        <w:ind w:firstLine="1935"/>
        <w:spacing w:after="0" w:line="222" w:lineRule="auto"/>
        <w:tabs>
          <w:tab w:leader="none" w:pos="2559" w:val="left"/>
        </w:tabs>
        <w:numPr>
          <w:ilvl w:val="1"/>
          <w:numId w:val="91"/>
        </w:numPr>
        <w:rPr>
          <w:rFonts w:ascii="Arial" w:cs="Arial" w:eastAsia="Arial" w:hAnsi="Arial"/>
          <w:sz w:val="21"/>
          <w:szCs w:val="21"/>
          <w:color w:val="010000"/>
        </w:rPr>
      </w:pPr>
      <w:r>
        <w:rPr>
          <w:rFonts w:ascii="Arial" w:cs="Arial" w:eastAsia="Arial" w:hAnsi="Arial"/>
          <w:sz w:val="21"/>
          <w:szCs w:val="21"/>
          <w:u w:val="single" w:color="auto"/>
          <w:color w:val="auto"/>
        </w:rPr>
        <w:t>Unavailability of Tenor of Benchmark</w:t>
      </w:r>
      <w:r>
        <w:rPr>
          <w:rFonts w:ascii="Arial" w:cs="Arial" w:eastAsia="Arial" w:hAnsi="Arial"/>
          <w:sz w:val="21"/>
          <w:szCs w:val="21"/>
          <w:color w:val="auto"/>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administrator of such Benchmark or the regulatory supervisor for the administrator of such Benchmark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82" w:name="page183"/>
    <w:bookmarkEnd w:id="182"/>
    <w:p>
      <w:pPr>
        <w:jc w:val="both"/>
        <w:spacing w:after="0" w:line="229" w:lineRule="auto"/>
        <w:rPr>
          <w:sz w:val="20"/>
          <w:szCs w:val="20"/>
          <w:color w:val="auto"/>
        </w:rPr>
      </w:pPr>
      <w:r>
        <w:rPr>
          <w:rFonts w:ascii="Arial" w:cs="Arial" w:eastAsia="Arial" w:hAnsi="Arial"/>
          <w:sz w:val="20"/>
          <w:szCs w:val="20"/>
          <w:color w:val="auto"/>
        </w:rPr>
        <w:t xml:space="preserve">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(B) if a tenor that was removed pursuant to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above either (1) is subsequently displayed on a screen or information service for a Benchmark (including a Benchmark Replacement) or (2)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62" w:lineRule="exact"/>
        <w:rPr>
          <w:sz w:val="20"/>
          <w:szCs w:val="20"/>
          <w:color w:val="auto"/>
        </w:rPr>
      </w:pPr>
    </w:p>
    <w:p>
      <w:pPr>
        <w:jc w:val="both"/>
        <w:ind w:firstLine="1935"/>
        <w:spacing w:after="0" w:line="231" w:lineRule="auto"/>
        <w:tabs>
          <w:tab w:leader="none" w:pos="2446" w:val="left"/>
        </w:tabs>
        <w:numPr>
          <w:ilvl w:val="0"/>
          <w:numId w:val="92"/>
        </w:numPr>
        <w:rPr>
          <w:rFonts w:ascii="Arial" w:cs="Arial" w:eastAsia="Arial" w:hAnsi="Arial"/>
          <w:sz w:val="20"/>
          <w:szCs w:val="20"/>
          <w:color w:val="010000"/>
        </w:rPr>
      </w:pP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Upon the Borrower’s receipt of notice of the commencement of a Benchmark Unavailability Period, (A) the Borrower may revoke any pending request for a borrowing of, conversion to or continuation of SOFR Loans to be made, converted or continued during such Benchmark Unavailability Period and, failing that, the Borrower will be deemed to have converted any such request into a request for a borrowing of or conversion to ABR Loans and (B) any outstanding affected SOFR Loans will be deemed to have been converted to ABR Loans at the end of the applicable Interest Period.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57"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3.04</w:t>
      </w:r>
      <w:r>
        <w:rPr>
          <w:sz w:val="20"/>
          <w:szCs w:val="20"/>
          <w:color w:val="auto"/>
        </w:rPr>
        <w:tab/>
      </w:r>
      <w:r>
        <w:rPr>
          <w:rFonts w:ascii="Arial" w:cs="Arial" w:eastAsia="Arial" w:hAnsi="Arial"/>
          <w:sz w:val="18"/>
          <w:szCs w:val="18"/>
          <w:u w:val="single" w:color="auto"/>
          <w:color w:val="auto"/>
        </w:rPr>
        <w:t>Prepayments.</w:t>
      </w:r>
    </w:p>
    <w:p>
      <w:pPr>
        <w:spacing w:after="0" w:line="187" w:lineRule="exact"/>
        <w:rPr>
          <w:sz w:val="20"/>
          <w:szCs w:val="20"/>
          <w:color w:val="auto"/>
        </w:rPr>
      </w:pPr>
    </w:p>
    <w:p>
      <w:pPr>
        <w:ind w:firstLine="1293"/>
        <w:spacing w:after="0" w:line="244" w:lineRule="auto"/>
        <w:tabs>
          <w:tab w:leader="none" w:pos="1804" w:val="left"/>
        </w:tabs>
        <w:numPr>
          <w:ilvl w:val="1"/>
          <w:numId w:val="93"/>
        </w:numPr>
        <w:rPr>
          <w:rFonts w:ascii="Arial" w:cs="Arial" w:eastAsia="Arial" w:hAnsi="Arial"/>
          <w:sz w:val="21"/>
          <w:szCs w:val="21"/>
          <w:color w:val="auto"/>
        </w:rPr>
      </w:pPr>
      <w:r>
        <w:rPr>
          <w:rFonts w:ascii="Arial" w:cs="Arial" w:eastAsia="Arial" w:hAnsi="Arial"/>
          <w:sz w:val="21"/>
          <w:szCs w:val="21"/>
          <w:u w:val="single" w:color="auto"/>
          <w:color w:val="auto"/>
        </w:rPr>
        <w:t>Optional Prepayments</w:t>
      </w:r>
      <w:r>
        <w:rPr>
          <w:rFonts w:ascii="Arial" w:cs="Arial" w:eastAsia="Arial" w:hAnsi="Arial"/>
          <w:sz w:val="21"/>
          <w:szCs w:val="21"/>
          <w:color w:val="auto"/>
        </w:rPr>
        <w:t>. The Borrower shall have the right at any time and from time to time to prepay any Borrowing in whole or in part, subject to prior notice in accordance with Section 3.04(b).</w:t>
      </w:r>
    </w:p>
    <w:p>
      <w:pPr>
        <w:spacing w:after="0" w:line="151" w:lineRule="exact"/>
        <w:rPr>
          <w:rFonts w:ascii="Arial" w:cs="Arial" w:eastAsia="Arial" w:hAnsi="Arial"/>
          <w:sz w:val="21"/>
          <w:szCs w:val="21"/>
          <w:color w:val="auto"/>
        </w:rPr>
      </w:pPr>
    </w:p>
    <w:p>
      <w:pPr>
        <w:jc w:val="both"/>
        <w:ind w:firstLine="1293"/>
        <w:spacing w:after="0" w:line="245" w:lineRule="auto"/>
        <w:tabs>
          <w:tab w:leader="none" w:pos="1776"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Notice and Terms of Optional Prepayment</w:t>
      </w:r>
      <w:r>
        <w:rPr>
          <w:rFonts w:ascii="Arial" w:cs="Arial" w:eastAsia="Arial" w:hAnsi="Arial"/>
          <w:sz w:val="19"/>
          <w:szCs w:val="19"/>
          <w:color w:val="auto"/>
        </w:rPr>
        <w:t>. The Borrower shall notify the Administrative Agent by telephone (confirmed by telecopy or other communication in writing acceptable to the Administrative Agent) of any prepayment hereunder</w:t>
      </w:r>
    </w:p>
    <w:p>
      <w:pPr>
        <w:jc w:val="both"/>
        <w:ind w:firstLine="7"/>
        <w:spacing w:after="0"/>
        <w:tabs>
          <w:tab w:leader="none" w:pos="285"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 the case of prepayment of a SOFR Borrowing, not later than 12:00 noon, Houston, Texas time, three U.S. Government Securities Business Days before the date of prepayment, or (ii) in the case of prepayment of an ABR Borrowing, not later than 12:00 noon, Houston, Texas time, one Business Day before the date of prepayment. Each such notice shall be irrevocable and shall specify the prepayment date and the principal amount of each Borrowing or portion thereof to be prepaid, and whether the prepayment is of SOFR Loans, ABR Loans, or a combination thereof, and the amount allocable to each.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prepaid Borrowing. Prepayments shall be accompanied by accrued interest to the extent required by Section 3.02.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83" w:name="page184"/>
    <w:bookmarkEnd w:id="183"/>
    <w:p>
      <w:pPr>
        <w:ind w:left="1740" w:hanging="447"/>
        <w:spacing w:after="0"/>
        <w:tabs>
          <w:tab w:leader="none" w:pos="174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Mandatory Prepayments</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1935"/>
        <w:spacing w:after="0" w:line="222" w:lineRule="auto"/>
        <w:tabs>
          <w:tab w:leader="none" w:pos="2404" w:val="left"/>
        </w:tabs>
        <w:numPr>
          <w:ilvl w:val="1"/>
          <w:numId w:val="95"/>
        </w:numPr>
        <w:rPr>
          <w:rFonts w:ascii="Arial" w:cs="Arial" w:eastAsia="Arial" w:hAnsi="Arial"/>
          <w:sz w:val="21"/>
          <w:szCs w:val="21"/>
          <w:color w:val="auto"/>
        </w:rPr>
      </w:pPr>
      <w:r>
        <w:rPr>
          <w:rFonts w:ascii="Arial" w:cs="Arial" w:eastAsia="Arial" w:hAnsi="Arial"/>
          <w:sz w:val="21"/>
          <w:szCs w:val="21"/>
          <w:color w:val="auto"/>
        </w:rPr>
        <w:t>If, after giving effect to any termination or reduction of the Aggregate Maximum Credit Amounts or Aggregate Elected Commitment Amounts pursuant to Section 2.06(a)(ii) or Section 2.06(b), as applicable, the total Revolving Credit Exposures exceeds the total Commitments, then the Borrower shall (A) prepay the Borrowings on the date of such termination or reduction in an aggregate principal amount equal to such excess, and (B) if any excess remains after prepaying all of the Borrowings as a result of an LC Exposure, pay to the Administrative Agent on behalf of the Lenders an amount equal to such excess to be held as cash collateral as provided in Section 2.08(j).</w:t>
      </w:r>
    </w:p>
    <w:p>
      <w:pPr>
        <w:spacing w:after="0" w:line="159" w:lineRule="exact"/>
        <w:rPr>
          <w:rFonts w:ascii="Arial" w:cs="Arial" w:eastAsia="Arial" w:hAnsi="Arial"/>
          <w:sz w:val="21"/>
          <w:szCs w:val="21"/>
          <w:color w:val="auto"/>
        </w:rPr>
      </w:pPr>
    </w:p>
    <w:p>
      <w:pPr>
        <w:jc w:val="both"/>
        <w:ind w:firstLine="1935"/>
        <w:spacing w:after="0" w:line="241" w:lineRule="auto"/>
        <w:tabs>
          <w:tab w:leader="none" w:pos="2449" w:val="left"/>
        </w:tabs>
        <w:numPr>
          <w:ilvl w:val="1"/>
          <w:numId w:val="95"/>
        </w:numPr>
        <w:rPr>
          <w:rFonts w:ascii="Arial" w:cs="Arial" w:eastAsia="Arial" w:hAnsi="Arial"/>
          <w:sz w:val="19"/>
          <w:szCs w:val="19"/>
          <w:color w:val="auto"/>
        </w:rPr>
      </w:pPr>
      <w:r>
        <w:rPr>
          <w:rFonts w:ascii="Arial" w:cs="Arial" w:eastAsia="Arial" w:hAnsi="Arial"/>
          <w:sz w:val="19"/>
          <w:szCs w:val="19"/>
          <w:color w:val="auto"/>
        </w:rPr>
        <w:t>Upon any redetermination of or adjustment to the amount of the Borrowing Base in accordance with Section 2.07 (other than Section 2.07(e) and Section 2.07(f)) or Section 8.13(c), if the total Revolving Credit Exposure exceeds the redetermined or adjusted Borrowing Base, then the Borrower shall (A) prepay the Borrowings in an aggregate principal amount equal to such excess, and (B) if the Borrower prepays such Borrowings pursuant to clause (A) of this subsection and any excess remains after prepaying all of the Borrowings as a result of an LC Exposure, pay to the Administrative Agent on behalf of the Lenders an amount equal to such excess to be held as cash collateral as provided in Section 2.08(j). The Borrower shall be obligated to make such prepayment and/or deposit of cash collateral within ninety (90) days following its receipt of the New Borrowing Base Notice in accordance with Section 2.07(d) or the date the adjustment occurs (and may make such prepayment and/or deposit at any time and from time to time, in whole or in part, prior to the end of such 90-day period); provided that all payments required to be made pursuant to this Section 3.04(c)(ii) must be made on or prior to the Termination Date.</w:t>
      </w:r>
    </w:p>
    <w:p>
      <w:pPr>
        <w:spacing w:after="0" w:line="162" w:lineRule="exact"/>
        <w:rPr>
          <w:rFonts w:ascii="Arial" w:cs="Arial" w:eastAsia="Arial" w:hAnsi="Arial"/>
          <w:sz w:val="19"/>
          <w:szCs w:val="19"/>
          <w:color w:val="auto"/>
        </w:rPr>
      </w:pPr>
    </w:p>
    <w:p>
      <w:pPr>
        <w:jc w:val="both"/>
        <w:ind w:firstLine="1935"/>
        <w:spacing w:after="0" w:line="231" w:lineRule="auto"/>
        <w:tabs>
          <w:tab w:leader="none" w:pos="2725" w:val="left"/>
        </w:tabs>
        <w:numPr>
          <w:ilvl w:val="1"/>
          <w:numId w:val="95"/>
        </w:numPr>
        <w:rPr>
          <w:rFonts w:ascii="Arial" w:cs="Arial" w:eastAsia="Arial" w:hAnsi="Arial"/>
          <w:sz w:val="20"/>
          <w:szCs w:val="20"/>
          <w:color w:val="auto"/>
        </w:rPr>
      </w:pPr>
      <w:r>
        <w:rPr>
          <w:rFonts w:ascii="Arial" w:cs="Arial" w:eastAsia="Arial" w:hAnsi="Arial"/>
          <w:sz w:val="20"/>
          <w:szCs w:val="20"/>
          <w:color w:val="auto"/>
        </w:rPr>
        <w:t>Upon any adjustments to the Borrowing Base pursuant to Section 2.07(e), Section 2.07(f), Section 9.05(m)(ii), or Section 9.12(d), if the total Revolving Credit Exposures exceeds the Borrowing Base as adjusted, then the Borrower shall (A) prepay the Borrowings in an aggregate principal amount equal to such excess, and (B) if any excess remains after prepaying all of the Borrowings as a result of an LC Exposure, pay to the Administrative Agent on behalf of the Lenders an amount equal to such excess to be held as cash collateral as provided in Section 2.08(j). The Borrower shall be obligated to make such prepayment and/or deposit of cash collateral on the date of such termination, creation of offsetting positions or designation or on the date on which it receives cash proceeds as a result of such issuance or disposition; provided that all payments required to be made pursuant to this Section 3.04(c)(iii) must be made on or prior to the Termination Date.</w:t>
      </w:r>
    </w:p>
    <w:p>
      <w:pPr>
        <w:spacing w:after="0" w:line="157" w:lineRule="exact"/>
        <w:rPr>
          <w:rFonts w:ascii="Arial" w:cs="Arial" w:eastAsia="Arial" w:hAnsi="Arial"/>
          <w:sz w:val="20"/>
          <w:szCs w:val="20"/>
          <w:color w:val="auto"/>
        </w:rPr>
      </w:pPr>
    </w:p>
    <w:p>
      <w:pPr>
        <w:jc w:val="both"/>
        <w:ind w:firstLine="1935"/>
        <w:spacing w:after="0" w:line="231" w:lineRule="auto"/>
        <w:tabs>
          <w:tab w:leader="none" w:pos="2478" w:val="left"/>
        </w:tabs>
        <w:numPr>
          <w:ilvl w:val="1"/>
          <w:numId w:val="95"/>
        </w:numPr>
        <w:rPr>
          <w:rFonts w:ascii="Arial" w:cs="Arial" w:eastAsia="Arial" w:hAnsi="Arial"/>
          <w:sz w:val="20"/>
          <w:szCs w:val="20"/>
          <w:color w:val="auto"/>
        </w:rPr>
      </w:pPr>
      <w:r>
        <w:rPr>
          <w:rFonts w:ascii="Arial" w:cs="Arial" w:eastAsia="Arial" w:hAnsi="Arial"/>
          <w:sz w:val="20"/>
          <w:szCs w:val="20"/>
          <w:color w:val="auto"/>
        </w:rPr>
        <w:t>Notwithstanding anything to the contrary herein, if the Borrower or any of its Restricted Subsidiaries sells any Property when a Borrowing Base Deficiency or Event of Default exists, then the Borrower shall (A) prepay the Borrowings in an aggregate principal amount equal to the net cash proceeds received from such sale, and (B) if any excess remains after prepaying all of the Borrowings and there exists any LC Exposure, pay to the Administrative Agent on behalf of the Lenders an amount equal to the lesser of such excess and the amount of such LC Exposure to be held as cash collateral as provided in Section 2.08(j). The Borrower shall be obligated to make such prepayment and/or deposit of cash collateral on the date it or any Restricted Subsidiary receives cash proceeds as a result of such sale; provided that all payments required to be made pursuant to this Section 3.04(c)(iv) must be made on or prior to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84" w:name="page185"/>
    <w:bookmarkEnd w:id="184"/>
    <w:p>
      <w:pPr>
        <w:jc w:val="both"/>
        <w:ind w:firstLine="1935"/>
        <w:spacing w:after="0" w:line="224" w:lineRule="auto"/>
        <w:tabs>
          <w:tab w:leader="none" w:pos="2429" w:val="left"/>
        </w:tabs>
        <w:numPr>
          <w:ilvl w:val="0"/>
          <w:numId w:val="96"/>
        </w:numPr>
        <w:rPr>
          <w:rFonts w:ascii="Arial" w:cs="Arial" w:eastAsia="Arial" w:hAnsi="Arial"/>
          <w:sz w:val="21"/>
          <w:szCs w:val="21"/>
          <w:color w:val="auto"/>
        </w:rPr>
      </w:pPr>
      <w:r>
        <w:rPr>
          <w:rFonts w:ascii="Arial" w:cs="Arial" w:eastAsia="Arial" w:hAnsi="Arial"/>
          <w:sz w:val="21"/>
          <w:szCs w:val="21"/>
          <w:color w:val="auto"/>
        </w:rPr>
        <w:t>Each prepayment of Borrowings pursuant to this Section 3.04(c) shall be applied, first, ratably to any ABR Borrowings then outstanding, and, second, to any SOFR Borrowings then outstanding, and if more than one SOFR Borrowing is then outstanding, to each such SOFR Borrowing in order of priority beginning with the SOFR Borrowing with the least number of days remaining in the Interest Period applicable thereto and ending with the SOFR Borrowing with the most number of days remaining in the Interest Period applicable thereto.</w:t>
      </w:r>
    </w:p>
    <w:p>
      <w:pPr>
        <w:spacing w:after="0" w:line="158" w:lineRule="exact"/>
        <w:rPr>
          <w:rFonts w:ascii="Arial" w:cs="Arial" w:eastAsia="Arial" w:hAnsi="Arial"/>
          <w:sz w:val="21"/>
          <w:szCs w:val="21"/>
          <w:color w:val="auto"/>
        </w:rPr>
      </w:pPr>
    </w:p>
    <w:p>
      <w:pPr>
        <w:jc w:val="both"/>
        <w:ind w:firstLine="1935"/>
        <w:spacing w:after="0" w:line="232" w:lineRule="auto"/>
        <w:tabs>
          <w:tab w:leader="none" w:pos="2471" w:val="left"/>
        </w:tabs>
        <w:numPr>
          <w:ilvl w:val="0"/>
          <w:numId w:val="96"/>
        </w:numPr>
        <w:rPr>
          <w:rFonts w:ascii="Arial" w:cs="Arial" w:eastAsia="Arial" w:hAnsi="Arial"/>
          <w:sz w:val="21"/>
          <w:szCs w:val="21"/>
          <w:color w:val="auto"/>
        </w:rPr>
      </w:pPr>
      <w:r>
        <w:rPr>
          <w:rFonts w:ascii="Arial" w:cs="Arial" w:eastAsia="Arial" w:hAnsi="Arial"/>
          <w:sz w:val="21"/>
          <w:szCs w:val="21"/>
          <w:color w:val="auto"/>
        </w:rPr>
        <w:t>Each prepayment of Borrowings pursuant to this Section 3.04(c) shall be applied ratably to the Loans included in the prepaid Borrowings. Prepayments pursuant to this Section 3.04(c) shall be accompanied by accrued interest to the extent required by Section 3.02.</w:t>
      </w:r>
    </w:p>
    <w:p>
      <w:pPr>
        <w:spacing w:after="0" w:line="157" w:lineRule="exact"/>
        <w:rPr>
          <w:sz w:val="20"/>
          <w:szCs w:val="20"/>
          <w:color w:val="auto"/>
        </w:rPr>
      </w:pPr>
    </w:p>
    <w:p>
      <w:pPr>
        <w:ind w:firstLine="1293"/>
        <w:spacing w:after="0" w:line="244" w:lineRule="auto"/>
        <w:tabs>
          <w:tab w:leader="none" w:pos="1763"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No Premium or Penalty</w:t>
      </w:r>
      <w:r>
        <w:rPr>
          <w:rFonts w:ascii="Arial" w:cs="Arial" w:eastAsia="Arial" w:hAnsi="Arial"/>
          <w:sz w:val="21"/>
          <w:szCs w:val="21"/>
          <w:color w:val="auto"/>
        </w:rPr>
        <w:t>. Prepayments permitted or required under this Section 3.04 shall be without premium or penalty, except as required under Section 5.02.</w:t>
      </w:r>
    </w:p>
    <w:p>
      <w:pPr>
        <w:spacing w:after="0" w:line="15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3.05</w:t>
      </w:r>
      <w:r>
        <w:rPr>
          <w:sz w:val="20"/>
          <w:szCs w:val="20"/>
          <w:color w:val="auto"/>
        </w:rPr>
        <w:tab/>
      </w:r>
      <w:r>
        <w:rPr>
          <w:rFonts w:ascii="Arial" w:cs="Arial" w:eastAsia="Arial" w:hAnsi="Arial"/>
          <w:sz w:val="17"/>
          <w:szCs w:val="17"/>
          <w:u w:val="single" w:color="auto"/>
          <w:color w:val="auto"/>
        </w:rPr>
        <w:t>Fees.</w:t>
      </w:r>
    </w:p>
    <w:p>
      <w:pPr>
        <w:spacing w:after="0" w:line="187" w:lineRule="exact"/>
        <w:rPr>
          <w:sz w:val="20"/>
          <w:szCs w:val="20"/>
          <w:color w:val="auto"/>
        </w:rPr>
      </w:pPr>
    </w:p>
    <w:p>
      <w:pPr>
        <w:jc w:val="both"/>
        <w:ind w:firstLine="1293"/>
        <w:spacing w:after="0" w:line="231" w:lineRule="auto"/>
        <w:tabs>
          <w:tab w:leader="none" w:pos="1764"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Commitment Fees</w:t>
      </w:r>
      <w:r>
        <w:rPr>
          <w:rFonts w:ascii="Arial" w:cs="Arial" w:eastAsia="Arial" w:hAnsi="Arial"/>
          <w:sz w:val="20"/>
          <w:szCs w:val="20"/>
          <w:color w:val="auto"/>
        </w:rPr>
        <w:t>. The Borrower agrees to pay to the Administrative Agent for the account of each Lender a commitment fee, which shall accrue at the Commitment Fee Rate on the average daily amount of the unused amount of the Commitment of such Lender during the period from and including the date of this Agreement to but excluding the Termination Date. Accrued commitment fees shall be payable in arrears on the last day of March, June, September and December of each year and on the Termination Date, commencing on the first such date to occur after the date hereof. All commitment fees shall be computed on the basis of a year of 360 days, unless such computation would exceed the Highest Lawful Rate, in which case interest shall be computed on the basis of a year of 365 days (or 366 days in a leap year), and shall be payable for the actual number of days elapsed (including the first day but excluding the last day).</w:t>
      </w:r>
    </w:p>
    <w:p>
      <w:pPr>
        <w:spacing w:after="0" w:line="157" w:lineRule="exact"/>
        <w:rPr>
          <w:rFonts w:ascii="Arial" w:cs="Arial" w:eastAsia="Arial" w:hAnsi="Arial"/>
          <w:sz w:val="20"/>
          <w:szCs w:val="20"/>
          <w:color w:val="auto"/>
        </w:rPr>
      </w:pPr>
    </w:p>
    <w:p>
      <w:pPr>
        <w:jc w:val="both"/>
        <w:ind w:firstLine="1293"/>
        <w:spacing w:after="0" w:line="239" w:lineRule="auto"/>
        <w:tabs>
          <w:tab w:leader="none" w:pos="183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 agrees to pay (i) to the Administrative Agent for the account of each Lender a participation fee with respect to its participations in Letters of Credit, which shall accrue at the same Applicable Margin used to determine the interest rate applicable to SOFR Loans on the average daily amount of such Lender’s LC Exposure (excluding any portion thereof attributable to unreimbursed LC Disbursements) during the period from and including the date of this Agreement to but excluding the later of the date on which such Lender’s Commitment terminates and the date on which such Lender ceases to have any LC Exposure, (ii) to the Issuing Bank a fronting fee, which shall accrue at the rate of 0.125% per annum on the average daily amount of the LC Exposure (excluding any portion thereof attributable to unreimbursed LC Disbursements) during the period from and including the date of this Agreement to but excluding the later of the date of termination of the Commitments and the date on which there ceases to be any LC Exposure, provided that in no event shall such fee be less than $500 during any calendar year, and (iii) to the Issuing Bank, for its own account, its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date of this Agreement; provided that all such fees shall be payable on the Termination Date and any such fees accruing after the Termination Date shall be payable on demand. Any other fees payable to the Issuing Bank pursuant to this Section 3.05(b) shall be payable within 10 days after demand. All participation fees and fronting fees shall be computed on the basis of a year of 360 days, unless such computation would exceed the Highest Lawful Rate, in which case interest shall be computed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85" w:name="page186"/>
    <w:bookmarkEnd w:id="185"/>
    <w:p>
      <w:pPr>
        <w:ind w:right="20"/>
        <w:spacing w:after="0" w:line="244" w:lineRule="auto"/>
        <w:rPr>
          <w:sz w:val="20"/>
          <w:szCs w:val="20"/>
          <w:color w:val="auto"/>
        </w:rPr>
      </w:pPr>
      <w:r>
        <w:rPr>
          <w:rFonts w:ascii="Arial" w:cs="Arial" w:eastAsia="Arial" w:hAnsi="Arial"/>
          <w:sz w:val="21"/>
          <w:szCs w:val="21"/>
          <w:color w:val="auto"/>
        </w:rPr>
        <w:t>the basis of a year of 365 days (or 366 days in a leap year), and shall be payable for the actual number of days elapsed (including the first day but excluding the last day).</w:t>
      </w:r>
    </w:p>
    <w:p>
      <w:pPr>
        <w:spacing w:after="0" w:line="152" w:lineRule="exact"/>
        <w:rPr>
          <w:sz w:val="20"/>
          <w:szCs w:val="20"/>
          <w:color w:val="auto"/>
        </w:rPr>
      </w:pPr>
    </w:p>
    <w:p>
      <w:pPr>
        <w:jc w:val="both"/>
        <w:ind w:firstLine="1293"/>
        <w:spacing w:after="0" w:line="232" w:lineRule="auto"/>
        <w:tabs>
          <w:tab w:leader="none" w:pos="1764"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Other Fees</w:t>
      </w:r>
      <w:r>
        <w:rPr>
          <w:rFonts w:ascii="Arial" w:cs="Arial" w:eastAsia="Arial" w:hAnsi="Arial"/>
          <w:sz w:val="21"/>
          <w:szCs w:val="21"/>
          <w:color w:val="auto"/>
        </w:rPr>
        <w:t>. The Borrower agrees to pay to the Administrative Agent, for its own account and for the account of each Lender, as applicable, fees payable in the amounts and at the times separately agreed upon between the Borrower and the Administrative Agent in the Fee Letter.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w:t>
      </w:r>
    </w:p>
    <w:p>
      <w:pPr>
        <w:jc w:val="center"/>
        <w:spacing w:after="0"/>
        <w:rPr>
          <w:sz w:val="20"/>
          <w:szCs w:val="20"/>
          <w:color w:val="auto"/>
        </w:rPr>
      </w:pPr>
      <w:r>
        <w:rPr>
          <w:rFonts w:ascii="Arial" w:cs="Arial" w:eastAsia="Arial" w:hAnsi="Arial"/>
          <w:sz w:val="21"/>
          <w:szCs w:val="21"/>
          <w:b w:val="1"/>
          <w:bCs w:val="1"/>
          <w:color w:val="auto"/>
        </w:rPr>
        <w:t>Payments; Pro Rata Treatment; Sharing of Set-offs</w:t>
      </w:r>
    </w:p>
    <w:p>
      <w:pPr>
        <w:spacing w:after="0" w:line="16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4.01</w:t>
      </w:r>
      <w:r>
        <w:rPr>
          <w:sz w:val="20"/>
          <w:szCs w:val="20"/>
          <w:color w:val="auto"/>
        </w:rPr>
        <w:tab/>
      </w:r>
      <w:r>
        <w:rPr>
          <w:rFonts w:ascii="Arial" w:cs="Arial" w:eastAsia="Arial" w:hAnsi="Arial"/>
          <w:sz w:val="19"/>
          <w:szCs w:val="19"/>
          <w:u w:val="single" w:color="auto"/>
          <w:color w:val="auto"/>
        </w:rPr>
        <w:t>Payments Generally; Pro Rata Treatment; Sharing of Set-offs.</w:t>
      </w:r>
    </w:p>
    <w:p>
      <w:pPr>
        <w:spacing w:after="0" w:line="187" w:lineRule="exact"/>
        <w:rPr>
          <w:sz w:val="20"/>
          <w:szCs w:val="20"/>
          <w:color w:val="auto"/>
        </w:rPr>
      </w:pPr>
    </w:p>
    <w:p>
      <w:pPr>
        <w:jc w:val="both"/>
        <w:ind w:firstLine="1293"/>
        <w:spacing w:after="0" w:line="228" w:lineRule="auto"/>
        <w:tabs>
          <w:tab w:leader="none" w:pos="1844"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Payments by the Borrower</w:t>
      </w:r>
      <w:r>
        <w:rPr>
          <w:rFonts w:ascii="Arial" w:cs="Arial" w:eastAsia="Arial" w:hAnsi="Arial"/>
          <w:sz w:val="20"/>
          <w:szCs w:val="20"/>
          <w:color w:val="auto"/>
        </w:rPr>
        <w:t>. The Borrower shall make each payment required to be made by it hereunder (whether of principal, interest, fees or reimbursement of LC Disbursements, or of amounts payable under Section 5.01, Section 5.02, Section 5.03 or otherwise) prior to 12:00 noon, Houston, Texas time, on the date when due, in immediately available funds, without defense, deduction, recoupment, set-off or counterclaim. Fees, once paid, shall be fully earned and shall not be refundable under any circumstances.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specified in Section 12.01, except payments to be made directly to the Issuing Bank as expressly provided herein and except that payments pursuant to Section 5.01, Section 5.02, Section 5.03 and Section 12.03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59" w:lineRule="exact"/>
        <w:rPr>
          <w:rFonts w:ascii="Arial" w:cs="Arial" w:eastAsia="Arial" w:hAnsi="Arial"/>
          <w:sz w:val="20"/>
          <w:szCs w:val="20"/>
          <w:color w:val="auto"/>
        </w:rPr>
      </w:pPr>
    </w:p>
    <w:p>
      <w:pPr>
        <w:jc w:val="both"/>
        <w:ind w:firstLine="1293"/>
        <w:spacing w:after="0" w:line="233" w:lineRule="auto"/>
        <w:tabs>
          <w:tab w:leader="none" w:pos="183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Application of Insufficient Payments</w:t>
      </w:r>
      <w:r>
        <w:rPr>
          <w:rFonts w:ascii="Arial" w:cs="Arial" w:eastAsia="Arial" w:hAnsi="Arial"/>
          <w:sz w:val="20"/>
          <w:szCs w:val="20"/>
          <w:color w:val="auto"/>
        </w:rPr>
        <w:t>.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59" w:lineRule="exact"/>
        <w:rPr>
          <w:rFonts w:ascii="Arial" w:cs="Arial" w:eastAsia="Arial" w:hAnsi="Arial"/>
          <w:sz w:val="20"/>
          <w:szCs w:val="20"/>
          <w:color w:val="auto"/>
        </w:rPr>
      </w:pPr>
    </w:p>
    <w:p>
      <w:pPr>
        <w:jc w:val="both"/>
        <w:ind w:firstLine="1293"/>
        <w:spacing w:after="0" w:line="229" w:lineRule="auto"/>
        <w:tabs>
          <w:tab w:leader="none" w:pos="1804"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Sharing of Payments by Lenders</w:t>
      </w:r>
      <w:r>
        <w:rPr>
          <w:rFonts w:ascii="Arial" w:cs="Arial" w:eastAsia="Arial" w:hAnsi="Arial"/>
          <w:sz w:val="20"/>
          <w:szCs w:val="20"/>
          <w:color w:val="auto"/>
        </w:rPr>
        <w:t>. 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provided that (i) if any such participations are purchased and all or any portion of the payment giving rise thereto is recovered, such participations shall be rescinded and the purchase price restored to the extent of such recovery, without interest, and (ii) the provisions of this Section 4.01(c) shall not be construed to apply to any payment made by the Borrower pursuant to and in accordance with the express terms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86" w:name="page187"/>
    <w:bookmarkEnd w:id="186"/>
    <w:p>
      <w:pPr>
        <w:jc w:val="both"/>
        <w:spacing w:after="0" w:line="233" w:lineRule="auto"/>
        <w:rPr>
          <w:sz w:val="20"/>
          <w:szCs w:val="20"/>
          <w:color w:val="auto"/>
        </w:rPr>
      </w:pPr>
      <w:r>
        <w:rPr>
          <w:rFonts w:ascii="Arial" w:cs="Arial" w:eastAsia="Arial" w:hAnsi="Arial"/>
          <w:sz w:val="20"/>
          <w:szCs w:val="20"/>
          <w:color w:val="auto"/>
        </w:rPr>
        <w:t>Agreement or any payment obtained by a Lender as consideration for the assignment of or sale of a participation in any of its Loans or participations in LC Disbursements to any assignee or participant, other than to the Borrower or any Restricted Subsidiary or Affiliate thereof (as to which the provisions of this Section 4.01(c)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0" w:lineRule="exact"/>
        <w:rPr>
          <w:sz w:val="20"/>
          <w:szCs w:val="20"/>
          <w:color w:val="auto"/>
        </w:rPr>
      </w:pPr>
    </w:p>
    <w:p>
      <w:pPr>
        <w:jc w:val="both"/>
        <w:ind w:firstLine="643"/>
        <w:spacing w:after="0" w:line="231"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u w:val="single" w:color="auto"/>
          <w:color w:val="auto"/>
        </w:rPr>
        <w:t>Presumption of Payment by the Borrower.</w:t>
      </w:r>
      <w:r>
        <w:rPr>
          <w:rFonts w:ascii="Arial" w:cs="Arial" w:eastAsia="Arial" w:hAnsi="Arial"/>
          <w:sz w:val="20"/>
          <w:szCs w:val="20"/>
          <w:color w:val="auto"/>
        </w:rPr>
        <w:t xml:space="preserve"> Unless the Administrative Agent shall have received notice from the Borrower prior to the date on which any payment is due to the Administrative Agent for the account of the Lenders or the Issuing Bank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Overnight Rate.</w:t>
      </w:r>
    </w:p>
    <w:p>
      <w:pPr>
        <w:spacing w:after="0" w:line="157" w:lineRule="exact"/>
        <w:rPr>
          <w:sz w:val="20"/>
          <w:szCs w:val="20"/>
          <w:color w:val="auto"/>
        </w:rPr>
      </w:pPr>
    </w:p>
    <w:p>
      <w:pPr>
        <w:jc w:val="both"/>
        <w:ind w:firstLine="643"/>
        <w:spacing w:after="0" w:line="229" w:lineRule="auto"/>
        <w:rPr>
          <w:sz w:val="20"/>
          <w:szCs w:val="20"/>
          <w:color w:val="auto"/>
        </w:rPr>
      </w:pPr>
      <w:r>
        <w:rPr>
          <w:rFonts w:ascii="Arial" w:cs="Arial" w:eastAsia="Arial" w:hAnsi="Arial"/>
          <w:sz w:val="20"/>
          <w:szCs w:val="20"/>
          <w:color w:val="auto"/>
        </w:rPr>
        <w:t xml:space="preserve">Section 4.03 </w:t>
      </w:r>
      <w:r>
        <w:rPr>
          <w:rFonts w:ascii="Arial" w:cs="Arial" w:eastAsia="Arial" w:hAnsi="Arial"/>
          <w:sz w:val="20"/>
          <w:szCs w:val="20"/>
          <w:u w:val="single" w:color="auto"/>
          <w:color w:val="auto"/>
        </w:rPr>
        <w:t>Disposition of Proceeds.</w:t>
      </w:r>
      <w:r>
        <w:rPr>
          <w:rFonts w:ascii="Arial" w:cs="Arial" w:eastAsia="Arial" w:hAnsi="Arial"/>
          <w:sz w:val="20"/>
          <w:szCs w:val="20"/>
          <w:color w:val="auto"/>
        </w:rPr>
        <w:t xml:space="preserve"> The Security Instruments contain an assignment by the Borrower and the Guarantors unto and in favor of the Administrative Agent for the benefit of the Lenders of all of the Borrower’s and each Guarantor’s interest in and to production and all proceeds attributable thereto which may be produced from or allocated to the Mortgaged Property. The Security Instruments further provide in general for the application of such proceeds to the satisfaction of the Indebtedness and other obligations described therein and secured thereby. Notwithstanding the assignment contained in such Security Instruments, until the occurrence of an Event of Default, (a) the Administrative Agent and the Lenders agree that they will neither notify the purchaser or purchasers of such production nor take any other action to cause such proceeds to be remitted to the Administrative Agent or the Lenders, but the Lenders will instead permit such proceeds to be paid to the Borrower and the Restricted Subsidiaries and (b) the Lenders hereby authorize the Administrative Agent to take such actions as may be necessary to cause such proceeds to be paid to the Borrower and such Restricted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w:t>
      </w:r>
    </w:p>
    <w:p>
      <w:pPr>
        <w:jc w:val="center"/>
        <w:spacing w:after="0"/>
        <w:rPr>
          <w:sz w:val="20"/>
          <w:szCs w:val="20"/>
          <w:color w:val="auto"/>
        </w:rPr>
      </w:pPr>
      <w:r>
        <w:rPr>
          <w:rFonts w:ascii="Arial" w:cs="Arial" w:eastAsia="Arial" w:hAnsi="Arial"/>
          <w:sz w:val="21"/>
          <w:szCs w:val="21"/>
          <w:b w:val="1"/>
          <w:bCs w:val="1"/>
          <w:color w:val="auto"/>
        </w:rPr>
        <w:t>Increased Costs; Break Funding Payments; Taxes; Illegality</w:t>
      </w:r>
    </w:p>
    <w:p>
      <w:pPr>
        <w:spacing w:after="0" w:line="16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5.01</w:t>
      </w:r>
      <w:r>
        <w:rPr>
          <w:sz w:val="20"/>
          <w:szCs w:val="20"/>
          <w:color w:val="auto"/>
        </w:rPr>
        <w:tab/>
      </w:r>
      <w:r>
        <w:rPr>
          <w:rFonts w:ascii="Arial" w:cs="Arial" w:eastAsia="Arial" w:hAnsi="Arial"/>
          <w:sz w:val="18"/>
          <w:szCs w:val="18"/>
          <w:u w:val="single" w:color="auto"/>
          <w:color w:val="auto"/>
        </w:rPr>
        <w:t>Increased Costs.</w:t>
      </w:r>
    </w:p>
    <w:p>
      <w:pPr>
        <w:spacing w:after="0" w:line="187" w:lineRule="exact"/>
        <w:rPr>
          <w:sz w:val="20"/>
          <w:szCs w:val="20"/>
          <w:color w:val="auto"/>
        </w:rPr>
      </w:pPr>
    </w:p>
    <w:p>
      <w:pPr>
        <w:ind w:left="1740" w:hanging="447"/>
        <w:spacing w:after="0"/>
        <w:tabs>
          <w:tab w:leader="none" w:pos="1740"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Increased Costs Generally</w:t>
      </w:r>
      <w:r>
        <w:rPr>
          <w:rFonts w:ascii="Arial" w:cs="Arial" w:eastAsia="Arial" w:hAnsi="Arial"/>
          <w:sz w:val="21"/>
          <w:szCs w:val="21"/>
          <w:color w:val="auto"/>
        </w:rPr>
        <w:t>. If any Change in Law shall:</w:t>
      </w:r>
    </w:p>
    <w:p>
      <w:pPr>
        <w:spacing w:after="0" w:line="186" w:lineRule="exact"/>
        <w:rPr>
          <w:rFonts w:ascii="Arial" w:cs="Arial" w:eastAsia="Arial" w:hAnsi="Arial"/>
          <w:sz w:val="21"/>
          <w:szCs w:val="21"/>
          <w:color w:val="auto"/>
        </w:rPr>
      </w:pPr>
    </w:p>
    <w:p>
      <w:pPr>
        <w:jc w:val="both"/>
        <w:ind w:firstLine="1935"/>
        <w:spacing w:after="0" w:line="232" w:lineRule="auto"/>
        <w:tabs>
          <w:tab w:leader="none" w:pos="2373" w:val="left"/>
        </w:tabs>
        <w:numPr>
          <w:ilvl w:val="1"/>
          <w:numId w:val="101"/>
        </w:numPr>
        <w:rPr>
          <w:rFonts w:ascii="Arial" w:cs="Arial" w:eastAsia="Arial" w:hAnsi="Arial"/>
          <w:sz w:val="21"/>
          <w:szCs w:val="21"/>
          <w:color w:val="auto"/>
        </w:rPr>
      </w:pPr>
      <w:r>
        <w:rPr>
          <w:rFonts w:ascii="Arial" w:cs="Arial" w:eastAsia="Arial" w:hAnsi="Arial"/>
          <w:sz w:val="21"/>
          <w:szCs w:val="21"/>
          <w:color w:val="auto"/>
        </w:rPr>
        <w:t>impose, modify or deem applicable any reserve, special deposit, compulsory loan, insurance charge or similar requirement against assets of, deposits with or for the account of, or advances, loans or other credit extended or participated in by, any Lender or the Issuing Bank;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87" w:name="page188"/>
    <w:bookmarkEnd w:id="187"/>
    <w:p>
      <w:pPr>
        <w:ind w:left="1940"/>
        <w:spacing w:after="0"/>
        <w:tabs>
          <w:tab w:leader="none" w:pos="2400" w:val="left"/>
        </w:tabs>
        <w:rPr>
          <w:sz w:val="20"/>
          <w:szCs w:val="20"/>
          <w:color w:val="auto"/>
        </w:rPr>
      </w:pPr>
      <w:r>
        <w:rPr>
          <w:rFonts w:ascii="Arial" w:cs="Arial" w:eastAsia="Arial" w:hAnsi="Arial"/>
          <w:sz w:val="21"/>
          <w:szCs w:val="21"/>
          <w:color w:val="auto"/>
        </w:rPr>
        <w:t>(ii)</w:t>
      </w:r>
      <w:r>
        <w:rPr>
          <w:sz w:val="20"/>
          <w:szCs w:val="20"/>
          <w:color w:val="auto"/>
        </w:rPr>
        <w:tab/>
      </w:r>
      <w:r>
        <w:rPr>
          <w:rFonts w:ascii="Arial" w:cs="Arial" w:eastAsia="Arial" w:hAnsi="Arial"/>
          <w:sz w:val="19"/>
          <w:szCs w:val="19"/>
          <w:color w:val="auto"/>
        </w:rPr>
        <w:t>impose on any Lender any other condition affecting this Agreement or Loans made by such Lender;</w:t>
      </w:r>
    </w:p>
    <w:p>
      <w:pPr>
        <w:spacing w:after="0" w:line="187" w:lineRule="exact"/>
        <w:rPr>
          <w:sz w:val="20"/>
          <w:szCs w:val="20"/>
          <w:color w:val="auto"/>
        </w:rPr>
      </w:pPr>
    </w:p>
    <w:p>
      <w:pPr>
        <w:jc w:val="both"/>
        <w:spacing w:after="0" w:line="227" w:lineRule="auto"/>
        <w:rPr>
          <w:sz w:val="20"/>
          <w:szCs w:val="20"/>
          <w:color w:val="auto"/>
        </w:rPr>
      </w:pPr>
      <w:r>
        <w:rPr>
          <w:rFonts w:ascii="Arial" w:cs="Arial" w:eastAsia="Arial" w:hAnsi="Arial"/>
          <w:sz w:val="21"/>
          <w:szCs w:val="21"/>
          <w:color w:val="auto"/>
        </w:rPr>
        <w:t>and the result of any of the foregoing shall be to increase the cost to such Lender of making or maintaining any Loan (or of maintaining its obligation to make any such Loan) or to reduce the amount of any sum received or receivable by such Lender (whether of principal, interest or otherwise), then the Borrower will pay to such Lender such additional amount or amounts as will compensate such Lender for such additional costs incurred or reduction suffered.</w:t>
      </w:r>
    </w:p>
    <w:p>
      <w:pPr>
        <w:spacing w:after="0" w:line="158" w:lineRule="exact"/>
        <w:rPr>
          <w:sz w:val="20"/>
          <w:szCs w:val="20"/>
          <w:color w:val="auto"/>
        </w:rPr>
      </w:pPr>
    </w:p>
    <w:p>
      <w:pPr>
        <w:jc w:val="both"/>
        <w:ind w:firstLine="1293"/>
        <w:spacing w:after="0" w:line="218" w:lineRule="auto"/>
        <w:tabs>
          <w:tab w:leader="none" w:pos="1749"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Capital Requirements</w:t>
      </w:r>
      <w:r>
        <w:rPr>
          <w:rFonts w:ascii="Arial" w:cs="Arial" w:eastAsia="Arial" w:hAnsi="Arial"/>
          <w:sz w:val="21"/>
          <w:szCs w:val="21"/>
          <w:color w:val="auto"/>
        </w:rPr>
        <w:t>. If any Lender or the Issuing Bank determines that any Change in Law regarding capital adequacy or liquidity requirements has or would have the effect of reducing the rate of return on such Lender’s or the Issuing Bank’s capital or liquidity or on the capital or liquidity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163" w:lineRule="exact"/>
        <w:rPr>
          <w:rFonts w:ascii="Arial" w:cs="Arial" w:eastAsia="Arial" w:hAnsi="Arial"/>
          <w:sz w:val="21"/>
          <w:szCs w:val="21"/>
          <w:color w:val="auto"/>
        </w:rPr>
      </w:pPr>
    </w:p>
    <w:p>
      <w:pPr>
        <w:jc w:val="both"/>
        <w:ind w:firstLine="1293"/>
        <w:spacing w:after="0" w:line="238" w:lineRule="auto"/>
        <w:tabs>
          <w:tab w:leader="none" w:pos="1791"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Certificates</w:t>
      </w:r>
      <w:r>
        <w:rPr>
          <w:rFonts w:ascii="Arial" w:cs="Arial" w:eastAsia="Arial" w:hAnsi="Arial"/>
          <w:sz w:val="20"/>
          <w:szCs w:val="20"/>
          <w:color w:val="auto"/>
        </w:rPr>
        <w:t>. A certificate of a Lender or the Issuing Bank setting forth the amount or amounts necessary to compensate such Lender or the Issuing Bank or its holding company, as the case may be, as specified in Section 5.01(a) or (b) shall be delivered to the Borrower and shall be conclusive absent manifest error. The Borrower shall pay such Lender or the Issuing Bank, as the case may be, the amount shown as due on any such certificate within 10 days after receipt thereof.</w:t>
      </w:r>
    </w:p>
    <w:p>
      <w:pPr>
        <w:spacing w:after="0" w:line="158" w:lineRule="exact"/>
        <w:rPr>
          <w:rFonts w:ascii="Arial" w:cs="Arial" w:eastAsia="Arial" w:hAnsi="Arial"/>
          <w:sz w:val="20"/>
          <w:szCs w:val="20"/>
          <w:color w:val="auto"/>
        </w:rPr>
      </w:pPr>
    </w:p>
    <w:p>
      <w:pPr>
        <w:jc w:val="both"/>
        <w:ind w:firstLine="1293"/>
        <w:spacing w:after="0" w:line="231" w:lineRule="auto"/>
        <w:tabs>
          <w:tab w:leader="none" w:pos="183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Effect of Failure or Delay in Requesting Compensation</w:t>
      </w:r>
      <w:r>
        <w:rPr>
          <w:rFonts w:ascii="Arial" w:cs="Arial" w:eastAsia="Arial" w:hAnsi="Arial"/>
          <w:sz w:val="20"/>
          <w:szCs w:val="20"/>
          <w:color w:val="auto"/>
        </w:rPr>
        <w:t>. Failure or delay on the part of any Lender or the Issuing Bank to demand compensation pursuant to this Section 5.01 shall not constitute a waiver of such Lender’s or the Issuing Bank’s right to demand such compensation; provided that the Borrower shall not be required to compensate a Lender or the Issuing Bank pursuant to this Section 5.01 for any increased costs or reductions incurred more than 365 days prior to the date that such Lender or the Issuing Bank, as the case may be, notifies the Borrower of the Change in Law giving rise to such increased costs or reductions and of such Lender’s or the Issuing Bank’s intention to claim compensation therefor; provided further that, if the Change in Law giving rise to such increased costs or reductions is retroactive, then the 365-day period referred to above shall be extended to include the period of retroactive effect thereof.</w:t>
      </w:r>
    </w:p>
    <w:p>
      <w:pPr>
        <w:spacing w:after="0" w:line="157" w:lineRule="exact"/>
        <w:rPr>
          <w:sz w:val="20"/>
          <w:szCs w:val="20"/>
          <w:color w:val="auto"/>
        </w:rPr>
      </w:pPr>
    </w:p>
    <w:p>
      <w:pPr>
        <w:jc w:val="both"/>
        <w:ind w:firstLine="643"/>
        <w:spacing w:after="0" w:line="231"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u w:val="single" w:color="auto"/>
          <w:color w:val="auto"/>
        </w:rPr>
        <w:t>Break Funding Payments.</w:t>
      </w:r>
      <w:r>
        <w:rPr>
          <w:rFonts w:ascii="Arial" w:cs="Arial" w:eastAsia="Arial" w:hAnsi="Arial"/>
          <w:sz w:val="20"/>
          <w:szCs w:val="20"/>
          <w:color w:val="auto"/>
        </w:rPr>
        <w:t xml:space="preserve"> In the event of (a) the payment of any principal of any SOFR Loan other than on the last day of an Interest Period applicable thereto (including as a result of an Event of Default), (b) the conversion of any SOFR Loan into an ABR Loan other than on the last day of the Interest Period applicable thereto, (c) the failure to borrow, convert, continue or prepay any SOFR Loan on the date specified in any notice delivered pursuant hereto, or (d) the assignment of any SOFR Loan other than on the last day of the Interest Period applicable thereto as a result of a request by the Borrower pursuant to Section 5.04, then, in any such event, upon the request of any Lender, the Borrower shall compensate such Lender for the loss, cost and expense (including any loss, cost or expense arising from the liquidation or reemployment of funds or from any fees payable) attributable to, or as a consequence of,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88" w:name="page189"/>
    <w:bookmarkEnd w:id="188"/>
    <w:p>
      <w:pPr>
        <w:jc w:val="both"/>
        <w:ind w:firstLine="643"/>
        <w:spacing w:after="0" w:line="232" w:lineRule="auto"/>
        <w:rPr>
          <w:sz w:val="20"/>
          <w:szCs w:val="20"/>
          <w:color w:val="auto"/>
        </w:rPr>
      </w:pPr>
      <w:r>
        <w:rPr>
          <w:rFonts w:ascii="Arial" w:cs="Arial" w:eastAsia="Arial" w:hAnsi="Arial"/>
          <w:sz w:val="21"/>
          <w:szCs w:val="21"/>
          <w:color w:val="auto"/>
        </w:rPr>
        <w:t>A certificate of any Lender setting forth any amount or amounts that such Lender is entitled to receive pursuant to this Section 5.02 shall be delivered to the Borrower and shall be conclusive absent manifest error. The Borrower shall pay such Lender the amount shown as due on any such certificate within 10 days after receipt thereof.</w:t>
      </w:r>
    </w:p>
    <w:p>
      <w:pPr>
        <w:spacing w:after="0" w:line="157"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5.03</w:t>
      </w:r>
      <w:r>
        <w:rPr>
          <w:sz w:val="20"/>
          <w:szCs w:val="20"/>
          <w:color w:val="auto"/>
        </w:rPr>
        <w:tab/>
      </w:r>
      <w:r>
        <w:rPr>
          <w:rFonts w:ascii="Arial" w:cs="Arial" w:eastAsia="Arial" w:hAnsi="Arial"/>
          <w:sz w:val="17"/>
          <w:szCs w:val="17"/>
          <w:u w:val="single" w:color="auto"/>
          <w:color w:val="auto"/>
        </w:rPr>
        <w:t>Taxes.</w:t>
      </w:r>
    </w:p>
    <w:p>
      <w:pPr>
        <w:spacing w:after="0" w:line="187" w:lineRule="exact"/>
        <w:rPr>
          <w:sz w:val="20"/>
          <w:szCs w:val="20"/>
          <w:color w:val="auto"/>
        </w:rPr>
      </w:pPr>
    </w:p>
    <w:p>
      <w:pPr>
        <w:ind w:firstLine="1293"/>
        <w:spacing w:after="0" w:line="244" w:lineRule="auto"/>
        <w:tabs>
          <w:tab w:leader="none" w:pos="1764"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Defined Terms</w:t>
      </w:r>
      <w:r>
        <w:rPr>
          <w:rFonts w:ascii="Arial" w:cs="Arial" w:eastAsia="Arial" w:hAnsi="Arial"/>
          <w:sz w:val="21"/>
          <w:szCs w:val="21"/>
          <w:color w:val="auto"/>
        </w:rPr>
        <w:t>. For purposes of this Section 5.03, the term “</w:t>
      </w:r>
      <w:r>
        <w:rPr>
          <w:rFonts w:ascii="Arial" w:cs="Arial" w:eastAsia="Arial" w:hAnsi="Arial"/>
          <w:sz w:val="21"/>
          <w:szCs w:val="21"/>
          <w:u w:val="single" w:color="auto"/>
          <w:color w:val="auto"/>
        </w:rPr>
        <w:t>Lender</w:t>
      </w:r>
      <w:r>
        <w:rPr>
          <w:rFonts w:ascii="Arial" w:cs="Arial" w:eastAsia="Arial" w:hAnsi="Arial"/>
          <w:sz w:val="21"/>
          <w:szCs w:val="21"/>
          <w:color w:val="auto"/>
        </w:rPr>
        <w:t>” includes any Issuing Bank and the term “</w:t>
      </w:r>
      <w:r>
        <w:rPr>
          <w:rFonts w:ascii="Arial" w:cs="Arial" w:eastAsia="Arial" w:hAnsi="Arial"/>
          <w:sz w:val="21"/>
          <w:szCs w:val="21"/>
          <w:u w:val="single" w:color="auto"/>
          <w:color w:val="auto"/>
        </w:rPr>
        <w:t>applicable law</w:t>
      </w:r>
      <w:r>
        <w:rPr>
          <w:rFonts w:ascii="Arial" w:cs="Arial" w:eastAsia="Arial" w:hAnsi="Arial"/>
          <w:sz w:val="21"/>
          <w:szCs w:val="21"/>
          <w:color w:val="auto"/>
        </w:rPr>
        <w:t>” includes FATCA.</w:t>
      </w:r>
    </w:p>
    <w:p>
      <w:pPr>
        <w:spacing w:after="0" w:line="151" w:lineRule="exact"/>
        <w:rPr>
          <w:rFonts w:ascii="Arial" w:cs="Arial" w:eastAsia="Arial" w:hAnsi="Arial"/>
          <w:sz w:val="21"/>
          <w:szCs w:val="21"/>
          <w:color w:val="auto"/>
        </w:rPr>
      </w:pPr>
    </w:p>
    <w:p>
      <w:pPr>
        <w:jc w:val="both"/>
        <w:ind w:firstLine="1293"/>
        <w:spacing w:after="0" w:line="242" w:lineRule="auto"/>
        <w:tabs>
          <w:tab w:leader="none" w:pos="1816"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Any and all payments by or on account of any obligation of the Borrower or any Guarantor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a Guarantor, as applicable, shall be increased as necessary so that, after such deduction or withholding has been made (including such deductions and withholdings applicable to additional sums payable under this Section 5.03), the amounts received with respect to this Agreement equal the sum which would have been received had no such deduction or withholding been made.</w:t>
      </w:r>
    </w:p>
    <w:p>
      <w:pPr>
        <w:spacing w:after="0" w:line="159" w:lineRule="exact"/>
        <w:rPr>
          <w:rFonts w:ascii="Arial" w:cs="Arial" w:eastAsia="Arial" w:hAnsi="Arial"/>
          <w:sz w:val="19"/>
          <w:szCs w:val="19"/>
          <w:color w:val="auto"/>
        </w:rPr>
      </w:pPr>
    </w:p>
    <w:p>
      <w:pPr>
        <w:jc w:val="both"/>
        <w:ind w:firstLine="1293"/>
        <w:spacing w:after="0" w:line="232" w:lineRule="auto"/>
        <w:tabs>
          <w:tab w:leader="none" w:pos="1871"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Payment of Other Taxes by the Borrower</w:t>
      </w:r>
      <w:r>
        <w:rPr>
          <w:rFonts w:ascii="Arial" w:cs="Arial" w:eastAsia="Arial" w:hAnsi="Arial"/>
          <w:sz w:val="21"/>
          <w:szCs w:val="21"/>
          <w:color w:val="auto"/>
        </w:rPr>
        <w:t>. The Borrower shall timely pay to the relevant Governmental Authority in accordance with applicable law, or at the written direction of the Administrative Agent timely reimburse it for, Other Taxes.</w:t>
      </w:r>
    </w:p>
    <w:p>
      <w:pPr>
        <w:spacing w:after="0" w:line="156" w:lineRule="exact"/>
        <w:rPr>
          <w:rFonts w:ascii="Arial" w:cs="Arial" w:eastAsia="Arial" w:hAnsi="Arial"/>
          <w:sz w:val="21"/>
          <w:szCs w:val="21"/>
          <w:color w:val="auto"/>
        </w:rPr>
      </w:pPr>
    </w:p>
    <w:p>
      <w:pPr>
        <w:jc w:val="both"/>
        <w:ind w:firstLine="1293"/>
        <w:spacing w:after="0" w:line="231" w:lineRule="auto"/>
        <w:tabs>
          <w:tab w:leader="none" w:pos="179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Indemnification by the Borrower</w:t>
      </w:r>
      <w:r>
        <w:rPr>
          <w:rFonts w:ascii="Arial" w:cs="Arial" w:eastAsia="Arial" w:hAnsi="Arial"/>
          <w:sz w:val="20"/>
          <w:szCs w:val="20"/>
          <w:color w:val="auto"/>
        </w:rPr>
        <w:t>. The Borrower shall indemnify the Administrative Agent and each Lender, within 10 days after written demand therefor, for the full amount of any Indemnified Taxes (including Indemnified Taxes imposed or asserted on or attributable to amounts payable under this Section 5.03) payable or paid by the Borrower or a Guarantor, as applicable, or required to be withheld or deducted from a payment to the Administrative Agent or a Lender, as applicable,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57" w:lineRule="exact"/>
        <w:rPr>
          <w:rFonts w:ascii="Arial" w:cs="Arial" w:eastAsia="Arial" w:hAnsi="Arial"/>
          <w:sz w:val="20"/>
          <w:szCs w:val="20"/>
          <w:color w:val="auto"/>
        </w:rPr>
      </w:pPr>
    </w:p>
    <w:p>
      <w:pPr>
        <w:jc w:val="both"/>
        <w:ind w:firstLine="1293"/>
        <w:spacing w:after="0" w:line="229" w:lineRule="auto"/>
        <w:tabs>
          <w:tab w:leader="none" w:pos="1791"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Indemnification by the Lenders</w:t>
      </w:r>
      <w:r>
        <w:rPr>
          <w:rFonts w:ascii="Arial" w:cs="Arial" w:eastAsia="Arial" w:hAnsi="Arial"/>
          <w:sz w:val="20"/>
          <w:szCs w:val="20"/>
          <w:color w:val="auto"/>
        </w:rPr>
        <w:t>. Each Lender shall severally indemnify the Administrative Agent, within 10 days after demand therefor, for (i) Taxes attributable to such Lender (but only to the extent that the Borrower or a Guarantor has not already indemnified the Administrative Agent for such Taxes and without limiting the obligation of the Borrower and the Guarantors to do so) and (ii) any Taxes attributable to such Lender’s failure to comply with the provisions of Section 12.04(c)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89" w:name="page190"/>
    <w:bookmarkEnd w:id="189"/>
    <w:p>
      <w:pPr>
        <w:spacing w:after="0"/>
        <w:rPr>
          <w:sz w:val="20"/>
          <w:szCs w:val="20"/>
          <w:color w:val="auto"/>
        </w:rPr>
      </w:pPr>
      <w:r>
        <w:rPr>
          <w:rFonts w:ascii="Arial" w:cs="Arial" w:eastAsia="Arial" w:hAnsi="Arial"/>
          <w:sz w:val="21"/>
          <w:szCs w:val="21"/>
          <w:color w:val="auto"/>
        </w:rPr>
        <w:t>the Lender from any other source against any amount due to the Administrative Agent under this paragraph (e).</w:t>
      </w:r>
    </w:p>
    <w:p>
      <w:pPr>
        <w:spacing w:after="0" w:line="187" w:lineRule="exact"/>
        <w:rPr>
          <w:sz w:val="20"/>
          <w:szCs w:val="20"/>
          <w:color w:val="auto"/>
        </w:rPr>
      </w:pPr>
    </w:p>
    <w:p>
      <w:pPr>
        <w:jc w:val="both"/>
        <w:ind w:firstLine="1293"/>
        <w:spacing w:after="0" w:line="238" w:lineRule="auto"/>
        <w:tabs>
          <w:tab w:leader="none" w:pos="174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Indemnified Taxes or Other Taxes by the Borrower or a Guarantor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8" w:lineRule="exact"/>
        <w:rPr>
          <w:rFonts w:ascii="Arial" w:cs="Arial" w:eastAsia="Arial" w:hAnsi="Arial"/>
          <w:sz w:val="20"/>
          <w:szCs w:val="20"/>
          <w:color w:val="auto"/>
        </w:rPr>
      </w:pPr>
    </w:p>
    <w:p>
      <w:pPr>
        <w:ind w:left="1760" w:hanging="467"/>
        <w:spacing w:after="0"/>
        <w:tabs>
          <w:tab w:leader="none" w:pos="1760"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Status of Lenders</w:t>
      </w:r>
      <w:r>
        <w:rPr>
          <w:rFonts w:ascii="Arial" w:cs="Arial" w:eastAsia="Arial" w:hAnsi="Arial"/>
          <w:sz w:val="21"/>
          <w:szCs w:val="21"/>
          <w:color w:val="auto"/>
        </w:rPr>
        <w:t>.</w:t>
      </w:r>
    </w:p>
    <w:p>
      <w:pPr>
        <w:spacing w:after="0" w:line="186" w:lineRule="exact"/>
        <w:rPr>
          <w:rFonts w:ascii="Arial" w:cs="Arial" w:eastAsia="Arial" w:hAnsi="Arial"/>
          <w:sz w:val="21"/>
          <w:szCs w:val="21"/>
          <w:color w:val="auto"/>
        </w:rPr>
      </w:pPr>
    </w:p>
    <w:p>
      <w:pPr>
        <w:jc w:val="both"/>
        <w:ind w:firstLine="1935"/>
        <w:spacing w:after="0" w:line="228" w:lineRule="auto"/>
        <w:tabs>
          <w:tab w:leader="none" w:pos="245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5.03(g)(ii)(A),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3" w:lineRule="exact"/>
        <w:rPr>
          <w:rFonts w:ascii="Arial" w:cs="Arial" w:eastAsia="Arial" w:hAnsi="Arial"/>
          <w:sz w:val="20"/>
          <w:szCs w:val="20"/>
          <w:color w:val="auto"/>
        </w:rPr>
      </w:pPr>
    </w:p>
    <w:p>
      <w:pPr>
        <w:ind w:left="2400" w:hanging="465"/>
        <w:spacing w:after="0"/>
        <w:tabs>
          <w:tab w:leader="none" w:pos="240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Without limiting the generality of the foregoing,</w:t>
      </w:r>
    </w:p>
    <w:p>
      <w:pPr>
        <w:spacing w:after="0" w:line="186" w:lineRule="exact"/>
        <w:rPr>
          <w:rFonts w:ascii="Arial" w:cs="Arial" w:eastAsia="Arial" w:hAnsi="Arial"/>
          <w:sz w:val="21"/>
          <w:szCs w:val="21"/>
          <w:color w:val="auto"/>
        </w:rPr>
      </w:pPr>
    </w:p>
    <w:p>
      <w:pPr>
        <w:jc w:val="both"/>
        <w:ind w:firstLine="2578"/>
        <w:spacing w:after="0" w:line="227" w:lineRule="auto"/>
        <w:tabs>
          <w:tab w:leader="none" w:pos="3082" w:val="left"/>
        </w:tabs>
        <w:numPr>
          <w:ilvl w:val="2"/>
          <w:numId w:val="104"/>
        </w:numPr>
        <w:rPr>
          <w:rFonts w:ascii="Arial" w:cs="Arial" w:eastAsia="Arial" w:hAnsi="Arial"/>
          <w:sz w:val="21"/>
          <w:szCs w:val="21"/>
          <w:color w:val="010000"/>
        </w:rPr>
      </w:pPr>
      <w:r>
        <w:rPr>
          <w:rFonts w:ascii="Arial" w:cs="Arial" w:eastAsia="Arial" w:hAnsi="Arial"/>
          <w:sz w:val="21"/>
          <w:szCs w:val="21"/>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57" w:lineRule="exact"/>
        <w:rPr>
          <w:rFonts w:ascii="Arial" w:cs="Arial" w:eastAsia="Arial" w:hAnsi="Arial"/>
          <w:sz w:val="21"/>
          <w:szCs w:val="21"/>
          <w:color w:val="010000"/>
        </w:rPr>
      </w:pPr>
    </w:p>
    <w:p>
      <w:pPr>
        <w:jc w:val="both"/>
        <w:ind w:firstLine="2578"/>
        <w:spacing w:after="0" w:line="227" w:lineRule="auto"/>
        <w:tabs>
          <w:tab w:leader="none" w:pos="3124" w:val="left"/>
        </w:tabs>
        <w:numPr>
          <w:ilvl w:val="2"/>
          <w:numId w:val="104"/>
        </w:numPr>
        <w:rPr>
          <w:rFonts w:ascii="Arial" w:cs="Arial" w:eastAsia="Arial" w:hAnsi="Arial"/>
          <w:sz w:val="21"/>
          <w:szCs w:val="21"/>
          <w:color w:val="010000"/>
        </w:rPr>
      </w:pPr>
      <w:r>
        <w:rPr>
          <w:rFonts w:ascii="Arial" w:cs="Arial" w:eastAsia="Arial" w:hAnsi="Arial"/>
          <w:sz w:val="21"/>
          <w:szCs w:val="21"/>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57" w:lineRule="exact"/>
        <w:rPr>
          <w:rFonts w:ascii="Arial" w:cs="Arial" w:eastAsia="Arial" w:hAnsi="Arial"/>
          <w:sz w:val="21"/>
          <w:szCs w:val="21"/>
          <w:color w:val="010000"/>
        </w:rPr>
      </w:pPr>
    </w:p>
    <w:p>
      <w:pPr>
        <w:jc w:val="both"/>
        <w:ind w:firstLine="3221"/>
        <w:spacing w:after="0" w:line="222" w:lineRule="auto"/>
        <w:tabs>
          <w:tab w:leader="none" w:pos="3718" w:val="left"/>
        </w:tabs>
        <w:numPr>
          <w:ilvl w:val="3"/>
          <w:numId w:val="104"/>
        </w:numPr>
        <w:rPr>
          <w:rFonts w:ascii="Arial" w:cs="Arial" w:eastAsia="Arial" w:hAnsi="Arial"/>
          <w:sz w:val="21"/>
          <w:szCs w:val="21"/>
          <w:color w:val="010000"/>
        </w:rPr>
      </w:pPr>
      <w:r>
        <w:rPr>
          <w:rFonts w:ascii="Arial" w:cs="Arial" w:eastAsia="Arial" w:hAnsi="Arial"/>
          <w:sz w:val="21"/>
          <w:szCs w:val="21"/>
          <w:color w:val="auto"/>
        </w:rPr>
        <w:t>in the case of a Foreign Lender claiming the benefits of an income tax treaty to which the United States is a party (I) with respect to payments of interest under any Loan Document, executed originals of IRS Form W-8BEN establishing an exemption from, or reduction of, U.S. federal withholding Tax pursuant to the “</w:t>
      </w:r>
      <w:r>
        <w:rPr>
          <w:rFonts w:ascii="Arial" w:cs="Arial" w:eastAsia="Arial" w:hAnsi="Arial"/>
          <w:sz w:val="21"/>
          <w:szCs w:val="21"/>
          <w:u w:val="single" w:color="auto"/>
          <w:color w:val="auto"/>
        </w:rPr>
        <w:t>interest</w:t>
      </w:r>
      <w:r>
        <w:rPr>
          <w:rFonts w:ascii="Arial" w:cs="Arial" w:eastAsia="Arial" w:hAnsi="Arial"/>
          <w:sz w:val="21"/>
          <w:szCs w:val="21"/>
          <w:color w:val="auto"/>
        </w:rPr>
        <w:t>” article of such tax treaty and (II) with respect to any other applicable payments under any Loan Document, IRS Form W-8BEN establishing an exemption from, or reduction of, U.S. federal withholding Tax pursuant to the “</w:t>
      </w:r>
      <w:r>
        <w:rPr>
          <w:rFonts w:ascii="Arial" w:cs="Arial" w:eastAsia="Arial" w:hAnsi="Arial"/>
          <w:sz w:val="21"/>
          <w:szCs w:val="21"/>
          <w:u w:val="single" w:color="auto"/>
          <w:color w:val="auto"/>
        </w:rPr>
        <w:t>business profits</w:t>
      </w:r>
      <w:r>
        <w:rPr>
          <w:rFonts w:ascii="Arial" w:cs="Arial" w:eastAsia="Arial" w:hAnsi="Arial"/>
          <w:sz w:val="21"/>
          <w:szCs w:val="21"/>
          <w:color w:val="auto"/>
        </w:rPr>
        <w:t>” or “</w:t>
      </w:r>
      <w:r>
        <w:rPr>
          <w:rFonts w:ascii="Arial" w:cs="Arial" w:eastAsia="Arial" w:hAnsi="Arial"/>
          <w:sz w:val="21"/>
          <w:szCs w:val="21"/>
          <w:u w:val="single" w:color="auto"/>
          <w:color w:val="auto"/>
        </w:rPr>
        <w:t>other income</w:t>
      </w:r>
      <w:r>
        <w:rPr>
          <w:rFonts w:ascii="Arial" w:cs="Arial" w:eastAsia="Arial" w:hAnsi="Arial"/>
          <w:sz w:val="21"/>
          <w:szCs w:val="21"/>
          <w:color w:val="auto"/>
        </w:rPr>
        <w:t>” article of such tax treaty;</w:t>
      </w:r>
    </w:p>
    <w:p>
      <w:pPr>
        <w:spacing w:after="0" w:line="159" w:lineRule="exact"/>
        <w:rPr>
          <w:rFonts w:ascii="Arial" w:cs="Arial" w:eastAsia="Arial" w:hAnsi="Arial"/>
          <w:sz w:val="21"/>
          <w:szCs w:val="21"/>
          <w:color w:val="010000"/>
        </w:rPr>
      </w:pPr>
    </w:p>
    <w:p>
      <w:pPr>
        <w:ind w:left="3680" w:hanging="459"/>
        <w:spacing w:after="0"/>
        <w:tabs>
          <w:tab w:leader="none" w:pos="3680" w:val="left"/>
        </w:tabs>
        <w:numPr>
          <w:ilvl w:val="3"/>
          <w:numId w:val="104"/>
        </w:numPr>
        <w:rPr>
          <w:rFonts w:ascii="Arial" w:cs="Arial" w:eastAsia="Arial" w:hAnsi="Arial"/>
          <w:sz w:val="21"/>
          <w:szCs w:val="21"/>
          <w:color w:val="010000"/>
        </w:rPr>
      </w:pPr>
      <w:r>
        <w:rPr>
          <w:rFonts w:ascii="Arial" w:cs="Arial" w:eastAsia="Arial" w:hAnsi="Arial"/>
          <w:sz w:val="21"/>
          <w:szCs w:val="21"/>
          <w:color w:val="auto"/>
        </w:rPr>
        <w:t>an executed copy of IRS Form W-8ECI;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90" w:name="page191"/>
    <w:bookmarkEnd w:id="190"/>
    <w:p>
      <w:pPr>
        <w:jc w:val="both"/>
        <w:ind w:firstLine="3221"/>
        <w:spacing w:after="0" w:line="235" w:lineRule="auto"/>
        <w:tabs>
          <w:tab w:leader="none" w:pos="3771" w:val="left"/>
        </w:tabs>
        <w:numPr>
          <w:ilvl w:val="1"/>
          <w:numId w:val="105"/>
        </w:numPr>
        <w:rPr>
          <w:rFonts w:ascii="Arial" w:cs="Arial" w:eastAsia="Arial" w:hAnsi="Arial"/>
          <w:sz w:val="20"/>
          <w:szCs w:val="20"/>
          <w:color w:val="010000"/>
        </w:rPr>
      </w:pPr>
      <w:r>
        <w:rPr>
          <w:rFonts w:ascii="Arial" w:cs="Arial" w:eastAsia="Arial" w:hAnsi="Arial"/>
          <w:sz w:val="20"/>
          <w:szCs w:val="20"/>
          <w:color w:val="auto"/>
        </w:rPr>
        <w:t>in the case of a Foreign Lender claiming the benefits of the exemption for portfolio interest under Section 881(c) of the Code, (I) a certificate substantially in the form of Exhibit G-1 to the effect that such Foreign Lender is not a “</w:t>
      </w:r>
      <w:r>
        <w:rPr>
          <w:rFonts w:ascii="Arial" w:cs="Arial" w:eastAsia="Arial" w:hAnsi="Arial"/>
          <w:sz w:val="20"/>
          <w:szCs w:val="20"/>
          <w:u w:val="single" w:color="auto"/>
          <w:color w:val="auto"/>
        </w:rPr>
        <w:t>bank</w:t>
      </w:r>
      <w:r>
        <w:rPr>
          <w:rFonts w:ascii="Arial" w:cs="Arial" w:eastAsia="Arial" w:hAnsi="Arial"/>
          <w:sz w:val="20"/>
          <w:szCs w:val="20"/>
          <w:color w:val="auto"/>
        </w:rPr>
        <w:t>” within the meaning of Section 881(c)(3)(a) of the Code, a “</w:t>
      </w:r>
      <w:r>
        <w:rPr>
          <w:rFonts w:ascii="Arial" w:cs="Arial" w:eastAsia="Arial" w:hAnsi="Arial"/>
          <w:sz w:val="20"/>
          <w:szCs w:val="20"/>
          <w:u w:val="single" w:color="auto"/>
          <w:color w:val="auto"/>
        </w:rPr>
        <w:t>10 percent shareholder</w:t>
      </w:r>
      <w:r>
        <w:rPr>
          <w:rFonts w:ascii="Arial" w:cs="Arial" w:eastAsia="Arial" w:hAnsi="Arial"/>
          <w:sz w:val="20"/>
          <w:szCs w:val="20"/>
          <w:color w:val="auto"/>
        </w:rPr>
        <w:t>” of the Borrower within the meaning of Section 881(c)(3)(b) of the Code, or a “</w:t>
      </w:r>
      <w:r>
        <w:rPr>
          <w:rFonts w:ascii="Arial" w:cs="Arial" w:eastAsia="Arial" w:hAnsi="Arial"/>
          <w:sz w:val="20"/>
          <w:szCs w:val="20"/>
          <w:u w:val="single" w:color="auto"/>
          <w:color w:val="auto"/>
        </w:rPr>
        <w:t>controlled foreign corporation</w:t>
      </w:r>
      <w:r>
        <w:rPr>
          <w:rFonts w:ascii="Arial" w:cs="Arial" w:eastAsia="Arial" w:hAnsi="Arial"/>
          <w:sz w:val="20"/>
          <w:szCs w:val="20"/>
          <w:color w:val="auto"/>
        </w:rPr>
        <w:t>” described in Section 881(c)(3)(c) of 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(II) an executed copy of IRS Form W-8BEN; or</w:t>
      </w:r>
    </w:p>
    <w:p>
      <w:pPr>
        <w:spacing w:after="0" w:line="159" w:lineRule="exact"/>
        <w:rPr>
          <w:rFonts w:ascii="Arial" w:cs="Arial" w:eastAsia="Arial" w:hAnsi="Arial"/>
          <w:sz w:val="20"/>
          <w:szCs w:val="20"/>
          <w:color w:val="010000"/>
        </w:rPr>
      </w:pPr>
    </w:p>
    <w:p>
      <w:pPr>
        <w:jc w:val="both"/>
        <w:ind w:firstLine="3221"/>
        <w:spacing w:after="0" w:line="222" w:lineRule="auto"/>
        <w:tabs>
          <w:tab w:leader="none" w:pos="3758" w:val="left"/>
        </w:tabs>
        <w:numPr>
          <w:ilvl w:val="1"/>
          <w:numId w:val="105"/>
        </w:numPr>
        <w:rPr>
          <w:rFonts w:ascii="Arial" w:cs="Arial" w:eastAsia="Arial" w:hAnsi="Arial"/>
          <w:sz w:val="21"/>
          <w:szCs w:val="21"/>
          <w:color w:val="010000"/>
        </w:rPr>
      </w:pPr>
      <w:r>
        <w:rPr>
          <w:rFonts w:ascii="Arial" w:cs="Arial" w:eastAsia="Arial" w:hAnsi="Arial"/>
          <w:sz w:val="21"/>
          <w:szCs w:val="21"/>
          <w:color w:val="auto"/>
        </w:rPr>
        <w:t>to the extent a Foreign Lender is not the beneficial owner, an executed copy of IRS Form W-8IMY, accompanied by IRS Form W-8ECI, IRS Form W-8BEN, a U.S. Tax Compliance Certificate substantially in the form of Exhibit G-2 or Exhibit G-3,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G-4 on behalf of each such direct and indirect partner;</w:t>
      </w:r>
    </w:p>
    <w:p>
      <w:pPr>
        <w:spacing w:after="0" w:line="159" w:lineRule="exact"/>
        <w:rPr>
          <w:rFonts w:ascii="Arial" w:cs="Arial" w:eastAsia="Arial" w:hAnsi="Arial"/>
          <w:sz w:val="21"/>
          <w:szCs w:val="21"/>
          <w:color w:val="010000"/>
        </w:rPr>
      </w:pPr>
    </w:p>
    <w:p>
      <w:pPr>
        <w:jc w:val="both"/>
        <w:ind w:firstLine="2578"/>
        <w:spacing w:after="0" w:line="221" w:lineRule="auto"/>
        <w:tabs>
          <w:tab w:leader="none" w:pos="3124" w:val="left"/>
        </w:tabs>
        <w:numPr>
          <w:ilvl w:val="0"/>
          <w:numId w:val="106"/>
        </w:numPr>
        <w:rPr>
          <w:rFonts w:ascii="Arial" w:cs="Arial" w:eastAsia="Arial" w:hAnsi="Arial"/>
          <w:sz w:val="21"/>
          <w:szCs w:val="21"/>
          <w:color w:val="010000"/>
        </w:rPr>
      </w:pPr>
      <w:r>
        <w:rPr>
          <w:rFonts w:ascii="Arial" w:cs="Arial" w:eastAsia="Arial" w:hAnsi="Arial"/>
          <w:sz w:val="21"/>
          <w:szCs w:val="21"/>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executed copy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57" w:lineRule="exact"/>
        <w:rPr>
          <w:rFonts w:ascii="Arial" w:cs="Arial" w:eastAsia="Arial" w:hAnsi="Arial"/>
          <w:sz w:val="21"/>
          <w:szCs w:val="21"/>
          <w:color w:val="010000"/>
        </w:rPr>
      </w:pPr>
    </w:p>
    <w:p>
      <w:pPr>
        <w:jc w:val="both"/>
        <w:ind w:firstLine="2578"/>
        <w:spacing w:after="0" w:line="218" w:lineRule="auto"/>
        <w:tabs>
          <w:tab w:leader="none" w:pos="3149" w:val="left"/>
        </w:tabs>
        <w:numPr>
          <w:ilvl w:val="0"/>
          <w:numId w:val="106"/>
        </w:numPr>
        <w:rPr>
          <w:rFonts w:ascii="Arial" w:cs="Arial" w:eastAsia="Arial" w:hAnsi="Arial"/>
          <w:sz w:val="21"/>
          <w:szCs w:val="21"/>
          <w:color w:val="010000"/>
        </w:rPr>
      </w:pPr>
      <w:r>
        <w:rPr>
          <w:rFonts w:ascii="Arial" w:cs="Arial" w:eastAsia="Arial" w:hAnsi="Arial"/>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Arial" w:cs="Arial" w:eastAsia="Arial" w:hAnsi="Arial"/>
          <w:sz w:val="21"/>
          <w:szCs w:val="21"/>
          <w:u w:val="single" w:color="auto"/>
          <w:color w:val="auto"/>
        </w:rPr>
        <w:t>FATCA</w:t>
      </w:r>
      <w:r>
        <w:rPr>
          <w:rFonts w:ascii="Arial" w:cs="Arial" w:eastAsia="Arial" w:hAnsi="Arial"/>
          <w:sz w:val="21"/>
          <w:szCs w:val="21"/>
          <w:color w:val="auto"/>
        </w:rPr>
        <w:t>” shall include any amendments made to FATCA after the date of this Agreement.</w:t>
      </w:r>
    </w:p>
    <w:p>
      <w:pPr>
        <w:spacing w:after="0" w:line="163" w:lineRule="exact"/>
        <w:rPr>
          <w:sz w:val="20"/>
          <w:szCs w:val="20"/>
          <w:color w:val="auto"/>
        </w:rPr>
      </w:pPr>
    </w:p>
    <w:p>
      <w:pPr>
        <w:jc w:val="both"/>
        <w:ind w:firstLine="1285"/>
        <w:spacing w:after="0" w:line="232" w:lineRule="auto"/>
        <w:rPr>
          <w:sz w:val="20"/>
          <w:szCs w:val="20"/>
          <w:color w:val="auto"/>
        </w:rPr>
      </w:pPr>
      <w:r>
        <w:rPr>
          <w:rFonts w:ascii="Arial" w:cs="Arial" w:eastAsia="Arial" w:hAnsi="Arial"/>
          <w:sz w:val="21"/>
          <w:szCs w:val="21"/>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57" w:lineRule="exact"/>
        <w:rPr>
          <w:sz w:val="20"/>
          <w:szCs w:val="20"/>
          <w:color w:val="auto"/>
        </w:rPr>
      </w:pPr>
    </w:p>
    <w:p>
      <w:pPr>
        <w:jc w:val="both"/>
        <w:ind w:firstLine="1293"/>
        <w:spacing w:after="0" w:line="233" w:lineRule="auto"/>
        <w:tabs>
          <w:tab w:leader="none" w:pos="1749"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Treatment of Certain Refunds</w:t>
      </w:r>
      <w:r>
        <w:rPr>
          <w:rFonts w:ascii="Arial" w:cs="Arial" w:eastAsia="Arial" w:hAnsi="Arial"/>
          <w:sz w:val="20"/>
          <w:szCs w:val="20"/>
          <w:color w:val="auto"/>
        </w:rPr>
        <w:t>. If any party determines, in its sole, but reasonable, discretion exercised in good faith, that it has received a refund of any Taxes as to which it has been indemnified pursuant to this Section 5.03 (including by the payment of additional amounts pursuant to this Section 5.03),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91" w:name="page192"/>
    <w:bookmarkEnd w:id="191"/>
    <w:p>
      <w:pPr>
        <w:jc w:val="both"/>
        <w:spacing w:after="0" w:line="242" w:lineRule="auto"/>
        <w:rPr>
          <w:sz w:val="20"/>
          <w:szCs w:val="20"/>
          <w:color w:val="auto"/>
        </w:rPr>
      </w:pPr>
      <w:r>
        <w:rPr>
          <w:rFonts w:ascii="Arial" w:cs="Arial" w:eastAsia="Arial" w:hAnsi="Arial"/>
          <w:sz w:val="19"/>
          <w:szCs w:val="19"/>
          <w:color w:val="auto"/>
        </w:rPr>
        <w:t>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0" w:lineRule="exact"/>
        <w:rPr>
          <w:sz w:val="20"/>
          <w:szCs w:val="20"/>
          <w:color w:val="auto"/>
        </w:rPr>
      </w:pPr>
    </w:p>
    <w:p>
      <w:pPr>
        <w:jc w:val="both"/>
        <w:ind w:firstLine="1293"/>
        <w:spacing w:after="0" w:line="232" w:lineRule="auto"/>
        <w:tabs>
          <w:tab w:leader="none" w:pos="1755"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Each party’s obligations under this Section 5.03 shall survive the resignation or replacement of the Administrative Agent or any assignment of rights by, or the replacement of, a Lender, the termination of the Commitments and the repayment, satisfaction or discharge of all obligations under the Loan Documents.</w:t>
      </w:r>
    </w:p>
    <w:p>
      <w:pPr>
        <w:spacing w:after="0" w:line="157" w:lineRule="exact"/>
        <w:rPr>
          <w:sz w:val="20"/>
          <w:szCs w:val="20"/>
          <w:color w:val="auto"/>
        </w:rPr>
      </w:pPr>
    </w:p>
    <w:p>
      <w:pPr>
        <w:jc w:val="both"/>
        <w:ind w:firstLine="643"/>
        <w:spacing w:after="0" w:line="231" w:lineRule="auto"/>
        <w:rPr>
          <w:sz w:val="20"/>
          <w:szCs w:val="20"/>
          <w:color w:val="auto"/>
        </w:rPr>
      </w:pPr>
      <w:r>
        <w:rPr>
          <w:rFonts w:ascii="Arial" w:cs="Arial" w:eastAsia="Arial" w:hAnsi="Arial"/>
          <w:sz w:val="20"/>
          <w:szCs w:val="20"/>
          <w:color w:val="auto"/>
        </w:rPr>
        <w:t xml:space="preserve">Section 5.04 </w:t>
      </w:r>
      <w:r>
        <w:rPr>
          <w:rFonts w:ascii="Arial" w:cs="Arial" w:eastAsia="Arial" w:hAnsi="Arial"/>
          <w:sz w:val="20"/>
          <w:szCs w:val="20"/>
          <w:u w:val="single" w:color="auto"/>
          <w:color w:val="auto"/>
        </w:rPr>
        <w:t>Mitigation Obligations.</w:t>
      </w:r>
      <w:r>
        <w:rPr>
          <w:rFonts w:ascii="Arial" w:cs="Arial" w:eastAsia="Arial" w:hAnsi="Arial"/>
          <w:sz w:val="20"/>
          <w:szCs w:val="20"/>
          <w:color w:val="auto"/>
        </w:rPr>
        <w:t xml:space="preserve"> If any Lender requests compensation under Section 5.01, or if the Borrower is required to pay any additional amount to any Lender or any Governmental Authority for the account of any Lender pursuant to Section 5.03,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5.01 or Section 5.03,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w:t>
      </w:r>
    </w:p>
    <w:p>
      <w:pPr>
        <w:jc w:val="center"/>
        <w:spacing w:after="0"/>
        <w:rPr>
          <w:sz w:val="20"/>
          <w:szCs w:val="20"/>
          <w:color w:val="auto"/>
        </w:rPr>
      </w:pPr>
      <w:r>
        <w:rPr>
          <w:rFonts w:ascii="Arial" w:cs="Arial" w:eastAsia="Arial" w:hAnsi="Arial"/>
          <w:sz w:val="21"/>
          <w:szCs w:val="21"/>
          <w:b w:val="1"/>
          <w:bCs w:val="1"/>
          <w:color w:val="auto"/>
        </w:rPr>
        <w:t>Conditions Precedent</w:t>
      </w:r>
    </w:p>
    <w:p>
      <w:pPr>
        <w:spacing w:after="0" w:line="169"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u w:val="single" w:color="auto"/>
          <w:color w:val="auto"/>
        </w:rPr>
        <w:t>Effective Date.</w:t>
      </w:r>
      <w:r>
        <w:rPr>
          <w:rFonts w:ascii="Arial" w:cs="Arial" w:eastAsia="Arial" w:hAnsi="Arial"/>
          <w:sz w:val="20"/>
          <w:szCs w:val="20"/>
          <w:color w:val="auto"/>
        </w:rPr>
        <w:t xml:space="preserve"> The obligations of the Lenders to make Loans and of the Issuing Bank to issue Letters of Credit hereunder, and the continuation of the loans and letters of credit under the Existing Credit Agreement as Loans and Letters of Credit under this Agreement as contemplated by Section 2.02(e), in each case, shall not become effective until the date on which each of the following conditions is satisfied (or waived in accordance with Section 12.02):</w:t>
      </w:r>
    </w:p>
    <w:p>
      <w:pPr>
        <w:spacing w:after="0" w:line="159" w:lineRule="exact"/>
        <w:rPr>
          <w:sz w:val="20"/>
          <w:szCs w:val="20"/>
          <w:color w:val="auto"/>
        </w:rPr>
      </w:pPr>
    </w:p>
    <w:p>
      <w:pPr>
        <w:jc w:val="both"/>
        <w:ind w:firstLine="1293"/>
        <w:spacing w:after="0" w:line="245" w:lineRule="auto"/>
        <w:tabs>
          <w:tab w:leader="none" w:pos="183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Administrative Agent, the Arranger and the Lenders shall have received all commitment, facility and agency fees and all other fees and amounts due and payable on or prior to the Effective Date, including, to the extent invoiced, reimbursement or payment of all out-of-pocket expenses required to be reimbursed or paid by the Borrower hereunder.</w:t>
      </w:r>
    </w:p>
    <w:p>
      <w:pPr>
        <w:spacing w:after="0" w:line="152" w:lineRule="exact"/>
        <w:rPr>
          <w:rFonts w:ascii="Arial" w:cs="Arial" w:eastAsia="Arial" w:hAnsi="Arial"/>
          <w:sz w:val="20"/>
          <w:szCs w:val="20"/>
          <w:color w:val="auto"/>
        </w:rPr>
      </w:pPr>
    </w:p>
    <w:p>
      <w:pPr>
        <w:jc w:val="both"/>
        <w:ind w:firstLine="1293"/>
        <w:spacing w:after="0" w:line="233" w:lineRule="auto"/>
        <w:tabs>
          <w:tab w:leader="none" w:pos="176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of a Responsible Officer of the Borrower and each Guarantor setting forth (i) resolutions of the members, board of directors or other appropriate governing body with respect to the authorization of the Borrower or such Guarantor to execute and deliver the Loan Documents to which it is a party and to enter into the transactions contemplated in those documents, (ii) the officers of the Borrower or such Guarantor (A) who are authorized to sign the Loan Documents to which the Borrower or such Guarantor is a party and (B) who will, until replaced by another officer or officers duly authorized for that purpose, act as its representative for the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92" w:name="page193"/>
    <w:bookmarkEnd w:id="192"/>
    <w:p>
      <w:pPr>
        <w:jc w:val="both"/>
        <w:spacing w:after="0" w:line="222" w:lineRule="auto"/>
        <w:rPr>
          <w:sz w:val="20"/>
          <w:szCs w:val="20"/>
          <w:color w:val="auto"/>
        </w:rPr>
      </w:pPr>
      <w:r>
        <w:rPr>
          <w:rFonts w:ascii="Arial" w:cs="Arial" w:eastAsia="Arial" w:hAnsi="Arial"/>
          <w:sz w:val="21"/>
          <w:szCs w:val="21"/>
          <w:color w:val="auto"/>
        </w:rPr>
        <w:t>signing documents and giving notices and other communications in connection with this Agreement and the transactions contemplated hereby, (iii) specimen signatures of such authorized officers, and (iv) the partnership agreement, the limited liability company agreement, the articles or certificate of incorporation and by-laws or other applicable organizational documents of the Borrower and such Guarantor, certified as being true and complete as of the date of such certificate. The Administrative Agent and the Lenders may conclusively rely on such certificate until the Administrative Agent receives notice in writing from the Borrower and such Guarantor to the contrary.</w:t>
      </w:r>
    </w:p>
    <w:p>
      <w:pPr>
        <w:spacing w:after="0" w:line="159" w:lineRule="exact"/>
        <w:rPr>
          <w:sz w:val="20"/>
          <w:szCs w:val="20"/>
          <w:color w:val="auto"/>
        </w:rPr>
      </w:pPr>
    </w:p>
    <w:p>
      <w:pPr>
        <w:ind w:firstLine="1293"/>
        <w:spacing w:after="0" w:line="244" w:lineRule="auto"/>
        <w:tabs>
          <w:tab w:leader="none" w:pos="175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Administrative Agent shall have received certificates of the appropriate State agencies with respect to the existence, qualification and good standing of the Borrower and each Guarantor.</w:t>
      </w:r>
    </w:p>
    <w:p>
      <w:pPr>
        <w:spacing w:after="0" w:line="151" w:lineRule="exact"/>
        <w:rPr>
          <w:rFonts w:ascii="Arial" w:cs="Arial" w:eastAsia="Arial" w:hAnsi="Arial"/>
          <w:sz w:val="21"/>
          <w:szCs w:val="21"/>
          <w:color w:val="auto"/>
        </w:rPr>
      </w:pPr>
    </w:p>
    <w:p>
      <w:pPr>
        <w:ind w:firstLine="1293"/>
        <w:spacing w:after="0" w:line="244" w:lineRule="auto"/>
        <w:tabs>
          <w:tab w:leader="none" w:pos="1745"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Administrative Agent shall have received a compliance certificate which shall be substantially in the form of Exhibit D, duly and properly executed by a Responsible Officer and dated as of the Effective Date.</w:t>
      </w:r>
    </w:p>
    <w:p>
      <w:pPr>
        <w:spacing w:after="0" w:line="151" w:lineRule="exact"/>
        <w:rPr>
          <w:rFonts w:ascii="Arial" w:cs="Arial" w:eastAsia="Arial" w:hAnsi="Arial"/>
          <w:sz w:val="21"/>
          <w:szCs w:val="21"/>
          <w:color w:val="auto"/>
        </w:rPr>
      </w:pPr>
    </w:p>
    <w:p>
      <w:pPr>
        <w:ind w:firstLine="1293"/>
        <w:spacing w:after="0" w:line="244" w:lineRule="auto"/>
        <w:tabs>
          <w:tab w:leader="none" w:pos="175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Administrative Agent shall have received from each party hereto counterparts (in such number as may be requested by the Administrative Agent) of this Agreement signed on behalf of such party.</w:t>
      </w:r>
    </w:p>
    <w:p>
      <w:pPr>
        <w:spacing w:after="0" w:line="151" w:lineRule="exact"/>
        <w:rPr>
          <w:rFonts w:ascii="Arial" w:cs="Arial" w:eastAsia="Arial" w:hAnsi="Arial"/>
          <w:sz w:val="21"/>
          <w:szCs w:val="21"/>
          <w:color w:val="auto"/>
        </w:rPr>
      </w:pPr>
    </w:p>
    <w:p>
      <w:pPr>
        <w:jc w:val="both"/>
        <w:ind w:firstLine="1293"/>
        <w:spacing w:after="0" w:line="245" w:lineRule="auto"/>
        <w:tabs>
          <w:tab w:leader="none" w:pos="1802"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each party thereto duly executed counterparts (in such number as may be requested by the Administrative Agent) of the Security Instruments identified as “</w:t>
      </w:r>
      <w:r>
        <w:rPr>
          <w:rFonts w:ascii="Arial" w:cs="Arial" w:eastAsia="Arial" w:hAnsi="Arial"/>
          <w:sz w:val="20"/>
          <w:szCs w:val="20"/>
          <w:u w:val="single" w:color="auto"/>
          <w:color w:val="auto"/>
        </w:rPr>
        <w:t>New Security Instruments</w:t>
      </w:r>
      <w:r>
        <w:rPr>
          <w:rFonts w:ascii="Arial" w:cs="Arial" w:eastAsia="Arial" w:hAnsi="Arial"/>
          <w:sz w:val="20"/>
          <w:szCs w:val="20"/>
          <w:color w:val="auto"/>
        </w:rPr>
        <w:t>” on Exhibit E. In connection with the execution and delivery of the Security Instruments, the Administrative Agent shall:</w:t>
      </w:r>
    </w:p>
    <w:p>
      <w:pPr>
        <w:spacing w:after="0" w:line="152" w:lineRule="exact"/>
        <w:rPr>
          <w:rFonts w:ascii="Arial" w:cs="Arial" w:eastAsia="Arial" w:hAnsi="Arial"/>
          <w:sz w:val="20"/>
          <w:szCs w:val="20"/>
          <w:color w:val="auto"/>
        </w:rPr>
      </w:pPr>
    </w:p>
    <w:p>
      <w:pPr>
        <w:jc w:val="both"/>
        <w:ind w:firstLine="1935"/>
        <w:spacing w:after="0" w:line="238" w:lineRule="auto"/>
        <w:tabs>
          <w:tab w:leader="none" w:pos="2382" w:val="left"/>
        </w:tabs>
        <w:numPr>
          <w:ilvl w:val="1"/>
          <w:numId w:val="110"/>
        </w:numPr>
        <w:rPr>
          <w:rFonts w:ascii="Arial" w:cs="Arial" w:eastAsia="Arial" w:hAnsi="Arial"/>
          <w:sz w:val="20"/>
          <w:szCs w:val="20"/>
          <w:color w:val="auto"/>
        </w:rPr>
      </w:pPr>
      <w:r>
        <w:rPr>
          <w:rFonts w:ascii="Arial" w:cs="Arial" w:eastAsia="Arial" w:hAnsi="Arial"/>
          <w:sz w:val="20"/>
          <w:szCs w:val="20"/>
          <w:color w:val="auto"/>
        </w:rPr>
        <w:t>be reasonably satisfied that the Security Instruments create first priority, perfected Liens (subject only to Excepted Liens identified in clauses (a) to (d) and (f) of the definition thereof, but subject to the provisos at the end of such definition) on substantially all assets of the Borrower and the Guarantors, including a first priority perfected lien on all equipment and at least 80% of the total value of the Oil and Gas Properties evaluated in the Initial Reserve Report; and</w:t>
      </w:r>
    </w:p>
    <w:p>
      <w:pPr>
        <w:spacing w:after="0" w:line="158" w:lineRule="exact"/>
        <w:rPr>
          <w:rFonts w:ascii="Arial" w:cs="Arial" w:eastAsia="Arial" w:hAnsi="Arial"/>
          <w:sz w:val="20"/>
          <w:szCs w:val="20"/>
          <w:color w:val="auto"/>
        </w:rPr>
      </w:pPr>
    </w:p>
    <w:p>
      <w:pPr>
        <w:jc w:val="both"/>
        <w:ind w:firstLine="1935"/>
        <w:spacing w:after="0" w:line="227" w:lineRule="auto"/>
        <w:tabs>
          <w:tab w:leader="none" w:pos="2423" w:val="left"/>
        </w:tabs>
        <w:numPr>
          <w:ilvl w:val="1"/>
          <w:numId w:val="110"/>
        </w:numPr>
        <w:rPr>
          <w:rFonts w:ascii="Arial" w:cs="Arial" w:eastAsia="Arial" w:hAnsi="Arial"/>
          <w:sz w:val="21"/>
          <w:szCs w:val="21"/>
          <w:color w:val="auto"/>
        </w:rPr>
      </w:pPr>
      <w:r>
        <w:rPr>
          <w:rFonts w:ascii="Arial" w:cs="Arial" w:eastAsia="Arial" w:hAnsi="Arial"/>
          <w:sz w:val="21"/>
          <w:szCs w:val="21"/>
          <w:color w:val="auto"/>
        </w:rPr>
        <w:t>have received certificates, together with undated stock powers for such certificates, representing all of the issued and outstanding certificated Equity Interests held by the Borrower of each of the Restricted Subsidiaries (direct or indirect), if any, and all of the issued and outstanding certificated Equity Interests held by the Parent Guarantor of the Borrower, if any.</w:t>
      </w:r>
    </w:p>
    <w:p>
      <w:pPr>
        <w:spacing w:after="0" w:line="157" w:lineRule="exact"/>
        <w:rPr>
          <w:rFonts w:ascii="Arial" w:cs="Arial" w:eastAsia="Arial" w:hAnsi="Arial"/>
          <w:sz w:val="21"/>
          <w:szCs w:val="21"/>
          <w:color w:val="auto"/>
        </w:rPr>
      </w:pPr>
    </w:p>
    <w:p>
      <w:pPr>
        <w:ind w:firstLine="1293"/>
        <w:spacing w:after="0" w:line="244" w:lineRule="auto"/>
        <w:tabs>
          <w:tab w:leader="none" w:pos="1786"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Administrative Agent shall have received an opinion of Akin Gump Strauss Hauer &amp; Feld LLP, counsel to the Borrower, in form and substance satisfactory to the Administrative Agent.</w:t>
      </w:r>
    </w:p>
    <w:p>
      <w:pPr>
        <w:spacing w:after="0" w:line="151" w:lineRule="exact"/>
        <w:rPr>
          <w:rFonts w:ascii="Arial" w:cs="Arial" w:eastAsia="Arial" w:hAnsi="Arial"/>
          <w:sz w:val="21"/>
          <w:szCs w:val="21"/>
          <w:color w:val="auto"/>
        </w:rPr>
      </w:pPr>
    </w:p>
    <w:p>
      <w:pPr>
        <w:ind w:firstLine="1293"/>
        <w:spacing w:after="0" w:line="244" w:lineRule="auto"/>
        <w:tabs>
          <w:tab w:leader="none" w:pos="1775"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insurance coverage of the Borrower evidencing that the Borrower is carrying insurance in accordance with Section 7.12.</w:t>
      </w:r>
    </w:p>
    <w:p>
      <w:pPr>
        <w:spacing w:after="0" w:line="151" w:lineRule="exact"/>
        <w:rPr>
          <w:rFonts w:ascii="Arial" w:cs="Arial" w:eastAsia="Arial" w:hAnsi="Arial"/>
          <w:sz w:val="21"/>
          <w:szCs w:val="21"/>
          <w:color w:val="auto"/>
        </w:rPr>
      </w:pPr>
    </w:p>
    <w:p>
      <w:pPr>
        <w:jc w:val="both"/>
        <w:ind w:firstLine="1293"/>
        <w:spacing w:after="0" w:line="232" w:lineRule="auto"/>
        <w:tabs>
          <w:tab w:leader="none" w:pos="1761"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Administrative Agent shall have received title information as the Administrative Agent may reasonably require satisfactory to the Administrative Agent setting forth the status of title to at least 80% of the total value of the Oil and Gas Properties evaluated in the Initial Reserve Report.</w:t>
      </w:r>
    </w:p>
    <w:p>
      <w:pPr>
        <w:spacing w:after="0" w:line="156" w:lineRule="exact"/>
        <w:rPr>
          <w:rFonts w:ascii="Arial" w:cs="Arial" w:eastAsia="Arial" w:hAnsi="Arial"/>
          <w:sz w:val="21"/>
          <w:szCs w:val="21"/>
          <w:color w:val="auto"/>
        </w:rPr>
      </w:pPr>
    </w:p>
    <w:p>
      <w:pPr>
        <w:ind w:firstLine="1293"/>
        <w:spacing w:after="0" w:line="244" w:lineRule="auto"/>
        <w:tabs>
          <w:tab w:leader="none" w:pos="176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Administrative Agent shall be reasonably satisfied with the environmental condition of the Oil and Gas Properties of the Borrower and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93" w:name="page194"/>
    <w:bookmarkEnd w:id="193"/>
    <w:p>
      <w:pPr>
        <w:ind w:firstLine="1293"/>
        <w:spacing w:after="0" w:line="244" w:lineRule="auto"/>
        <w:tabs>
          <w:tab w:leader="none" w:pos="1751"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a Responsible Officer of the Borrower certifying that the Borrower has received all consents and approvals required by Section 7.03.</w:t>
      </w:r>
    </w:p>
    <w:p>
      <w:pPr>
        <w:spacing w:after="0" w:line="151" w:lineRule="exact"/>
        <w:rPr>
          <w:rFonts w:ascii="Arial" w:cs="Arial" w:eastAsia="Arial" w:hAnsi="Arial"/>
          <w:sz w:val="21"/>
          <w:szCs w:val="21"/>
          <w:color w:val="auto"/>
        </w:rPr>
      </w:pPr>
    </w:p>
    <w:p>
      <w:pPr>
        <w:ind w:left="1700" w:hanging="407"/>
        <w:spacing w:after="0"/>
        <w:tabs>
          <w:tab w:leader="none" w:pos="170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Administrative Agent shall have received the financial statements referred to in Section 7.04(a).</w:t>
      </w:r>
    </w:p>
    <w:p>
      <w:pPr>
        <w:spacing w:after="0" w:line="186" w:lineRule="exact"/>
        <w:rPr>
          <w:rFonts w:ascii="Arial" w:cs="Arial" w:eastAsia="Arial" w:hAnsi="Arial"/>
          <w:sz w:val="21"/>
          <w:szCs w:val="21"/>
          <w:color w:val="auto"/>
        </w:rPr>
      </w:pPr>
    </w:p>
    <w:p>
      <w:pPr>
        <w:jc w:val="both"/>
        <w:ind w:firstLine="1293"/>
        <w:spacing w:after="0" w:line="245" w:lineRule="auto"/>
        <w:tabs>
          <w:tab w:leader="none" w:pos="1855"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Administrative Agent shall have received appropriate UCC search certificates reflecting no prior Liens encumbering the Properties of the Borrower or its Restricted Subsidiaries for each of the following jurisdictions: Delaware and any other jurisdiction requested by the Administrative Agent; other than those Liens permitted by Section 9.03.</w:t>
      </w:r>
    </w:p>
    <w:p>
      <w:pPr>
        <w:spacing w:after="0" w:line="152" w:lineRule="exact"/>
        <w:rPr>
          <w:rFonts w:ascii="Arial" w:cs="Arial" w:eastAsia="Arial" w:hAnsi="Arial"/>
          <w:sz w:val="20"/>
          <w:szCs w:val="20"/>
          <w:color w:val="auto"/>
        </w:rPr>
      </w:pPr>
    </w:p>
    <w:p>
      <w:pPr>
        <w:ind w:firstLine="1293"/>
        <w:spacing w:after="0" w:line="244" w:lineRule="auto"/>
        <w:tabs>
          <w:tab w:leader="none" w:pos="1891"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Administrative Agent and any Lender who so requests shall have received a Beneficial Ownership Certification in relation to the Borrower.</w:t>
      </w:r>
    </w:p>
    <w:p>
      <w:pPr>
        <w:spacing w:after="0" w:line="151" w:lineRule="exact"/>
        <w:rPr>
          <w:rFonts w:ascii="Arial" w:cs="Arial" w:eastAsia="Arial" w:hAnsi="Arial"/>
          <w:sz w:val="21"/>
          <w:szCs w:val="21"/>
          <w:color w:val="auto"/>
        </w:rPr>
      </w:pPr>
    </w:p>
    <w:p>
      <w:pPr>
        <w:ind w:right="20" w:firstLine="1293"/>
        <w:spacing w:after="0" w:line="244" w:lineRule="auto"/>
        <w:tabs>
          <w:tab w:leader="none" w:pos="1805"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Administrative Agent shall have received such other documents as the Administrative Agent or special counsel to the Administrative Agent may reasonably request.</w:t>
      </w:r>
    </w:p>
    <w:p>
      <w:pPr>
        <w:spacing w:after="0" w:line="152" w:lineRule="exact"/>
        <w:rPr>
          <w:sz w:val="20"/>
          <w:szCs w:val="20"/>
          <w:color w:val="auto"/>
        </w:rPr>
      </w:pPr>
    </w:p>
    <w:p>
      <w:pPr>
        <w:jc w:val="both"/>
        <w:ind w:firstLine="643"/>
        <w:spacing w:after="0" w:line="233" w:lineRule="auto"/>
        <w:rPr>
          <w:sz w:val="20"/>
          <w:szCs w:val="20"/>
          <w:color w:val="auto"/>
        </w:rPr>
      </w:pPr>
      <w:r>
        <w:rPr>
          <w:rFonts w:ascii="Arial" w:cs="Arial" w:eastAsia="Arial" w:hAnsi="Arial"/>
          <w:sz w:val="20"/>
          <w:szCs w:val="20"/>
          <w:color w:val="auto"/>
        </w:rPr>
        <w:t>The Administrative Agent shall notify the Borrower and the Lenders of the Effective Date, and such notice shall be conclusive and binding. Notwithstanding the foregoing, the obligations of the Lenders to make Loans and of the Issuing Bank to issue Letters of Credit hereunder shall not become effective unless each of the foregoing conditions is satisfied (or waived pursuant to Section 12.02) at or prior to 4:00 p.m., Houston, Texas time, on August 1, 2018 (and, in the event such conditions are not so satisfied or waived, at such time this Agreement shall cease to be of any force or effect and the loans and letters of credit outstanding under the Existing Credit Agreement shall continue to be outstanding thereunder).</w:t>
      </w:r>
    </w:p>
    <w:p>
      <w:pPr>
        <w:spacing w:after="0" w:line="160"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 xml:space="preserve">Section 6.02 </w:t>
      </w:r>
      <w:r>
        <w:rPr>
          <w:rFonts w:ascii="Arial" w:cs="Arial" w:eastAsia="Arial" w:hAnsi="Arial"/>
          <w:sz w:val="20"/>
          <w:szCs w:val="20"/>
          <w:u w:val="single" w:color="auto"/>
          <w:color w:val="auto"/>
        </w:rPr>
        <w:t>Each Credit Event.</w:t>
      </w:r>
      <w:r>
        <w:rPr>
          <w:rFonts w:ascii="Arial" w:cs="Arial" w:eastAsia="Arial" w:hAnsi="Arial"/>
          <w:sz w:val="20"/>
          <w:szCs w:val="20"/>
          <w:color w:val="auto"/>
        </w:rPr>
        <w:t xml:space="preserve"> The obligation of each Lender to make a Loan on the occasion of any Borrowing (including the initial funding), and of the Issuing Bank to issue, amend, renew or extend any Letter of Credit and the continuation of the loans and letters of credit under the Existing Credit Agreement as Loans and Letters of Credit under this Agreement as contemplated by Section 2.02(e), in each case, is subject to the satisfaction of the following conditions:</w:t>
      </w:r>
    </w:p>
    <w:p>
      <w:pPr>
        <w:spacing w:after="0" w:line="159" w:lineRule="exact"/>
        <w:rPr>
          <w:sz w:val="20"/>
          <w:szCs w:val="20"/>
          <w:color w:val="auto"/>
        </w:rPr>
      </w:pPr>
    </w:p>
    <w:p>
      <w:pPr>
        <w:ind w:firstLine="1293"/>
        <w:spacing w:after="0" w:line="244" w:lineRule="auto"/>
        <w:tabs>
          <w:tab w:leader="none" w:pos="1751"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At the time of and immediately after giving effect to such Borrowing or the issuance, amendment, renewal or extension of such Letter of Credit, as applicable, no Default shall have occurred and be continuing.</w:t>
      </w:r>
    </w:p>
    <w:p>
      <w:pPr>
        <w:spacing w:after="0" w:line="151" w:lineRule="exact"/>
        <w:rPr>
          <w:rFonts w:ascii="Arial" w:cs="Arial" w:eastAsia="Arial" w:hAnsi="Arial"/>
          <w:sz w:val="21"/>
          <w:szCs w:val="21"/>
          <w:color w:val="auto"/>
        </w:rPr>
      </w:pPr>
    </w:p>
    <w:p>
      <w:pPr>
        <w:jc w:val="both"/>
        <w:ind w:firstLine="1293"/>
        <w:spacing w:after="0" w:line="232" w:lineRule="auto"/>
        <w:tabs>
          <w:tab w:leader="none" w:pos="176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At the time of and immediately after giving effect to such Borrowing or the issuance, amendment, renewal or extension of such Letter of Credit, as applicable, no event, development or circumstance has occurred or shall then exist that has resulted in, or could reasonably be expected to have, a Material Adverse Effect.</w:t>
      </w:r>
    </w:p>
    <w:p>
      <w:pPr>
        <w:spacing w:after="0" w:line="156" w:lineRule="exact"/>
        <w:rPr>
          <w:rFonts w:ascii="Arial" w:cs="Arial" w:eastAsia="Arial" w:hAnsi="Arial"/>
          <w:sz w:val="21"/>
          <w:szCs w:val="21"/>
          <w:color w:val="auto"/>
        </w:rPr>
      </w:pPr>
    </w:p>
    <w:p>
      <w:pPr>
        <w:jc w:val="both"/>
        <w:ind w:firstLine="1293"/>
        <w:spacing w:after="0" w:line="231" w:lineRule="auto"/>
        <w:tabs>
          <w:tab w:leader="none" w:pos="176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representations and warranties of the Borrower and the Guarantors set forth in this Agreement and in the other Loan Documents shall be true and correct in all material respects (or, if already qualified by materiality, Material Adverse Effect or a similar qualification, true and correct in all respects) on and as of the date of such Borrowing or the date of issuance, amendment, renewal or extension of such Letter of Credit, as applicable, except to the extent any such representations and warranties are expressly limited to an earlier date, in which case, on and as of the date of such Borrowing or the date of issuance, amendment, renewal or extension of such Letter of Credit, as applicable, such representations and warranties shall continue to be true and correct in all material respects (or, if already qualified by materiality, Material Adverse Effect or a similar qualification, true and correct in all respects) as of such specified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94" w:name="page195"/>
    <w:bookmarkEnd w:id="194"/>
    <w:p>
      <w:pPr>
        <w:spacing w:after="0" w:line="192" w:lineRule="exact"/>
        <w:rPr>
          <w:sz w:val="20"/>
          <w:szCs w:val="20"/>
          <w:color w:val="auto"/>
        </w:rPr>
      </w:pPr>
    </w:p>
    <w:p>
      <w:pPr>
        <w:ind w:right="300" w:firstLine="1293"/>
        <w:spacing w:after="0" w:line="233" w:lineRule="auto"/>
        <w:tabs>
          <w:tab w:leader="none" w:pos="174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making of such Loan or the issuance, amendment, renewal or extension of such Letter of Credit, as applicable, would not conflict with, or cause any Lender or the Issuing Bank to violate or exceed, any applicable Governmental Requirement, and no Change in Law shall have occurred, and no litigation shall be pending or threatened, which does or, with respect to any threatened litigation, seeks to, enjoin, prohibit or restrain, the making or repayment of any Loan, the issuance, amendment, renewal, extension or repayment of any Letter of Credit or any participations therein or the consummation of the transactions contemplated by this Agreement or any other Loan Document.</w:t>
      </w:r>
    </w:p>
    <w:p>
      <w:pPr>
        <w:spacing w:after="0" w:line="186" w:lineRule="exact"/>
        <w:rPr>
          <w:rFonts w:ascii="Arial" w:cs="Arial" w:eastAsia="Arial" w:hAnsi="Arial"/>
          <w:sz w:val="20"/>
          <w:szCs w:val="20"/>
          <w:color w:val="auto"/>
        </w:rPr>
      </w:pPr>
    </w:p>
    <w:p>
      <w:pPr>
        <w:jc w:val="both"/>
        <w:ind w:firstLine="1293"/>
        <w:spacing w:after="0" w:line="222" w:lineRule="auto"/>
        <w:tabs>
          <w:tab w:leader="none" w:pos="1758" w:val="left"/>
        </w:tabs>
        <w:numPr>
          <w:ilvl w:val="0"/>
          <w:numId w:val="113"/>
        </w:numPr>
        <w:rPr>
          <w:rFonts w:ascii="Arial" w:cs="Arial" w:eastAsia="Arial" w:hAnsi="Arial"/>
          <w:sz w:val="21"/>
          <w:szCs w:val="21"/>
          <w:color w:val="auto"/>
        </w:rPr>
      </w:pPr>
      <w:r>
        <w:rPr>
          <w:rFonts w:ascii="Arial" w:cs="Arial" w:eastAsia="Arial" w:hAnsi="Arial"/>
          <w:sz w:val="21"/>
          <w:szCs w:val="21"/>
          <w:color w:val="auto"/>
        </w:rPr>
        <w:t>(i) At the time of and immediately after giving effect to such Borrowing or the issuance, amendment, renewal or extension of such Letter of Credit, as applicable, the value of all margin stock held by the Loan Parties is less than 25% of the value (as defined in Section 12.18(c)) of all assets of the Loan Parties directly or indirectly securing the Loans and other extensions of credit provided for under this Agreement; and (ii) the receipt by the Administrative Agent of an officer’s certificate of the Borrower (or a representation and warranty in the relevant Borrowing Request) certifying as to compliance with the condition described in Section 6.02(e)(i) above.</w:t>
      </w:r>
    </w:p>
    <w:p>
      <w:pPr>
        <w:spacing w:after="0" w:line="159" w:lineRule="exact"/>
        <w:rPr>
          <w:rFonts w:ascii="Arial" w:cs="Arial" w:eastAsia="Arial" w:hAnsi="Arial"/>
          <w:sz w:val="21"/>
          <w:szCs w:val="21"/>
          <w:color w:val="auto"/>
        </w:rPr>
      </w:pPr>
    </w:p>
    <w:p>
      <w:pPr>
        <w:jc w:val="both"/>
        <w:ind w:firstLine="1293"/>
        <w:spacing w:after="0" w:line="227" w:lineRule="auto"/>
        <w:tabs>
          <w:tab w:leader="none" w:pos="1747" w:val="left"/>
        </w:tabs>
        <w:numPr>
          <w:ilvl w:val="0"/>
          <w:numId w:val="113"/>
        </w:numPr>
        <w:rPr>
          <w:rFonts w:ascii="Arial" w:cs="Arial" w:eastAsia="Arial" w:hAnsi="Arial"/>
          <w:sz w:val="21"/>
          <w:szCs w:val="21"/>
          <w:color w:val="auto"/>
        </w:rPr>
      </w:pPr>
      <w:r>
        <w:rPr>
          <w:rFonts w:ascii="Arial" w:cs="Arial" w:eastAsia="Arial" w:hAnsi="Arial"/>
          <w:sz w:val="21"/>
          <w:szCs w:val="21"/>
          <w:color w:val="auto"/>
        </w:rPr>
        <w:t>Except with respect to the continuation of the loans and letters of credit under the Existing Credit Agreement as Loans and Letters of Credit under this Agreement as contemplated by Section 2.02(e), the receipt by the Administrative Agent of a Borrowing Request in accordance with Section 2.03 or a request for a Letter of Credit in accordance with Section 2.08(b), as applicable.</w:t>
      </w:r>
    </w:p>
    <w:p>
      <w:pPr>
        <w:spacing w:after="0" w:line="157" w:lineRule="exact"/>
        <w:rPr>
          <w:rFonts w:ascii="Arial" w:cs="Arial" w:eastAsia="Arial" w:hAnsi="Arial"/>
          <w:sz w:val="21"/>
          <w:szCs w:val="21"/>
          <w:color w:val="auto"/>
        </w:rPr>
      </w:pPr>
    </w:p>
    <w:p>
      <w:pPr>
        <w:ind w:firstLine="1293"/>
        <w:spacing w:after="0" w:line="244" w:lineRule="auto"/>
        <w:tabs>
          <w:tab w:leader="none" w:pos="1763"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At the time of and immediately after giving effect to such Borrowing or to the issuance, amendment, renewal or extension of such Letter of Credit, as applicable, no Excess Cash shall exist.</w:t>
      </w:r>
    </w:p>
    <w:p>
      <w:pPr>
        <w:spacing w:after="0" w:line="152"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Each request for a Borrowing and each request for the issuance, amendment, renewal or extension of any Letter of Credit shall be deemed to constitute a representation and warranty by the Borrower on the date thereof as to the matters specified in Section 6.02(a) through (g).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w:t>
      </w:r>
    </w:p>
    <w:p>
      <w:pPr>
        <w:jc w:val="center"/>
        <w:spacing w:after="0"/>
        <w:rPr>
          <w:sz w:val="20"/>
          <w:szCs w:val="20"/>
          <w:color w:val="auto"/>
        </w:rPr>
      </w:pPr>
      <w:r>
        <w:rPr>
          <w:rFonts w:ascii="Arial" w:cs="Arial" w:eastAsia="Arial" w:hAnsi="Arial"/>
          <w:sz w:val="21"/>
          <w:szCs w:val="21"/>
          <w:b w:val="1"/>
          <w:bCs w:val="1"/>
          <w:color w:val="auto"/>
        </w:rPr>
        <w:t>Representations and Warranties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Borrower represents and warrants to the Lenders that:</w:t>
      </w:r>
    </w:p>
    <w:p>
      <w:pPr>
        <w:spacing w:after="0" w:line="187" w:lineRule="exact"/>
        <w:rPr>
          <w:sz w:val="20"/>
          <w:szCs w:val="20"/>
          <w:color w:val="auto"/>
        </w:rPr>
      </w:pPr>
    </w:p>
    <w:p>
      <w:pPr>
        <w:jc w:val="both"/>
        <w:ind w:firstLine="643"/>
        <w:spacing w:after="0" w:line="233"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u w:val="single" w:color="auto"/>
          <w:color w:val="auto"/>
        </w:rPr>
        <w:t>Organization; Powers.</w:t>
      </w:r>
      <w:r>
        <w:rPr>
          <w:rFonts w:ascii="Arial" w:cs="Arial" w:eastAsia="Arial" w:hAnsi="Arial"/>
          <w:sz w:val="20"/>
          <w:szCs w:val="20"/>
          <w:color w:val="auto"/>
        </w:rPr>
        <w:t xml:space="preserve"> The Borrower and each of the Restricted Subsidiaries is duly organized, validly existing and in good standing under the laws of the jurisdiction of its organization, has all requisite power and authority, and has all material governmental licenses, authorizations, consents and approvals necessary, to own its assets and to carry on its business as now conducted, and is qualified to do business in, and is in good standing in, every jurisdiction where such qualification is required, except where failure to have such power, authority, licenses, authorizations, consents, approvals and qualifications could not reasonably be expected to have a Material Adverse Effect.</w:t>
      </w:r>
    </w:p>
    <w:p>
      <w:pPr>
        <w:spacing w:after="0" w:line="160" w:lineRule="exact"/>
        <w:rPr>
          <w:sz w:val="20"/>
          <w:szCs w:val="20"/>
          <w:color w:val="auto"/>
        </w:rPr>
      </w:pPr>
    </w:p>
    <w:p>
      <w:pPr>
        <w:jc w:val="both"/>
        <w:ind w:firstLine="643"/>
        <w:spacing w:after="0" w:line="222" w:lineRule="auto"/>
        <w:rPr>
          <w:sz w:val="20"/>
          <w:szCs w:val="20"/>
          <w:color w:val="auto"/>
        </w:rPr>
      </w:pPr>
      <w:r>
        <w:rPr>
          <w:rFonts w:ascii="Arial" w:cs="Arial" w:eastAsia="Arial" w:hAnsi="Arial"/>
          <w:sz w:val="21"/>
          <w:szCs w:val="21"/>
          <w:color w:val="auto"/>
        </w:rPr>
        <w:t xml:space="preserve">Section 7.02 </w:t>
      </w:r>
      <w:r>
        <w:rPr>
          <w:rFonts w:ascii="Arial" w:cs="Arial" w:eastAsia="Arial" w:hAnsi="Arial"/>
          <w:sz w:val="21"/>
          <w:szCs w:val="21"/>
          <w:u w:val="single" w:color="auto"/>
          <w:color w:val="auto"/>
        </w:rPr>
        <w:t>Authority; Enforceability.</w:t>
      </w:r>
      <w:r>
        <w:rPr>
          <w:rFonts w:ascii="Arial" w:cs="Arial" w:eastAsia="Arial" w:hAnsi="Arial"/>
          <w:sz w:val="21"/>
          <w:szCs w:val="21"/>
          <w:color w:val="auto"/>
        </w:rPr>
        <w:t xml:space="preserve"> The Transactions are within the Borrower’s and each Guarantor’s corporate, partnership or other organizational powers and have been duly authorized by all necessary organizational action and, if required, action by any holders of its Equity Interests. Each Loan Document to which the Borrower and each Guarantor is a party has been duly executed and delivered by the Borrower and such Guarantor and constitutes a legal, valid and binding obligation of the Borrower and such Guarantor, as applicable, enforceable in accordance with its terms, subject to applicable bankruptcy, insolvency,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440" w:right="339" w:bottom="1440" w:gutter="0" w:footer="0" w:header="0"/>
        </w:sectPr>
      </w:pPr>
    </w:p>
    <w:bookmarkStart w:id="195" w:name="page196"/>
    <w:bookmarkEnd w:id="195"/>
    <w:p>
      <w:pPr>
        <w:jc w:val="both"/>
        <w:spacing w:after="0" w:line="244" w:lineRule="auto"/>
        <w:rPr>
          <w:sz w:val="20"/>
          <w:szCs w:val="20"/>
          <w:color w:val="auto"/>
        </w:rPr>
      </w:pPr>
      <w:r>
        <w:rPr>
          <w:rFonts w:ascii="Arial" w:cs="Arial" w:eastAsia="Arial" w:hAnsi="Arial"/>
          <w:sz w:val="21"/>
          <w:szCs w:val="21"/>
          <w:color w:val="auto"/>
        </w:rPr>
        <w:t>moratorium or other laws affecting creditors’ rights generally and subject to general principles of equity, regardless of whether considered in a proceeding in equity or at law.</w:t>
      </w:r>
    </w:p>
    <w:p>
      <w:pPr>
        <w:spacing w:after="0" w:line="152" w:lineRule="exact"/>
        <w:rPr>
          <w:sz w:val="20"/>
          <w:szCs w:val="20"/>
          <w:color w:val="auto"/>
        </w:rPr>
      </w:pPr>
    </w:p>
    <w:p>
      <w:pPr>
        <w:jc w:val="both"/>
        <w:ind w:firstLine="643"/>
        <w:spacing w:after="0"/>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Approvals; No Conflicts.</w:t>
      </w:r>
      <w:r>
        <w:rPr>
          <w:rFonts w:ascii="Arial" w:cs="Arial" w:eastAsia="Arial" w:hAnsi="Arial"/>
          <w:sz w:val="19"/>
          <w:szCs w:val="19"/>
          <w:color w:val="auto"/>
        </w:rPr>
        <w:t xml:space="preserve"> The Transactions (a) do not require any consent or approval of, registration or filing with, or any other action by, any Governmental Authority or any other third Person (including holders of its Equity Interests or any class of directors, managers or supervisors, as applicable, whether interested or disinterested, of the Borrower or any other Person), nor is any such consent, approval, registration, filing or other action necessary for the validity or enforceability of any Loan Document or the consummation of the transactions contemplated thereby, except such as have been obtained or made and are in full force and effect other than the recording and filing of the Security Instruments and financing statements as required by this Agreement, (b) will not violate any applicable law or regulation or charter, bylaws, limited partnership agreement, limited liability company agreements or other organizational documents of the Borrower or any Restricted Subsidiary or any order of any Governmental Authority, and (c) will not breach or result in a default under any indenture, agreement or other instrument binding upon the Borrower or any Restricted Subsidiaries or their Properties, or give rise to a right thereunder to require any payment to be made by the Borrower or any Restricted Subsidiaries and will not result in the creation or imposition of any Lien on any Property of the Borrower or any Restricted Subsidiaries (other than the Liens created by the Loan Documents).</w:t>
      </w:r>
    </w:p>
    <w:p>
      <w:pPr>
        <w:spacing w:after="0" w:line="16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7.04</w:t>
      </w:r>
      <w:r>
        <w:rPr>
          <w:sz w:val="20"/>
          <w:szCs w:val="20"/>
          <w:color w:val="auto"/>
        </w:rPr>
        <w:tab/>
      </w:r>
      <w:r>
        <w:rPr>
          <w:rFonts w:ascii="Arial" w:cs="Arial" w:eastAsia="Arial" w:hAnsi="Arial"/>
          <w:sz w:val="19"/>
          <w:szCs w:val="19"/>
          <w:u w:val="single" w:color="auto"/>
          <w:color w:val="auto"/>
        </w:rPr>
        <w:t>Financial Condition; No Material Adverse Change.</w:t>
      </w:r>
    </w:p>
    <w:p>
      <w:pPr>
        <w:spacing w:after="0" w:line="187" w:lineRule="exact"/>
        <w:rPr>
          <w:sz w:val="20"/>
          <w:szCs w:val="20"/>
          <w:color w:val="auto"/>
        </w:rPr>
      </w:pPr>
    </w:p>
    <w:p>
      <w:pPr>
        <w:jc w:val="both"/>
        <w:ind w:firstLine="1293"/>
        <w:spacing w:after="0" w:line="227" w:lineRule="auto"/>
        <w:tabs>
          <w:tab w:leader="none" w:pos="1747"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Parent Guarantor has heretofore furnished to the Lenders its audited, consolidated balance sheet as of and for the period ending December 31, 2017 reported on by Grant Thornton LLP, independent public accountants. Such financial statement presents fairly, in all material respects, the financial position of the Parent Guarantor, the Borrower and its Consolidated Restricted Subsidiaries as of such date in accordance with GAAP.</w:t>
      </w:r>
    </w:p>
    <w:p>
      <w:pPr>
        <w:spacing w:after="0" w:line="157" w:lineRule="exact"/>
        <w:rPr>
          <w:rFonts w:ascii="Arial" w:cs="Arial" w:eastAsia="Arial" w:hAnsi="Arial"/>
          <w:sz w:val="21"/>
          <w:szCs w:val="21"/>
          <w:color w:val="auto"/>
        </w:rPr>
      </w:pPr>
    </w:p>
    <w:p>
      <w:pPr>
        <w:ind w:firstLine="1293"/>
        <w:spacing w:after="0" w:line="244" w:lineRule="auto"/>
        <w:tabs>
          <w:tab w:leader="none" w:pos="1886" w:val="left"/>
        </w:tabs>
        <w:numPr>
          <w:ilvl w:val="0"/>
          <w:numId w:val="114"/>
        </w:numPr>
        <w:rPr>
          <w:rFonts w:ascii="Arial" w:cs="Arial" w:eastAsia="Arial" w:hAnsi="Arial"/>
          <w:sz w:val="21"/>
          <w:szCs w:val="21"/>
          <w:color w:val="auto"/>
        </w:rPr>
      </w:pPr>
      <w:r>
        <w:rPr>
          <w:rFonts w:ascii="Arial" w:cs="Arial" w:eastAsia="Arial" w:hAnsi="Arial"/>
          <w:sz w:val="21"/>
          <w:szCs w:val="21"/>
          <w:color w:val="auto"/>
        </w:rPr>
        <w:t>Since December 31, 2017, there has been no event, development or circumstance that has had or could reasonably be expected to have a Material Adverse Effect.</w:t>
      </w:r>
    </w:p>
    <w:p>
      <w:pPr>
        <w:spacing w:after="0" w:line="151" w:lineRule="exact"/>
        <w:rPr>
          <w:rFonts w:ascii="Arial" w:cs="Arial" w:eastAsia="Arial" w:hAnsi="Arial"/>
          <w:sz w:val="21"/>
          <w:szCs w:val="21"/>
          <w:color w:val="auto"/>
        </w:rPr>
      </w:pPr>
    </w:p>
    <w:p>
      <w:pPr>
        <w:jc w:val="both"/>
        <w:ind w:firstLine="1293"/>
        <w:spacing w:after="0" w:line="235" w:lineRule="auto"/>
        <w:tabs>
          <w:tab w:leader="none" w:pos="1909"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As of the date hereof, the Borrower and the Restricted Subsidiaries have no material Debt (including Disqualified Capital Stock) or any contingent liabilities, off-balance sheet liabilities or partnerships, liabilities for taxes, unusual forward or long-term commitments or unrealized or anticipated losses from any unfavorable commitments, except as referred to or reflected or provided for in the Financial Statements, and except those that, individually or in the aggregate, could not reasonably be expected to have a Material Adverse Effect on the Borrower and the Restricted Subsidiaries taken as a whole.</w:t>
      </w:r>
    </w:p>
    <w:p>
      <w:pPr>
        <w:spacing w:after="0" w:line="159" w:lineRule="exact"/>
        <w:rPr>
          <w:sz w:val="20"/>
          <w:szCs w:val="20"/>
          <w:color w:val="auto"/>
        </w:rPr>
      </w:pPr>
    </w:p>
    <w:p>
      <w:pPr>
        <w:jc w:val="both"/>
        <w:ind w:firstLine="643"/>
        <w:spacing w:after="0" w:line="235" w:lineRule="auto"/>
        <w:rPr>
          <w:sz w:val="20"/>
          <w:szCs w:val="20"/>
          <w:color w:val="auto"/>
        </w:rPr>
      </w:pPr>
      <w:r>
        <w:rPr>
          <w:rFonts w:ascii="Arial" w:cs="Arial" w:eastAsia="Arial" w:hAnsi="Arial"/>
          <w:sz w:val="20"/>
          <w:szCs w:val="20"/>
          <w:color w:val="auto"/>
        </w:rPr>
        <w:t xml:space="preserve">Section 7.05 </w:t>
      </w:r>
      <w:r>
        <w:rPr>
          <w:rFonts w:ascii="Arial" w:cs="Arial" w:eastAsia="Arial" w:hAnsi="Arial"/>
          <w:sz w:val="20"/>
          <w:szCs w:val="20"/>
          <w:u w:val="single" w:color="auto"/>
          <w:color w:val="auto"/>
        </w:rPr>
        <w:t>Litigation.</w:t>
      </w:r>
      <w:r>
        <w:rPr>
          <w:rFonts w:ascii="Arial" w:cs="Arial" w:eastAsia="Arial" w:hAnsi="Arial"/>
          <w:sz w:val="20"/>
          <w:szCs w:val="20"/>
          <w:color w:val="auto"/>
        </w:rPr>
        <w:t xml:space="preserve"> There are no actions, suits, investigations or proceedings by or before any arbitrator or Governmental Authority pending against or, to the knowledge of the Borrower, threatened against or affecting the Borrower or any Restricted Subsidiary (i) not fully covered by insurance (except for normal deductibles) as to which there is a reasonable possibility of an adverse determination that, if adversely determined, could reasonably be expected, individually or in the aggregate, to result in a Material Adverse Effect or (ii) that involve any Loan Document or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96" w:name="page197"/>
    <w:bookmarkEnd w:id="196"/>
    <w:p>
      <w:pPr>
        <w:ind w:firstLine="643"/>
        <w:spacing w:after="0" w:line="244" w:lineRule="auto"/>
        <w:rPr>
          <w:sz w:val="20"/>
          <w:szCs w:val="20"/>
          <w:color w:val="auto"/>
        </w:rPr>
      </w:pPr>
      <w:r>
        <w:rPr>
          <w:rFonts w:ascii="Arial" w:cs="Arial" w:eastAsia="Arial" w:hAnsi="Arial"/>
          <w:sz w:val="21"/>
          <w:szCs w:val="21"/>
          <w:color w:val="auto"/>
        </w:rPr>
        <w:t xml:space="preserve">Section 7.06 </w:t>
      </w:r>
      <w:r>
        <w:rPr>
          <w:rFonts w:ascii="Arial" w:cs="Arial" w:eastAsia="Arial" w:hAnsi="Arial"/>
          <w:sz w:val="21"/>
          <w:szCs w:val="21"/>
          <w:u w:val="single" w:color="auto"/>
          <w:color w:val="auto"/>
        </w:rPr>
        <w:t>Environmental Matters.</w:t>
      </w:r>
      <w:r>
        <w:rPr>
          <w:rFonts w:ascii="Arial" w:cs="Arial" w:eastAsia="Arial" w:hAnsi="Arial"/>
          <w:sz w:val="21"/>
          <w:szCs w:val="21"/>
          <w:color w:val="auto"/>
        </w:rPr>
        <w:t xml:space="preserve"> Except for such matters that, individually or in the aggregate, could not reasonably be expected to have a Material Adverse Effect on the Borrower:</w:t>
      </w:r>
    </w:p>
    <w:p>
      <w:pPr>
        <w:spacing w:after="0" w:line="152" w:lineRule="exact"/>
        <w:rPr>
          <w:sz w:val="20"/>
          <w:szCs w:val="20"/>
          <w:color w:val="auto"/>
        </w:rPr>
      </w:pPr>
    </w:p>
    <w:p>
      <w:pPr>
        <w:ind w:firstLine="1293"/>
        <w:spacing w:after="0" w:line="295" w:lineRule="auto"/>
        <w:tabs>
          <w:tab w:leader="none" w:pos="179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The Borrower and the Restricted Subsidiaries and each of their respective Properties and operations thereon are, and within all applicable statute of limitation periods have been, in compliance with all applicable Environmental Laws;</w:t>
      </w:r>
    </w:p>
    <w:p>
      <w:pPr>
        <w:spacing w:after="0" w:line="105" w:lineRule="exact"/>
        <w:rPr>
          <w:rFonts w:ascii="Arial" w:cs="Arial" w:eastAsia="Arial" w:hAnsi="Arial"/>
          <w:sz w:val="19"/>
          <w:szCs w:val="19"/>
          <w:color w:val="auto"/>
        </w:rPr>
      </w:pPr>
    </w:p>
    <w:p>
      <w:pPr>
        <w:jc w:val="both"/>
        <w:ind w:firstLine="1293"/>
        <w:spacing w:after="0" w:line="224" w:lineRule="auto"/>
        <w:tabs>
          <w:tab w:leader="none" w:pos="1865" w:val="left"/>
        </w:tabs>
        <w:numPr>
          <w:ilvl w:val="1"/>
          <w:numId w:val="115"/>
        </w:numPr>
        <w:rPr>
          <w:rFonts w:ascii="Arial" w:cs="Arial" w:eastAsia="Arial" w:hAnsi="Arial"/>
          <w:sz w:val="21"/>
          <w:szCs w:val="21"/>
          <w:color w:val="auto"/>
        </w:rPr>
      </w:pPr>
      <w:r>
        <w:rPr>
          <w:rFonts w:ascii="Arial" w:cs="Arial" w:eastAsia="Arial" w:hAnsi="Arial"/>
          <w:sz w:val="21"/>
          <w:szCs w:val="21"/>
          <w:color w:val="auto"/>
        </w:rPr>
        <w:t>The Borrower and the Restricted Subsidiaries have obtained all Environmental Permits required for their respective operations and each of their Properties, with all such Environmental Permits being currently in full force and effect, and neither the Borrower nor any Restricted Subsidiary has received any written notice or otherwise has knowledge that any such existing Environmental Permit will be revoked or that any application for any new Environmental Permit or renewal of any existing Environmental Permit will be protested or denied;</w:t>
      </w:r>
    </w:p>
    <w:p>
      <w:pPr>
        <w:spacing w:after="0" w:line="158" w:lineRule="exact"/>
        <w:rPr>
          <w:rFonts w:ascii="Arial" w:cs="Arial" w:eastAsia="Arial" w:hAnsi="Arial"/>
          <w:sz w:val="21"/>
          <w:szCs w:val="21"/>
          <w:color w:val="auto"/>
        </w:rPr>
      </w:pPr>
    </w:p>
    <w:p>
      <w:pPr>
        <w:jc w:val="both"/>
        <w:ind w:firstLine="1293"/>
        <w:spacing w:after="0" w:line="227" w:lineRule="auto"/>
        <w:tabs>
          <w:tab w:leader="none" w:pos="1838" w:val="left"/>
        </w:tabs>
        <w:numPr>
          <w:ilvl w:val="1"/>
          <w:numId w:val="115"/>
        </w:numPr>
        <w:rPr>
          <w:rFonts w:ascii="Arial" w:cs="Arial" w:eastAsia="Arial" w:hAnsi="Arial"/>
          <w:sz w:val="21"/>
          <w:szCs w:val="21"/>
          <w:color w:val="auto"/>
        </w:rPr>
      </w:pPr>
      <w:r>
        <w:rPr>
          <w:rFonts w:ascii="Arial" w:cs="Arial" w:eastAsia="Arial" w:hAnsi="Arial"/>
          <w:sz w:val="21"/>
          <w:szCs w:val="21"/>
          <w:color w:val="auto"/>
        </w:rPr>
        <w:t>There are no claims, demands, suits, orders, inquiries, or proceedings concerning any violation of, or any liability (including as a potentially responsible party) under, any applicable Environmental Laws that is pending or, to the Borrower’s knowledge, threatened against the Borrower or any Restricted Subsidiary or any of their respective Properties or as a result of any operations at the Properties;</w:t>
      </w:r>
    </w:p>
    <w:p>
      <w:pPr>
        <w:spacing w:after="0" w:line="148" w:lineRule="exact"/>
        <w:rPr>
          <w:rFonts w:ascii="Arial" w:cs="Arial" w:eastAsia="Arial" w:hAnsi="Arial"/>
          <w:sz w:val="21"/>
          <w:szCs w:val="21"/>
          <w:color w:val="auto"/>
        </w:rPr>
      </w:pPr>
    </w:p>
    <w:p>
      <w:pPr>
        <w:ind w:left="1960" w:hanging="667"/>
        <w:spacing w:after="0"/>
        <w:tabs>
          <w:tab w:leader="none" w:pos="1960" w:val="left"/>
        </w:tabs>
        <w:numPr>
          <w:ilvl w:val="1"/>
          <w:numId w:val="115"/>
        </w:numPr>
        <w:rPr>
          <w:rFonts w:ascii="Arial" w:cs="Arial" w:eastAsia="Arial" w:hAnsi="Arial"/>
          <w:sz w:val="21"/>
          <w:szCs w:val="21"/>
          <w:color w:val="auto"/>
        </w:rPr>
      </w:pPr>
      <w:r>
        <w:rPr>
          <w:rFonts w:ascii="Arial" w:cs="Arial" w:eastAsia="Arial" w:hAnsi="Arial"/>
          <w:sz w:val="21"/>
          <w:szCs w:val="21"/>
          <w:color w:val="auto"/>
        </w:rPr>
        <w:t>None of the Properties of the Borrower or any Restricted Subsidiary contain or have contained any:</w:t>
      </w:r>
    </w:p>
    <w:p>
      <w:pPr>
        <w:jc w:val="both"/>
        <w:ind w:firstLine="7"/>
        <w:spacing w:after="0" w:line="255" w:lineRule="auto"/>
        <w:tabs>
          <w:tab w:leader="none" w:pos="269" w:val="left"/>
        </w:tabs>
        <w:numPr>
          <w:ilvl w:val="0"/>
          <w:numId w:val="116"/>
        </w:numPr>
        <w:rPr>
          <w:rFonts w:ascii="Arial" w:cs="Arial" w:eastAsia="Arial" w:hAnsi="Arial"/>
          <w:sz w:val="19"/>
          <w:szCs w:val="19"/>
          <w:color w:val="auto"/>
        </w:rPr>
      </w:pPr>
      <w:r>
        <w:rPr>
          <w:rFonts w:ascii="Arial" w:cs="Arial" w:eastAsia="Arial" w:hAnsi="Arial"/>
          <w:sz w:val="19"/>
          <w:szCs w:val="19"/>
          <w:color w:val="auto"/>
        </w:rPr>
        <w:t>underground storage tanks; (ii) asbestos-containing materials; (iii) landfills or dumps; (iv) hazardous waste management units as defined pursuant to RCRA or any comparable state law; or (v) sites on or nominated for the National Priority List promulgated pursuant to CERCLA or any state remedial priority list promulgated or published pursuant to any comparable state law;</w:t>
      </w:r>
    </w:p>
    <w:p>
      <w:pPr>
        <w:spacing w:after="0" w:line="142" w:lineRule="exact"/>
        <w:rPr>
          <w:rFonts w:ascii="Arial" w:cs="Arial" w:eastAsia="Arial" w:hAnsi="Arial"/>
          <w:sz w:val="19"/>
          <w:szCs w:val="19"/>
          <w:color w:val="auto"/>
        </w:rPr>
      </w:pPr>
    </w:p>
    <w:p>
      <w:pPr>
        <w:jc w:val="both"/>
        <w:ind w:firstLine="1293"/>
        <w:spacing w:after="0" w:line="235" w:lineRule="auto"/>
        <w:tabs>
          <w:tab w:leader="none" w:pos="1793"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There has been no Release or, to the Borrower’s knowledge, threatened Release, of Hazardous Materials at, on, under or from any of the Borrower’s or the Restricted Subsidiaries’ Properties, there are no investigations, remediations, abatements, removals, or monitorings of Hazardous Materials required under applicable Environmental Laws at such Properties and, to the knowledge of the Borrower, none of such Properties are adversely affected by any Release or threatened Release of a Hazardous Material originating or emanating from any other real property;</w:t>
      </w:r>
    </w:p>
    <w:p>
      <w:pPr>
        <w:spacing w:after="0" w:line="159" w:lineRule="exact"/>
        <w:rPr>
          <w:rFonts w:ascii="Arial" w:cs="Arial" w:eastAsia="Arial" w:hAnsi="Arial"/>
          <w:sz w:val="20"/>
          <w:szCs w:val="20"/>
          <w:color w:val="auto"/>
        </w:rPr>
      </w:pPr>
    </w:p>
    <w:p>
      <w:pPr>
        <w:jc w:val="both"/>
        <w:ind w:firstLine="1293"/>
        <w:spacing w:after="0" w:line="235" w:lineRule="auto"/>
        <w:tabs>
          <w:tab w:leader="none" w:pos="1818" w:val="left"/>
        </w:tabs>
        <w:numPr>
          <w:ilvl w:val="1"/>
          <w:numId w:val="116"/>
        </w:numPr>
        <w:rPr>
          <w:rFonts w:ascii="Arial" w:cs="Arial" w:eastAsia="Arial" w:hAnsi="Arial"/>
          <w:sz w:val="20"/>
          <w:szCs w:val="20"/>
          <w:color w:val="auto"/>
        </w:rPr>
      </w:pPr>
      <w:r>
        <w:rPr>
          <w:rFonts w:ascii="Arial" w:cs="Arial" w:eastAsia="Arial" w:hAnsi="Arial"/>
          <w:sz w:val="20"/>
          <w:szCs w:val="20"/>
          <w:color w:val="auto"/>
        </w:rPr>
        <w:t>Neither the Borrower nor any of the Restricted Subsidiaries have received any written notice asserting an alleged liability or obligation under any applicable Environmental Laws with respect to the investigation, remediation, abatement, removal, or monitoring of any Hazardous Materials at, under, or Released or threatened to be Released from any real properties offsite the Borrower’s or the Restricted Subsidiaries’ Properties and, to the Borrower’s knowledge, there are no conditions or circumstances that could reasonably be expected to result in the receipt of such written notice;</w:t>
      </w:r>
    </w:p>
    <w:p>
      <w:pPr>
        <w:spacing w:after="0" w:line="159" w:lineRule="exact"/>
        <w:rPr>
          <w:rFonts w:ascii="Arial" w:cs="Arial" w:eastAsia="Arial" w:hAnsi="Arial"/>
          <w:sz w:val="20"/>
          <w:szCs w:val="20"/>
          <w:color w:val="auto"/>
        </w:rPr>
      </w:pPr>
    </w:p>
    <w:p>
      <w:pPr>
        <w:jc w:val="both"/>
        <w:ind w:firstLine="1293"/>
        <w:spacing w:after="0" w:line="232" w:lineRule="auto"/>
        <w:tabs>
          <w:tab w:leader="none" w:pos="1892" w:val="left"/>
        </w:tabs>
        <w:numPr>
          <w:ilvl w:val="1"/>
          <w:numId w:val="116"/>
        </w:numPr>
        <w:rPr>
          <w:rFonts w:ascii="Arial" w:cs="Arial" w:eastAsia="Arial" w:hAnsi="Arial"/>
          <w:sz w:val="21"/>
          <w:szCs w:val="21"/>
          <w:color w:val="auto"/>
        </w:rPr>
      </w:pPr>
      <w:r>
        <w:rPr>
          <w:rFonts w:ascii="Arial" w:cs="Arial" w:eastAsia="Arial" w:hAnsi="Arial"/>
          <w:sz w:val="21"/>
          <w:szCs w:val="21"/>
          <w:color w:val="auto"/>
        </w:rPr>
        <w:t>There has been no exposure of any Person or property to any Hazardous Materials as a result of or in connection with the operations and businesses of any of the Borrower’s or the Restricted Subsidiaries’ Properties that could reasonably be expected to form the basis for a claim for damages or compensation; and</w:t>
      </w:r>
    </w:p>
    <w:p>
      <w:pPr>
        <w:spacing w:after="0" w:line="156" w:lineRule="exact"/>
        <w:rPr>
          <w:rFonts w:ascii="Arial" w:cs="Arial" w:eastAsia="Arial" w:hAnsi="Arial"/>
          <w:sz w:val="21"/>
          <w:szCs w:val="21"/>
          <w:color w:val="auto"/>
        </w:rPr>
      </w:pPr>
    </w:p>
    <w:p>
      <w:pPr>
        <w:jc w:val="both"/>
        <w:ind w:firstLine="1293"/>
        <w:spacing w:after="0" w:line="232" w:lineRule="auto"/>
        <w:tabs>
          <w:tab w:leader="none" w:pos="1751" w:val="left"/>
        </w:tabs>
        <w:numPr>
          <w:ilvl w:val="1"/>
          <w:numId w:val="116"/>
        </w:numPr>
        <w:rPr>
          <w:rFonts w:ascii="Arial" w:cs="Arial" w:eastAsia="Arial" w:hAnsi="Arial"/>
          <w:sz w:val="21"/>
          <w:szCs w:val="21"/>
          <w:color w:val="auto"/>
        </w:rPr>
      </w:pPr>
      <w:r>
        <w:rPr>
          <w:rFonts w:ascii="Arial" w:cs="Arial" w:eastAsia="Arial" w:hAnsi="Arial"/>
          <w:sz w:val="21"/>
          <w:szCs w:val="21"/>
          <w:color w:val="auto"/>
        </w:rPr>
        <w:t>The Borrower has made available to Lenders complete and correct copies of all environmental site assessment reports, investigations, studies, analyses, and correspondence on environmental matters (including matters relating to any alleged non-compliance with or liability under Environmental Laws) that are in any of the Borrower’s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97" w:name="page198"/>
    <w:bookmarkEnd w:id="197"/>
    <w:p>
      <w:pPr>
        <w:spacing w:after="0"/>
        <w:rPr>
          <w:sz w:val="20"/>
          <w:szCs w:val="20"/>
          <w:color w:val="auto"/>
        </w:rPr>
      </w:pPr>
      <w:r>
        <w:rPr>
          <w:rFonts w:ascii="Arial" w:cs="Arial" w:eastAsia="Arial" w:hAnsi="Arial"/>
          <w:sz w:val="21"/>
          <w:szCs w:val="21"/>
          <w:color w:val="auto"/>
        </w:rPr>
        <w:t>Restricted Subsidiaries’ possession or control and relating to their respective Properties or operations thereon.</w:t>
      </w:r>
    </w:p>
    <w:p>
      <w:pPr>
        <w:spacing w:after="0" w:line="187"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7.07</w:t>
      </w:r>
      <w:r>
        <w:rPr>
          <w:sz w:val="20"/>
          <w:szCs w:val="20"/>
          <w:color w:val="auto"/>
        </w:rPr>
        <w:tab/>
      </w:r>
      <w:r>
        <w:rPr>
          <w:rFonts w:ascii="Arial" w:cs="Arial" w:eastAsia="Arial" w:hAnsi="Arial"/>
          <w:sz w:val="19"/>
          <w:szCs w:val="19"/>
          <w:u w:val="single" w:color="auto"/>
          <w:color w:val="auto"/>
        </w:rPr>
        <w:t>Compliance With Laws and Agreements; No Defaults.</w:t>
      </w:r>
    </w:p>
    <w:p>
      <w:pPr>
        <w:spacing w:after="0" w:line="187" w:lineRule="exact"/>
        <w:rPr>
          <w:sz w:val="20"/>
          <w:szCs w:val="20"/>
          <w:color w:val="auto"/>
        </w:rPr>
      </w:pPr>
    </w:p>
    <w:p>
      <w:pPr>
        <w:jc w:val="both"/>
        <w:ind w:firstLine="1293"/>
        <w:spacing w:after="0" w:line="224" w:lineRule="auto"/>
        <w:tabs>
          <w:tab w:leader="none" w:pos="1757"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Borrower and each of the Restricted Subsidiaries are in compliance with all Governmental Requirements applicable to it or its Property and all agreements and other instruments binding upon it or its Property, and possesses all licenses, permits, franchises, exemptions, approvals and other governmental authorizations necessary for the ownership of its Property and the conduct of its business, in each case except where the failure to do so, individually or in the aggregate, could not reasonably be expected to result in a Material Adverse Effect.</w:t>
      </w:r>
    </w:p>
    <w:p>
      <w:pPr>
        <w:spacing w:after="0" w:line="158" w:lineRule="exact"/>
        <w:rPr>
          <w:rFonts w:ascii="Arial" w:cs="Arial" w:eastAsia="Arial" w:hAnsi="Arial"/>
          <w:sz w:val="21"/>
          <w:szCs w:val="21"/>
          <w:color w:val="auto"/>
        </w:rPr>
      </w:pPr>
    </w:p>
    <w:p>
      <w:pPr>
        <w:jc w:val="both"/>
        <w:ind w:firstLine="1293"/>
        <w:spacing w:after="0" w:line="224" w:lineRule="auto"/>
        <w:tabs>
          <w:tab w:leader="none" w:pos="1899" w:val="left"/>
        </w:tabs>
        <w:numPr>
          <w:ilvl w:val="0"/>
          <w:numId w:val="117"/>
        </w:numPr>
        <w:rPr>
          <w:rFonts w:ascii="Arial" w:cs="Arial" w:eastAsia="Arial" w:hAnsi="Arial"/>
          <w:sz w:val="21"/>
          <w:szCs w:val="21"/>
          <w:color w:val="auto"/>
        </w:rPr>
      </w:pPr>
      <w:r>
        <w:rPr>
          <w:rFonts w:ascii="Arial" w:cs="Arial" w:eastAsia="Arial" w:hAnsi="Arial"/>
          <w:sz w:val="21"/>
          <w:szCs w:val="21"/>
          <w:color w:val="auto"/>
        </w:rPr>
        <w:t>Neither the Borrower nor any Restricted Subsidiaries are in default, nor has any event or circumstance occurred which, but for the expiration of any applicable grace period or the giving of notice, or both, would constitute a default, or would require the Borrower or any Restricted Subsidiaries to Redeem or make any offer to Redeem Debt under any indenture, note, credit agreement or instrument pursuant to which any Material Indebtedness is outstanding or by which the Borrower or any Restricted Subsidiaries or any of their Properties are bound.</w:t>
      </w:r>
    </w:p>
    <w:p>
      <w:pPr>
        <w:spacing w:after="0" w:line="158" w:lineRule="exact"/>
        <w:rPr>
          <w:rFonts w:ascii="Arial" w:cs="Arial" w:eastAsia="Arial" w:hAnsi="Arial"/>
          <w:sz w:val="21"/>
          <w:szCs w:val="21"/>
          <w:color w:val="auto"/>
        </w:rPr>
      </w:pPr>
    </w:p>
    <w:p>
      <w:pPr>
        <w:ind w:left="1740" w:hanging="447"/>
        <w:spacing w:after="0"/>
        <w:tabs>
          <w:tab w:leader="none" w:pos="174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No Default has occurred and is continuing.</w:t>
      </w:r>
    </w:p>
    <w:p>
      <w:pPr>
        <w:spacing w:after="0" w:line="187" w:lineRule="exact"/>
        <w:rPr>
          <w:sz w:val="20"/>
          <w:szCs w:val="20"/>
          <w:color w:val="auto"/>
        </w:rPr>
      </w:pPr>
    </w:p>
    <w:p>
      <w:pPr>
        <w:jc w:val="both"/>
        <w:ind w:right="20" w:firstLine="643"/>
        <w:spacing w:after="0" w:line="232" w:lineRule="auto"/>
        <w:rPr>
          <w:sz w:val="20"/>
          <w:szCs w:val="20"/>
          <w:color w:val="auto"/>
        </w:rPr>
      </w:pPr>
      <w:r>
        <w:rPr>
          <w:rFonts w:ascii="Arial" w:cs="Arial" w:eastAsia="Arial" w:hAnsi="Arial"/>
          <w:sz w:val="21"/>
          <w:szCs w:val="21"/>
          <w:color w:val="auto"/>
        </w:rPr>
        <w:t xml:space="preserve">Section 7.08 </w:t>
      </w:r>
      <w:r>
        <w:rPr>
          <w:rFonts w:ascii="Arial" w:cs="Arial" w:eastAsia="Arial" w:hAnsi="Arial"/>
          <w:sz w:val="21"/>
          <w:szCs w:val="21"/>
          <w:u w:val="single" w:color="auto"/>
          <w:color w:val="auto"/>
        </w:rPr>
        <w:t>Investment Company.</w:t>
      </w:r>
      <w:r>
        <w:rPr>
          <w:rFonts w:ascii="Arial" w:cs="Arial" w:eastAsia="Arial" w:hAnsi="Arial"/>
          <w:sz w:val="21"/>
          <w:szCs w:val="21"/>
          <w:color w:val="auto"/>
        </w:rPr>
        <w:t xml:space="preserve"> Neither the Borrower nor any Restricted Subsidiary is an “</w:t>
      </w:r>
      <w:r>
        <w:rPr>
          <w:rFonts w:ascii="Arial" w:cs="Arial" w:eastAsia="Arial" w:hAnsi="Arial"/>
          <w:sz w:val="21"/>
          <w:szCs w:val="21"/>
          <w:u w:val="single" w:color="auto"/>
          <w:color w:val="auto"/>
        </w:rPr>
        <w:t>investment company</w:t>
      </w:r>
      <w:r>
        <w:rPr>
          <w:rFonts w:ascii="Arial" w:cs="Arial" w:eastAsia="Arial" w:hAnsi="Arial"/>
          <w:sz w:val="21"/>
          <w:szCs w:val="21"/>
          <w:color w:val="auto"/>
        </w:rPr>
        <w:t>” or a company “</w:t>
      </w:r>
      <w:r>
        <w:rPr>
          <w:rFonts w:ascii="Arial" w:cs="Arial" w:eastAsia="Arial" w:hAnsi="Arial"/>
          <w:sz w:val="21"/>
          <w:szCs w:val="21"/>
          <w:u w:val="single" w:color="auto"/>
          <w:color w:val="auto"/>
        </w:rPr>
        <w:t>controlled</w:t>
      </w:r>
      <w:r>
        <w:rPr>
          <w:rFonts w:ascii="Arial" w:cs="Arial" w:eastAsia="Arial" w:hAnsi="Arial"/>
          <w:sz w:val="21"/>
          <w:szCs w:val="21"/>
          <w:color w:val="auto"/>
        </w:rPr>
        <w:t>” by an “</w:t>
      </w:r>
      <w:r>
        <w:rPr>
          <w:rFonts w:ascii="Arial" w:cs="Arial" w:eastAsia="Arial" w:hAnsi="Arial"/>
          <w:sz w:val="21"/>
          <w:szCs w:val="21"/>
          <w:u w:val="single" w:color="auto"/>
          <w:color w:val="auto"/>
        </w:rPr>
        <w:t>investment company</w:t>
      </w:r>
      <w:r>
        <w:rPr>
          <w:rFonts w:ascii="Arial" w:cs="Arial" w:eastAsia="Arial" w:hAnsi="Arial"/>
          <w:sz w:val="21"/>
          <w:szCs w:val="21"/>
          <w:color w:val="auto"/>
        </w:rPr>
        <w:t>,” within the meaning of, or subject to regulation under, the Investment Company Act of 1940, as amended.</w:t>
      </w:r>
    </w:p>
    <w:p>
      <w:pPr>
        <w:spacing w:after="0" w:line="157" w:lineRule="exact"/>
        <w:rPr>
          <w:sz w:val="20"/>
          <w:szCs w:val="20"/>
          <w:color w:val="auto"/>
        </w:rPr>
      </w:pPr>
    </w:p>
    <w:p>
      <w:pPr>
        <w:jc w:val="both"/>
        <w:ind w:firstLine="643"/>
        <w:spacing w:after="0" w:line="220" w:lineRule="auto"/>
        <w:rPr>
          <w:sz w:val="20"/>
          <w:szCs w:val="20"/>
          <w:color w:val="auto"/>
        </w:rPr>
      </w:pPr>
      <w:r>
        <w:rPr>
          <w:rFonts w:ascii="Arial" w:cs="Arial" w:eastAsia="Arial" w:hAnsi="Arial"/>
          <w:sz w:val="21"/>
          <w:szCs w:val="21"/>
          <w:color w:val="auto"/>
        </w:rPr>
        <w:t xml:space="preserve">Section 7.09 </w:t>
      </w:r>
      <w:r>
        <w:rPr>
          <w:rFonts w:ascii="Arial" w:cs="Arial" w:eastAsia="Arial" w:hAnsi="Arial"/>
          <w:sz w:val="21"/>
          <w:szCs w:val="21"/>
          <w:u w:val="single" w:color="auto"/>
          <w:color w:val="auto"/>
        </w:rPr>
        <w:t>Taxes.</w:t>
      </w:r>
      <w:r>
        <w:rPr>
          <w:rFonts w:ascii="Arial" w:cs="Arial" w:eastAsia="Arial" w:hAnsi="Arial"/>
          <w:sz w:val="21"/>
          <w:szCs w:val="21"/>
          <w:color w:val="auto"/>
        </w:rPr>
        <w:t xml:space="preserve"> The Borrower and the Restricted Subsidiaries have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Restricted Subsidiary, as applicable, has set aside on its books adequate reserves in accordance with GAAP or (b) to the extent that the failure to do so could not reasonably be expected to result in a Material Adverse Effect. The charges, accruals and reserves on the books of the Borrower and the Restricted Subsidiaries in respect of Taxes and other governmental charges are, in the reasonable opinion of the Borrower, adequate. No Tax Lien has been filed and, to the knowledge of the Borrower, no claim is being asserted with respect to any such Tax or other such governmental charge.</w:t>
      </w:r>
    </w:p>
    <w:p>
      <w:pPr>
        <w:spacing w:after="0" w:line="157"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7.10</w:t>
      </w:r>
      <w:r>
        <w:rPr>
          <w:sz w:val="20"/>
          <w:szCs w:val="20"/>
          <w:color w:val="auto"/>
        </w:rPr>
        <w:tab/>
      </w:r>
      <w:r>
        <w:rPr>
          <w:rFonts w:ascii="Arial" w:cs="Arial" w:eastAsia="Arial" w:hAnsi="Arial"/>
          <w:sz w:val="20"/>
          <w:szCs w:val="20"/>
          <w:u w:val="single" w:color="auto"/>
          <w:color w:val="auto"/>
        </w:rPr>
        <w:t>ERISA.</w:t>
      </w:r>
    </w:p>
    <w:p>
      <w:pPr>
        <w:spacing w:after="0" w:line="187" w:lineRule="exact"/>
        <w:rPr>
          <w:sz w:val="20"/>
          <w:szCs w:val="20"/>
          <w:color w:val="auto"/>
        </w:rPr>
      </w:pPr>
    </w:p>
    <w:p>
      <w:pPr>
        <w:ind w:firstLine="1293"/>
        <w:spacing w:after="0" w:line="244" w:lineRule="auto"/>
        <w:tabs>
          <w:tab w:leader="none" w:pos="1811"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Borrower, the Restricted Subsidiaries and each ERISA Affiliate have complied in all material respects with ERISA and, where applicable, the Code regarding each Plan.</w:t>
      </w:r>
    </w:p>
    <w:p>
      <w:pPr>
        <w:spacing w:after="0" w:line="151" w:lineRule="exact"/>
        <w:rPr>
          <w:rFonts w:ascii="Arial" w:cs="Arial" w:eastAsia="Arial" w:hAnsi="Arial"/>
          <w:sz w:val="21"/>
          <w:szCs w:val="21"/>
          <w:color w:val="auto"/>
        </w:rPr>
      </w:pPr>
    </w:p>
    <w:p>
      <w:pPr>
        <w:ind w:firstLine="1293"/>
        <w:spacing w:after="0" w:line="244" w:lineRule="auto"/>
        <w:tabs>
          <w:tab w:leader="none" w:pos="1787" w:val="left"/>
        </w:tabs>
        <w:numPr>
          <w:ilvl w:val="0"/>
          <w:numId w:val="118"/>
        </w:numPr>
        <w:rPr>
          <w:rFonts w:ascii="Arial" w:cs="Arial" w:eastAsia="Arial" w:hAnsi="Arial"/>
          <w:sz w:val="21"/>
          <w:szCs w:val="21"/>
          <w:color w:val="auto"/>
        </w:rPr>
      </w:pPr>
      <w:r>
        <w:rPr>
          <w:rFonts w:ascii="Arial" w:cs="Arial" w:eastAsia="Arial" w:hAnsi="Arial"/>
          <w:sz w:val="21"/>
          <w:szCs w:val="21"/>
          <w:color w:val="auto"/>
        </w:rPr>
        <w:t>Each Plan is, and has been, established and maintained in substantial compliance with its terms, ERISA and, where applicable, the Code.</w:t>
      </w:r>
    </w:p>
    <w:p>
      <w:pPr>
        <w:spacing w:after="0" w:line="151" w:lineRule="exact"/>
        <w:rPr>
          <w:rFonts w:ascii="Arial" w:cs="Arial" w:eastAsia="Arial" w:hAnsi="Arial"/>
          <w:sz w:val="21"/>
          <w:szCs w:val="21"/>
          <w:color w:val="auto"/>
        </w:rPr>
      </w:pPr>
    </w:p>
    <w:p>
      <w:pPr>
        <w:jc w:val="both"/>
        <w:ind w:firstLine="1293"/>
        <w:spacing w:after="0" w:line="227" w:lineRule="auto"/>
        <w:tabs>
          <w:tab w:leader="none" w:pos="1751" w:val="left"/>
        </w:tabs>
        <w:numPr>
          <w:ilvl w:val="0"/>
          <w:numId w:val="118"/>
        </w:numPr>
        <w:rPr>
          <w:rFonts w:ascii="Arial" w:cs="Arial" w:eastAsia="Arial" w:hAnsi="Arial"/>
          <w:sz w:val="21"/>
          <w:szCs w:val="21"/>
          <w:color w:val="auto"/>
        </w:rPr>
      </w:pPr>
      <w:r>
        <w:rPr>
          <w:rFonts w:ascii="Arial" w:cs="Arial" w:eastAsia="Arial" w:hAnsi="Arial"/>
          <w:sz w:val="21"/>
          <w:szCs w:val="21"/>
          <w:color w:val="auto"/>
        </w:rPr>
        <w:t>No act, omission or transaction has occurred which could result in imposition on the Borrower, any Restricted Subsidiary or any ERISA Affiliate (whether directly or indirectly) of (i) either a civil penalty assessed pursuant to subsections (c), (i), (l) or (m) of section 502 of ERISA or a tax imposed pursuant to Chapter 43 of Subtitle D of the Code or (ii) breach of fiduciary duty liability damages under section 409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98" w:name="page199"/>
    <w:bookmarkEnd w:id="198"/>
    <w:p>
      <w:pPr>
        <w:jc w:val="both"/>
        <w:ind w:firstLine="1293"/>
        <w:spacing w:after="0" w:line="232" w:lineRule="auto"/>
        <w:tabs>
          <w:tab w:leader="none" w:pos="1788" w:val="left"/>
        </w:tabs>
        <w:numPr>
          <w:ilvl w:val="0"/>
          <w:numId w:val="119"/>
        </w:numPr>
        <w:rPr>
          <w:rFonts w:ascii="Arial" w:cs="Arial" w:eastAsia="Arial" w:hAnsi="Arial"/>
          <w:sz w:val="21"/>
          <w:szCs w:val="21"/>
          <w:color w:val="auto"/>
        </w:rPr>
      </w:pPr>
      <w:r>
        <w:rPr>
          <w:rFonts w:ascii="Arial" w:cs="Arial" w:eastAsia="Arial" w:hAnsi="Arial"/>
          <w:sz w:val="21"/>
          <w:szCs w:val="21"/>
          <w:color w:val="auto"/>
        </w:rPr>
        <w:t>Full payment when due has been made of all amounts which the Borrower, any Restricted Subsidiary or any ERISA Affiliate is required under the terms of each Plan or applicable law to have paid as contributions to such Plan as of the date hereof.</w:t>
      </w:r>
    </w:p>
    <w:p>
      <w:pPr>
        <w:spacing w:after="0" w:line="156" w:lineRule="exact"/>
        <w:rPr>
          <w:rFonts w:ascii="Arial" w:cs="Arial" w:eastAsia="Arial" w:hAnsi="Arial"/>
          <w:sz w:val="21"/>
          <w:szCs w:val="21"/>
          <w:color w:val="auto"/>
        </w:rPr>
      </w:pPr>
    </w:p>
    <w:p>
      <w:pPr>
        <w:jc w:val="both"/>
        <w:ind w:firstLine="1293"/>
        <w:spacing w:after="0" w:line="227" w:lineRule="auto"/>
        <w:tabs>
          <w:tab w:leader="none" w:pos="1778" w:val="left"/>
        </w:tabs>
        <w:numPr>
          <w:ilvl w:val="0"/>
          <w:numId w:val="119"/>
        </w:numPr>
        <w:rPr>
          <w:rFonts w:ascii="Arial" w:cs="Arial" w:eastAsia="Arial" w:hAnsi="Arial"/>
          <w:sz w:val="21"/>
          <w:szCs w:val="21"/>
          <w:color w:val="auto"/>
        </w:rPr>
      </w:pPr>
      <w:r>
        <w:rPr>
          <w:rFonts w:ascii="Arial" w:cs="Arial" w:eastAsia="Arial" w:hAnsi="Arial"/>
          <w:sz w:val="21"/>
          <w:szCs w:val="21"/>
          <w:color w:val="auto"/>
        </w:rPr>
        <w:t>Neither the Borrower, any Restricted Subsidiary nor any ERISA Affiliate sponsors, maintains, or contributes to an employee welfare benefit plan, as defined in section 3(1) of ERISA, including, without limitation, any such plan maintained to provide benefits to former employees of such entities, that may not be terminated by the Borrower, any Restricted Subsidiary or any ERISA Affiliate in its sole discretion at any time without any material liability.</w:t>
      </w:r>
    </w:p>
    <w:p>
      <w:pPr>
        <w:spacing w:after="0" w:line="157" w:lineRule="exact"/>
        <w:rPr>
          <w:rFonts w:ascii="Arial" w:cs="Arial" w:eastAsia="Arial" w:hAnsi="Arial"/>
          <w:sz w:val="21"/>
          <w:szCs w:val="21"/>
          <w:color w:val="auto"/>
        </w:rPr>
      </w:pPr>
    </w:p>
    <w:p>
      <w:pPr>
        <w:jc w:val="both"/>
        <w:ind w:firstLine="1293"/>
        <w:spacing w:after="0" w:line="227" w:lineRule="auto"/>
        <w:tabs>
          <w:tab w:leader="none" w:pos="1773" w:val="left"/>
        </w:tabs>
        <w:numPr>
          <w:ilvl w:val="0"/>
          <w:numId w:val="119"/>
        </w:numPr>
        <w:rPr>
          <w:rFonts w:ascii="Arial" w:cs="Arial" w:eastAsia="Arial" w:hAnsi="Arial"/>
          <w:sz w:val="21"/>
          <w:szCs w:val="21"/>
          <w:color w:val="auto"/>
        </w:rPr>
      </w:pPr>
      <w:r>
        <w:rPr>
          <w:rFonts w:ascii="Arial" w:cs="Arial" w:eastAsia="Arial" w:hAnsi="Arial"/>
          <w:sz w:val="21"/>
          <w:szCs w:val="21"/>
          <w:color w:val="auto"/>
        </w:rPr>
        <w:t>Neither the Borrower, any Restricted Subsidiary nor any ERISA Affiliate sponsors, maintains or contributes to, or has at any time in the six-year period preceding the date hereof sponsored, maintained or contributed to, any employee pension benefit plan, as defined in section 3(2) of ERISA, that is subject to Title IV of ERISA, section 302 of ERISA or section 412 of the Code.</w:t>
      </w:r>
    </w:p>
    <w:p>
      <w:pPr>
        <w:spacing w:after="0" w:line="158"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7.11</w:t>
      </w:r>
      <w:r>
        <w:rPr>
          <w:sz w:val="20"/>
          <w:szCs w:val="20"/>
          <w:color w:val="auto"/>
        </w:rPr>
        <w:tab/>
      </w:r>
      <w:r>
        <w:rPr>
          <w:rFonts w:ascii="Arial" w:cs="Arial" w:eastAsia="Arial" w:hAnsi="Arial"/>
          <w:sz w:val="19"/>
          <w:szCs w:val="19"/>
          <w:u w:val="single" w:color="auto"/>
          <w:color w:val="auto"/>
        </w:rPr>
        <w:t>Disclosure; No Material Misstatement.</w:t>
      </w:r>
    </w:p>
    <w:p>
      <w:pPr>
        <w:spacing w:after="0" w:line="187" w:lineRule="exact"/>
        <w:rPr>
          <w:sz w:val="20"/>
          <w:szCs w:val="20"/>
          <w:color w:val="auto"/>
        </w:rPr>
      </w:pPr>
    </w:p>
    <w:p>
      <w:pPr>
        <w:jc w:val="both"/>
        <w:ind w:firstLine="1293"/>
        <w:spacing w:after="0" w:line="238" w:lineRule="auto"/>
        <w:tabs>
          <w:tab w:leader="none" w:pos="1835"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Borrower has disclosed to the Administrative Agent and the Lenders all agreements, instruments and corporate or other restrictions to which it, or any of the Restricted Subsidiaries is subject, and all other matters known to it, that, individually or in the aggregate, could reasonably be expected to result in a Material Adverse Effect. None of the other reports, financial statements, certificates or other information furnished by or on behalf of the Borrower or any Restricted Subsidiary to the Administrative Agent or any Lender or any of their Affiliates in connection with the negotiation of this Agreement or any other Loan Document or delivered hereunder or under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the Borrower represents only that such information was prepared in good faith based upon assumptions believed to be reasonable at the time. There is no fact peculiar to the Borrower or any Restricted Subsidiary which could reasonably be expected to have a Material Adverse Effect or in the future is reasonably likely to have a Material Adverse Effect and which has not been set forth in this Agreement or the Loan Documents or the other documents, certificates and statements furnished to the Administrative Agent or the Lenders by or on behalf of the Borrower or any Restricted Subsidiary prior to, or on, the date hereof in connection with the transactions contemplated hereby. There are no statements or conclusions in any Reserve Report which are based upon or include misleading information or fail to take into account material information regarding the matters reported therein, it being understood that projections concerning volumes attributable to the Oil and Gas Properties of the Borrower and the Restricted Subsidiaries and production and cost estimates contained in each Reserve Report are necessarily based upon professional opinions, estimates and projections and that the Borrower and the Restricted Subsidiaries do not warrant that such opinions, estimates and projections will ultimately prove to have been accurate.</w:t>
      </w:r>
    </w:p>
    <w:p>
      <w:pPr>
        <w:spacing w:after="0" w:line="167" w:lineRule="exact"/>
        <w:rPr>
          <w:rFonts w:ascii="Arial" w:cs="Arial" w:eastAsia="Arial" w:hAnsi="Arial"/>
          <w:sz w:val="19"/>
          <w:szCs w:val="19"/>
          <w:color w:val="auto"/>
        </w:rPr>
      </w:pPr>
    </w:p>
    <w:p>
      <w:pPr>
        <w:ind w:left="1740" w:hanging="447"/>
        <w:spacing w:after="0"/>
        <w:tabs>
          <w:tab w:leader="none" w:pos="174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As of the Effective Date, the information included in the Beneficial Ownership Certification is true and correct</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in all respects.</w:t>
      </w:r>
    </w:p>
    <w:p>
      <w:pPr>
        <w:spacing w:after="0" w:line="169"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 xml:space="preserve">Section 7.12 </w:t>
      </w: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The Borrower has, and has caused all of the Restricted Subsidiaries to have, (a) all insurance policies sufficient for the compliance by each of them with all material Governmental Requirements and all material agreements and (b) insurance coverage in at least amounts and against such risk (including, without limitation, public liability) that are usually insured against by companies similarly situated and engaged in the same or a similar business for the assets and operations of the Borrower and its Restricted Subsidiaries.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199" w:name="page200"/>
    <w:bookmarkEnd w:id="199"/>
    <w:p>
      <w:pPr>
        <w:jc w:val="both"/>
        <w:spacing w:after="0" w:line="244" w:lineRule="auto"/>
        <w:rPr>
          <w:sz w:val="20"/>
          <w:szCs w:val="20"/>
          <w:color w:val="auto"/>
        </w:rPr>
      </w:pPr>
      <w:r>
        <w:rPr>
          <w:rFonts w:ascii="Arial" w:cs="Arial" w:eastAsia="Arial" w:hAnsi="Arial"/>
          <w:sz w:val="21"/>
          <w:szCs w:val="21"/>
          <w:color w:val="auto"/>
        </w:rPr>
        <w:t>Administrative Agent and the Lenders have been named as additional insureds in respect of such liability insurance policies and the Administrative Agent has been named as loss payee with respect to Property loss insurance.</w:t>
      </w:r>
    </w:p>
    <w:p>
      <w:pPr>
        <w:spacing w:after="0" w:line="152"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 xml:space="preserve">Section 7.13 </w:t>
      </w:r>
      <w:r>
        <w:rPr>
          <w:rFonts w:ascii="Arial" w:cs="Arial" w:eastAsia="Arial" w:hAnsi="Arial"/>
          <w:sz w:val="21"/>
          <w:szCs w:val="21"/>
          <w:u w:val="single" w:color="auto"/>
          <w:color w:val="auto"/>
        </w:rPr>
        <w:t>Restriction on Liens</w:t>
      </w:r>
      <w:r>
        <w:rPr>
          <w:rFonts w:ascii="Arial" w:cs="Arial" w:eastAsia="Arial" w:hAnsi="Arial"/>
          <w:sz w:val="21"/>
          <w:szCs w:val="21"/>
          <w:color w:val="auto"/>
        </w:rPr>
        <w:t>. Neither the Borrower nor any Restricted Subsidiary is a party to any material agreement or arrangement (other than as permitted by Section 9.16), or subject to any order, judgment, writ or decree, which either restricts or purports to restrict its ability to grant Liens to the Administrative Agent and the Lenders on or in respect of their Properties to secure the Indebtedness and the Loan Documents.</w:t>
      </w:r>
    </w:p>
    <w:p>
      <w:pPr>
        <w:spacing w:after="0" w:line="158"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 xml:space="preserve">Section 7.14 </w:t>
      </w:r>
      <w:r>
        <w:rPr>
          <w:rFonts w:ascii="Arial" w:cs="Arial" w:eastAsia="Arial" w:hAnsi="Arial"/>
          <w:sz w:val="21"/>
          <w:szCs w:val="21"/>
          <w:u w:val="single" w:color="auto"/>
          <w:color w:val="auto"/>
        </w:rPr>
        <w:t>Subsidiaries.</w:t>
      </w:r>
      <w:r>
        <w:rPr>
          <w:rFonts w:ascii="Arial" w:cs="Arial" w:eastAsia="Arial" w:hAnsi="Arial"/>
          <w:sz w:val="21"/>
          <w:szCs w:val="21"/>
          <w:color w:val="auto"/>
        </w:rPr>
        <w:t xml:space="preserve"> Except as set forth on Schedule 7.14 or as disclosed in writing to the Administrative Agent (which shall promptly furnish a copy to the Lenders), which shall be a supplement to Schedule 7.14, the Borrower has no Subsidiaries. Schedule 7.14 (as updated with any written disclosures provided in writing to the Administrative Agent) identifies each Subsidiary as either Restricted or Unrestricted, and each Restricted Subsidiary on such schedule is a Wholly-Owned Subsidiary.</w:t>
      </w:r>
    </w:p>
    <w:p>
      <w:pPr>
        <w:spacing w:after="0" w:line="158" w:lineRule="exact"/>
        <w:rPr>
          <w:sz w:val="20"/>
          <w:szCs w:val="20"/>
          <w:color w:val="auto"/>
        </w:rPr>
      </w:pPr>
    </w:p>
    <w:p>
      <w:pPr>
        <w:jc w:val="both"/>
        <w:ind w:firstLine="643"/>
        <w:spacing w:after="0" w:line="220" w:lineRule="auto"/>
        <w:rPr>
          <w:sz w:val="20"/>
          <w:szCs w:val="20"/>
          <w:color w:val="auto"/>
        </w:rPr>
      </w:pPr>
      <w:r>
        <w:rPr>
          <w:rFonts w:ascii="Arial" w:cs="Arial" w:eastAsia="Arial" w:hAnsi="Arial"/>
          <w:sz w:val="21"/>
          <w:szCs w:val="21"/>
          <w:color w:val="auto"/>
        </w:rPr>
        <w:t xml:space="preserve">Section 7.15 </w:t>
      </w:r>
      <w:r>
        <w:rPr>
          <w:rFonts w:ascii="Arial" w:cs="Arial" w:eastAsia="Arial" w:hAnsi="Arial"/>
          <w:sz w:val="21"/>
          <w:szCs w:val="21"/>
          <w:u w:val="single" w:color="auto"/>
          <w:color w:val="auto"/>
        </w:rPr>
        <w:t>Location of Business and Offices.</w:t>
      </w:r>
      <w:r>
        <w:rPr>
          <w:rFonts w:ascii="Arial" w:cs="Arial" w:eastAsia="Arial" w:hAnsi="Arial"/>
          <w:sz w:val="21"/>
          <w:szCs w:val="21"/>
          <w:color w:val="auto"/>
        </w:rPr>
        <w:t xml:space="preserve"> The Borrower’s jurisdiction of organization is Delaware; the name of the Borrower as listed in the public records of its jurisdiction of organization is Viper Energy Partners LLC; and the organizational identification number of the Borrower in its jurisdiction of organization is 5401217. The Borrower’s principal place of business and chief executive offices are located at the address specified in Section 12.01 (or as set forth in a notice delivered pursuant to Section 8.01(k) and Section 12.01(c)). Each Subsidiary’s jurisdiction of organization, name as listed in the public records of its jurisdiction of organization, organizational identification number in its jurisdiction of organization, and the location of its principal place of business and chief executive office is stated on Schedule 7.14 (or as set forth in a notice delivered pursuant to Section 8.01(k)).</w:t>
      </w:r>
    </w:p>
    <w:p>
      <w:pPr>
        <w:spacing w:after="0" w:line="157"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7.16</w:t>
      </w:r>
      <w:r>
        <w:rPr>
          <w:sz w:val="20"/>
          <w:szCs w:val="20"/>
          <w:color w:val="auto"/>
        </w:rPr>
        <w:tab/>
      </w:r>
      <w:r>
        <w:rPr>
          <w:rFonts w:ascii="Arial" w:cs="Arial" w:eastAsia="Arial" w:hAnsi="Arial"/>
          <w:sz w:val="19"/>
          <w:szCs w:val="19"/>
          <w:u w:val="single" w:color="auto"/>
          <w:color w:val="auto"/>
        </w:rPr>
        <w:t>Properties, Titles, Etc.</w:t>
      </w:r>
    </w:p>
    <w:p>
      <w:pPr>
        <w:spacing w:after="0" w:line="187" w:lineRule="exact"/>
        <w:rPr>
          <w:sz w:val="20"/>
          <w:szCs w:val="20"/>
          <w:color w:val="auto"/>
        </w:rPr>
      </w:pPr>
    </w:p>
    <w:p>
      <w:pPr>
        <w:jc w:val="both"/>
        <w:ind w:firstLine="1293"/>
        <w:spacing w:after="0" w:line="219" w:lineRule="auto"/>
        <w:tabs>
          <w:tab w:leader="none" w:pos="1819"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Borrower and the Restricted Subsidiaries have good and defensible title to the Oil and Gas Properties evaluated in the most recently delivered Reserve Report and good title to all its personal Properties, in each case, free and clear of all Liens except Liens permitted by Section 9.03. After giving full effect to the Excepted Liens, the Borrower or the Restricted Subsidiary specified as the owner owns the net interests in production attributable to the Hydrocarbon Interests as reflected in the most recently delivered Reserve Report, and the ownership of such Properties shall not in any material respect obligate the Borrower or such Restricted Subsidiary to bear the costs and expenses relating to the maintenance, development and operations of each such Property in an amount in excess of the working interest of each Property set forth in the most recently delivered Reserve Report that is not offset by a corresponding proportionate increase in the Borrower’s or such Restricted Subsidiary’s net revenue interest in such Property.</w:t>
      </w:r>
    </w:p>
    <w:p>
      <w:pPr>
        <w:spacing w:after="0" w:line="159" w:lineRule="exact"/>
        <w:rPr>
          <w:rFonts w:ascii="Arial" w:cs="Arial" w:eastAsia="Arial" w:hAnsi="Arial"/>
          <w:sz w:val="21"/>
          <w:szCs w:val="21"/>
          <w:color w:val="auto"/>
        </w:rPr>
      </w:pPr>
    </w:p>
    <w:p>
      <w:pPr>
        <w:jc w:val="both"/>
        <w:ind w:firstLine="1293"/>
        <w:spacing w:after="0" w:line="227" w:lineRule="auto"/>
        <w:tabs>
          <w:tab w:leader="none" w:pos="1906"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All material leases and agreements necessary for the conduct of the business of the Borrower and the Restricted Subsidiaries are valid and subsisting, in full force and effect, and there exists no default or event or circumstance which with the giving of notice or the passage of time or both would give rise to a default under any such lease or leases, which could reasonably be expected to have a Material Adverse Effect.</w:t>
      </w:r>
    </w:p>
    <w:p>
      <w:pPr>
        <w:spacing w:after="0" w:line="157" w:lineRule="exact"/>
        <w:rPr>
          <w:rFonts w:ascii="Arial" w:cs="Arial" w:eastAsia="Arial" w:hAnsi="Arial"/>
          <w:sz w:val="21"/>
          <w:szCs w:val="21"/>
          <w:color w:val="auto"/>
        </w:rPr>
      </w:pPr>
    </w:p>
    <w:p>
      <w:pPr>
        <w:jc w:val="both"/>
        <w:ind w:firstLine="1293"/>
        <w:spacing w:after="0" w:line="227" w:lineRule="auto"/>
        <w:tabs>
          <w:tab w:leader="none" w:pos="175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rights and Properties presently owned, leased or licensed by the Borrower and the Restricted Subsidiaries including, without limitation, all easements and rights of way, include all rights and Properties necessary to permit the Borrower and the Restricted Subsidiaries to conduct their business in all material respects in the same manner as its business has been conducted prior to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00" w:name="page201"/>
    <w:bookmarkEnd w:id="200"/>
    <w:p>
      <w:pPr>
        <w:ind w:firstLine="1293"/>
        <w:spacing w:after="0" w:line="295" w:lineRule="auto"/>
        <w:tabs>
          <w:tab w:leader="none" w:pos="178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All of the Properties of the Borrower and the Restricted Subsidiaries which are reasonably necessary for the operation of their businesses are in good working condition and are maintained in accordance with prudent business standards.</w:t>
      </w:r>
    </w:p>
    <w:p>
      <w:pPr>
        <w:spacing w:after="0" w:line="105" w:lineRule="exact"/>
        <w:rPr>
          <w:rFonts w:ascii="Arial" w:cs="Arial" w:eastAsia="Arial" w:hAnsi="Arial"/>
          <w:sz w:val="19"/>
          <w:szCs w:val="19"/>
          <w:color w:val="auto"/>
        </w:rPr>
      </w:pPr>
    </w:p>
    <w:p>
      <w:pPr>
        <w:jc w:val="both"/>
        <w:ind w:firstLine="1293"/>
        <w:spacing w:after="0" w:line="230" w:lineRule="auto"/>
        <w:tabs>
          <w:tab w:leader="none" w:pos="1909"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Borrower and the Restricted Subsidiaries own, or are licensed to use, all trademarks, tradenames, copyrights, patents and other intellectual Property material to its business, and the use thereof by the Borrower and the Restricted Subsidiaries does not infringe upon the rights of any other Person, except for any such infringements that, individually or in the aggregate, could not reasonably be expected to result in a Material Adverse Effect. The Borrower and the Restricted Subsidiaries either own or have valid licenses or other rights to use all databases, geological data, geophysical data, engineering data, seismic data, maps, interpretations and other technical information used in their businesses as presently conducted, subject to the limitations contained in the agreements governing the use of the same, which limitations are customary for companies engaged in the business of the exploration and production of Hydrocarbons, with such exceptions as could not reasonably be expected to have a Material Adverse Effect.</w:t>
      </w:r>
    </w:p>
    <w:p>
      <w:pPr>
        <w:spacing w:after="0" w:line="159"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19"/>
          <w:szCs w:val="19"/>
          <w:color w:val="auto"/>
        </w:rPr>
        <w:t xml:space="preserve">Section 7.17 </w:t>
      </w:r>
      <w:r>
        <w:rPr>
          <w:rFonts w:ascii="Arial" w:cs="Arial" w:eastAsia="Arial" w:hAnsi="Arial"/>
          <w:sz w:val="19"/>
          <w:szCs w:val="19"/>
          <w:u w:val="single" w:color="auto"/>
          <w:color w:val="auto"/>
        </w:rPr>
        <w:t>Maintenance of Property.</w:t>
      </w:r>
      <w:r>
        <w:rPr>
          <w:rFonts w:ascii="Arial" w:cs="Arial" w:eastAsia="Arial" w:hAnsi="Arial"/>
          <w:sz w:val="19"/>
          <w:szCs w:val="19"/>
          <w:color w:val="auto"/>
        </w:rPr>
        <w:t xml:space="preserve"> Except for such acts or failures to act as could not be reasonably expected to have a Material Adverse Effect, the Oil and Gas Properties (and Properties unitized therewith) of the Borrower and the Restricted Subsidiaries have been maintained, operated and developed in a good and workmanlike manner and in conformity with all Governmental Requirements and in conformity with the provisions of all leases, subleases or other contracts comprising a part of the Hydrocarbon Interests and other contracts and agreements forming a part of the Oil and Gas Properties of the Borrower and the Restricted Subsidiaries. Specifically in connection with the foregoing, except for those as could not be reasonably expected to have a Material Adverse Effect, (a) no Oil and Gas Property of the Borrower or the Restricted Subsidiaries is subject to having allowable production reduced below the full and regular allowable (including the maximum permissible tolerance) because of any overproduction (whether or not the same was permissible at the time) and (b) none of the wells comprising a part of the Oil and Gas Properties (or Properties unitized therewith) of the Borrower or the Restricted Subsidiaries are deviated from the vertical more than the maximum permitted by Governmental Requirements, and such wells are, in fact, bottomed under and are producing from, and the well bores are wholly within, the Oil and Gas Properties (or in the case of wells located on Properties unitized therewith, such unitized Properties) of the Borrower or such Restricted Subsidiary. All pipelines, wells, gas processing plants, platforms and other material improvements, fixtures and equipment owned in whole or in part by the Borrower or any Restricted Subsidiary that are necessary to conduct normal operations are being maintained in a state adequate to conduct normal operations, and with respect to such of the foregoing which are operated by the Borrower or any Restricted Subsidiary, in a manner consistent with the Borrower’s or the Restricted Subsidiaries’ past practices (other than those the failure of which to maintain in accordance with this Section 7.17 could not reasonably be expected to have a Material Adverse Effect).</w:t>
      </w:r>
    </w:p>
    <w:p>
      <w:pPr>
        <w:spacing w:after="0" w:line="170" w:lineRule="exact"/>
        <w:rPr>
          <w:sz w:val="20"/>
          <w:szCs w:val="20"/>
          <w:color w:val="auto"/>
        </w:rPr>
      </w:pPr>
    </w:p>
    <w:p>
      <w:pPr>
        <w:jc w:val="both"/>
        <w:ind w:firstLine="643"/>
        <w:spacing w:after="0" w:line="255" w:lineRule="auto"/>
        <w:rPr>
          <w:sz w:val="20"/>
          <w:szCs w:val="20"/>
          <w:color w:val="auto"/>
        </w:rPr>
      </w:pPr>
      <w:r>
        <w:rPr>
          <w:rFonts w:ascii="Arial" w:cs="Arial" w:eastAsia="Arial" w:hAnsi="Arial"/>
          <w:sz w:val="19"/>
          <w:szCs w:val="19"/>
          <w:color w:val="auto"/>
        </w:rPr>
        <w:t xml:space="preserve">Section 7.18 </w:t>
      </w:r>
      <w:r>
        <w:rPr>
          <w:rFonts w:ascii="Arial" w:cs="Arial" w:eastAsia="Arial" w:hAnsi="Arial"/>
          <w:sz w:val="19"/>
          <w:szCs w:val="19"/>
          <w:u w:val="single" w:color="auto"/>
          <w:color w:val="auto"/>
        </w:rPr>
        <w:t>Gas Imbalances, Prepayments.</w:t>
      </w:r>
      <w:r>
        <w:rPr>
          <w:rFonts w:ascii="Arial" w:cs="Arial" w:eastAsia="Arial" w:hAnsi="Arial"/>
          <w:sz w:val="19"/>
          <w:szCs w:val="19"/>
          <w:color w:val="auto"/>
        </w:rPr>
        <w:t xml:space="preserve"> Except as set forth on the most recent certificate delivered pursuant to Section 8.12(c), on a net basis there are no gas imbalances, take or pay or other prepayments which would require the Borrower or any Restricted Subsidiary to deliver Hydrocarbons produced from the Oil and Gas Properties at some future time without then or thereafter receiving full payment therefor exceeding 500,000 Mcf of gas (on an mcf equivalent basis) in the aggregate.</w:t>
      </w:r>
    </w:p>
    <w:p>
      <w:pPr>
        <w:spacing w:after="0" w:line="143"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20"/>
          <w:szCs w:val="20"/>
          <w:color w:val="auto"/>
        </w:rPr>
        <w:t xml:space="preserve">Section 7.19 </w:t>
      </w:r>
      <w:r>
        <w:rPr>
          <w:rFonts w:ascii="Arial" w:cs="Arial" w:eastAsia="Arial" w:hAnsi="Arial"/>
          <w:sz w:val="20"/>
          <w:szCs w:val="20"/>
          <w:u w:val="single" w:color="auto"/>
          <w:color w:val="auto"/>
        </w:rPr>
        <w:t>Marketing of Production.</w:t>
      </w:r>
      <w:r>
        <w:rPr>
          <w:rFonts w:ascii="Arial" w:cs="Arial" w:eastAsia="Arial" w:hAnsi="Arial"/>
          <w:sz w:val="20"/>
          <w:szCs w:val="20"/>
          <w:color w:val="auto"/>
        </w:rPr>
        <w:t xml:space="preserve"> Except for contracts either listed on Schedule 7.19, disclosed in writing to the Administrative Agent or included in the most recently delivered Reserve Report (with respect to all of which contracts the Borrower represents that it or the Restricted Subsidiaries are receiving a price for all production sold thereunder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01" w:name="page202"/>
    <w:bookmarkEnd w:id="201"/>
    <w:p>
      <w:pPr>
        <w:jc w:val="both"/>
        <w:spacing w:after="0" w:line="222" w:lineRule="auto"/>
        <w:rPr>
          <w:sz w:val="20"/>
          <w:szCs w:val="20"/>
          <w:color w:val="auto"/>
        </w:rPr>
      </w:pPr>
      <w:r>
        <w:rPr>
          <w:rFonts w:ascii="Arial" w:cs="Arial" w:eastAsia="Arial" w:hAnsi="Arial"/>
          <w:sz w:val="21"/>
          <w:szCs w:val="21"/>
          <w:color w:val="auto"/>
        </w:rPr>
        <w:t>computed substantially in accordance with the terms of the relevant contract and are not having deliveries curtailed substantially below the subject Property’s delivery capacity), no material agreements exist which are not cancelable on 60 days’ notice or less without penalty or detriment for the sale of production from the Borrower’s or the Restricted Subsidiaries’ Hydrocarbons (including, without limitation, calls on or other rights to purchase, production, whether or not the same are currently being exercised) that (a) pertain to the sale of production at a fixed price and (b) have a maturity or expiry date of longer than six (6) months from the date hereof.</w:t>
      </w:r>
    </w:p>
    <w:p>
      <w:pPr>
        <w:spacing w:after="0" w:line="159"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 xml:space="preserve">Section 7.20 </w:t>
      </w:r>
      <w:r>
        <w:rPr>
          <w:rFonts w:ascii="Arial" w:cs="Arial" w:eastAsia="Arial" w:hAnsi="Arial"/>
          <w:sz w:val="21"/>
          <w:szCs w:val="21"/>
          <w:u w:val="single" w:color="auto"/>
          <w:color w:val="auto"/>
        </w:rPr>
        <w:t>Swap Agreements.</w:t>
      </w:r>
      <w:r>
        <w:rPr>
          <w:rFonts w:ascii="Arial" w:cs="Arial" w:eastAsia="Arial" w:hAnsi="Arial"/>
          <w:sz w:val="21"/>
          <w:szCs w:val="21"/>
          <w:color w:val="auto"/>
        </w:rPr>
        <w:t xml:space="preserve"> After the date hereof, each report required to be delivered by the Borrower pursuant to Section 8.01(d) sets forth a true and complete list of all Swap Agreements of the Borrower and each Restricted Subsidiary not listed on Schedule 7.20, the material terms thereof (including the type, term, effective date, termination date and notional amounts or volumes), the net mark to market value thereof, all credit support agreements relating thereto (including any margin required or supplied) and the counterparty to each such agreement.</w:t>
      </w:r>
    </w:p>
    <w:p>
      <w:pPr>
        <w:spacing w:after="0" w:line="158" w:lineRule="exact"/>
        <w:rPr>
          <w:sz w:val="20"/>
          <w:szCs w:val="20"/>
          <w:color w:val="auto"/>
        </w:rPr>
      </w:pPr>
    </w:p>
    <w:p>
      <w:pPr>
        <w:jc w:val="both"/>
        <w:ind w:firstLine="643"/>
        <w:spacing w:after="0" w:line="219" w:lineRule="auto"/>
        <w:rPr>
          <w:sz w:val="20"/>
          <w:szCs w:val="20"/>
          <w:color w:val="auto"/>
        </w:rPr>
      </w:pPr>
      <w:r>
        <w:rPr>
          <w:rFonts w:ascii="Arial" w:cs="Arial" w:eastAsia="Arial" w:hAnsi="Arial"/>
          <w:sz w:val="21"/>
          <w:szCs w:val="21"/>
          <w:color w:val="auto"/>
        </w:rPr>
        <w:t xml:space="preserve">Section 7.21 </w:t>
      </w:r>
      <w:r>
        <w:rPr>
          <w:rFonts w:ascii="Arial" w:cs="Arial" w:eastAsia="Arial" w:hAnsi="Arial"/>
          <w:sz w:val="21"/>
          <w:szCs w:val="21"/>
          <w:u w:val="single" w:color="auto"/>
          <w:color w:val="auto"/>
        </w:rPr>
        <w:t>Use of Loans and Letters of Credit.</w:t>
      </w:r>
      <w:r>
        <w:rPr>
          <w:rFonts w:ascii="Arial" w:cs="Arial" w:eastAsia="Arial" w:hAnsi="Arial"/>
          <w:sz w:val="21"/>
          <w:szCs w:val="21"/>
          <w:color w:val="auto"/>
        </w:rPr>
        <w:t xml:space="preserve"> The proceeds of the Loans and the Letters of Credit shall be used (a) to provide working capital for lease acquisitions, exploration, production operations and development (including the drilling and completion of producing wells), (b) to purchase Equity Interests, including margin stock issued by Persons that are primarily engaged in the Oil and Gas Business and (c) for general corporate purposes of the Borrower and the Guarantors. The Borrower and the Restricted Subsidiaries are not engaged principally, or as one of its or their important activities, in the business of extending credit for the purpose, whether immediate, incidental or ultimate, of buying or carrying margin stock (within the meaning of Regulation T, U or X of the Board). No part of the proceeds of any Loan or Letter of Credit will be used for any purpose which violates (a) the provisions of Regulations T, U or X of the Board, (b) U.S. sanctions administered by OFAC or the US Department of State or (c) the FCPA.</w:t>
      </w:r>
    </w:p>
    <w:p>
      <w:pPr>
        <w:spacing w:after="0" w:line="159" w:lineRule="exact"/>
        <w:rPr>
          <w:sz w:val="20"/>
          <w:szCs w:val="20"/>
          <w:color w:val="auto"/>
        </w:rPr>
      </w:pPr>
    </w:p>
    <w:p>
      <w:pPr>
        <w:jc w:val="both"/>
        <w:ind w:firstLine="643"/>
        <w:spacing w:after="0" w:line="230" w:lineRule="auto"/>
        <w:rPr>
          <w:sz w:val="20"/>
          <w:szCs w:val="20"/>
          <w:color w:val="auto"/>
        </w:rPr>
      </w:pPr>
      <w:r>
        <w:rPr>
          <w:rFonts w:ascii="Arial" w:cs="Arial" w:eastAsia="Arial" w:hAnsi="Arial"/>
          <w:sz w:val="20"/>
          <w:szCs w:val="20"/>
          <w:color w:val="auto"/>
        </w:rPr>
        <w:t xml:space="preserve">Section 7.22 </w:t>
      </w:r>
      <w:r>
        <w:rPr>
          <w:rFonts w:ascii="Arial" w:cs="Arial" w:eastAsia="Arial" w:hAnsi="Arial"/>
          <w:sz w:val="20"/>
          <w:szCs w:val="20"/>
          <w:u w:val="single" w:color="auto"/>
          <w:color w:val="auto"/>
        </w:rPr>
        <w:t>Solvency.</w:t>
      </w:r>
      <w:r>
        <w:rPr>
          <w:rFonts w:ascii="Arial" w:cs="Arial" w:eastAsia="Arial" w:hAnsi="Arial"/>
          <w:sz w:val="20"/>
          <w:szCs w:val="20"/>
          <w:color w:val="auto"/>
        </w:rPr>
        <w:t xml:space="preserve"> After giving effect to the transactions contemplated hereby, (a) the aggregate assets (after giving effect to amounts that could reasonably be received by reason of indemnity, offset, insurance or any similar arrangement), at a fair valuation, of the Borrower and the Restricted Subsidiaries, taken as a whole, will exceed the aggregate Debt of the Borrower and the Restricted Subsidiaries, taken as a whole, as the Debt becomes absolute and matures, (b) the Borrower will not have incurred or intended to incur, and will not believe that it will incur, Debt beyond its ability to pay such Debt (after taking into account the timing and amounts of cash to be received by it and the amounts to be payable on or in respect of its liabilities, and giving effect to amounts that could reasonably be received by reason of indemnity, offset, insurance or any similar arrangement) as such Debt becomes absolute and matures and (c) the Borrower will not have (and will have no reason to believe that it will have thereafter) unreasonably small capital for the conduct of its business.</w:t>
      </w:r>
    </w:p>
    <w:p>
      <w:pPr>
        <w:spacing w:after="0" w:line="159" w:lineRule="exact"/>
        <w:rPr>
          <w:sz w:val="20"/>
          <w:szCs w:val="20"/>
          <w:color w:val="auto"/>
        </w:rPr>
      </w:pPr>
    </w:p>
    <w:p>
      <w:pPr>
        <w:jc w:val="both"/>
        <w:ind w:firstLine="643"/>
        <w:spacing w:after="0" w:line="230" w:lineRule="auto"/>
        <w:rPr>
          <w:sz w:val="20"/>
          <w:szCs w:val="20"/>
          <w:color w:val="auto"/>
        </w:rPr>
      </w:pPr>
      <w:r>
        <w:rPr>
          <w:rFonts w:ascii="Arial" w:cs="Arial" w:eastAsia="Arial" w:hAnsi="Arial"/>
          <w:sz w:val="20"/>
          <w:szCs w:val="20"/>
          <w:color w:val="auto"/>
        </w:rPr>
        <w:t xml:space="preserve">Section 7.23 </w:t>
      </w:r>
      <w:r>
        <w:rPr>
          <w:rFonts w:ascii="Arial" w:cs="Arial" w:eastAsia="Arial" w:hAnsi="Arial"/>
          <w:sz w:val="20"/>
          <w:szCs w:val="20"/>
          <w:u w:val="single" w:color="auto"/>
          <w:color w:val="auto"/>
        </w:rPr>
        <w:t>Foreign Corrupt Practices Act.</w:t>
      </w:r>
      <w:r>
        <w:rPr>
          <w:rFonts w:ascii="Arial" w:cs="Arial" w:eastAsia="Arial" w:hAnsi="Arial"/>
          <w:sz w:val="20"/>
          <w:szCs w:val="20"/>
          <w:color w:val="auto"/>
        </w:rPr>
        <w:t xml:space="preserve"> Neither the Borrower nor any of the Subsidiaries, nor to the knowledge of the Borrower without independent investigation, any director, officer, agent, employee or Affiliate of the Borrower or any of the Subsidiaries is aware of or has taken any action, directly or indirectly, that would result in a material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w:t>
      </w:r>
      <w:r>
        <w:rPr>
          <w:rFonts w:ascii="Arial" w:cs="Arial" w:eastAsia="Arial" w:hAnsi="Arial"/>
          <w:sz w:val="20"/>
          <w:szCs w:val="20"/>
          <w:u w:val="single" w:color="auto"/>
          <w:color w:val="auto"/>
        </w:rPr>
        <w:t>foreign official</w:t>
      </w:r>
      <w:r>
        <w:rPr>
          <w:rFonts w:ascii="Arial" w:cs="Arial" w:eastAsia="Arial" w:hAnsi="Arial"/>
          <w:sz w:val="20"/>
          <w:szCs w:val="20"/>
          <w:color w:val="auto"/>
        </w:rPr>
        <w:t>” (as such term is defined in the FCPA) or any foreign political party or official thereof or any candidate for foreign political office, in contravention of the FCPA; and, the Borrower, its Subsidiaries and to the knowledge of the Borrower without independent investigation, its and their Affiliates have conducted their business in material compliance with the FCPA and have instituted and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02" w:name="page203"/>
    <w:bookmarkEnd w:id="202"/>
    <w:p>
      <w:pPr>
        <w:spacing w:after="0" w:line="244" w:lineRule="auto"/>
        <w:rPr>
          <w:sz w:val="20"/>
          <w:szCs w:val="20"/>
          <w:color w:val="auto"/>
        </w:rPr>
      </w:pPr>
      <w:r>
        <w:rPr>
          <w:rFonts w:ascii="Arial" w:cs="Arial" w:eastAsia="Arial" w:hAnsi="Arial"/>
          <w:sz w:val="21"/>
          <w:szCs w:val="21"/>
          <w:color w:val="auto"/>
        </w:rPr>
        <w:t>policies and procedures designed to ensure, and which are reasonably expected to continue to ensure, continued compliance therewith.</w:t>
      </w:r>
    </w:p>
    <w:p>
      <w:pPr>
        <w:spacing w:after="0" w:line="152" w:lineRule="exact"/>
        <w:rPr>
          <w:sz w:val="20"/>
          <w:szCs w:val="20"/>
          <w:color w:val="auto"/>
        </w:rPr>
      </w:pPr>
    </w:p>
    <w:p>
      <w:pPr>
        <w:ind w:right="20" w:firstLine="643"/>
        <w:spacing w:after="0" w:line="222" w:lineRule="auto"/>
        <w:rPr>
          <w:sz w:val="20"/>
          <w:szCs w:val="20"/>
          <w:color w:val="auto"/>
        </w:rPr>
      </w:pPr>
      <w:r>
        <w:rPr>
          <w:rFonts w:ascii="Arial" w:cs="Arial" w:eastAsia="Arial" w:hAnsi="Arial"/>
          <w:sz w:val="21"/>
          <w:szCs w:val="21"/>
          <w:color w:val="auto"/>
        </w:rPr>
        <w:t xml:space="preserve">Section 7.24 </w:t>
      </w:r>
      <w:r>
        <w:rPr>
          <w:rFonts w:ascii="Arial" w:cs="Arial" w:eastAsia="Arial" w:hAnsi="Arial"/>
          <w:sz w:val="21"/>
          <w:szCs w:val="21"/>
          <w:u w:val="single" w:color="auto"/>
          <w:color w:val="auto"/>
        </w:rPr>
        <w:t>OFAC.</w:t>
      </w:r>
      <w:r>
        <w:rPr>
          <w:rFonts w:ascii="Arial" w:cs="Arial" w:eastAsia="Arial" w:hAnsi="Arial"/>
          <w:sz w:val="21"/>
          <w:szCs w:val="21"/>
          <w:color w:val="auto"/>
        </w:rPr>
        <w:t xml:space="preserve"> Neither the Borrower nor any of the Subsidiaries, nor to the knowledge of the Borrower without independent investigation, any director, officer, agent, employee or Affiliate of the Borrower or any of the Subsidiaries is currently subject to any material U.S. sanctions administered by OFAC or the US Department of State, and the Borrower will not directly or indirectly use the proceeds from the Loans or lend, contribute or otherwise make available such proceeds to any Subsidiary, joint venture partner or other Person for the purpose of financing the activities of any Person currently subject to any U.S. sanctions administered by OFAC or the US Department of State.</w:t>
      </w:r>
    </w:p>
    <w:p>
      <w:pPr>
        <w:spacing w:after="0" w:line="186" w:lineRule="exact"/>
        <w:rPr>
          <w:sz w:val="20"/>
          <w:szCs w:val="20"/>
          <w:color w:val="auto"/>
        </w:rPr>
      </w:pPr>
    </w:p>
    <w:p>
      <w:pPr>
        <w:jc w:val="both"/>
        <w:ind w:right="20" w:firstLine="643"/>
        <w:spacing w:after="0" w:line="244" w:lineRule="auto"/>
        <w:rPr>
          <w:sz w:val="20"/>
          <w:szCs w:val="20"/>
          <w:color w:val="auto"/>
        </w:rPr>
      </w:pPr>
      <w:r>
        <w:rPr>
          <w:rFonts w:ascii="Arial" w:cs="Arial" w:eastAsia="Arial" w:hAnsi="Arial"/>
          <w:sz w:val="21"/>
          <w:szCs w:val="21"/>
          <w:color w:val="auto"/>
        </w:rPr>
        <w:t xml:space="preserve">Section 7.25 </w:t>
      </w:r>
      <w:r>
        <w:rPr>
          <w:rFonts w:ascii="Arial" w:cs="Arial" w:eastAsia="Arial" w:hAnsi="Arial"/>
          <w:sz w:val="21"/>
          <w:szCs w:val="21"/>
          <w:u w:val="single" w:color="auto"/>
          <w:color w:val="auto"/>
        </w:rPr>
        <w:t>Affected Financial Institutions.</w:t>
      </w:r>
      <w:r>
        <w:rPr>
          <w:rFonts w:ascii="Arial" w:cs="Arial" w:eastAsia="Arial" w:hAnsi="Arial"/>
          <w:sz w:val="21"/>
          <w:szCs w:val="21"/>
          <w:color w:val="auto"/>
        </w:rPr>
        <w:t xml:space="preserve"> Neither the Borrower nor any of its Subsidiaries is an Affected Financial Institution.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VIII</w:t>
      </w:r>
    </w:p>
    <w:p>
      <w:pPr>
        <w:jc w:val="center"/>
        <w:spacing w:after="0"/>
        <w:rPr>
          <w:sz w:val="20"/>
          <w:szCs w:val="20"/>
          <w:color w:val="auto"/>
        </w:rPr>
      </w:pPr>
      <w:r>
        <w:rPr>
          <w:rFonts w:ascii="Arial" w:cs="Arial" w:eastAsia="Arial" w:hAnsi="Arial"/>
          <w:sz w:val="21"/>
          <w:szCs w:val="21"/>
          <w:b w:val="1"/>
          <w:bCs w:val="1"/>
          <w:color w:val="auto"/>
        </w:rPr>
        <w:t>Affirmative Covenants</w:t>
      </w:r>
    </w:p>
    <w:p>
      <w:pPr>
        <w:spacing w:after="0" w:line="169"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Until the Commitments have expired or been terminated and the principal of and interest on each Loan and all fees payable hereunder and all other amounts payable under the Loan Documents shall have been paid in full and all Letters of Credit shall have expired or terminated and all LC Disbursements shall have been reimbursed, the Parent Guarantor and the Borrower covenant and agree with the Lenders that:</w:t>
      </w:r>
    </w:p>
    <w:p>
      <w:pPr>
        <w:spacing w:after="0" w:line="148"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1"/>
          <w:szCs w:val="21"/>
          <w:color w:val="auto"/>
        </w:rPr>
        <w:t>Section 8.01</w:t>
      </w:r>
      <w:r>
        <w:rPr>
          <w:sz w:val="20"/>
          <w:szCs w:val="20"/>
          <w:color w:val="auto"/>
        </w:rPr>
        <w:tab/>
      </w:r>
      <w:r>
        <w:rPr>
          <w:rFonts w:ascii="Arial" w:cs="Arial" w:eastAsia="Arial" w:hAnsi="Arial"/>
          <w:sz w:val="20"/>
          <w:szCs w:val="20"/>
          <w:u w:val="single" w:color="auto"/>
          <w:color w:val="auto"/>
        </w:rPr>
        <w:t xml:space="preserve">Financial Statements; Other Information. </w:t>
      </w:r>
      <w:r>
        <w:rPr>
          <w:rFonts w:ascii="Arial" w:cs="Arial" w:eastAsia="Arial" w:hAnsi="Arial"/>
          <w:sz w:val="20"/>
          <w:szCs w:val="20"/>
          <w:color w:val="auto"/>
        </w:rPr>
        <w:t>The Borrower will furnish to the Administrative Agent and each</w:t>
      </w:r>
    </w:p>
    <w:p>
      <w:pPr>
        <w:spacing w:after="0"/>
        <w:rPr>
          <w:sz w:val="20"/>
          <w:szCs w:val="20"/>
          <w:color w:val="auto"/>
        </w:rPr>
      </w:pPr>
      <w:r>
        <w:rPr>
          <w:rFonts w:ascii="Arial" w:cs="Arial" w:eastAsia="Arial" w:hAnsi="Arial"/>
          <w:sz w:val="21"/>
          <w:szCs w:val="21"/>
          <w:color w:val="auto"/>
        </w:rPr>
        <w:t>Lender:</w:t>
      </w:r>
    </w:p>
    <w:p>
      <w:pPr>
        <w:spacing w:after="0" w:line="169" w:lineRule="exact"/>
        <w:rPr>
          <w:sz w:val="20"/>
          <w:szCs w:val="20"/>
          <w:color w:val="auto"/>
        </w:rPr>
      </w:pPr>
    </w:p>
    <w:p>
      <w:pPr>
        <w:jc w:val="both"/>
        <w:ind w:firstLine="1293"/>
        <w:spacing w:after="0" w:line="229" w:lineRule="auto"/>
        <w:tabs>
          <w:tab w:leader="none" w:pos="1791"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Annual Financial Statements</w:t>
      </w:r>
      <w:r>
        <w:rPr>
          <w:rFonts w:ascii="Arial" w:cs="Arial" w:eastAsia="Arial" w:hAnsi="Arial"/>
          <w:sz w:val="20"/>
          <w:szCs w:val="20"/>
          <w:color w:val="auto"/>
        </w:rPr>
        <w:t>. As soon as available, but in any event in accordance with then applicable law and not later than 90 days after the end of each fiscal year of the Parent Guarantor, its audited consolidated balance sheet and related statements of operations, equity and cash flows as of the end of and for such year, setting forth in each case in comparative form the figures for the previous fiscal year (if financial statements of the Parent Guarantor exist for such previous fiscal year), all reported on by independent public accountants of recognized national standing (without a “</w:t>
      </w:r>
      <w:r>
        <w:rPr>
          <w:rFonts w:ascii="Arial" w:cs="Arial" w:eastAsia="Arial" w:hAnsi="Arial"/>
          <w:sz w:val="20"/>
          <w:szCs w:val="20"/>
          <w:u w:val="single" w:color="auto"/>
          <w:color w:val="auto"/>
        </w:rPr>
        <w:t>going concern</w:t>
      </w:r>
      <w:r>
        <w:rPr>
          <w:rFonts w:ascii="Arial" w:cs="Arial" w:eastAsia="Arial" w:hAnsi="Arial"/>
          <w:sz w:val="20"/>
          <w:szCs w:val="20"/>
          <w:color w:val="auto"/>
        </w:rPr>
        <w:t>” or like qualification or exception and without any qualification or exception as to the scope of such audit) to the effect that such consolidated financial statements present fairly in all material respects the financial condition and results of operations of the Parent Guarantor and its consolidated Subsidiaries on a consolidated basis in accordance with GAAP consistently applied (it being understood that the filing with the SEC by the Parent Guarantor of such annual financial statements of the Parent Guarantor and its consolidated Subsidiaries, and notice to the Administrative Agent of such filing, shall satisfy the requirements of this Section 8.01(a) to the extent such annual financial statements include the information specified herein).</w:t>
      </w:r>
    </w:p>
    <w:p>
      <w:pPr>
        <w:spacing w:after="0" w:line="156" w:lineRule="exact"/>
        <w:rPr>
          <w:rFonts w:ascii="Arial" w:cs="Arial" w:eastAsia="Arial" w:hAnsi="Arial"/>
          <w:sz w:val="20"/>
          <w:szCs w:val="20"/>
          <w:color w:val="auto"/>
        </w:rPr>
      </w:pPr>
    </w:p>
    <w:p>
      <w:pPr>
        <w:jc w:val="both"/>
        <w:ind w:firstLine="1293"/>
        <w:spacing w:after="0" w:line="219" w:lineRule="auto"/>
        <w:tabs>
          <w:tab w:leader="none" w:pos="1763"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Quarterly Financial Statements</w:t>
      </w:r>
      <w:r>
        <w:rPr>
          <w:rFonts w:ascii="Arial" w:cs="Arial" w:eastAsia="Arial" w:hAnsi="Arial"/>
          <w:sz w:val="21"/>
          <w:szCs w:val="21"/>
          <w:color w:val="auto"/>
        </w:rPr>
        <w:t>. As soon as available, but in any event in accordance with then applicable law and not later than 45 days after the end of each of the first three fiscal quarters of each fiscal year of the Parent Guarantor, its consolidated balance sheet and related statements of operations,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(if financial statements of the Parent Guarantor exist for such previous fiscal year), all certified by one of its Financial Officers as presenting fairly in all material respects the financial condition and results of operations of the Parent Guarantor and its consolidated Subsidiaries in accordance with GAAP consistently applied, subject to normal year-end adjustments and the absence of footnotes (it being understood that the filing with the SEC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03" w:name="page204"/>
    <w:bookmarkEnd w:id="203"/>
    <w:p>
      <w:pPr>
        <w:jc w:val="both"/>
        <w:spacing w:after="0" w:line="232" w:lineRule="auto"/>
        <w:rPr>
          <w:sz w:val="20"/>
          <w:szCs w:val="20"/>
          <w:color w:val="auto"/>
        </w:rPr>
      </w:pPr>
      <w:r>
        <w:rPr>
          <w:rFonts w:ascii="Arial" w:cs="Arial" w:eastAsia="Arial" w:hAnsi="Arial"/>
          <w:sz w:val="21"/>
          <w:szCs w:val="21"/>
          <w:color w:val="auto"/>
        </w:rPr>
        <w:t>the Parent Guarantor of such quarterly financial statements of the Parent Guarantor and its Subsidiaries, and notice to the Administrative Agent of such filing, shall satisfy the requirements of this Section 8.01(b) to the extent such quarterly financial statements include the information specified herein).</w:t>
      </w:r>
    </w:p>
    <w:p>
      <w:pPr>
        <w:spacing w:after="0" w:line="157" w:lineRule="exact"/>
        <w:rPr>
          <w:sz w:val="20"/>
          <w:szCs w:val="20"/>
          <w:color w:val="auto"/>
        </w:rPr>
      </w:pPr>
    </w:p>
    <w:p>
      <w:pPr>
        <w:jc w:val="both"/>
        <w:ind w:firstLine="1293"/>
        <w:spacing w:after="0"/>
        <w:tabs>
          <w:tab w:leader="none" w:pos="1791"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Certificate of Financial Officer -- Compliance</w:t>
      </w:r>
      <w:r>
        <w:rPr>
          <w:rFonts w:ascii="Arial" w:cs="Arial" w:eastAsia="Arial" w:hAnsi="Arial"/>
          <w:sz w:val="19"/>
          <w:szCs w:val="19"/>
          <w:color w:val="auto"/>
        </w:rPr>
        <w:t>. Concurrently with any delivery of financial statements under Section 8.01(a) or Section 8.01(b), a certificate of a Financial Officer in substantially the form of Exhibit D hereto (i) certifying as to whether a Default has occurred and, if a Default has occurred, specifying the details thereof and any action taken or proposed to be taken with respect thereto, (ii) setting forth reasonably detailed calculations demonstrating compliance with Section 9.01,</w:t>
      </w:r>
    </w:p>
    <w:p>
      <w:pPr>
        <w:jc w:val="both"/>
        <w:ind w:firstLine="7"/>
        <w:spacing w:after="0" w:line="245" w:lineRule="auto"/>
        <w:tabs>
          <w:tab w:leader="none" w:pos="41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stating whether any change in GAAP or in the application thereof has occurred since the date of the audited financial statements referred to in Section 7.04 and, if any such change has occurred, specifying the effect of such change on the financial statements accompanying such certificate and (iv) setting forth the value (as such term is defined in Section 12.18(c)) of all margin stock held by the Loan Parties and the percentage of the value of all assets of the Loan Parties directly or indirectly securing the Loans and other extensions of credit provided for under this Agreement that such margin stock represents.</w:t>
      </w:r>
    </w:p>
    <w:p>
      <w:pPr>
        <w:spacing w:after="0" w:line="152" w:lineRule="exact"/>
        <w:rPr>
          <w:rFonts w:ascii="Arial" w:cs="Arial" w:eastAsia="Arial" w:hAnsi="Arial"/>
          <w:sz w:val="19"/>
          <w:szCs w:val="19"/>
          <w:color w:val="auto"/>
        </w:rPr>
      </w:pPr>
    </w:p>
    <w:p>
      <w:pPr>
        <w:jc w:val="both"/>
        <w:ind w:firstLine="1293"/>
        <w:spacing w:after="0" w:line="233" w:lineRule="auto"/>
        <w:tabs>
          <w:tab w:leader="none" w:pos="1803"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Certificate of Financial Officer – Swap Agreements</w:t>
      </w:r>
      <w:r>
        <w:rPr>
          <w:rFonts w:ascii="Arial" w:cs="Arial" w:eastAsia="Arial" w:hAnsi="Arial"/>
          <w:sz w:val="20"/>
          <w:szCs w:val="20"/>
          <w:color w:val="auto"/>
        </w:rPr>
        <w:t>. Concurrently with the delivery of each Reserve Report hereunder, a certificate of a Financial Officer, in form and substance satisfactory to the Administrative Agent, setting forth as of a recent date, a true and complete list of all Swap Agreements of the Borrower and each Restricted Subsidiary, the material terms thereof (including the type, term, effective date, termination date and notional amounts or volumes), the net mark-to-market value therefor, any new credit support agreements relating thereto not listed on Schedule 7.20, any margin required or supplied under any credit support document, and the counterparty to each such agreement.</w:t>
      </w:r>
    </w:p>
    <w:p>
      <w:pPr>
        <w:spacing w:after="0" w:line="159" w:lineRule="exact"/>
        <w:rPr>
          <w:rFonts w:ascii="Arial" w:cs="Arial" w:eastAsia="Arial" w:hAnsi="Arial"/>
          <w:sz w:val="20"/>
          <w:szCs w:val="20"/>
          <w:color w:val="auto"/>
        </w:rPr>
      </w:pPr>
    </w:p>
    <w:p>
      <w:pPr>
        <w:jc w:val="both"/>
        <w:ind w:firstLine="1293"/>
        <w:spacing w:after="0" w:line="227" w:lineRule="auto"/>
        <w:tabs>
          <w:tab w:leader="none" w:pos="1831" w:val="left"/>
        </w:tabs>
        <w:numPr>
          <w:ilvl w:val="1"/>
          <w:numId w:val="125"/>
        </w:numPr>
        <w:rPr>
          <w:rFonts w:ascii="Arial" w:cs="Arial" w:eastAsia="Arial" w:hAnsi="Arial"/>
          <w:sz w:val="21"/>
          <w:szCs w:val="21"/>
          <w:color w:val="auto"/>
        </w:rPr>
      </w:pPr>
      <w:r>
        <w:rPr>
          <w:rFonts w:ascii="Arial" w:cs="Arial" w:eastAsia="Arial" w:hAnsi="Arial"/>
          <w:sz w:val="21"/>
          <w:szCs w:val="21"/>
          <w:u w:val="single" w:color="auto"/>
          <w:color w:val="auto"/>
        </w:rPr>
        <w:t>Certificate of Insurer -- Insurance Coverage</w:t>
      </w:r>
      <w:r>
        <w:rPr>
          <w:rFonts w:ascii="Arial" w:cs="Arial" w:eastAsia="Arial" w:hAnsi="Arial"/>
          <w:sz w:val="21"/>
          <w:szCs w:val="21"/>
          <w:color w:val="auto"/>
        </w:rPr>
        <w:t>. Concurrently with any delivery of financial statements under Section 8.01(a), a certificate of insurance coverage from each insurer with respect to the insurance required by Section 8.07, in form and substance satisfactory to the Administrative Agent, and, if requested by the Administrative Agent or any Lender, all copies of the applicable policies.</w:t>
      </w:r>
    </w:p>
    <w:p>
      <w:pPr>
        <w:spacing w:after="0" w:line="157" w:lineRule="exact"/>
        <w:rPr>
          <w:rFonts w:ascii="Arial" w:cs="Arial" w:eastAsia="Arial" w:hAnsi="Arial"/>
          <w:sz w:val="21"/>
          <w:szCs w:val="21"/>
          <w:color w:val="auto"/>
        </w:rPr>
      </w:pPr>
    </w:p>
    <w:p>
      <w:pPr>
        <w:jc w:val="both"/>
        <w:ind w:firstLine="1293"/>
        <w:spacing w:after="0" w:line="238" w:lineRule="auto"/>
        <w:tabs>
          <w:tab w:leader="none" w:pos="1714"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Other Accounting Reports</w:t>
      </w:r>
      <w:r>
        <w:rPr>
          <w:rFonts w:ascii="Arial" w:cs="Arial" w:eastAsia="Arial" w:hAnsi="Arial"/>
          <w:sz w:val="20"/>
          <w:szCs w:val="20"/>
          <w:color w:val="auto"/>
        </w:rPr>
        <w:t>. Promptly upon receipt thereof, a copy of each other report or letter submitted to the Parent Guarantor, the Borrower or any Restricted Subsidiaries by independent accountants in connection with any annual, interim or special audit made by them of the books of the Parent Guarantor, the Borrower or any such Restricted Subsidiary, and a copy of any response by the Parent Guarantor, the Borrower or any such Restricted Subsidiary to such letter or report.</w:t>
      </w:r>
    </w:p>
    <w:p>
      <w:pPr>
        <w:spacing w:after="0" w:line="158" w:lineRule="exact"/>
        <w:rPr>
          <w:rFonts w:ascii="Arial" w:cs="Arial" w:eastAsia="Arial" w:hAnsi="Arial"/>
          <w:sz w:val="20"/>
          <w:szCs w:val="20"/>
          <w:color w:val="auto"/>
        </w:rPr>
      </w:pPr>
    </w:p>
    <w:p>
      <w:pPr>
        <w:jc w:val="both"/>
        <w:ind w:firstLine="1293"/>
        <w:spacing w:after="0" w:line="221" w:lineRule="auto"/>
        <w:tabs>
          <w:tab w:leader="none" w:pos="1749" w:val="left"/>
        </w:tabs>
        <w:numPr>
          <w:ilvl w:val="1"/>
          <w:numId w:val="125"/>
        </w:numPr>
        <w:rPr>
          <w:rFonts w:ascii="Arial" w:cs="Arial" w:eastAsia="Arial" w:hAnsi="Arial"/>
          <w:sz w:val="21"/>
          <w:szCs w:val="21"/>
          <w:color w:val="auto"/>
        </w:rPr>
      </w:pPr>
      <w:r>
        <w:rPr>
          <w:rFonts w:ascii="Arial" w:cs="Arial" w:eastAsia="Arial" w:hAnsi="Arial"/>
          <w:sz w:val="21"/>
          <w:szCs w:val="21"/>
          <w:u w:val="single" w:color="auto"/>
          <w:color w:val="auto"/>
        </w:rPr>
        <w:t>SEC and Other Filings; Reports to Shareholders</w:t>
      </w:r>
      <w:r>
        <w:rPr>
          <w:rFonts w:ascii="Arial" w:cs="Arial" w:eastAsia="Arial" w:hAnsi="Arial"/>
          <w:sz w:val="21"/>
          <w:szCs w:val="21"/>
          <w:color w:val="auto"/>
        </w:rPr>
        <w:t>. Promptly after the same become publicly available, copies of all periodic and other reports, proxy statements and other materials filed by the Parent Guarantor with the SEC, or with any national securities exchange, or distributed by the Parent Guarantor to its shareholders generally, as the case may be (it being understood that the delivery by the Parent Guarantor of such reports, proxy statements and other materials filed by the Parent Guarantor, the Borrower or a Restricted Subsidiary, and notice to the Administrative Agent of such delivery, shall satisfy the requirements of this Section 8.01(g) to the extent such reports, proxy statements and other materials include the information specified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04" w:name="page205"/>
    <w:bookmarkEnd w:id="204"/>
    <w:p>
      <w:pPr>
        <w:jc w:val="both"/>
        <w:ind w:firstLine="1293"/>
        <w:spacing w:after="0" w:line="227" w:lineRule="auto"/>
        <w:tabs>
          <w:tab w:leader="none" w:pos="1776" w:val="left"/>
        </w:tabs>
        <w:numPr>
          <w:ilvl w:val="1"/>
          <w:numId w:val="126"/>
        </w:numPr>
        <w:rPr>
          <w:rFonts w:ascii="Arial" w:cs="Arial" w:eastAsia="Arial" w:hAnsi="Arial"/>
          <w:sz w:val="21"/>
          <w:szCs w:val="21"/>
          <w:color w:val="auto"/>
        </w:rPr>
      </w:pPr>
      <w:r>
        <w:rPr>
          <w:rFonts w:ascii="Arial" w:cs="Arial" w:eastAsia="Arial" w:hAnsi="Arial"/>
          <w:sz w:val="21"/>
          <w:szCs w:val="21"/>
          <w:u w:val="single" w:color="auto"/>
          <w:color w:val="auto"/>
        </w:rPr>
        <w:t>Notices Under Material Instruments</w:t>
      </w:r>
      <w:r>
        <w:rPr>
          <w:rFonts w:ascii="Arial" w:cs="Arial" w:eastAsia="Arial" w:hAnsi="Arial"/>
          <w:sz w:val="21"/>
          <w:szCs w:val="21"/>
          <w:color w:val="auto"/>
        </w:rPr>
        <w:t>. Promptly after the furnishing thereof, copies of any financial statement, report or notice furnished to or by any Person pursuant to the terms of any preferred stock designation, indenture, loan or credit or other similar agreement, other than this Agreement and not otherwise required to be furnished to the Lenders pursuant to any other provision of this Section 8.01.</w:t>
      </w:r>
    </w:p>
    <w:p>
      <w:pPr>
        <w:spacing w:after="0" w:line="157" w:lineRule="exact"/>
        <w:rPr>
          <w:rFonts w:ascii="Arial" w:cs="Arial" w:eastAsia="Arial" w:hAnsi="Arial"/>
          <w:sz w:val="21"/>
          <w:szCs w:val="21"/>
          <w:color w:val="auto"/>
        </w:rPr>
      </w:pPr>
    </w:p>
    <w:p>
      <w:pPr>
        <w:jc w:val="both"/>
        <w:ind w:firstLine="1293"/>
        <w:spacing w:after="0" w:line="238" w:lineRule="auto"/>
        <w:tabs>
          <w:tab w:leader="none" w:pos="1755" w:val="left"/>
        </w:tabs>
        <w:numPr>
          <w:ilvl w:val="1"/>
          <w:numId w:val="126"/>
        </w:numPr>
        <w:rPr>
          <w:rFonts w:ascii="Arial" w:cs="Arial" w:eastAsia="Arial" w:hAnsi="Arial"/>
          <w:sz w:val="20"/>
          <w:szCs w:val="20"/>
          <w:color w:val="auto"/>
        </w:rPr>
      </w:pPr>
      <w:r>
        <w:rPr>
          <w:rFonts w:ascii="Arial" w:cs="Arial" w:eastAsia="Arial" w:hAnsi="Arial"/>
          <w:sz w:val="20"/>
          <w:szCs w:val="20"/>
          <w:u w:val="single" w:color="auto"/>
          <w:color w:val="auto"/>
        </w:rPr>
        <w:t>Notice of Sales of Oil and Gas Properties</w:t>
      </w:r>
      <w:r>
        <w:rPr>
          <w:rFonts w:ascii="Arial" w:cs="Arial" w:eastAsia="Arial" w:hAnsi="Arial"/>
          <w:sz w:val="20"/>
          <w:szCs w:val="20"/>
          <w:color w:val="auto"/>
        </w:rPr>
        <w:t>. In the event the Borrower or any Restricted Subsidiary intends to sell, transfer, assign or otherwise dispose of any Oil and Gas Properties or any Equity Interests in any Restricted Subsidiary in accordance with Section 9.12(d), prior written notice of such disposition, the price thereof and the anticipated date of closing and any other details thereof reasonably requested by the Administrative Agent or any Lender.</w:t>
      </w:r>
    </w:p>
    <w:p>
      <w:pPr>
        <w:spacing w:after="0" w:line="158" w:lineRule="exact"/>
        <w:rPr>
          <w:rFonts w:ascii="Arial" w:cs="Arial" w:eastAsia="Arial" w:hAnsi="Arial"/>
          <w:sz w:val="20"/>
          <w:szCs w:val="20"/>
          <w:color w:val="auto"/>
        </w:rPr>
      </w:pPr>
    </w:p>
    <w:p>
      <w:pPr>
        <w:jc w:val="both"/>
        <w:ind w:firstLine="1293"/>
        <w:spacing w:after="0" w:line="232" w:lineRule="auto"/>
        <w:tabs>
          <w:tab w:leader="none" w:pos="1862" w:val="left"/>
        </w:tabs>
        <w:numPr>
          <w:ilvl w:val="1"/>
          <w:numId w:val="126"/>
        </w:numPr>
        <w:rPr>
          <w:rFonts w:ascii="Arial" w:cs="Arial" w:eastAsia="Arial" w:hAnsi="Arial"/>
          <w:sz w:val="21"/>
          <w:szCs w:val="21"/>
          <w:color w:val="auto"/>
        </w:rPr>
      </w:pPr>
      <w:r>
        <w:rPr>
          <w:rFonts w:ascii="Arial" w:cs="Arial" w:eastAsia="Arial" w:hAnsi="Arial"/>
          <w:sz w:val="21"/>
          <w:szCs w:val="21"/>
          <w:u w:val="single" w:color="auto"/>
          <w:color w:val="auto"/>
        </w:rPr>
        <w:t>Notice of Casualty Events</w:t>
      </w:r>
      <w:r>
        <w:rPr>
          <w:rFonts w:ascii="Arial" w:cs="Arial" w:eastAsia="Arial" w:hAnsi="Arial"/>
          <w:sz w:val="21"/>
          <w:szCs w:val="21"/>
          <w:color w:val="auto"/>
        </w:rPr>
        <w:t>. Prompt written notice, and in any event within three Business Days, of the occurrence of any Casualty Event or the commencement of any action or proceeding that could reasonably be expected to result in a Casualty Event.</w:t>
      </w:r>
    </w:p>
    <w:p>
      <w:pPr>
        <w:spacing w:after="0" w:line="156" w:lineRule="exact"/>
        <w:rPr>
          <w:rFonts w:ascii="Arial" w:cs="Arial" w:eastAsia="Arial" w:hAnsi="Arial"/>
          <w:sz w:val="21"/>
          <w:szCs w:val="21"/>
          <w:color w:val="auto"/>
        </w:rPr>
      </w:pPr>
    </w:p>
    <w:p>
      <w:pPr>
        <w:ind w:left="1820" w:hanging="527"/>
        <w:spacing w:after="0"/>
        <w:tabs>
          <w:tab w:leader="none" w:pos="1820" w:val="left"/>
        </w:tabs>
        <w:numPr>
          <w:ilvl w:val="1"/>
          <w:numId w:val="126"/>
        </w:numPr>
        <w:rPr>
          <w:rFonts w:ascii="Arial" w:cs="Arial" w:eastAsia="Arial" w:hAnsi="Arial"/>
          <w:sz w:val="20"/>
          <w:szCs w:val="20"/>
          <w:color w:val="auto"/>
        </w:rPr>
      </w:pPr>
      <w:r>
        <w:rPr>
          <w:rFonts w:ascii="Arial" w:cs="Arial" w:eastAsia="Arial" w:hAnsi="Arial"/>
          <w:sz w:val="20"/>
          <w:szCs w:val="20"/>
          <w:u w:val="single" w:color="auto"/>
          <w:color w:val="auto"/>
        </w:rPr>
        <w:t>Information Regarding the Borrower and Guarantors</w:t>
      </w:r>
      <w:r>
        <w:rPr>
          <w:rFonts w:ascii="Arial" w:cs="Arial" w:eastAsia="Arial" w:hAnsi="Arial"/>
          <w:sz w:val="20"/>
          <w:szCs w:val="20"/>
          <w:color w:val="auto"/>
        </w:rPr>
        <w:t>. Prompt written notice (and in any event within thirty</w:t>
      </w:r>
    </w:p>
    <w:p>
      <w:pPr>
        <w:spacing w:after="0" w:line="2" w:lineRule="exact"/>
        <w:rPr>
          <w:rFonts w:ascii="Arial" w:cs="Arial" w:eastAsia="Arial" w:hAnsi="Arial"/>
          <w:sz w:val="20"/>
          <w:szCs w:val="20"/>
          <w:color w:val="auto"/>
        </w:rPr>
      </w:pPr>
    </w:p>
    <w:p>
      <w:pPr>
        <w:jc w:val="both"/>
        <w:ind w:firstLine="7"/>
        <w:spacing w:after="0" w:line="219" w:lineRule="auto"/>
        <w:tabs>
          <w:tab w:leader="none" w:pos="418" w:val="left"/>
        </w:tabs>
        <w:numPr>
          <w:ilvl w:val="0"/>
          <w:numId w:val="127"/>
        </w:numPr>
        <w:rPr>
          <w:rFonts w:ascii="Arial" w:cs="Arial" w:eastAsia="Arial" w:hAnsi="Arial"/>
          <w:sz w:val="21"/>
          <w:szCs w:val="21"/>
          <w:color w:val="auto"/>
        </w:rPr>
      </w:pPr>
      <w:r>
        <w:rPr>
          <w:rFonts w:ascii="Arial" w:cs="Arial" w:eastAsia="Arial" w:hAnsi="Arial"/>
          <w:sz w:val="21"/>
          <w:szCs w:val="21"/>
          <w:color w:val="auto"/>
        </w:rPr>
        <w:t>days thereafter) of any change (i) in the Borrower’s or any Guarantor’s corporate name or in any trade name used to identify such Person in the conduct of its business or in the ownership of its Properties, (ii) in the location of the Borrower’s or any Guarantor’s chief executive office or principal place of business, (iii) in the Borrower’s or any Guarantor’s identity or corporate structure or in the jurisdiction in which such Person is incorporated or formed, (iv) in the Borrower’s or any Guarantor’s jurisdiction of organization or such Person’s organizational identification number in such jurisdiction of organization, and (v) in the Borrower’s or any Guarantor’s federal taxpayer identification number.</w:t>
      </w:r>
    </w:p>
    <w:p>
      <w:pPr>
        <w:spacing w:after="0" w:line="159" w:lineRule="exact"/>
        <w:rPr>
          <w:rFonts w:ascii="Arial" w:cs="Arial" w:eastAsia="Arial" w:hAnsi="Arial"/>
          <w:sz w:val="21"/>
          <w:szCs w:val="21"/>
          <w:color w:val="auto"/>
        </w:rPr>
      </w:pPr>
    </w:p>
    <w:p>
      <w:pPr>
        <w:jc w:val="both"/>
        <w:ind w:firstLine="1293"/>
        <w:spacing w:after="0" w:line="222" w:lineRule="auto"/>
        <w:tabs>
          <w:tab w:leader="none" w:pos="1769" w:val="left"/>
        </w:tabs>
        <w:numPr>
          <w:ilvl w:val="1"/>
          <w:numId w:val="127"/>
        </w:numPr>
        <w:rPr>
          <w:rFonts w:ascii="Arial" w:cs="Arial" w:eastAsia="Arial" w:hAnsi="Arial"/>
          <w:sz w:val="21"/>
          <w:szCs w:val="21"/>
          <w:color w:val="auto"/>
        </w:rPr>
      </w:pPr>
      <w:r>
        <w:rPr>
          <w:rFonts w:ascii="Arial" w:cs="Arial" w:eastAsia="Arial" w:hAnsi="Arial"/>
          <w:sz w:val="21"/>
          <w:szCs w:val="21"/>
          <w:u w:val="single" w:color="auto"/>
          <w:color w:val="auto"/>
        </w:rPr>
        <w:t>Production Report and Lease Operating Statements</w:t>
      </w:r>
      <w:r>
        <w:rPr>
          <w:rFonts w:ascii="Arial" w:cs="Arial" w:eastAsia="Arial" w:hAnsi="Arial"/>
          <w:sz w:val="21"/>
          <w:szCs w:val="21"/>
          <w:color w:val="auto"/>
        </w:rPr>
        <w:t>. Concurrently with the delivery of each Reserve Report under Section 8.12(a), a report setting forth, for each calendar month during the six-month period ending on the immediately preceding December 31st or June 30th, as applicable, the volume of production and sales attributable to production (and the prices at which such sales were made and the revenues derived from such sales) for each such calendar month from the Oil and Gas Properties, and setting forth the related ad valorem, severance and production taxes and lease operating expenses attributable thereto and incurred for each such calendar month.</w:t>
      </w:r>
    </w:p>
    <w:p>
      <w:pPr>
        <w:spacing w:after="0" w:line="159" w:lineRule="exact"/>
        <w:rPr>
          <w:rFonts w:ascii="Arial" w:cs="Arial" w:eastAsia="Arial" w:hAnsi="Arial"/>
          <w:sz w:val="21"/>
          <w:szCs w:val="21"/>
          <w:color w:val="auto"/>
        </w:rPr>
      </w:pPr>
    </w:p>
    <w:p>
      <w:pPr>
        <w:jc w:val="both"/>
        <w:ind w:firstLine="1293"/>
        <w:spacing w:after="0" w:line="245" w:lineRule="auto"/>
        <w:tabs>
          <w:tab w:leader="none" w:pos="1902"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Notice of Certain Changes</w:t>
      </w:r>
      <w:r>
        <w:rPr>
          <w:rFonts w:ascii="Arial" w:cs="Arial" w:eastAsia="Arial" w:hAnsi="Arial"/>
          <w:sz w:val="20"/>
          <w:szCs w:val="20"/>
          <w:color w:val="auto"/>
        </w:rPr>
        <w:t>. Promptly, but in any event within five (5) Business Days after the execution thereof, copies of any amendment, modification or supplement to the certificate of formation, limited partnership agreement, limited liability company agreement or any other organic document of the Borrower or any Restricted Subsidiary.</w:t>
      </w:r>
    </w:p>
    <w:p>
      <w:pPr>
        <w:spacing w:after="0" w:line="152" w:lineRule="exact"/>
        <w:rPr>
          <w:rFonts w:ascii="Arial" w:cs="Arial" w:eastAsia="Arial" w:hAnsi="Arial"/>
          <w:sz w:val="20"/>
          <w:szCs w:val="20"/>
          <w:color w:val="auto"/>
        </w:rPr>
      </w:pPr>
    </w:p>
    <w:p>
      <w:pPr>
        <w:jc w:val="both"/>
        <w:ind w:firstLine="1293"/>
        <w:spacing w:after="0" w:line="224" w:lineRule="auto"/>
        <w:tabs>
          <w:tab w:leader="none" w:pos="1964" w:val="left"/>
        </w:tabs>
        <w:numPr>
          <w:ilvl w:val="1"/>
          <w:numId w:val="127"/>
        </w:numPr>
        <w:rPr>
          <w:rFonts w:ascii="Arial" w:cs="Arial" w:eastAsia="Arial" w:hAnsi="Arial"/>
          <w:sz w:val="21"/>
          <w:szCs w:val="21"/>
          <w:color w:val="auto"/>
        </w:rPr>
      </w:pPr>
      <w:r>
        <w:rPr>
          <w:rFonts w:ascii="Arial" w:cs="Arial" w:eastAsia="Arial" w:hAnsi="Arial"/>
          <w:sz w:val="21"/>
          <w:szCs w:val="21"/>
          <w:u w:val="single" w:color="auto"/>
          <w:color w:val="auto"/>
        </w:rPr>
        <w:t>Certificate of Financial Officer – Consolidating Information</w:t>
      </w:r>
      <w:r>
        <w:rPr>
          <w:rFonts w:ascii="Arial" w:cs="Arial" w:eastAsia="Arial" w:hAnsi="Arial"/>
          <w:sz w:val="21"/>
          <w:szCs w:val="21"/>
          <w:color w:val="auto"/>
        </w:rPr>
        <w:t>. If, at any time, all of the Consolidated Subsidiaries of the Borrower are not Consolidated Restricted Subsidiaries, then concurrently with any delivery of financial statements under Section 8.01(a) or Section 8.01(b), a certificate of a Financial Officer setting forth consolidating spreadsheets that show all Consolidated Unrestricted Subsidiaries and the eliminating entries, in such form as would be presentable to the auditors of the Borrower.</w:t>
      </w:r>
    </w:p>
    <w:p>
      <w:pPr>
        <w:spacing w:after="0" w:line="158" w:lineRule="exact"/>
        <w:rPr>
          <w:rFonts w:ascii="Arial" w:cs="Arial" w:eastAsia="Arial" w:hAnsi="Arial"/>
          <w:sz w:val="21"/>
          <w:szCs w:val="21"/>
          <w:color w:val="auto"/>
        </w:rPr>
      </w:pPr>
    </w:p>
    <w:p>
      <w:pPr>
        <w:jc w:val="both"/>
        <w:ind w:firstLine="1293"/>
        <w:spacing w:after="0" w:line="224" w:lineRule="auto"/>
        <w:tabs>
          <w:tab w:leader="none" w:pos="1803" w:val="left"/>
        </w:tabs>
        <w:numPr>
          <w:ilvl w:val="1"/>
          <w:numId w:val="127"/>
        </w:numPr>
        <w:rPr>
          <w:rFonts w:ascii="Arial" w:cs="Arial" w:eastAsia="Arial" w:hAnsi="Arial"/>
          <w:sz w:val="21"/>
          <w:szCs w:val="21"/>
          <w:color w:val="auto"/>
        </w:rPr>
      </w:pPr>
      <w:r>
        <w:rPr>
          <w:rFonts w:ascii="Arial" w:cs="Arial" w:eastAsia="Arial" w:hAnsi="Arial"/>
          <w:sz w:val="21"/>
          <w:szCs w:val="21"/>
          <w:u w:val="single" w:color="auto"/>
          <w:color w:val="auto"/>
        </w:rPr>
        <w:t>Other Requested Information</w:t>
      </w:r>
      <w:r>
        <w:rPr>
          <w:rFonts w:ascii="Arial" w:cs="Arial" w:eastAsia="Arial" w:hAnsi="Arial"/>
          <w:sz w:val="21"/>
          <w:szCs w:val="21"/>
          <w:color w:val="auto"/>
        </w:rPr>
        <w:t>. Promptly following any request therefor, (i) such other information regarding the operations, business affairs and financial condition of the Borrower or any Restricted Subsidiary (including any Plan and any reports or other information required to be filed with respect thereto under the Code or under ERISA), or compliance with the terms of this Agreement or any other Loan Document, as the Administrative Agent or any Lender may reasonably request or (ii) information and documentation reasonably requested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05" w:name="page206"/>
    <w:bookmarkEnd w:id="205"/>
    <w:p>
      <w:pPr>
        <w:spacing w:after="0" w:line="244" w:lineRule="auto"/>
        <w:rPr>
          <w:sz w:val="20"/>
          <w:szCs w:val="20"/>
          <w:color w:val="auto"/>
        </w:rPr>
      </w:pPr>
      <w:r>
        <w:rPr>
          <w:rFonts w:ascii="Arial" w:cs="Arial" w:eastAsia="Arial" w:hAnsi="Arial"/>
          <w:sz w:val="21"/>
          <w:szCs w:val="21"/>
          <w:color w:val="auto"/>
        </w:rPr>
        <w:t>the Administrative Agent or any Lender for purposes of compliance with applicable “</w:t>
      </w:r>
      <w:r>
        <w:rPr>
          <w:rFonts w:ascii="Arial" w:cs="Arial" w:eastAsia="Arial" w:hAnsi="Arial"/>
          <w:sz w:val="21"/>
          <w:szCs w:val="21"/>
          <w:u w:val="single" w:color="auto"/>
          <w:color w:val="auto"/>
        </w:rPr>
        <w:t>know your customer</w:t>
      </w:r>
      <w:r>
        <w:rPr>
          <w:rFonts w:ascii="Arial" w:cs="Arial" w:eastAsia="Arial" w:hAnsi="Arial"/>
          <w:sz w:val="21"/>
          <w:szCs w:val="21"/>
          <w:color w:val="auto"/>
        </w:rPr>
        <w:t>” requirements under the Patriot Act or other applicable anti-money laundering laws.</w:t>
      </w:r>
    </w:p>
    <w:p>
      <w:pPr>
        <w:spacing w:after="0" w:line="152" w:lineRule="exact"/>
        <w:rPr>
          <w:sz w:val="20"/>
          <w:szCs w:val="20"/>
          <w:color w:val="auto"/>
        </w:rPr>
      </w:pPr>
    </w:p>
    <w:p>
      <w:pPr>
        <w:ind w:right="40" w:firstLine="643"/>
        <w:spacing w:after="0" w:line="244" w:lineRule="auto"/>
        <w:rPr>
          <w:sz w:val="20"/>
          <w:szCs w:val="20"/>
          <w:color w:val="auto"/>
        </w:rPr>
      </w:pPr>
      <w:r>
        <w:rPr>
          <w:rFonts w:ascii="Arial" w:cs="Arial" w:eastAsia="Arial" w:hAnsi="Arial"/>
          <w:sz w:val="21"/>
          <w:szCs w:val="21"/>
          <w:color w:val="auto"/>
        </w:rPr>
        <w:t xml:space="preserve">Section 8.02 </w:t>
      </w:r>
      <w:r>
        <w:rPr>
          <w:rFonts w:ascii="Arial" w:cs="Arial" w:eastAsia="Arial" w:hAnsi="Arial"/>
          <w:sz w:val="21"/>
          <w:szCs w:val="21"/>
          <w:u w:val="single" w:color="auto"/>
          <w:color w:val="auto"/>
        </w:rPr>
        <w:t>Notices of Material Events.</w:t>
      </w:r>
      <w:r>
        <w:rPr>
          <w:rFonts w:ascii="Arial" w:cs="Arial" w:eastAsia="Arial" w:hAnsi="Arial"/>
          <w:sz w:val="21"/>
          <w:szCs w:val="21"/>
          <w:color w:val="auto"/>
        </w:rPr>
        <w:t xml:space="preserve"> The Borrower will furnish to the Administrative Agent and each Lender prompt written notice of the following:</w:t>
      </w:r>
    </w:p>
    <w:p>
      <w:pPr>
        <w:spacing w:after="0" w:line="178" w:lineRule="exact"/>
        <w:rPr>
          <w:sz w:val="20"/>
          <w:szCs w:val="20"/>
          <w:color w:val="auto"/>
        </w:rPr>
      </w:pPr>
    </w:p>
    <w:p>
      <w:pPr>
        <w:ind w:left="1740" w:hanging="447"/>
        <w:spacing w:after="0"/>
        <w:tabs>
          <w:tab w:leader="none" w:pos="174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occurrence of any Default;</w:t>
      </w:r>
    </w:p>
    <w:p>
      <w:pPr>
        <w:spacing w:after="0" w:line="186" w:lineRule="exact"/>
        <w:rPr>
          <w:rFonts w:ascii="Arial" w:cs="Arial" w:eastAsia="Arial" w:hAnsi="Arial"/>
          <w:sz w:val="21"/>
          <w:szCs w:val="21"/>
          <w:color w:val="auto"/>
        </w:rPr>
      </w:pPr>
    </w:p>
    <w:p>
      <w:pPr>
        <w:jc w:val="both"/>
        <w:ind w:firstLine="1293"/>
        <w:spacing w:after="0" w:line="224" w:lineRule="auto"/>
        <w:tabs>
          <w:tab w:leader="none" w:pos="1878"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filing or commencement of, or the threat in writing of, any action, suit, proceeding, investigation or arbitration by or before any arbitrator or Governmental Authority against or affecting the Borrower or any Subsidiary Affiliate thereof, not previously disclosed in writing to the Lenders or any material adverse development in any action, suit, proceeding, investigation or arbitration (whether or not previously disclosed to the Lenders) that, in either case, if adversely determined, could reasonably be expected to result in a Material Adverse Effect;</w:t>
      </w:r>
    </w:p>
    <w:p>
      <w:pPr>
        <w:spacing w:after="0" w:line="158" w:lineRule="exact"/>
        <w:rPr>
          <w:rFonts w:ascii="Arial" w:cs="Arial" w:eastAsia="Arial" w:hAnsi="Arial"/>
          <w:sz w:val="21"/>
          <w:szCs w:val="21"/>
          <w:color w:val="auto"/>
        </w:rPr>
      </w:pPr>
    </w:p>
    <w:p>
      <w:pPr>
        <w:ind w:left="1760" w:hanging="467"/>
        <w:spacing w:after="0"/>
        <w:tabs>
          <w:tab w:leader="none" w:pos="176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any other development that results in, or could reasonably be expected to result in, a Material Adverse Effect;</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and</w:t>
      </w:r>
    </w:p>
    <w:p>
      <w:pPr>
        <w:spacing w:after="0" w:line="168" w:lineRule="exact"/>
        <w:rPr>
          <w:rFonts w:ascii="Arial" w:cs="Arial" w:eastAsia="Arial" w:hAnsi="Arial"/>
          <w:sz w:val="19"/>
          <w:szCs w:val="19"/>
          <w:color w:val="auto"/>
        </w:rPr>
      </w:pPr>
    </w:p>
    <w:p>
      <w:pPr>
        <w:ind w:firstLine="1293"/>
        <w:spacing w:after="0" w:line="244" w:lineRule="auto"/>
        <w:tabs>
          <w:tab w:leader="none" w:pos="1882" w:val="left"/>
        </w:tabs>
        <w:numPr>
          <w:ilvl w:val="0"/>
          <w:numId w:val="128"/>
        </w:numPr>
        <w:rPr>
          <w:rFonts w:ascii="Arial" w:cs="Arial" w:eastAsia="Arial" w:hAnsi="Arial"/>
          <w:sz w:val="21"/>
          <w:szCs w:val="21"/>
          <w:color w:val="auto"/>
        </w:rPr>
      </w:pPr>
      <w:r>
        <w:rPr>
          <w:rFonts w:ascii="Arial" w:cs="Arial" w:eastAsia="Arial" w:hAnsi="Arial"/>
          <w:sz w:val="21"/>
          <w:szCs w:val="21"/>
          <w:color w:val="auto"/>
        </w:rPr>
        <w:t>any change in the information provided in the Beneficial Ownership Certification that would result in a change to the list of beneficial owners identified in parts (c) or (d) of such certification.</w:t>
      </w:r>
    </w:p>
    <w:p>
      <w:pPr>
        <w:spacing w:after="0" w:line="152"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color w:val="auto"/>
        </w:rPr>
        <w:t>Each notice delivered under this Section 8.02 shall be accompanied by a statement of a Responsible Officer setting forth the details of the event or development requiring such notice and any action taken or proposed to be taken with respect thereto.</w:t>
      </w:r>
    </w:p>
    <w:p>
      <w:pPr>
        <w:spacing w:after="0" w:line="129" w:lineRule="exact"/>
        <w:rPr>
          <w:sz w:val="20"/>
          <w:szCs w:val="20"/>
          <w:color w:val="auto"/>
        </w:rPr>
      </w:pPr>
    </w:p>
    <w:p>
      <w:pPr>
        <w:jc w:val="both"/>
        <w:ind w:firstLine="643"/>
        <w:spacing w:after="0" w:line="233" w:lineRule="auto"/>
        <w:rPr>
          <w:sz w:val="20"/>
          <w:szCs w:val="20"/>
          <w:color w:val="auto"/>
        </w:rPr>
      </w:pPr>
      <w:r>
        <w:rPr>
          <w:rFonts w:ascii="Arial" w:cs="Arial" w:eastAsia="Arial" w:hAnsi="Arial"/>
          <w:sz w:val="20"/>
          <w:szCs w:val="20"/>
          <w:color w:val="auto"/>
        </w:rPr>
        <w:t xml:space="preserve">Section 8.03 </w:t>
      </w:r>
      <w:r>
        <w:rPr>
          <w:rFonts w:ascii="Arial" w:cs="Arial" w:eastAsia="Arial" w:hAnsi="Arial"/>
          <w:sz w:val="20"/>
          <w:szCs w:val="20"/>
          <w:u w:val="single" w:color="auto"/>
          <w:color w:val="auto"/>
        </w:rPr>
        <w:t>Existence; Conduct of Business</w:t>
      </w:r>
      <w:r>
        <w:rPr>
          <w:rFonts w:ascii="Arial" w:cs="Arial" w:eastAsia="Arial" w:hAnsi="Arial"/>
          <w:sz w:val="20"/>
          <w:szCs w:val="20"/>
          <w:color w:val="auto"/>
        </w:rPr>
        <w:t>. The Borrower will, and will cause each Restricted Subsidiary to, do or cause to be done all things necessary to preserve, renew and keep in full force and effect its legal existence and the rights, licenses, permits, privileges and franchises material to the conduct of its business and maintain, if necessary, its qualification to do business in each other jurisdiction in which its Oil and Gas Properties is located or the ownership of its Properties requires such qualification, except where the failure to so qualify could not reasonably be expected to have a Material Adverse Effect; provided that the foregoing shall not prohibit any merger, consolidation, liquidation or dissolution permitted under Section 9.11.</w:t>
      </w:r>
    </w:p>
    <w:p>
      <w:pPr>
        <w:spacing w:after="0" w:line="160"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xml:space="preserve"> The Borrower will, and will cause each of the Restricted Subsidiaries to, pay its obligations, including Tax liabilities of the Borrower and all of the Restricted Subsidiaries before the same shall become delinquent or in default, except where (a) the validity or amount thereof is being contested in good faith by appropriate proceedings, (b) the Borrower or such Restricted Subsidiaries has set aside on their books adequate reserves with respect thereto in accordance with GAAP and (c) the failure to make payment pending such contest could not reasonably be expected to result in a Material Adverse Effect or result in the seizure or levy of any Property of the Borrower or any Restricted Subsidiary.</w:t>
      </w:r>
    </w:p>
    <w:p>
      <w:pPr>
        <w:spacing w:after="0" w:line="150"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21"/>
          <w:szCs w:val="21"/>
          <w:u w:val="single" w:color="auto"/>
          <w:color w:val="auto"/>
        </w:rPr>
        <w:t>Performance of Obligations Under Loan Documents.</w:t>
      </w:r>
      <w:r>
        <w:rPr>
          <w:rFonts w:ascii="Arial" w:cs="Arial" w:eastAsia="Arial" w:hAnsi="Arial"/>
          <w:sz w:val="21"/>
          <w:szCs w:val="21"/>
          <w:color w:val="auto"/>
        </w:rPr>
        <w:t xml:space="preserve"> The Borrower will pay the Notes according to the reading, tenor and effect thereof, and the Borrower will, and will cause each of the Restricted Subsidiaries to, do and perform every act and discharge all of the obligations to be performed and discharged by them under the Loan Documents, including, without limitation, this Agreement, at the time or times and in the manner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06" w:name="page207"/>
    <w:bookmarkEnd w:id="206"/>
    <w:p>
      <w:pPr>
        <w:ind w:left="640"/>
        <w:spacing w:after="0"/>
        <w:tabs>
          <w:tab w:leader="none" w:pos="1920" w:val="left"/>
        </w:tabs>
        <w:rPr>
          <w:sz w:val="20"/>
          <w:szCs w:val="20"/>
          <w:color w:val="auto"/>
        </w:rPr>
      </w:pPr>
      <w:r>
        <w:rPr>
          <w:rFonts w:ascii="Arial" w:cs="Arial" w:eastAsia="Arial" w:hAnsi="Arial"/>
          <w:sz w:val="21"/>
          <w:szCs w:val="21"/>
          <w:color w:val="auto"/>
        </w:rPr>
        <w:t>Section 8.06</w:t>
      </w:r>
      <w:r>
        <w:rPr>
          <w:sz w:val="20"/>
          <w:szCs w:val="20"/>
          <w:color w:val="auto"/>
        </w:rPr>
        <w:tab/>
      </w:r>
      <w:r>
        <w:rPr>
          <w:rFonts w:ascii="Arial" w:cs="Arial" w:eastAsia="Arial" w:hAnsi="Arial"/>
          <w:sz w:val="19"/>
          <w:szCs w:val="19"/>
          <w:u w:val="single" w:color="auto"/>
          <w:color w:val="auto"/>
        </w:rPr>
        <w:t xml:space="preserve">Operation and Maintenance of Properties. </w:t>
      </w:r>
      <w:r>
        <w:rPr>
          <w:rFonts w:ascii="Arial" w:cs="Arial" w:eastAsia="Arial" w:hAnsi="Arial"/>
          <w:sz w:val="19"/>
          <w:szCs w:val="19"/>
          <w:color w:val="auto"/>
        </w:rPr>
        <w:t>The Borrower, at its own expense, will, and will cause each of the</w:t>
      </w:r>
    </w:p>
    <w:p>
      <w:pPr>
        <w:spacing w:after="0"/>
        <w:rPr>
          <w:sz w:val="20"/>
          <w:szCs w:val="20"/>
          <w:color w:val="auto"/>
        </w:rPr>
      </w:pPr>
      <w:r>
        <w:rPr>
          <w:rFonts w:ascii="Arial" w:cs="Arial" w:eastAsia="Arial" w:hAnsi="Arial"/>
          <w:sz w:val="21"/>
          <w:szCs w:val="21"/>
          <w:color w:val="auto"/>
        </w:rPr>
        <w:t>Restricted Subsidiaries to:</w:t>
      </w:r>
    </w:p>
    <w:p>
      <w:pPr>
        <w:spacing w:after="0" w:line="169" w:lineRule="exact"/>
        <w:rPr>
          <w:sz w:val="20"/>
          <w:szCs w:val="20"/>
          <w:color w:val="auto"/>
        </w:rPr>
      </w:pPr>
    </w:p>
    <w:p>
      <w:pPr>
        <w:ind w:right="240" w:firstLine="1293"/>
        <w:spacing w:after="0" w:line="232" w:lineRule="auto"/>
        <w:tabs>
          <w:tab w:leader="none" w:pos="1737" w:val="left"/>
        </w:tabs>
        <w:numPr>
          <w:ilvl w:val="0"/>
          <w:numId w:val="129"/>
        </w:numPr>
        <w:rPr>
          <w:rFonts w:ascii="Arial" w:cs="Arial" w:eastAsia="Arial" w:hAnsi="Arial"/>
          <w:sz w:val="20"/>
          <w:szCs w:val="20"/>
          <w:color w:val="auto"/>
        </w:rPr>
      </w:pPr>
      <w:r>
        <w:rPr>
          <w:rFonts w:ascii="Arial" w:cs="Arial" w:eastAsia="Arial" w:hAnsi="Arial"/>
          <w:sz w:val="20"/>
          <w:szCs w:val="20"/>
          <w:color w:val="auto"/>
        </w:rPr>
        <w:t>operate their Oil and Gas Properties and other material Properties or cause such Oil and Gas Properties and other material Properties to be operated in a careful and efficient manner in accordance with the practices of the industry and in compliance with all applicable contracts and agreements and in compliance with all Governmental Requirements, including, without limitation, applicable pro ration requirements and Environmental Laws, and all applicable laws, rules and regulations of every other Governmental Authority from time to time constituted to regulate the development and operation of its Oil and Gas Properties and the production and sale of Hydrocarbons and other minerals therefrom, except, in each case, where the failure to comply could not reasonably be expected to have a Material Adverse Effect.</w:t>
      </w:r>
    </w:p>
    <w:p>
      <w:pPr>
        <w:spacing w:after="0" w:line="184" w:lineRule="exact"/>
        <w:rPr>
          <w:rFonts w:ascii="Arial" w:cs="Arial" w:eastAsia="Arial" w:hAnsi="Arial"/>
          <w:sz w:val="20"/>
          <w:szCs w:val="20"/>
          <w:color w:val="auto"/>
        </w:rPr>
      </w:pPr>
    </w:p>
    <w:p>
      <w:pPr>
        <w:jc w:val="both"/>
        <w:ind w:firstLine="1293"/>
        <w:spacing w:after="0" w:line="227" w:lineRule="auto"/>
        <w:tabs>
          <w:tab w:leader="none" w:pos="1808" w:val="left"/>
        </w:tabs>
        <w:numPr>
          <w:ilvl w:val="0"/>
          <w:numId w:val="129"/>
        </w:numPr>
        <w:rPr>
          <w:rFonts w:ascii="Arial" w:cs="Arial" w:eastAsia="Arial" w:hAnsi="Arial"/>
          <w:sz w:val="21"/>
          <w:szCs w:val="21"/>
          <w:color w:val="auto"/>
        </w:rPr>
      </w:pPr>
      <w:r>
        <w:rPr>
          <w:rFonts w:ascii="Arial" w:cs="Arial" w:eastAsia="Arial" w:hAnsi="Arial"/>
          <w:sz w:val="21"/>
          <w:szCs w:val="21"/>
          <w:color w:val="auto"/>
        </w:rPr>
        <w:t>keep and maintain all Property material to the conduct of its business in good working order and condition, ordinary wear and tear excepted, preserve, maintain and keep in good repair, working order and efficiency (ordinary wear and tear excepted) all of its material Oil and Gas Properties and other material Properties, including, without limitation, all equipment, machinery and facilities.</w:t>
      </w:r>
    </w:p>
    <w:p>
      <w:pPr>
        <w:spacing w:after="0" w:line="157" w:lineRule="exact"/>
        <w:rPr>
          <w:rFonts w:ascii="Arial" w:cs="Arial" w:eastAsia="Arial" w:hAnsi="Arial"/>
          <w:sz w:val="21"/>
          <w:szCs w:val="21"/>
          <w:color w:val="auto"/>
        </w:rPr>
      </w:pPr>
    </w:p>
    <w:p>
      <w:pPr>
        <w:jc w:val="both"/>
        <w:ind w:firstLine="1293"/>
        <w:spacing w:after="0" w:line="227" w:lineRule="auto"/>
        <w:tabs>
          <w:tab w:leader="none" w:pos="1758" w:val="left"/>
        </w:tabs>
        <w:numPr>
          <w:ilvl w:val="0"/>
          <w:numId w:val="129"/>
        </w:numPr>
        <w:rPr>
          <w:rFonts w:ascii="Arial" w:cs="Arial" w:eastAsia="Arial" w:hAnsi="Arial"/>
          <w:sz w:val="21"/>
          <w:szCs w:val="21"/>
          <w:color w:val="auto"/>
        </w:rPr>
      </w:pPr>
      <w:r>
        <w:rPr>
          <w:rFonts w:ascii="Arial" w:cs="Arial" w:eastAsia="Arial" w:hAnsi="Arial"/>
          <w:sz w:val="21"/>
          <w:szCs w:val="21"/>
          <w:color w:val="auto"/>
        </w:rPr>
        <w:t>promptly pay and discharge, or make reasonable and customary efforts to cause to be paid and discharged, all delay rentals, royalties, expenses and indebtedness accruing under the leases or other agreements affecting or pertaining to its Oil and Gas Properties and will do all other things necessary to keep unimpaired their rights with respect thereto and prevent any forfeiture thereof or default thereunder.</w:t>
      </w:r>
    </w:p>
    <w:p>
      <w:pPr>
        <w:spacing w:after="0" w:line="157" w:lineRule="exact"/>
        <w:rPr>
          <w:rFonts w:ascii="Arial" w:cs="Arial" w:eastAsia="Arial" w:hAnsi="Arial"/>
          <w:sz w:val="21"/>
          <w:szCs w:val="21"/>
          <w:color w:val="auto"/>
        </w:rPr>
      </w:pPr>
    </w:p>
    <w:p>
      <w:pPr>
        <w:jc w:val="both"/>
        <w:ind w:firstLine="1293"/>
        <w:spacing w:after="0" w:line="232" w:lineRule="auto"/>
        <w:tabs>
          <w:tab w:leader="none" w:pos="1837" w:val="left"/>
        </w:tabs>
        <w:numPr>
          <w:ilvl w:val="0"/>
          <w:numId w:val="129"/>
        </w:numPr>
        <w:rPr>
          <w:rFonts w:ascii="Arial" w:cs="Arial" w:eastAsia="Arial" w:hAnsi="Arial"/>
          <w:sz w:val="21"/>
          <w:szCs w:val="21"/>
          <w:color w:val="auto"/>
        </w:rPr>
      </w:pPr>
      <w:r>
        <w:rPr>
          <w:rFonts w:ascii="Arial" w:cs="Arial" w:eastAsia="Arial" w:hAnsi="Arial"/>
          <w:sz w:val="21"/>
          <w:szCs w:val="21"/>
          <w:color w:val="auto"/>
        </w:rPr>
        <w:t>promptly perform or make reasonable and customary efforts to cause to be performed, in accordance with industry standards, the obligations required by each and all of the assignments, deeds, leases, sub-leases, contracts and agreements affecting its interests in its Oil and Gas Properties and other material Properties.</w:t>
      </w:r>
    </w:p>
    <w:p>
      <w:pPr>
        <w:spacing w:after="0" w:line="156" w:lineRule="exact"/>
        <w:rPr>
          <w:rFonts w:ascii="Arial" w:cs="Arial" w:eastAsia="Arial" w:hAnsi="Arial"/>
          <w:sz w:val="21"/>
          <w:szCs w:val="21"/>
          <w:color w:val="auto"/>
        </w:rPr>
      </w:pPr>
    </w:p>
    <w:p>
      <w:pPr>
        <w:ind w:firstLine="1293"/>
        <w:spacing w:after="0" w:line="244" w:lineRule="auto"/>
        <w:tabs>
          <w:tab w:leader="none" w:pos="1815"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to the extent the Borrower is not the operator of any Property, the Borrower shall use reasonable efforts to cause the operator to comply with this Section 8.06.</w:t>
      </w:r>
    </w:p>
    <w:p>
      <w:pPr>
        <w:spacing w:after="0" w:line="152" w:lineRule="exact"/>
        <w:rPr>
          <w:sz w:val="20"/>
          <w:szCs w:val="20"/>
          <w:color w:val="auto"/>
        </w:rPr>
      </w:pPr>
    </w:p>
    <w:p>
      <w:pPr>
        <w:jc w:val="both"/>
        <w:ind w:firstLine="643"/>
        <w:spacing w:after="0" w:line="221"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The Borrower will, and will cause each of the Restricted Subsidiaries to, maintain with financially sound and reputable insurance companies, insurance in such amounts and against such risks as are customarily maintained by companies engaged in the same or similar businesses operating in the same or similar locations. The loss payable clauses or provisions in said insurance policy or policies insuring any of the collateral for the Loans shall be endorsed in favor of and made payable to the Administrative Agent as its interests may appear and such policies shall name the Administrative Agent and the Lenders as “</w:t>
      </w:r>
      <w:r>
        <w:rPr>
          <w:rFonts w:ascii="Arial" w:cs="Arial" w:eastAsia="Arial" w:hAnsi="Arial"/>
          <w:sz w:val="21"/>
          <w:szCs w:val="21"/>
          <w:u w:val="single" w:color="auto"/>
          <w:color w:val="auto"/>
        </w:rPr>
        <w:t>additional insureds</w:t>
      </w:r>
      <w:r>
        <w:rPr>
          <w:rFonts w:ascii="Arial" w:cs="Arial" w:eastAsia="Arial" w:hAnsi="Arial"/>
          <w:sz w:val="21"/>
          <w:szCs w:val="21"/>
          <w:color w:val="auto"/>
        </w:rPr>
        <w:t>” and provide that the insurer will endeavor to give at least 30 days prior notice of any cancellation to the Administrative Agent.</w:t>
      </w:r>
    </w:p>
    <w:p>
      <w:pPr>
        <w:spacing w:after="0" w:line="157" w:lineRule="exact"/>
        <w:rPr>
          <w:sz w:val="20"/>
          <w:szCs w:val="20"/>
          <w:color w:val="auto"/>
        </w:rPr>
      </w:pPr>
    </w:p>
    <w:p>
      <w:pPr>
        <w:jc w:val="both"/>
        <w:ind w:firstLine="643"/>
        <w:spacing w:after="0" w:line="233" w:lineRule="auto"/>
        <w:rPr>
          <w:sz w:val="20"/>
          <w:szCs w:val="20"/>
          <w:color w:val="auto"/>
        </w:rPr>
      </w:pPr>
      <w:r>
        <w:rPr>
          <w:rFonts w:ascii="Arial" w:cs="Arial" w:eastAsia="Arial" w:hAnsi="Arial"/>
          <w:sz w:val="20"/>
          <w:szCs w:val="20"/>
          <w:color w:val="auto"/>
        </w:rPr>
        <w:t xml:space="preserve">Section 8.08 </w:t>
      </w:r>
      <w:r>
        <w:rPr>
          <w:rFonts w:ascii="Arial" w:cs="Arial" w:eastAsia="Arial" w:hAnsi="Arial"/>
          <w:sz w:val="20"/>
          <w:szCs w:val="20"/>
          <w:u w:val="single" w:color="auto"/>
          <w:color w:val="auto"/>
        </w:rPr>
        <w:t>Books and Records.</w:t>
      </w:r>
      <w:r>
        <w:rPr>
          <w:rFonts w:ascii="Arial" w:cs="Arial" w:eastAsia="Arial" w:hAnsi="Arial"/>
          <w:sz w:val="20"/>
          <w:szCs w:val="20"/>
          <w:color w:val="auto"/>
        </w:rPr>
        <w:t xml:space="preserve"> The Borrower will, and will cause each of the Restricted Subsidiaries to, keep proper books of record and account in which full, true and correct entries are made of all dealings and transactions in relation to its business and activities. The Borrower will, and will cause each of the Restricted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81" w:right="339" w:bottom="1440" w:gutter="0" w:footer="0" w:header="0"/>
        </w:sectPr>
      </w:pPr>
    </w:p>
    <w:bookmarkStart w:id="207" w:name="page208"/>
    <w:bookmarkEnd w:id="207"/>
    <w:p>
      <w:pPr>
        <w:jc w:val="both"/>
        <w:ind w:firstLine="643"/>
        <w:spacing w:after="0" w:line="245" w:lineRule="auto"/>
        <w:rPr>
          <w:sz w:val="20"/>
          <w:szCs w:val="20"/>
          <w:color w:val="auto"/>
        </w:rPr>
      </w:pPr>
      <w:r>
        <w:rPr>
          <w:rFonts w:ascii="Arial" w:cs="Arial" w:eastAsia="Arial" w:hAnsi="Arial"/>
          <w:sz w:val="20"/>
          <w:szCs w:val="20"/>
          <w:color w:val="auto"/>
        </w:rPr>
        <w:t xml:space="preserve">Section 8.09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xml:space="preserve"> The Borrower will, and will cause each of the Restricted Subsidiaries to, comply with all laws, rules, regulations and orders of any Governmental Authority applicable to them or their Property, except where the failure to do so, individually or in the aggregate, could not reasonably be expected to result in a Material Adverse Effect.</w:t>
      </w:r>
    </w:p>
    <w:p>
      <w:pPr>
        <w:spacing w:after="0" w:line="15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8.10</w:t>
      </w:r>
      <w:r>
        <w:rPr>
          <w:sz w:val="20"/>
          <w:szCs w:val="20"/>
          <w:color w:val="auto"/>
        </w:rPr>
        <w:tab/>
      </w:r>
      <w:r>
        <w:rPr>
          <w:rFonts w:ascii="Arial" w:cs="Arial" w:eastAsia="Arial" w:hAnsi="Arial"/>
          <w:sz w:val="19"/>
          <w:szCs w:val="19"/>
          <w:u w:val="single" w:color="auto"/>
          <w:color w:val="auto"/>
        </w:rPr>
        <w:t>Environmental Matters.</w:t>
      </w:r>
    </w:p>
    <w:p>
      <w:pPr>
        <w:spacing w:after="0" w:line="187" w:lineRule="exact"/>
        <w:rPr>
          <w:sz w:val="20"/>
          <w:szCs w:val="20"/>
          <w:color w:val="auto"/>
        </w:rPr>
      </w:pPr>
    </w:p>
    <w:p>
      <w:pPr>
        <w:jc w:val="both"/>
        <w:ind w:firstLine="1293"/>
        <w:spacing w:after="0" w:line="237" w:lineRule="auto"/>
        <w:tabs>
          <w:tab w:leader="none" w:pos="1823" w:val="left"/>
        </w:tabs>
        <w:numPr>
          <w:ilvl w:val="1"/>
          <w:numId w:val="130"/>
        </w:numPr>
        <w:rPr>
          <w:rFonts w:ascii="Arial" w:cs="Arial" w:eastAsia="Arial" w:hAnsi="Arial"/>
          <w:sz w:val="19"/>
          <w:szCs w:val="19"/>
          <w:color w:val="auto"/>
        </w:rPr>
      </w:pPr>
      <w:r>
        <w:rPr>
          <w:rFonts w:ascii="Arial" w:cs="Arial" w:eastAsia="Arial" w:hAnsi="Arial"/>
          <w:sz w:val="19"/>
          <w:szCs w:val="19"/>
          <w:color w:val="auto"/>
        </w:rPr>
        <w:t>The Borrower shall, at its sole expense: (i) comply, and shall cause its Properties and operations and each Restricted Subsidiary and each Restricted Subsidiary’s Properties and operations to comply, with all applicable Environmental Laws, the breach of which could be reasonably expected to have a Material Adverse Effect; (ii) not Release or threaten to Release, and shall cause each Restricted Subsidiary not to Release or threaten to Release, any Hazardous Material on, under, about or from any of the Borrower’s or the Restricted Subsidiaries’ Properties or any other property offsite the Property to the extent caused by the Borrower’s or any of the Restricted Subsidiaries’ operations except in compliance with applicable Environmental Laws, the Release or threatened Release of which could reasonably be expected to have a Material Adverse Effect; (iii) timely obtain or file, and shall cause each Restricted Subsidiary to timely obtain or file, all Environmental Permits, if any, required under applicable Environmental Laws to be obtained or filed in connection with the operation or use of the Borrower’s or the Restricted Subsidiaries’ Properties, which failure to obtain or file could reasonably be expected to have a Material Adverse Effect;</w:t>
      </w:r>
    </w:p>
    <w:p>
      <w:pPr>
        <w:spacing w:after="0" w:line="2" w:lineRule="exact"/>
        <w:rPr>
          <w:rFonts w:ascii="Arial" w:cs="Arial" w:eastAsia="Arial" w:hAnsi="Arial"/>
          <w:sz w:val="19"/>
          <w:szCs w:val="19"/>
          <w:color w:val="auto"/>
        </w:rPr>
      </w:pPr>
    </w:p>
    <w:p>
      <w:pPr>
        <w:jc w:val="both"/>
        <w:ind w:firstLine="7"/>
        <w:spacing w:after="0" w:line="239" w:lineRule="auto"/>
        <w:tabs>
          <w:tab w:leader="none" w:pos="39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promptly commence and diligently prosecute to completion, and shall cause each Subsidiary to promptly commence and diligently prosecute to completion, any assessment, evaluation, investigation, monitoring, containment, cleanup, removal, repair, restoration, remediation or other remedial obligations (collectively, the “</w:t>
      </w:r>
      <w:r>
        <w:rPr>
          <w:rFonts w:ascii="Arial" w:cs="Arial" w:eastAsia="Arial" w:hAnsi="Arial"/>
          <w:sz w:val="19"/>
          <w:szCs w:val="19"/>
          <w:u w:val="single" w:color="auto"/>
          <w:color w:val="auto"/>
        </w:rPr>
        <w:t>Remedial Work</w:t>
      </w:r>
      <w:r>
        <w:rPr>
          <w:rFonts w:ascii="Arial" w:cs="Arial" w:eastAsia="Arial" w:hAnsi="Arial"/>
          <w:sz w:val="19"/>
          <w:szCs w:val="19"/>
          <w:color w:val="auto"/>
        </w:rPr>
        <w:t>”) in the event any Remedial Work is required or reasonably necessary under applicable Environmental Laws because of or in connection with the actual or suspected past, present or future Release or threatened Release of any Hazardous Material on, under, about or from any of the Borrower’s or the Restricted Subsidiaries’ Properties, which failure to commence and diligently prosecute to completion could reasonably be expected to have a Material Adverse Effect; (v) conduct, and cause the Restricted Subsidiaries to conduct, their respective operations and businesses in a manner that will not expose any Property or Person to Hazardous Materials that could reasonably be expected to form the basis for a claim for damages or compensation; and (vi) establish and implement, and shall cause each Restricted Subsidiary to establish and implement, such procedures as may be necessary to continuously determine and assure that the Borrower’s and the Restricted Subsidiaries’ obligations under this Section 8.10(a) are timely and fully satisfied, which failure to establish and implement could reasonably be expected to have a Material Adverse Effect.</w:t>
      </w:r>
    </w:p>
    <w:p>
      <w:pPr>
        <w:spacing w:after="0" w:line="156" w:lineRule="exact"/>
        <w:rPr>
          <w:rFonts w:ascii="Arial" w:cs="Arial" w:eastAsia="Arial" w:hAnsi="Arial"/>
          <w:sz w:val="19"/>
          <w:szCs w:val="19"/>
          <w:color w:val="auto"/>
        </w:rPr>
      </w:pPr>
    </w:p>
    <w:p>
      <w:pPr>
        <w:jc w:val="both"/>
        <w:ind w:firstLine="1293"/>
        <w:spacing w:after="0" w:line="222" w:lineRule="auto"/>
        <w:tabs>
          <w:tab w:leader="none" w:pos="175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The Borrower will promptly, but in no event later than five days of the occurrence of a triggering event, notify the Administrative Agent and the Lenders in writing of any threatened action, investigation or inquiry by any Governmental Authority or any threatened demand or lawsuit by any Person against the Borrower or the Restricted Subsidiaries or their Properties of which the Borrower has knowledge in connection with any Environmental Laws if the Borrower reasonably anticipate that such action will result in liability (whether individually or in the aggregate) in excess of $500,000 not fully covered by insurance, subject to normal deductibles.</w:t>
      </w:r>
    </w:p>
    <w:p>
      <w:pPr>
        <w:spacing w:after="0" w:line="159" w:lineRule="exact"/>
        <w:rPr>
          <w:rFonts w:ascii="Arial" w:cs="Arial" w:eastAsia="Arial" w:hAnsi="Arial"/>
          <w:sz w:val="21"/>
          <w:szCs w:val="21"/>
          <w:color w:val="auto"/>
        </w:rPr>
      </w:pPr>
    </w:p>
    <w:p>
      <w:pPr>
        <w:jc w:val="both"/>
        <w:ind w:firstLine="1293"/>
        <w:spacing w:after="0" w:line="238" w:lineRule="auto"/>
        <w:tabs>
          <w:tab w:leader="none" w:pos="1763" w:val="left"/>
        </w:tabs>
        <w:numPr>
          <w:ilvl w:val="1"/>
          <w:numId w:val="131"/>
        </w:numPr>
        <w:rPr>
          <w:rFonts w:ascii="Arial" w:cs="Arial" w:eastAsia="Arial" w:hAnsi="Arial"/>
          <w:sz w:val="20"/>
          <w:szCs w:val="20"/>
          <w:color w:val="auto"/>
        </w:rPr>
      </w:pPr>
      <w:r>
        <w:rPr>
          <w:rFonts w:ascii="Arial" w:cs="Arial" w:eastAsia="Arial" w:hAnsi="Arial"/>
          <w:sz w:val="20"/>
          <w:szCs w:val="20"/>
          <w:color w:val="auto"/>
        </w:rPr>
        <w:t>The Borrower will, and will cause each of the Restricted Subsidiaries to, provide environmental assessments, audits and tests in accordance with the most current version of the American Society of Testing Materials standards (i) upon request by the Administrative Agent and the Lenders no more than once per year (or as otherwise required to be obtained by the Administrative Agent or the Lenders by any Governmental Authority), (ii) at any time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08" w:name="page209"/>
    <w:bookmarkEnd w:id="208"/>
    <w:p>
      <w:pPr>
        <w:spacing w:after="0"/>
        <w:rPr>
          <w:sz w:val="20"/>
          <w:szCs w:val="20"/>
          <w:color w:val="auto"/>
        </w:rPr>
      </w:pPr>
      <w:r>
        <w:rPr>
          <w:rFonts w:ascii="Arial" w:cs="Arial" w:eastAsia="Arial" w:hAnsi="Arial"/>
          <w:sz w:val="21"/>
          <w:szCs w:val="21"/>
          <w:color w:val="auto"/>
        </w:rPr>
        <w:t>an Event of Default and (iii) in connection with any future acquisitions of Oil and Gas Properties or other Properties.</w:t>
      </w:r>
    </w:p>
    <w:p>
      <w:pPr>
        <w:spacing w:after="0" w:line="178"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auto"/>
        </w:rPr>
        <w:t>Section 8.11</w:t>
      </w:r>
      <w:r>
        <w:rPr>
          <w:sz w:val="20"/>
          <w:szCs w:val="20"/>
          <w:color w:val="auto"/>
        </w:rPr>
        <w:tab/>
      </w:r>
      <w:r>
        <w:rPr>
          <w:rFonts w:ascii="Arial" w:cs="Arial" w:eastAsia="Arial" w:hAnsi="Arial"/>
          <w:sz w:val="19"/>
          <w:szCs w:val="19"/>
          <w:u w:val="single" w:color="auto"/>
          <w:color w:val="auto"/>
        </w:rPr>
        <w:t>Further Assurances.</w:t>
      </w:r>
    </w:p>
    <w:p>
      <w:pPr>
        <w:jc w:val="both"/>
        <w:ind w:firstLine="1293"/>
        <w:spacing w:after="0" w:line="217" w:lineRule="auto"/>
        <w:tabs>
          <w:tab w:leader="none" w:pos="1833"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Borrower at its sole expense will, and will cause the Restricted Subsidiaries to promptly execute and deliver to the Administrative Agent all such other documents, agreements and instruments reasonably requested by the Administrative Agent to comply with, cure any defects or accomplish the conditions precedent, covenants and agreements of the Borrower or any of the Restricted Subsidiaries, as the case may be, in the Loan Documents, including the Notes, or to further evidence and more fully describe the collateral intended as security for the Indebtedness, or to correct any omissions in this Agreement or the Security Instruments, or to state more fully the obligations secured therein, or to perfect, protect or preserve any Liens created pursuant to this Agreement or any of the Security Instruments or the priority thereof, or to make any recordings, file any notices or obtain any consents, all as may be reasonably necessary or appropriate, in the sole discretion of the Administrative Agent, in connection therewith.</w:t>
      </w:r>
    </w:p>
    <w:p>
      <w:pPr>
        <w:spacing w:after="0" w:line="159" w:lineRule="exact"/>
        <w:rPr>
          <w:rFonts w:ascii="Arial" w:cs="Arial" w:eastAsia="Arial" w:hAnsi="Arial"/>
          <w:sz w:val="21"/>
          <w:szCs w:val="21"/>
          <w:color w:val="auto"/>
        </w:rPr>
      </w:pPr>
    </w:p>
    <w:p>
      <w:pPr>
        <w:jc w:val="both"/>
        <w:ind w:firstLine="1293"/>
        <w:spacing w:after="0" w:line="255" w:lineRule="auto"/>
        <w:tabs>
          <w:tab w:leader="none" w:pos="187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Borrower hereby authorizes the Administrative Agent to file one or more financing or continuation statements, and amendments thereto, relative to all or any part of the Mortgaged Property without the signature of the Borrower or any Guarantor where permitted by law. A carbon, photographic or other reproduction of the Security Instruments or any financing statement covering the Mortgaged Property or any part thereof shall be sufficient as a financing statement where permitted by law.</w:t>
      </w:r>
    </w:p>
    <w:p>
      <w:pPr>
        <w:spacing w:after="0" w:line="14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8.12</w:t>
      </w:r>
      <w:r>
        <w:rPr>
          <w:sz w:val="20"/>
          <w:szCs w:val="20"/>
          <w:color w:val="auto"/>
        </w:rPr>
        <w:tab/>
      </w:r>
      <w:r>
        <w:rPr>
          <w:rFonts w:ascii="Arial" w:cs="Arial" w:eastAsia="Arial" w:hAnsi="Arial"/>
          <w:sz w:val="18"/>
          <w:szCs w:val="18"/>
          <w:u w:val="single" w:color="auto"/>
          <w:color w:val="auto"/>
        </w:rPr>
        <w:t>Reserve Reports.</w:t>
      </w:r>
    </w:p>
    <w:p>
      <w:pPr>
        <w:spacing w:after="0" w:line="187" w:lineRule="exact"/>
        <w:rPr>
          <w:sz w:val="20"/>
          <w:szCs w:val="20"/>
          <w:color w:val="auto"/>
        </w:rPr>
      </w:pPr>
    </w:p>
    <w:p>
      <w:pPr>
        <w:jc w:val="both"/>
        <w:ind w:firstLine="1293"/>
        <w:spacing w:after="0" w:line="245" w:lineRule="auto"/>
        <w:tabs>
          <w:tab w:leader="none" w:pos="177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On or before March 1st and September 1st of each year, commencing September 1, 2018, the Borrower shall furnish to the Administrative Agent and the Lenders a Reserve Report evaluating the Oil and Gas Properties of the Borrower and the Restricted Subsidiaries as of the immediately preceding January 1st and July 1st. The Reserve Report as of January 1 of each year shall be prepared or audited by one or more Approved Petroleum Engineers with respect to at least 80% of the total value of the Oil and Gas Properties evaluated in such Reserve Report and the July 1 Reserve Report of each year shall be prepared by or under the supervision of the chief engineer of the Borrower who shall certify such Reserve Report to be true and accurate and to have been prepared in accordance with the procedures used in the immediately preceding January 1 Reserve Report.</w:t>
      </w:r>
    </w:p>
    <w:p>
      <w:pPr>
        <w:spacing w:after="0" w:line="152" w:lineRule="exact"/>
        <w:rPr>
          <w:rFonts w:ascii="Arial" w:cs="Arial" w:eastAsia="Arial" w:hAnsi="Arial"/>
          <w:sz w:val="19"/>
          <w:szCs w:val="19"/>
          <w:color w:val="auto"/>
        </w:rPr>
      </w:pPr>
    </w:p>
    <w:p>
      <w:pPr>
        <w:jc w:val="both"/>
        <w:ind w:firstLine="1293"/>
        <w:spacing w:after="0" w:line="233" w:lineRule="auto"/>
        <w:tabs>
          <w:tab w:leader="none" w:pos="1814" w:val="left"/>
        </w:tabs>
        <w:numPr>
          <w:ilvl w:val="0"/>
          <w:numId w:val="133"/>
        </w:numPr>
        <w:rPr>
          <w:rFonts w:ascii="Arial" w:cs="Arial" w:eastAsia="Arial" w:hAnsi="Arial"/>
          <w:sz w:val="20"/>
          <w:szCs w:val="20"/>
          <w:color w:val="auto"/>
        </w:rPr>
      </w:pPr>
      <w:r>
        <w:rPr>
          <w:rFonts w:ascii="Arial" w:cs="Arial" w:eastAsia="Arial" w:hAnsi="Arial"/>
          <w:sz w:val="20"/>
          <w:szCs w:val="20"/>
          <w:color w:val="auto"/>
        </w:rPr>
        <w:t>In the event of an Interim Redetermination, the Borrower shall furnish to the Administrative Agent and the Lenders a Reserve Report prepared by or under the supervision of the chief engineer of the Borrower who shall certify such Reserve Report to be true and accurate and to have been prepared in accordance with the procedures used in the immediately preceding January 1 Reserve Report. For any Interim Redetermination requested by the Administrative Agent or the Borrower pursuant to Section 2.07(b), the Borrower shall provide such Reserve Report with an “</w:t>
      </w:r>
      <w:r>
        <w:rPr>
          <w:rFonts w:ascii="Arial" w:cs="Arial" w:eastAsia="Arial" w:hAnsi="Arial"/>
          <w:sz w:val="20"/>
          <w:szCs w:val="20"/>
          <w:u w:val="single" w:color="auto"/>
          <w:color w:val="auto"/>
        </w:rPr>
        <w:t>as of</w:t>
      </w:r>
      <w:r>
        <w:rPr>
          <w:rFonts w:ascii="Arial" w:cs="Arial" w:eastAsia="Arial" w:hAnsi="Arial"/>
          <w:sz w:val="20"/>
          <w:szCs w:val="20"/>
          <w:color w:val="auto"/>
        </w:rPr>
        <w:t>” date as required by the Administrative Agent as soon as possible, but in any event no later than thirty (30) days following the receipt of such request.</w:t>
      </w:r>
    </w:p>
    <w:p>
      <w:pPr>
        <w:spacing w:after="0" w:line="159" w:lineRule="exact"/>
        <w:rPr>
          <w:rFonts w:ascii="Arial" w:cs="Arial" w:eastAsia="Arial" w:hAnsi="Arial"/>
          <w:sz w:val="20"/>
          <w:szCs w:val="20"/>
          <w:color w:val="auto"/>
        </w:rPr>
      </w:pPr>
    </w:p>
    <w:p>
      <w:pPr>
        <w:jc w:val="both"/>
        <w:ind w:firstLine="1293"/>
        <w:spacing w:after="0" w:line="233" w:lineRule="auto"/>
        <w:tabs>
          <w:tab w:leader="none" w:pos="1814" w:val="left"/>
        </w:tabs>
        <w:numPr>
          <w:ilvl w:val="0"/>
          <w:numId w:val="133"/>
        </w:numPr>
        <w:rPr>
          <w:rFonts w:ascii="Arial" w:cs="Arial" w:eastAsia="Arial" w:hAnsi="Arial"/>
          <w:sz w:val="20"/>
          <w:szCs w:val="20"/>
          <w:color w:val="auto"/>
        </w:rPr>
      </w:pPr>
      <w:r>
        <w:rPr>
          <w:rFonts w:ascii="Arial" w:cs="Arial" w:eastAsia="Arial" w:hAnsi="Arial"/>
          <w:sz w:val="20"/>
          <w:szCs w:val="20"/>
          <w:color w:val="auto"/>
        </w:rPr>
        <w:t>With the delivery of each Reserve Report, the Borrower shall provide to the Administrative Agent and the Lenders a certificate from a Responsible Officer certifying that in all material respects: (i) the information contained in the Reserve Report and any other information delivered in connection therewith is true and correct, (ii) the Borrower or the Restricted Subsidiaries own good and defensible title to the Oil and Gas Properties evaluated in such Reserve Report and such Properties are free of all Liens except for Liens permitted by Section 9.03, (iii) except as set forth on an exhibit to the certificate, on a net basis there are no gas imbalances, take or pay or other prepayments in excess of the volume specified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09" w:name="page210"/>
    <w:bookmarkEnd w:id="209"/>
    <w:p>
      <w:pPr>
        <w:jc w:val="both"/>
        <w:spacing w:after="0" w:line="229" w:lineRule="auto"/>
        <w:rPr>
          <w:sz w:val="20"/>
          <w:szCs w:val="20"/>
          <w:color w:val="auto"/>
        </w:rPr>
      </w:pPr>
      <w:r>
        <w:rPr>
          <w:rFonts w:ascii="Arial" w:cs="Arial" w:eastAsia="Arial" w:hAnsi="Arial"/>
          <w:sz w:val="20"/>
          <w:szCs w:val="20"/>
          <w:color w:val="auto"/>
        </w:rPr>
        <w:t>Section 7.18 with respect to its Oil and Gas Properties evaluated in such Reserve Report which would require the Borrower or any Restricted Subsidiary to deliver Hydrocarbons either generally or produced from such Oil and Gas Properties at some future time without then or thereafter receiving full payment therefor, (iv) none of their Oil and Gas Properties have been sold since the date of the last Borrowing Base determination except as set forth on an exhibit to the certificate, which certificate shall list all of its Oil and Gas Properties sold and in such detail as reasonably required by the Administrative Agent, (v) attached to the certificate is a list of all marketing agreements entered into subsequent to the later of the date hereof or the most recently delivered Reserve Report which the Borrower could reasonably be expected to have been obligated to list on Schedule 7.19 had such agreement been in effect on the date hereof and (vi) attached thereto is a schedule of the Oil and Gas Properties evaluated by such Reserve Report that are Mortgaged Properties and demonstrating the percentage of the total value of the Oil and Gas Properties that the value of such Mortgaged Properties represent in compliance with Section 8.14(a).</w:t>
      </w:r>
    </w:p>
    <w:p>
      <w:pPr>
        <w:spacing w:after="0" w:line="16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8.13</w:t>
      </w:r>
      <w:r>
        <w:rPr>
          <w:sz w:val="20"/>
          <w:szCs w:val="20"/>
          <w:color w:val="auto"/>
        </w:rPr>
        <w:tab/>
      </w:r>
      <w:r>
        <w:rPr>
          <w:rFonts w:ascii="Arial" w:cs="Arial" w:eastAsia="Arial" w:hAnsi="Arial"/>
          <w:sz w:val="20"/>
          <w:szCs w:val="20"/>
          <w:u w:val="single" w:color="auto"/>
          <w:color w:val="auto"/>
        </w:rPr>
        <w:t>Title Information.</w:t>
      </w:r>
    </w:p>
    <w:p>
      <w:pPr>
        <w:spacing w:after="0" w:line="187" w:lineRule="exact"/>
        <w:rPr>
          <w:sz w:val="20"/>
          <w:szCs w:val="20"/>
          <w:color w:val="auto"/>
        </w:rPr>
      </w:pPr>
    </w:p>
    <w:p>
      <w:pPr>
        <w:jc w:val="both"/>
        <w:ind w:firstLine="1293"/>
        <w:spacing w:after="0" w:line="222" w:lineRule="auto"/>
        <w:tabs>
          <w:tab w:leader="none" w:pos="1806" w:val="left"/>
        </w:tabs>
        <w:numPr>
          <w:ilvl w:val="0"/>
          <w:numId w:val="134"/>
        </w:numPr>
        <w:rPr>
          <w:rFonts w:ascii="Arial" w:cs="Arial" w:eastAsia="Arial" w:hAnsi="Arial"/>
          <w:sz w:val="21"/>
          <w:szCs w:val="21"/>
          <w:color w:val="auto"/>
        </w:rPr>
      </w:pPr>
      <w:r>
        <w:rPr>
          <w:rFonts w:ascii="Arial" w:cs="Arial" w:eastAsia="Arial" w:hAnsi="Arial"/>
          <w:sz w:val="21"/>
          <w:szCs w:val="21"/>
          <w:color w:val="auto"/>
        </w:rPr>
        <w:t>On or before the delivery to the Administrative Agent and the Lenders of each Reserve Report required by Section 8.12, the Borrower will deliver title information in form and substance acceptable to the Administrative Agent covering enough of the Oil and Gas Properties evaluated by such Reserve Report that were not included in the immediately preceding Reserve Report, so that the Administrative Agent shall have received together with title information previously delivered to the Administrative Agent, satisfactory title information on at least 80% of the total value of the Oil and Gas Properties evaluated by such Reserve Report.</w:t>
      </w:r>
    </w:p>
    <w:p>
      <w:pPr>
        <w:spacing w:after="0" w:line="159" w:lineRule="exact"/>
        <w:rPr>
          <w:rFonts w:ascii="Arial" w:cs="Arial" w:eastAsia="Arial" w:hAnsi="Arial"/>
          <w:sz w:val="21"/>
          <w:szCs w:val="21"/>
          <w:color w:val="auto"/>
        </w:rPr>
      </w:pPr>
    </w:p>
    <w:p>
      <w:pPr>
        <w:jc w:val="both"/>
        <w:ind w:firstLine="1293"/>
        <w:spacing w:after="0" w:line="231" w:lineRule="auto"/>
        <w:tabs>
          <w:tab w:leader="none" w:pos="1806"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If the Borrower has provided title information for additional Properties under Section 8.13(a), the Borrower shall, within 60 days of notice from the Administrative Agent that title defects or exceptions exist with respect to such additional Properties, either (i) cure any such title defects or exceptions (including defects or exceptions as to priority) which are not permitted by Section 9.03 raised by such information, (ii) substitute acceptable Mortgaged Properties with no title defects or exceptions except for Excepted Liens (other than Excepted Liens described in clauses (e), (g) and (h) of such definition) having an equivalent value or (iii) deliver title information in form and substance acceptable to the Administrative Agent so that the Administrative Agent shall have received, together with title information previously delivered to the Administrative Agent, satisfactory title information on at least 80% of the value of the Oil and Gas Properties evaluated by such Reserve Report.</w:t>
      </w:r>
    </w:p>
    <w:p>
      <w:pPr>
        <w:spacing w:after="0" w:line="157" w:lineRule="exact"/>
        <w:rPr>
          <w:rFonts w:ascii="Arial" w:cs="Arial" w:eastAsia="Arial" w:hAnsi="Arial"/>
          <w:sz w:val="20"/>
          <w:szCs w:val="20"/>
          <w:color w:val="auto"/>
        </w:rPr>
      </w:pPr>
    </w:p>
    <w:p>
      <w:pPr>
        <w:jc w:val="both"/>
        <w:ind w:firstLine="1293"/>
        <w:spacing w:after="0" w:line="241" w:lineRule="auto"/>
        <w:tabs>
          <w:tab w:leader="none" w:pos="177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If the Borrower is unable to cure any title defect requested by the Administrative Agent or the Lenders to be cured within the 60-day period or the Borrower does not comply with the requirements to provide acceptable title information covering 80% of the value of the Oil and Gas Properties evaluated in the most recent Reserve Report, such default shall not be a Default, but instead the Administrative Agent and/or the Majority Lenders shall have the right to exercise the following remedy in their sole discretion from time to time, and any failure to so exercise this remedy at any time shall not be a waiver as to future exercise of the remedy by the Administrative Agent or the Lenders. To the extent that the Administrative Agent or the Majority Lenders are not satisfied with title to any Mortgaged Property after the 60-day period has elapsed, such unacceptable Mortgaged Property shall not count towards the 80% requirement, and the Administrative Agent may send a notice to the Borrower and the Lenders that the then outstanding Borrowing Base shall be reduced by an amount as determined by the Majority Lenders to cause the Borrower to be in compliance with the requirement to provide acceptable title information on 80% of the value of the Oil and Gas Properties. This new Borrowing Base shall become effective immediately after receipt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10" w:name="page211"/>
    <w:bookmarkEnd w:id="210"/>
    <w:p>
      <w:pPr>
        <w:ind w:left="640"/>
        <w:spacing w:after="0"/>
        <w:tabs>
          <w:tab w:leader="none" w:pos="1920" w:val="left"/>
        </w:tabs>
        <w:rPr>
          <w:sz w:val="20"/>
          <w:szCs w:val="20"/>
          <w:color w:val="auto"/>
        </w:rPr>
      </w:pPr>
      <w:r>
        <w:rPr>
          <w:rFonts w:ascii="Arial" w:cs="Arial" w:eastAsia="Arial" w:hAnsi="Arial"/>
          <w:sz w:val="21"/>
          <w:szCs w:val="21"/>
          <w:color w:val="auto"/>
        </w:rPr>
        <w:t>Section 8.14</w:t>
      </w:r>
      <w:r>
        <w:rPr>
          <w:sz w:val="20"/>
          <w:szCs w:val="20"/>
          <w:color w:val="auto"/>
        </w:rPr>
        <w:tab/>
      </w:r>
      <w:r>
        <w:rPr>
          <w:rFonts w:ascii="Arial" w:cs="Arial" w:eastAsia="Arial" w:hAnsi="Arial"/>
          <w:sz w:val="20"/>
          <w:szCs w:val="20"/>
          <w:u w:val="single" w:color="auto"/>
          <w:color w:val="auto"/>
        </w:rPr>
        <w:t>Additional Collateral; Additional Guarantors.</w:t>
      </w:r>
    </w:p>
    <w:p>
      <w:pPr>
        <w:spacing w:after="0" w:line="187" w:lineRule="exact"/>
        <w:rPr>
          <w:sz w:val="20"/>
          <w:szCs w:val="20"/>
          <w:color w:val="auto"/>
        </w:rPr>
      </w:pPr>
    </w:p>
    <w:p>
      <w:pPr>
        <w:jc w:val="both"/>
        <w:ind w:firstLine="1293"/>
        <w:spacing w:after="0" w:line="238" w:lineRule="auto"/>
        <w:tabs>
          <w:tab w:leader="none" w:pos="1737" w:val="left"/>
        </w:tabs>
        <w:numPr>
          <w:ilvl w:val="1"/>
          <w:numId w:val="135"/>
        </w:numPr>
        <w:rPr>
          <w:rFonts w:ascii="Arial" w:cs="Arial" w:eastAsia="Arial" w:hAnsi="Arial"/>
          <w:sz w:val="19"/>
          <w:szCs w:val="19"/>
          <w:color w:val="auto"/>
        </w:rPr>
      </w:pPr>
      <w:r>
        <w:rPr>
          <w:rFonts w:ascii="Arial" w:cs="Arial" w:eastAsia="Arial" w:hAnsi="Arial"/>
          <w:sz w:val="19"/>
          <w:szCs w:val="19"/>
          <w:color w:val="auto"/>
        </w:rPr>
        <w:t>In connection with each redetermination of the Borrowing Base, the Borrower shall review the Reserve Report and the list of current Mortgaged Properties (as described in Section 8.12(c)(vi)) to ascertain whether the Mortgaged Properties represent at least 85% of the total value of the Oil and Gas Properties evaluated in the most recently completed Reserve Report after giving effect to exploration and production activities, acquisitions, dispositions and production. In the event that the Mortgaged Properties do not represent at least 85% of such total value, then the Borrower shall, and shall cause the Restricted Subsidiaries to, grant, within thirty (30) days of delivery of the certificate required under Section 8.12(c), to the Administrative Agent as security for the Indebtedness a first-priority Lien interest (provided that Excepted Liens of the type described in clauses</w:t>
      </w:r>
    </w:p>
    <w:p>
      <w:pPr>
        <w:jc w:val="both"/>
        <w:ind w:firstLine="7"/>
        <w:spacing w:after="0" w:line="217" w:lineRule="auto"/>
        <w:tabs>
          <w:tab w:leader="none" w:pos="296"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to (d) and (f) of the definition thereof may exist, but subject to the provisos at the end of such definition) on additional Oil and Gas Properties not already subject to a Lien of the Security Instruments such that after giving effect thereto, the Mortgaged Properties will represent at least 85% of such total value. All such Liens will be created and perfected by and in accordance with the provisions of deeds of trust, security agreements and financing statements or other Security Instruments, all in form and substance reasonably satisfactory to the Administrative Agent and in sufficient executed (and acknowledged where necessary or appropriate) counterparts for recording purposes. In order to comply with the foregoing, if any Restricted Subsidiary places a Lien on its Oil and Gas Properties and such Restricted Subsidiary is not a Guarantor, then it shall become a Guarantor and comply with Section 8.14(b).</w:t>
      </w:r>
    </w:p>
    <w:p>
      <w:pPr>
        <w:spacing w:after="0" w:line="163" w:lineRule="exact"/>
        <w:rPr>
          <w:rFonts w:ascii="Arial" w:cs="Arial" w:eastAsia="Arial" w:hAnsi="Arial"/>
          <w:sz w:val="21"/>
          <w:szCs w:val="21"/>
          <w:color w:val="auto"/>
        </w:rPr>
      </w:pPr>
    </w:p>
    <w:p>
      <w:pPr>
        <w:jc w:val="both"/>
        <w:ind w:firstLine="1293"/>
        <w:spacing w:after="0" w:line="219" w:lineRule="auto"/>
        <w:tabs>
          <w:tab w:leader="none" w:pos="1837" w:val="left"/>
        </w:tabs>
        <w:numPr>
          <w:ilvl w:val="1"/>
          <w:numId w:val="136"/>
        </w:numPr>
        <w:rPr>
          <w:rFonts w:ascii="Arial" w:cs="Arial" w:eastAsia="Arial" w:hAnsi="Arial"/>
          <w:sz w:val="21"/>
          <w:szCs w:val="21"/>
          <w:color w:val="auto"/>
        </w:rPr>
      </w:pPr>
      <w:r>
        <w:rPr>
          <w:rFonts w:ascii="Arial" w:cs="Arial" w:eastAsia="Arial" w:hAnsi="Arial"/>
          <w:sz w:val="21"/>
          <w:szCs w:val="21"/>
          <w:color w:val="auto"/>
        </w:rPr>
        <w:t>The Borrower shall (i) cause each Restricted Subsidiary that is not a party to the Guaranty Agreement to, promptly, but in any event no later than 15 days after the formation or acquisition (or other similar event) of such Restricted Subsidiary, execute and deliver a supplement to the Guaranty Agreement whereby such Restricted Subsidiary will guarantee the Indebtedness, (ii) pledge, or cause the applicable Restricted Subsidiary or Restricted Subsidiaries to pledge, all of the Equity Interests of such new Restricted Subsidiary (including, without limitation, delivery of any stock certificates evidencing the Equity Interests of such Restricted Subsidiary, together with an appropriate undated stock power for each certificate duly executed in blank by the registered owner thereof, if applicable) and (iii) execute and deliver, and cause each Restricted Subsidiary to execute and deliver, such other additional closing documents, certificates and legal opinions as shall reasonably be requested by the Administrative Agent.</w:t>
      </w:r>
    </w:p>
    <w:p>
      <w:pPr>
        <w:spacing w:after="0" w:line="159" w:lineRule="exact"/>
        <w:rPr>
          <w:sz w:val="20"/>
          <w:szCs w:val="20"/>
          <w:color w:val="auto"/>
        </w:rPr>
      </w:pPr>
    </w:p>
    <w:p>
      <w:pPr>
        <w:jc w:val="both"/>
        <w:ind w:firstLine="643"/>
        <w:spacing w:after="0" w:line="219" w:lineRule="auto"/>
        <w:rPr>
          <w:sz w:val="20"/>
          <w:szCs w:val="20"/>
          <w:color w:val="auto"/>
        </w:rPr>
      </w:pPr>
      <w:r>
        <w:rPr>
          <w:rFonts w:ascii="Arial" w:cs="Arial" w:eastAsia="Arial" w:hAnsi="Arial"/>
          <w:sz w:val="21"/>
          <w:szCs w:val="21"/>
          <w:color w:val="auto"/>
        </w:rPr>
        <w:t xml:space="preserve">Section 8.15 </w:t>
      </w:r>
      <w:r>
        <w:rPr>
          <w:rFonts w:ascii="Arial" w:cs="Arial" w:eastAsia="Arial" w:hAnsi="Arial"/>
          <w:sz w:val="21"/>
          <w:szCs w:val="21"/>
          <w:u w:val="single" w:color="auto"/>
          <w:color w:val="auto"/>
        </w:rPr>
        <w:t>ERISA Compliance.</w:t>
      </w:r>
      <w:r>
        <w:rPr>
          <w:rFonts w:ascii="Arial" w:cs="Arial" w:eastAsia="Arial" w:hAnsi="Arial"/>
          <w:sz w:val="21"/>
          <w:szCs w:val="21"/>
          <w:color w:val="auto"/>
        </w:rPr>
        <w:t xml:space="preserve"> The Borrower will promptly furnish and will cause the Restricted Subsidiaries and any ERISA Affiliate to promptly furnish to the Administrative Agent (a) promptly after the filing thereof with the United States Secretary of Labor or the Internal Revenue Service, copies of each annual and other report with respect to each Plan or any trust created thereunder, (b) immediately upon becoming aware of the occurrence of any “</w:t>
      </w:r>
      <w:r>
        <w:rPr>
          <w:rFonts w:ascii="Arial" w:cs="Arial" w:eastAsia="Arial" w:hAnsi="Arial"/>
          <w:sz w:val="21"/>
          <w:szCs w:val="21"/>
          <w:u w:val="single" w:color="auto"/>
          <w:color w:val="auto"/>
        </w:rPr>
        <w:t>prohibited transaction,</w:t>
      </w:r>
      <w:r>
        <w:rPr>
          <w:rFonts w:ascii="Arial" w:cs="Arial" w:eastAsia="Arial" w:hAnsi="Arial"/>
          <w:sz w:val="21"/>
          <w:szCs w:val="21"/>
          <w:color w:val="auto"/>
        </w:rPr>
        <w:t>” as described in section 406 of ERISA or in section 4975 of the Code, in connection with any Plan or any trust created thereunder, a written notice signed by the President or the principal Financial Officer, the Restricted Subsidiary or the ERISA Affiliate, as the case may be, specifying the nature thereof, what action the Borrower, the Restricted Subsidiary or the ERISA Affiliate is taking or proposes to take with respect thereto, and, when known, any action taken or proposed by the Internal Revenue Service or the Department of Labor with respect thereto.</w:t>
      </w:r>
    </w:p>
    <w:p>
      <w:pPr>
        <w:spacing w:after="0" w:line="159"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 xml:space="preserve">Section 8.16 </w:t>
      </w:r>
      <w:r>
        <w:rPr>
          <w:rFonts w:ascii="Arial" w:cs="Arial" w:eastAsia="Arial" w:hAnsi="Arial"/>
          <w:sz w:val="20"/>
          <w:szCs w:val="20"/>
          <w:u w:val="single" w:color="auto"/>
          <w:color w:val="auto"/>
        </w:rPr>
        <w:t>Marketing Activities.</w:t>
      </w:r>
      <w:r>
        <w:rPr>
          <w:rFonts w:ascii="Arial" w:cs="Arial" w:eastAsia="Arial" w:hAnsi="Arial"/>
          <w:sz w:val="20"/>
          <w:szCs w:val="20"/>
          <w:color w:val="auto"/>
        </w:rPr>
        <w:t xml:space="preserve"> The Borrower will not, and will not permit any of the Restricted Subsidiaries to, engage in marketing activities for any Hydrocarbons or enter into any contracts related thereto other than (a) contracts for the sale of Hydrocarbons scheduled or reasonably estimated to be produced from their proved Oil and Gas Properties during the period of such contract, (b) contracts for the sale of Hydrocarbons scheduled or reasonably estimated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11" w:name="page212"/>
    <w:bookmarkEnd w:id="211"/>
    <w:p>
      <w:pPr>
        <w:jc w:val="both"/>
        <w:spacing w:after="0" w:line="247" w:lineRule="auto"/>
        <w:rPr>
          <w:sz w:val="20"/>
          <w:szCs w:val="20"/>
          <w:color w:val="auto"/>
        </w:rPr>
      </w:pPr>
      <w:r>
        <w:rPr>
          <w:rFonts w:ascii="Arial" w:cs="Arial" w:eastAsia="Arial" w:hAnsi="Arial"/>
          <w:sz w:val="19"/>
          <w:szCs w:val="19"/>
          <w:color w:val="auto"/>
        </w:rPr>
        <w:t>be produced from proved Oil and Gas Properties of third parties during the period of such contract associated with the Oil and Gas Properties of the Borrower or the Restricted Subsidiaries that the Borrower or the Restricted Subsidiaries have the right to market pursuant to joint operating agreements, unitization agreements or other similar contracts that are usual and customary in the oil and gas business and (c) other contracts for the purchase and/or sale of Hydrocarbons of third parties (i) which have generally offsetting provisions (i.e., corresponding pricing mechanics, delivery dates and points and volumes) such that no “</w:t>
      </w:r>
      <w:r>
        <w:rPr>
          <w:rFonts w:ascii="Arial" w:cs="Arial" w:eastAsia="Arial" w:hAnsi="Arial"/>
          <w:sz w:val="19"/>
          <w:szCs w:val="19"/>
          <w:u w:val="single" w:color="auto"/>
          <w:color w:val="auto"/>
        </w:rPr>
        <w:t>position</w:t>
      </w:r>
      <w:r>
        <w:rPr>
          <w:rFonts w:ascii="Arial" w:cs="Arial" w:eastAsia="Arial" w:hAnsi="Arial"/>
          <w:sz w:val="19"/>
          <w:szCs w:val="19"/>
          <w:color w:val="auto"/>
        </w:rPr>
        <w:t>” is taken and (ii) for which appropriate credit support has been taken to alleviate the material credit risks of the counterparty thereto.</w:t>
      </w:r>
    </w:p>
    <w:p>
      <w:pPr>
        <w:spacing w:after="0" w:line="150"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 xml:space="preserve">Section 8.17 </w:t>
      </w:r>
      <w:r>
        <w:rPr>
          <w:rFonts w:ascii="Arial" w:cs="Arial" w:eastAsia="Arial" w:hAnsi="Arial"/>
          <w:sz w:val="20"/>
          <w:szCs w:val="20"/>
          <w:u w:val="single" w:color="auto"/>
          <w:color w:val="auto"/>
        </w:rPr>
        <w:t>Swap Agreements.</w:t>
      </w:r>
      <w:r>
        <w:rPr>
          <w:rFonts w:ascii="Arial" w:cs="Arial" w:eastAsia="Arial" w:hAnsi="Arial"/>
          <w:sz w:val="20"/>
          <w:szCs w:val="20"/>
          <w:color w:val="auto"/>
        </w:rPr>
        <w:t xml:space="preserve"> To the extent the Borrower or a Restricted Subsidiary changes the material terms of any Swap Agreement, terminates any such Swap Agreement or enters into a new Swap Agreement which has the effect of creating an off-setting position, the Borrower will give the Lenders prompt written notice of such event and concurrently with such notice the Majority Lenders shall have the right to adjust the Borrowing Base in accordance with Section 2.07(e).</w:t>
      </w:r>
    </w:p>
    <w:p>
      <w:pPr>
        <w:spacing w:after="0" w:line="15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8.18</w:t>
      </w:r>
      <w:r>
        <w:rPr>
          <w:sz w:val="20"/>
          <w:szCs w:val="20"/>
          <w:color w:val="auto"/>
        </w:rPr>
        <w:tab/>
      </w:r>
      <w:r>
        <w:rPr>
          <w:rFonts w:ascii="Arial" w:cs="Arial" w:eastAsia="Arial" w:hAnsi="Arial"/>
          <w:sz w:val="19"/>
          <w:szCs w:val="19"/>
          <w:u w:val="single" w:color="auto"/>
          <w:color w:val="auto"/>
        </w:rPr>
        <w:t xml:space="preserve">Unrestricted Subsidiaries. </w:t>
      </w:r>
      <w:r>
        <w:rPr>
          <w:rFonts w:ascii="Arial" w:cs="Arial" w:eastAsia="Arial" w:hAnsi="Arial"/>
          <w:sz w:val="19"/>
          <w:szCs w:val="19"/>
          <w:color w:val="auto"/>
        </w:rPr>
        <w:t>The Borrower will:</w:t>
      </w:r>
    </w:p>
    <w:p>
      <w:pPr>
        <w:spacing w:after="0" w:line="187" w:lineRule="exact"/>
        <w:rPr>
          <w:sz w:val="20"/>
          <w:szCs w:val="20"/>
          <w:color w:val="auto"/>
        </w:rPr>
      </w:pPr>
    </w:p>
    <w:p>
      <w:pPr>
        <w:jc w:val="both"/>
        <w:ind w:firstLine="1293"/>
        <w:spacing w:after="0" w:line="224" w:lineRule="auto"/>
        <w:tabs>
          <w:tab w:leader="none" w:pos="1788" w:val="left"/>
        </w:tabs>
        <w:numPr>
          <w:ilvl w:val="0"/>
          <w:numId w:val="137"/>
        </w:numPr>
        <w:rPr>
          <w:rFonts w:ascii="Arial" w:cs="Arial" w:eastAsia="Arial" w:hAnsi="Arial"/>
          <w:sz w:val="21"/>
          <w:szCs w:val="21"/>
          <w:color w:val="auto"/>
        </w:rPr>
      </w:pPr>
      <w:r>
        <w:rPr>
          <w:rFonts w:ascii="Arial" w:cs="Arial" w:eastAsia="Arial" w:hAnsi="Arial"/>
          <w:sz w:val="21"/>
          <w:szCs w:val="21"/>
          <w:color w:val="auto"/>
        </w:rPr>
        <w:t>cause the management, business and affairs of its Subsidiaries to be conducted in such a manner (including, without limitation, by keeping separate books of account, furnishing separate financial statements of Unrestricted Subsidiaries to creditors and potential creditors thereof and by not permitting Properties of the Borrower and the Restricted Subsidiaries to be commingled) so that each Unrestricted Subsidiary that is a corporation or limited liability company will be treated as an entity separate and distinct from the Borrower and the Restricted Subsidiaries.</w:t>
      </w:r>
    </w:p>
    <w:p>
      <w:pPr>
        <w:spacing w:after="0" w:line="158" w:lineRule="exact"/>
        <w:rPr>
          <w:rFonts w:ascii="Arial" w:cs="Arial" w:eastAsia="Arial" w:hAnsi="Arial"/>
          <w:sz w:val="21"/>
          <w:szCs w:val="21"/>
          <w:color w:val="auto"/>
        </w:rPr>
      </w:pPr>
    </w:p>
    <w:p>
      <w:pPr>
        <w:jc w:val="both"/>
        <w:ind w:firstLine="1293"/>
        <w:spacing w:after="0" w:line="232" w:lineRule="auto"/>
        <w:tabs>
          <w:tab w:leader="none" w:pos="1771" w:val="left"/>
        </w:tabs>
        <w:numPr>
          <w:ilvl w:val="0"/>
          <w:numId w:val="137"/>
        </w:numPr>
        <w:rPr>
          <w:rFonts w:ascii="Arial" w:cs="Arial" w:eastAsia="Arial" w:hAnsi="Arial"/>
          <w:sz w:val="21"/>
          <w:szCs w:val="21"/>
          <w:color w:val="auto"/>
        </w:rPr>
      </w:pPr>
      <w:r>
        <w:rPr>
          <w:rFonts w:ascii="Arial" w:cs="Arial" w:eastAsia="Arial" w:hAnsi="Arial"/>
          <w:sz w:val="21"/>
          <w:szCs w:val="21"/>
          <w:color w:val="auto"/>
        </w:rPr>
        <w:t>not, and will not permit any of the Restricted Subsidiaries to, incur, assume, guarantee or be or become liable for any Debt of any of the Unrestricted Subsidiaries, other than non-recourse pledges of Equity Interests in Unrestricted Subsidiaries granted to secure Debt of Unrestricted Subsidiaries.</w:t>
      </w:r>
    </w:p>
    <w:p>
      <w:pPr>
        <w:spacing w:after="0" w:line="156" w:lineRule="exact"/>
        <w:rPr>
          <w:rFonts w:ascii="Arial" w:cs="Arial" w:eastAsia="Arial" w:hAnsi="Arial"/>
          <w:sz w:val="21"/>
          <w:szCs w:val="21"/>
          <w:color w:val="auto"/>
        </w:rPr>
      </w:pPr>
    </w:p>
    <w:p>
      <w:pPr>
        <w:ind w:firstLine="1293"/>
        <w:spacing w:after="0" w:line="244" w:lineRule="auto"/>
        <w:tabs>
          <w:tab w:leader="none" w:pos="1813" w:val="left"/>
        </w:tabs>
        <w:numPr>
          <w:ilvl w:val="0"/>
          <w:numId w:val="137"/>
        </w:numPr>
        <w:rPr>
          <w:rFonts w:ascii="Arial" w:cs="Arial" w:eastAsia="Arial" w:hAnsi="Arial"/>
          <w:sz w:val="21"/>
          <w:szCs w:val="21"/>
          <w:color w:val="auto"/>
        </w:rPr>
      </w:pPr>
      <w:r>
        <w:rPr>
          <w:rFonts w:ascii="Arial" w:cs="Arial" w:eastAsia="Arial" w:hAnsi="Arial"/>
          <w:sz w:val="21"/>
          <w:szCs w:val="21"/>
          <w:color w:val="auto"/>
        </w:rPr>
        <w:t>not permit any Unrestricted Subsidiary to hold any Equity Interest in, or any Debt of, the Borrower or any Restricted Subsidiary.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IX</w:t>
      </w:r>
    </w:p>
    <w:p>
      <w:pPr>
        <w:jc w:val="center"/>
        <w:spacing w:after="0"/>
        <w:rPr>
          <w:sz w:val="20"/>
          <w:szCs w:val="20"/>
          <w:color w:val="auto"/>
        </w:rPr>
      </w:pPr>
      <w:r>
        <w:rPr>
          <w:rFonts w:ascii="Arial" w:cs="Arial" w:eastAsia="Arial" w:hAnsi="Arial"/>
          <w:sz w:val="21"/>
          <w:szCs w:val="21"/>
          <w:b w:val="1"/>
          <w:bCs w:val="1"/>
          <w:color w:val="auto"/>
        </w:rPr>
        <w:t>Negative Covenants</w:t>
      </w:r>
    </w:p>
    <w:p>
      <w:pPr>
        <w:spacing w:after="0" w:line="169"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Until the Commitments have expired or terminated and the principal of and interest on each Loan and all fees payable hereunder and all other amounts payable under the Loan Documents have been paid in full and all Letters of Credit have expired or terminated and all LC Disbursements shall have been reimbursed, the Parent Guarantor and the Borrower, covenant and agree with the Lenders that:</w:t>
      </w:r>
    </w:p>
    <w:p>
      <w:pPr>
        <w:spacing w:after="0" w:line="15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9.01</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w:t>
      </w:r>
    </w:p>
    <w:p>
      <w:pPr>
        <w:spacing w:after="0" w:line="187" w:lineRule="exact"/>
        <w:rPr>
          <w:sz w:val="20"/>
          <w:szCs w:val="20"/>
          <w:color w:val="auto"/>
        </w:rPr>
      </w:pPr>
    </w:p>
    <w:p>
      <w:pPr>
        <w:jc w:val="both"/>
        <w:ind w:firstLine="1293"/>
        <w:spacing w:after="0" w:line="250" w:lineRule="auto"/>
        <w:tabs>
          <w:tab w:leader="none" w:pos="1831"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Ratio of Total Debt to EBITDAX</w:t>
      </w:r>
      <w:r>
        <w:rPr>
          <w:rFonts w:ascii="Arial" w:cs="Arial" w:eastAsia="Arial" w:hAnsi="Arial"/>
          <w:sz w:val="19"/>
          <w:szCs w:val="19"/>
          <w:color w:val="auto"/>
        </w:rPr>
        <w:t>. The Parent Guarantor will not, as of the last day of any fiscal quarter, permit its ratio of (i) Total Debt as of such date, net of (A) all unrestricted cash of the Parent Guarantor, the Borrower and its Restricted Subsidiaries if no amounts were drawn under this Agreement as of such date or (B) all unrestricted cash of the Parent Guarantor, the Borrower and its Restricted Subsidiaries but not more than $50.0 million if any amounts were drawn under this Agreement as of such date, to (ii) EBITDAX for the four fiscal quarters ending on such date, to be greater than 4.0 to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12" w:name="page213"/>
    <w:bookmarkEnd w:id="212"/>
    <w:p>
      <w:pPr>
        <w:jc w:val="both"/>
        <w:ind w:firstLine="1293"/>
        <w:spacing w:after="0" w:line="235" w:lineRule="auto"/>
        <w:tabs>
          <w:tab w:leader="none" w:pos="1776"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Current Ratio</w:t>
      </w:r>
      <w:r>
        <w:rPr>
          <w:rFonts w:ascii="Arial" w:cs="Arial" w:eastAsia="Arial" w:hAnsi="Arial"/>
          <w:sz w:val="20"/>
          <w:szCs w:val="20"/>
          <w:color w:val="auto"/>
        </w:rPr>
        <w:t>. The Parent Guarantor will not permit, as of the last day of any fiscal quarter beginning on the fiscal quarter ending June 30, 2018, the ratio for the Parent Guarantor, the Borrower and the Consolidated Restricted Subsidiaries of (i) consolidated current assets (including the unused amount of the total Commitments, but excluding non-cash assets under the equivalent of ASC 815 under GAAP) to (ii) consolidated current liabilities (excluding non-cash obligations under the equivalent of ASC 815 under GAAP and current maturities under this Agreement) to be less than 1.0 to 1.0.</w:t>
      </w:r>
    </w:p>
    <w:p>
      <w:pPr>
        <w:sectPr>
          <w:pgSz w:w="11900" w:h="16838" w:orient="portrait"/>
          <w:cols w:equalWidth="0" w:num="1">
            <w:col w:w="11240"/>
          </w:cols>
          <w:pgMar w:left="320" w:top="1390" w:right="339" w:bottom="1440" w:gutter="0" w:footer="0" w:header="0"/>
        </w:sectPr>
      </w:pP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w:t>
      </w:r>
    </w:p>
    <w:p>
      <w:pPr>
        <w:spacing w:after="0" w:line="223" w:lineRule="auto"/>
        <w:rPr>
          <w:sz w:val="20"/>
          <w:szCs w:val="20"/>
          <w:color w:val="auto"/>
        </w:rPr>
      </w:pPr>
      <w:r>
        <w:rPr>
          <w:rFonts w:ascii="Arial" w:cs="Arial" w:eastAsia="Arial" w:hAnsi="Arial"/>
          <w:sz w:val="20"/>
          <w:szCs w:val="20"/>
          <w:color w:val="auto"/>
        </w:rPr>
        <w:t>permit its ratio of (i)</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than 2.5 to 1.0.</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right"/>
        <w:spacing w:after="0" w:line="295" w:lineRule="auto"/>
        <w:rPr>
          <w:sz w:val="20"/>
          <w:szCs w:val="20"/>
          <w:color w:val="auto"/>
        </w:rPr>
      </w:pPr>
      <w:r>
        <w:rPr>
          <w:rFonts w:ascii="Arial" w:cs="Arial" w:eastAsia="Arial" w:hAnsi="Arial"/>
          <w:sz w:val="19"/>
          <w:szCs w:val="19"/>
          <w:u w:val="single" w:color="auto"/>
          <w:color w:val="auto"/>
        </w:rPr>
        <w:t>Ratio of Secured Debt to EBITDAX</w:t>
      </w:r>
      <w:r>
        <w:rPr>
          <w:rFonts w:ascii="Arial" w:cs="Arial" w:eastAsia="Arial" w:hAnsi="Arial"/>
          <w:sz w:val="19"/>
          <w:szCs w:val="19"/>
          <w:color w:val="auto"/>
        </w:rPr>
        <w:t>. The Parent Guarantor will not, as of the last day of any fiscal quarter, Secured Debt as of such date to (ii) EBITDAX for the four fiscal quarters ending on such date, to be greater</w:t>
      </w:r>
    </w:p>
    <w:p>
      <w:pPr>
        <w:spacing w:after="0" w:line="319" w:lineRule="exact"/>
        <w:rPr>
          <w:sz w:val="20"/>
          <w:szCs w:val="20"/>
          <w:color w:val="auto"/>
        </w:rPr>
      </w:pPr>
    </w:p>
    <w:p>
      <w:pPr>
        <w:sectPr>
          <w:pgSz w:w="11900" w:h="16838" w:orient="portrait"/>
          <w:cols w:equalWidth="0" w:num="2">
            <w:col w:w="1780" w:space="20"/>
            <w:col w:w="9440"/>
          </w:cols>
          <w:pgMar w:left="320" w:top="1390" w:right="339" w:bottom="1440" w:gutter="0" w:footer="0" w:header="0"/>
          <w:type w:val="continuous"/>
        </w:sectPr>
      </w:pPr>
    </w:p>
    <w:p>
      <w:pPr>
        <w:ind w:firstLine="643"/>
        <w:spacing w:after="0" w:line="244" w:lineRule="auto"/>
        <w:rPr>
          <w:sz w:val="20"/>
          <w:szCs w:val="20"/>
          <w:color w:val="auto"/>
        </w:rPr>
      </w:pPr>
      <w:r>
        <w:rPr>
          <w:rFonts w:ascii="Arial" w:cs="Arial" w:eastAsia="Arial" w:hAnsi="Arial"/>
          <w:sz w:val="21"/>
          <w:szCs w:val="21"/>
          <w:color w:val="auto"/>
        </w:rPr>
        <w:t xml:space="preserve">Section 9.02 </w:t>
      </w:r>
      <w:r>
        <w:rPr>
          <w:rFonts w:ascii="Arial" w:cs="Arial" w:eastAsia="Arial" w:hAnsi="Arial"/>
          <w:sz w:val="21"/>
          <w:szCs w:val="21"/>
          <w:u w:val="single" w:color="auto"/>
          <w:color w:val="auto"/>
        </w:rPr>
        <w:t>Debt.</w:t>
      </w:r>
      <w:r>
        <w:rPr>
          <w:rFonts w:ascii="Arial" w:cs="Arial" w:eastAsia="Arial" w:hAnsi="Arial"/>
          <w:sz w:val="21"/>
          <w:szCs w:val="21"/>
          <w:color w:val="auto"/>
        </w:rPr>
        <w:t xml:space="preserve"> The Borrower will not, and will not permit any of the Restricted Subsidiaries to, incur, create, assume or suffer to exist any Debt, except:</w:t>
      </w:r>
    </w:p>
    <w:p>
      <w:pPr>
        <w:spacing w:after="0" w:line="152" w:lineRule="exact"/>
        <w:rPr>
          <w:sz w:val="20"/>
          <w:szCs w:val="20"/>
          <w:color w:val="auto"/>
        </w:rPr>
      </w:pPr>
    </w:p>
    <w:p>
      <w:pPr>
        <w:ind w:firstLine="1293"/>
        <w:spacing w:after="0" w:line="244" w:lineRule="auto"/>
        <w:tabs>
          <w:tab w:leader="none" w:pos="194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Notes or other Indebtedness arising under the Loan Documents or any guaranty of or suretyship arrangement for the Notes or other Indebtedness arising under the Loan Documents.</w:t>
      </w:r>
    </w:p>
    <w:p>
      <w:pPr>
        <w:spacing w:after="0" w:line="151" w:lineRule="exact"/>
        <w:rPr>
          <w:rFonts w:ascii="Arial" w:cs="Arial" w:eastAsia="Arial" w:hAnsi="Arial"/>
          <w:sz w:val="21"/>
          <w:szCs w:val="21"/>
          <w:color w:val="auto"/>
        </w:rPr>
      </w:pPr>
    </w:p>
    <w:p>
      <w:pPr>
        <w:ind w:firstLine="1293"/>
        <w:spacing w:after="0" w:line="244" w:lineRule="auto"/>
        <w:tabs>
          <w:tab w:leader="none" w:pos="1895" w:val="left"/>
        </w:tabs>
        <w:numPr>
          <w:ilvl w:val="0"/>
          <w:numId w:val="140"/>
        </w:numPr>
        <w:rPr>
          <w:rFonts w:ascii="Arial" w:cs="Arial" w:eastAsia="Arial" w:hAnsi="Arial"/>
          <w:sz w:val="21"/>
          <w:szCs w:val="21"/>
          <w:color w:val="auto"/>
        </w:rPr>
      </w:pPr>
      <w:r>
        <w:rPr>
          <w:rFonts w:ascii="Arial" w:cs="Arial" w:eastAsia="Arial" w:hAnsi="Arial"/>
          <w:sz w:val="21"/>
          <w:szCs w:val="21"/>
          <w:color w:val="auto"/>
        </w:rPr>
        <w:t>Debt of the Borrower and its Restricted Subsidiaries existing on the date hereof that is reflected in the Financial Statements, and any Permitted Refinancing Debt in respect thereof.</w:t>
      </w:r>
    </w:p>
    <w:p>
      <w:pPr>
        <w:spacing w:after="0" w:line="151" w:lineRule="exact"/>
        <w:rPr>
          <w:rFonts w:ascii="Arial" w:cs="Arial" w:eastAsia="Arial" w:hAnsi="Arial"/>
          <w:sz w:val="21"/>
          <w:szCs w:val="21"/>
          <w:color w:val="auto"/>
        </w:rPr>
      </w:pPr>
    </w:p>
    <w:p>
      <w:pPr>
        <w:ind w:firstLine="1293"/>
        <w:spacing w:after="0" w:line="244" w:lineRule="auto"/>
        <w:tabs>
          <w:tab w:leader="none" w:pos="1754" w:val="left"/>
        </w:tabs>
        <w:numPr>
          <w:ilvl w:val="0"/>
          <w:numId w:val="140"/>
        </w:numPr>
        <w:rPr>
          <w:rFonts w:ascii="Arial" w:cs="Arial" w:eastAsia="Arial" w:hAnsi="Arial"/>
          <w:sz w:val="21"/>
          <w:szCs w:val="21"/>
          <w:color w:val="auto"/>
        </w:rPr>
      </w:pPr>
      <w:r>
        <w:rPr>
          <w:rFonts w:ascii="Arial" w:cs="Arial" w:eastAsia="Arial" w:hAnsi="Arial"/>
          <w:sz w:val="21"/>
          <w:szCs w:val="21"/>
          <w:color w:val="auto"/>
        </w:rPr>
        <w:t>Debt under Capital Leases and purchase money financings in an aggregate amount not to exceed $10,000,000 at any one time outstanding.</w:t>
      </w:r>
    </w:p>
    <w:p>
      <w:pPr>
        <w:spacing w:after="0" w:line="151" w:lineRule="exact"/>
        <w:rPr>
          <w:rFonts w:ascii="Arial" w:cs="Arial" w:eastAsia="Arial" w:hAnsi="Arial"/>
          <w:sz w:val="21"/>
          <w:szCs w:val="21"/>
          <w:color w:val="auto"/>
        </w:rPr>
      </w:pPr>
    </w:p>
    <w:p>
      <w:pPr>
        <w:ind w:firstLine="1293"/>
        <w:spacing w:after="0" w:line="244" w:lineRule="auto"/>
        <w:tabs>
          <w:tab w:leader="none" w:pos="1775" w:val="left"/>
        </w:tabs>
        <w:numPr>
          <w:ilvl w:val="0"/>
          <w:numId w:val="140"/>
        </w:numPr>
        <w:rPr>
          <w:rFonts w:ascii="Arial" w:cs="Arial" w:eastAsia="Arial" w:hAnsi="Arial"/>
          <w:sz w:val="21"/>
          <w:szCs w:val="21"/>
          <w:color w:val="auto"/>
        </w:rPr>
      </w:pPr>
      <w:r>
        <w:rPr>
          <w:rFonts w:ascii="Arial" w:cs="Arial" w:eastAsia="Arial" w:hAnsi="Arial"/>
          <w:sz w:val="21"/>
          <w:szCs w:val="21"/>
          <w:color w:val="auto"/>
        </w:rPr>
        <w:t>Debt associated with bonds or surety obligations required by Governmental Requirements in connection with the operation of the Oil and Gas Properties.</w:t>
      </w:r>
    </w:p>
    <w:p>
      <w:pPr>
        <w:spacing w:after="0" w:line="151" w:lineRule="exact"/>
        <w:rPr>
          <w:rFonts w:ascii="Arial" w:cs="Arial" w:eastAsia="Arial" w:hAnsi="Arial"/>
          <w:sz w:val="21"/>
          <w:szCs w:val="21"/>
          <w:color w:val="auto"/>
        </w:rPr>
      </w:pPr>
    </w:p>
    <w:p>
      <w:pPr>
        <w:ind w:left="1740" w:hanging="447"/>
        <w:spacing w:after="0"/>
        <w:tabs>
          <w:tab w:leader="none" w:pos="174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endorsements of negotiable instruments for collection in the ordinary course of business.</w:t>
      </w:r>
    </w:p>
    <w:p>
      <w:pPr>
        <w:spacing w:after="0" w:line="186" w:lineRule="exact"/>
        <w:rPr>
          <w:rFonts w:ascii="Arial" w:cs="Arial" w:eastAsia="Arial" w:hAnsi="Arial"/>
          <w:sz w:val="21"/>
          <w:szCs w:val="21"/>
          <w:color w:val="auto"/>
        </w:rPr>
      </w:pPr>
    </w:p>
    <w:p>
      <w:pPr>
        <w:jc w:val="both"/>
        <w:ind w:firstLine="1293"/>
        <w:spacing w:after="0" w:line="224" w:lineRule="auto"/>
        <w:tabs>
          <w:tab w:leader="none" w:pos="1725" w:val="left"/>
        </w:tabs>
        <w:numPr>
          <w:ilvl w:val="0"/>
          <w:numId w:val="140"/>
        </w:numPr>
        <w:rPr>
          <w:rFonts w:ascii="Arial" w:cs="Arial" w:eastAsia="Arial" w:hAnsi="Arial"/>
          <w:sz w:val="21"/>
          <w:szCs w:val="21"/>
          <w:color w:val="auto"/>
        </w:rPr>
      </w:pPr>
      <w:r>
        <w:rPr>
          <w:rFonts w:ascii="Arial" w:cs="Arial" w:eastAsia="Arial" w:hAnsi="Arial"/>
          <w:sz w:val="21"/>
          <w:szCs w:val="21"/>
          <w:color w:val="auto"/>
        </w:rPr>
        <w:t>intercompany Debt between the Borrower and a Guarantor or between Guarantors or between the Borrower or a Restricted Subsidiary and the Unrestricted Subsidiaries to the extent permitted by Section 9.05(m); provided that such Debt is not held, assigned, transferred, negotiated or pledged to any Person other than the Borrower or a Guarantor, and, provided further, that any such Debt owed by the Borrower or a Guarantor shall be subordinated to the Indebtedness on terms set forth in the Guaranty Agreement.</w:t>
      </w:r>
    </w:p>
    <w:p>
      <w:pPr>
        <w:spacing w:after="0" w:line="158" w:lineRule="exact"/>
        <w:rPr>
          <w:rFonts w:ascii="Arial" w:cs="Arial" w:eastAsia="Arial" w:hAnsi="Arial"/>
          <w:sz w:val="21"/>
          <w:szCs w:val="21"/>
          <w:color w:val="auto"/>
        </w:rPr>
      </w:pPr>
    </w:p>
    <w:p>
      <w:pPr>
        <w:ind w:left="1780" w:hanging="487"/>
        <w:spacing w:after="0"/>
        <w:tabs>
          <w:tab w:leader="none" w:pos="178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Debt under (i) any Senior Unsecured Notes and (ii) any Permitted Refinancing Debt in respect of Debt under</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this clause (g).</w:t>
      </w:r>
    </w:p>
    <w:p>
      <w:pPr>
        <w:spacing w:after="0" w:line="168" w:lineRule="exact"/>
        <w:rPr>
          <w:rFonts w:ascii="Arial" w:cs="Arial" w:eastAsia="Arial" w:hAnsi="Arial"/>
          <w:sz w:val="19"/>
          <w:szCs w:val="19"/>
          <w:color w:val="auto"/>
        </w:rPr>
      </w:pPr>
    </w:p>
    <w:p>
      <w:pPr>
        <w:ind w:left="1760" w:hanging="467"/>
        <w:spacing w:after="0"/>
        <w:tabs>
          <w:tab w:leader="none" w:pos="176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Debt consisting of the financing of insurance premiums incurred in the ordinary course of business.</w:t>
      </w:r>
    </w:p>
    <w:p>
      <w:pPr>
        <w:spacing w:after="0" w:line="186" w:lineRule="exact"/>
        <w:rPr>
          <w:rFonts w:ascii="Arial" w:cs="Arial" w:eastAsia="Arial" w:hAnsi="Arial"/>
          <w:sz w:val="21"/>
          <w:szCs w:val="21"/>
          <w:color w:val="auto"/>
        </w:rPr>
      </w:pPr>
    </w:p>
    <w:p>
      <w:pPr>
        <w:ind w:left="1700" w:hanging="407"/>
        <w:spacing w:after="0"/>
        <w:tabs>
          <w:tab w:leader="none" w:pos="170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other Debt not to exceed $5,000,000 in the aggregate at any one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type w:val="continuous"/>
        </w:sectPr>
      </w:pPr>
    </w:p>
    <w:bookmarkStart w:id="213" w:name="page214"/>
    <w:bookmarkEnd w:id="213"/>
    <w:p>
      <w:pPr>
        <w:ind w:firstLine="643"/>
        <w:spacing w:after="0" w:line="244" w:lineRule="auto"/>
        <w:rPr>
          <w:sz w:val="20"/>
          <w:szCs w:val="20"/>
          <w:color w:val="auto"/>
        </w:rPr>
      </w:pPr>
      <w:r>
        <w:rPr>
          <w:rFonts w:ascii="Arial" w:cs="Arial" w:eastAsia="Arial" w:hAnsi="Arial"/>
          <w:sz w:val="21"/>
          <w:szCs w:val="21"/>
          <w:color w:val="auto"/>
        </w:rPr>
        <w:t xml:space="preserve">Section 9.03 </w:t>
      </w:r>
      <w:r>
        <w:rPr>
          <w:rFonts w:ascii="Arial" w:cs="Arial" w:eastAsia="Arial" w:hAnsi="Arial"/>
          <w:sz w:val="21"/>
          <w:szCs w:val="21"/>
          <w:u w:val="single" w:color="auto"/>
          <w:color w:val="auto"/>
        </w:rPr>
        <w:t>Liens.</w:t>
      </w:r>
      <w:r>
        <w:rPr>
          <w:rFonts w:ascii="Arial" w:cs="Arial" w:eastAsia="Arial" w:hAnsi="Arial"/>
          <w:sz w:val="21"/>
          <w:szCs w:val="21"/>
          <w:color w:val="auto"/>
        </w:rPr>
        <w:t xml:space="preserve"> The Borrower will not, and will not permit any of the Restricted Subsidiaries to, create, incur, assume or permit to exist any Lien on any of their Properties (now owned or hereafter acquired), except:</w:t>
      </w:r>
    </w:p>
    <w:p>
      <w:pPr>
        <w:spacing w:after="0" w:line="152" w:lineRule="exact"/>
        <w:rPr>
          <w:sz w:val="20"/>
          <w:szCs w:val="20"/>
          <w:color w:val="auto"/>
        </w:rPr>
      </w:pPr>
    </w:p>
    <w:p>
      <w:pPr>
        <w:ind w:firstLine="1293"/>
        <w:spacing w:after="0" w:line="244" w:lineRule="auto"/>
        <w:tabs>
          <w:tab w:leader="none" w:pos="1779" w:val="left"/>
        </w:tabs>
        <w:numPr>
          <w:ilvl w:val="0"/>
          <w:numId w:val="141"/>
        </w:numPr>
        <w:rPr>
          <w:rFonts w:ascii="Arial" w:cs="Arial" w:eastAsia="Arial" w:hAnsi="Arial"/>
          <w:sz w:val="21"/>
          <w:szCs w:val="21"/>
          <w:color w:val="auto"/>
        </w:rPr>
      </w:pPr>
      <w:r>
        <w:rPr>
          <w:rFonts w:ascii="Arial" w:cs="Arial" w:eastAsia="Arial" w:hAnsi="Arial"/>
          <w:sz w:val="21"/>
          <w:szCs w:val="21"/>
          <w:color w:val="auto"/>
        </w:rPr>
        <w:t>(i) Liens securing the payment of any Indebtedness and (ii) Liens on cash or deposits granted in favor of the Issuing Bank to Cash Collateralize any Defaulting Lender’s participation in Letters of Credit.</w:t>
      </w:r>
    </w:p>
    <w:p>
      <w:pPr>
        <w:spacing w:after="0" w:line="151" w:lineRule="exact"/>
        <w:rPr>
          <w:rFonts w:ascii="Arial" w:cs="Arial" w:eastAsia="Arial" w:hAnsi="Arial"/>
          <w:sz w:val="21"/>
          <w:szCs w:val="21"/>
          <w:color w:val="auto"/>
        </w:rPr>
      </w:pPr>
    </w:p>
    <w:p>
      <w:pPr>
        <w:ind w:left="1760" w:hanging="467"/>
        <w:spacing w:after="0"/>
        <w:tabs>
          <w:tab w:leader="none" w:pos="176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Excepted Liens.</w:t>
      </w:r>
    </w:p>
    <w:p>
      <w:pPr>
        <w:spacing w:after="0" w:line="186" w:lineRule="exact"/>
        <w:rPr>
          <w:rFonts w:ascii="Arial" w:cs="Arial" w:eastAsia="Arial" w:hAnsi="Arial"/>
          <w:sz w:val="21"/>
          <w:szCs w:val="21"/>
          <w:color w:val="auto"/>
        </w:rPr>
      </w:pPr>
    </w:p>
    <w:p>
      <w:pPr>
        <w:jc w:val="both"/>
        <w:ind w:firstLine="1293"/>
        <w:spacing w:after="0" w:line="232" w:lineRule="auto"/>
        <w:tabs>
          <w:tab w:leader="none" w:pos="1799" w:val="left"/>
        </w:tabs>
        <w:numPr>
          <w:ilvl w:val="0"/>
          <w:numId w:val="141"/>
        </w:numPr>
        <w:rPr>
          <w:rFonts w:ascii="Arial" w:cs="Arial" w:eastAsia="Arial" w:hAnsi="Arial"/>
          <w:sz w:val="21"/>
          <w:szCs w:val="21"/>
          <w:color w:val="auto"/>
        </w:rPr>
      </w:pPr>
      <w:r>
        <w:rPr>
          <w:rFonts w:ascii="Arial" w:cs="Arial" w:eastAsia="Arial" w:hAnsi="Arial"/>
          <w:sz w:val="21"/>
          <w:szCs w:val="21"/>
          <w:color w:val="auto"/>
        </w:rPr>
        <w:t>Liens securing Debt permitted by Section 9.02(c) but only on the Property under lease or acquired with the proceeds of such Debt, and all improvements, repairs, additions, attachments and accessions thereto, parts, replacements and substitutions therefor, and products and proceeds thereof.</w:t>
      </w:r>
    </w:p>
    <w:p>
      <w:pPr>
        <w:spacing w:after="0" w:line="156" w:lineRule="exact"/>
        <w:rPr>
          <w:rFonts w:ascii="Arial" w:cs="Arial" w:eastAsia="Arial" w:hAnsi="Arial"/>
          <w:sz w:val="21"/>
          <w:szCs w:val="21"/>
          <w:color w:val="auto"/>
        </w:rPr>
      </w:pPr>
    </w:p>
    <w:p>
      <w:pPr>
        <w:ind w:left="1760" w:hanging="467"/>
        <w:spacing w:after="0"/>
        <w:tabs>
          <w:tab w:leader="none" w:pos="176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other Liens securing obligations that in the aggregate do not exceed $10,000,000 at any time.</w:t>
      </w:r>
    </w:p>
    <w:p>
      <w:pPr>
        <w:spacing w:after="0" w:line="186" w:lineRule="exact"/>
        <w:rPr>
          <w:rFonts w:ascii="Arial" w:cs="Arial" w:eastAsia="Arial" w:hAnsi="Arial"/>
          <w:sz w:val="21"/>
          <w:szCs w:val="21"/>
          <w:color w:val="auto"/>
        </w:rPr>
      </w:pPr>
    </w:p>
    <w:p>
      <w:pPr>
        <w:ind w:firstLine="1293"/>
        <w:spacing w:after="0" w:line="244" w:lineRule="auto"/>
        <w:tabs>
          <w:tab w:leader="none" w:pos="1742" w:val="left"/>
        </w:tabs>
        <w:numPr>
          <w:ilvl w:val="0"/>
          <w:numId w:val="141"/>
        </w:numPr>
        <w:rPr>
          <w:rFonts w:ascii="Arial" w:cs="Arial" w:eastAsia="Arial" w:hAnsi="Arial"/>
          <w:sz w:val="21"/>
          <w:szCs w:val="21"/>
          <w:color w:val="auto"/>
        </w:rPr>
      </w:pPr>
      <w:r>
        <w:rPr>
          <w:rFonts w:ascii="Arial" w:cs="Arial" w:eastAsia="Arial" w:hAnsi="Arial"/>
          <w:sz w:val="21"/>
          <w:szCs w:val="21"/>
          <w:color w:val="auto"/>
        </w:rPr>
        <w:t>Liens arising under an indenture in favor of the trustee thereunder for its own benefit and not for the benefit of the holders of Debt under such indenture.</w:t>
      </w:r>
    </w:p>
    <w:p>
      <w:pPr>
        <w:spacing w:after="0" w:line="151" w:lineRule="exact"/>
        <w:rPr>
          <w:rFonts w:ascii="Arial" w:cs="Arial" w:eastAsia="Arial" w:hAnsi="Arial"/>
          <w:sz w:val="21"/>
          <w:szCs w:val="21"/>
          <w:color w:val="auto"/>
        </w:rPr>
      </w:pPr>
    </w:p>
    <w:p>
      <w:pPr>
        <w:ind w:left="1820" w:hanging="527"/>
        <w:spacing w:after="0"/>
        <w:tabs>
          <w:tab w:leader="none" w:pos="182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Liens on cash, cash equivalents and other property arising in connection with the defeasance, discharge or</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redemption of Debt.</w:t>
      </w:r>
    </w:p>
    <w:p>
      <w:pPr>
        <w:spacing w:after="0" w:line="168" w:lineRule="exact"/>
        <w:rPr>
          <w:rFonts w:ascii="Arial" w:cs="Arial" w:eastAsia="Arial" w:hAnsi="Arial"/>
          <w:sz w:val="19"/>
          <w:szCs w:val="19"/>
          <w:color w:val="auto"/>
        </w:rPr>
      </w:pPr>
    </w:p>
    <w:p>
      <w:pPr>
        <w:ind w:left="1860" w:hanging="567"/>
        <w:spacing w:after="0"/>
        <w:tabs>
          <w:tab w:leader="none" w:pos="186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Liens on insurance policies and the proceeds thereof securing the financing of the premiums with respect</w:t>
      </w:r>
    </w:p>
    <w:p>
      <w:pPr>
        <w:spacing w:after="0" w:line="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thereto.</w:t>
      </w:r>
    </w:p>
    <w:p>
      <w:pPr>
        <w:spacing w:after="0" w:line="168" w:lineRule="exact"/>
        <w:rPr>
          <w:rFonts w:ascii="Arial" w:cs="Arial" w:eastAsia="Arial" w:hAnsi="Arial"/>
          <w:sz w:val="20"/>
          <w:szCs w:val="20"/>
          <w:color w:val="auto"/>
        </w:rPr>
      </w:pPr>
    </w:p>
    <w:p>
      <w:pPr>
        <w:ind w:left="1760" w:hanging="467"/>
        <w:spacing w:after="0"/>
        <w:tabs>
          <w:tab w:leader="none" w:pos="176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Liens on Equity Interests in Unrestricted Subsidiaries.</w:t>
      </w:r>
    </w:p>
    <w:p>
      <w:pPr>
        <w:spacing w:after="0" w:line="187"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9.04</w:t>
      </w:r>
      <w:r>
        <w:rPr>
          <w:sz w:val="20"/>
          <w:szCs w:val="20"/>
          <w:color w:val="auto"/>
        </w:rPr>
        <w:tab/>
      </w:r>
      <w:r>
        <w:rPr>
          <w:rFonts w:ascii="Arial" w:cs="Arial" w:eastAsia="Arial" w:hAnsi="Arial"/>
          <w:sz w:val="19"/>
          <w:szCs w:val="19"/>
          <w:u w:val="single" w:color="auto"/>
          <w:color w:val="auto"/>
        </w:rPr>
        <w:t>Dividends, Distributions and Restricted Payments.</w:t>
      </w:r>
    </w:p>
    <w:p>
      <w:pPr>
        <w:spacing w:after="0" w:line="187" w:lineRule="exact"/>
        <w:rPr>
          <w:sz w:val="20"/>
          <w:szCs w:val="20"/>
          <w:color w:val="auto"/>
        </w:rPr>
      </w:pPr>
    </w:p>
    <w:p>
      <w:pPr>
        <w:jc w:val="both"/>
        <w:ind w:firstLine="1293"/>
        <w:spacing w:after="0" w:line="227" w:lineRule="auto"/>
        <w:tabs>
          <w:tab w:leader="none" w:pos="1898"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Restricted Payments</w:t>
      </w:r>
      <w:r>
        <w:rPr>
          <w:rFonts w:ascii="Arial" w:cs="Arial" w:eastAsia="Arial" w:hAnsi="Arial"/>
          <w:sz w:val="21"/>
          <w:szCs w:val="21"/>
          <w:color w:val="auto"/>
        </w:rPr>
        <w:t>. The Parent Guarantor and the Borrower will not, and will not permit any of the Restricted Subsidiaries to, declare or make directly or indirectly, any Restricted Payment, return any capital to its holders of Equity Interests or make any distribution of its Property to its Equity Interest holders without the prior approval of the Majority Lenders, except that:</w:t>
      </w:r>
    </w:p>
    <w:p>
      <w:pPr>
        <w:spacing w:after="0" w:line="157" w:lineRule="exact"/>
        <w:rPr>
          <w:rFonts w:ascii="Arial" w:cs="Arial" w:eastAsia="Arial" w:hAnsi="Arial"/>
          <w:sz w:val="21"/>
          <w:szCs w:val="21"/>
          <w:color w:val="auto"/>
        </w:rPr>
      </w:pPr>
    </w:p>
    <w:p>
      <w:pPr>
        <w:jc w:val="both"/>
        <w:ind w:firstLine="1935"/>
        <w:spacing w:after="0" w:line="233" w:lineRule="auto"/>
        <w:tabs>
          <w:tab w:leader="none" w:pos="2413" w:val="left"/>
        </w:tabs>
        <w:numPr>
          <w:ilvl w:val="1"/>
          <w:numId w:val="142"/>
        </w:numPr>
        <w:rPr>
          <w:rFonts w:ascii="Arial" w:cs="Arial" w:eastAsia="Arial" w:hAnsi="Arial"/>
          <w:sz w:val="20"/>
          <w:szCs w:val="20"/>
          <w:color w:val="auto"/>
        </w:rPr>
      </w:pPr>
      <w:r>
        <w:rPr>
          <w:rFonts w:ascii="Arial" w:cs="Arial" w:eastAsia="Arial" w:hAnsi="Arial"/>
          <w:sz w:val="20"/>
          <w:szCs w:val="20"/>
          <w:color w:val="auto"/>
        </w:rPr>
        <w:t>the Parent Guarantor and the Borrower may pay dividends and distributions to their Equity Holders; provided, that (A) such dividend or distribution is paid within 65 days after the date of declaration thereof and (B) as of the date of such declaration, if such dividend or distribution had been paid as of such date of declaration, both prior to and immediately after giving pro forma effect to such payment (including any Borrowings made in connection with any such dividends and/or distributions), (1) the Borrower would have undrawn availability under the then effective Commitments equal to or greater than 10% of the then effective Commitments and (2) no Default or Event of Default would have existed;</w:t>
      </w:r>
    </w:p>
    <w:p>
      <w:pPr>
        <w:spacing w:after="0" w:line="159" w:lineRule="exact"/>
        <w:rPr>
          <w:rFonts w:ascii="Arial" w:cs="Arial" w:eastAsia="Arial" w:hAnsi="Arial"/>
          <w:sz w:val="20"/>
          <w:szCs w:val="20"/>
          <w:color w:val="auto"/>
        </w:rPr>
      </w:pPr>
    </w:p>
    <w:p>
      <w:pPr>
        <w:jc w:val="both"/>
        <w:ind w:firstLine="1935"/>
        <w:spacing w:after="0" w:line="232" w:lineRule="auto"/>
        <w:tabs>
          <w:tab w:leader="none" w:pos="2599" w:val="left"/>
        </w:tabs>
        <w:numPr>
          <w:ilvl w:val="1"/>
          <w:numId w:val="142"/>
        </w:numPr>
        <w:rPr>
          <w:rFonts w:ascii="Arial" w:cs="Arial" w:eastAsia="Arial" w:hAnsi="Arial"/>
          <w:sz w:val="21"/>
          <w:szCs w:val="21"/>
          <w:color w:val="auto"/>
        </w:rPr>
      </w:pPr>
      <w:r>
        <w:rPr>
          <w:rFonts w:ascii="Arial" w:cs="Arial" w:eastAsia="Arial" w:hAnsi="Arial"/>
          <w:sz w:val="21"/>
          <w:szCs w:val="21"/>
          <w:color w:val="auto"/>
        </w:rPr>
        <w:t>the Parent Guarantor, the Borrower and the Restricted Subsidiaries may each declare and pay dividends or distributions with respect to its Equity Interests payable solely in additional Equity Interests (other than Disqualified Capital Stock);</w:t>
      </w:r>
    </w:p>
    <w:p>
      <w:pPr>
        <w:spacing w:after="0" w:line="156" w:lineRule="exact"/>
        <w:rPr>
          <w:rFonts w:ascii="Arial" w:cs="Arial" w:eastAsia="Arial" w:hAnsi="Arial"/>
          <w:sz w:val="21"/>
          <w:szCs w:val="21"/>
          <w:color w:val="auto"/>
        </w:rPr>
      </w:pPr>
    </w:p>
    <w:p>
      <w:pPr>
        <w:ind w:firstLine="1935"/>
        <w:spacing w:after="0" w:line="244" w:lineRule="auto"/>
        <w:tabs>
          <w:tab w:leader="none" w:pos="2517" w:val="left"/>
        </w:tabs>
        <w:numPr>
          <w:ilvl w:val="1"/>
          <w:numId w:val="142"/>
        </w:numPr>
        <w:rPr>
          <w:rFonts w:ascii="Arial" w:cs="Arial" w:eastAsia="Arial" w:hAnsi="Arial"/>
          <w:sz w:val="21"/>
          <w:szCs w:val="21"/>
          <w:color w:val="auto"/>
        </w:rPr>
      </w:pPr>
      <w:r>
        <w:rPr>
          <w:rFonts w:ascii="Arial" w:cs="Arial" w:eastAsia="Arial" w:hAnsi="Arial"/>
          <w:sz w:val="21"/>
          <w:szCs w:val="21"/>
          <w:color w:val="auto"/>
        </w:rPr>
        <w:t>(A) any Restricted Subsidiary of the Borrower may make Restricted Payments to the Borrower or a Restricted Subsidiary, and (B) the Borrower may make Restricted Payments to the Parent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14" w:name="page215"/>
    <w:bookmarkEnd w:id="214"/>
    <w:p>
      <w:pPr>
        <w:jc w:val="both"/>
        <w:ind w:firstLine="1935"/>
        <w:spacing w:after="0" w:line="232" w:lineRule="auto"/>
        <w:tabs>
          <w:tab w:leader="none" w:pos="2529" w:val="left"/>
        </w:tabs>
        <w:numPr>
          <w:ilvl w:val="2"/>
          <w:numId w:val="143"/>
        </w:numPr>
        <w:rPr>
          <w:rFonts w:ascii="Arial" w:cs="Arial" w:eastAsia="Arial" w:hAnsi="Arial"/>
          <w:sz w:val="21"/>
          <w:szCs w:val="21"/>
          <w:color w:val="auto"/>
        </w:rPr>
      </w:pPr>
      <w:r>
        <w:rPr>
          <w:rFonts w:ascii="Arial" w:cs="Arial" w:eastAsia="Arial" w:hAnsi="Arial"/>
          <w:sz w:val="21"/>
          <w:szCs w:val="21"/>
          <w:color w:val="auto"/>
        </w:rPr>
        <w:t>the Parent Guarantor, the Borrower and the Restricted Subsidiaries may make Restricted Payments pursuant to and in accordance with stock option plans or other benefit plans for management, employees, directors and consultants of the Parent Guarantor, the Borrower and its Subsidiaries;</w:t>
      </w:r>
    </w:p>
    <w:p>
      <w:pPr>
        <w:spacing w:after="0" w:line="156" w:lineRule="exact"/>
        <w:rPr>
          <w:rFonts w:ascii="Arial" w:cs="Arial" w:eastAsia="Arial" w:hAnsi="Arial"/>
          <w:sz w:val="21"/>
          <w:szCs w:val="21"/>
          <w:color w:val="auto"/>
        </w:rPr>
      </w:pPr>
    </w:p>
    <w:p>
      <w:pPr>
        <w:ind w:firstLine="1935"/>
        <w:spacing w:after="0" w:line="244" w:lineRule="auto"/>
        <w:tabs>
          <w:tab w:leader="none" w:pos="2455" w:val="left"/>
        </w:tabs>
        <w:numPr>
          <w:ilvl w:val="2"/>
          <w:numId w:val="143"/>
        </w:numPr>
        <w:rPr>
          <w:rFonts w:ascii="Arial" w:cs="Arial" w:eastAsia="Arial" w:hAnsi="Arial"/>
          <w:sz w:val="21"/>
          <w:szCs w:val="21"/>
          <w:color w:val="auto"/>
        </w:rPr>
      </w:pPr>
      <w:r>
        <w:rPr>
          <w:rFonts w:ascii="Arial" w:cs="Arial" w:eastAsia="Arial" w:hAnsi="Arial"/>
          <w:sz w:val="21"/>
          <w:szCs w:val="21"/>
          <w:color w:val="auto"/>
        </w:rPr>
        <w:t>the Parent Guarantor and the Borrower may declare and pay dividends or distributions consisting of Equity Interests in Unrestricted Subsidiaries; and</w:t>
      </w:r>
    </w:p>
    <w:p>
      <w:pPr>
        <w:spacing w:after="0" w:line="151" w:lineRule="exact"/>
        <w:rPr>
          <w:rFonts w:ascii="Arial" w:cs="Arial" w:eastAsia="Arial" w:hAnsi="Arial"/>
          <w:sz w:val="21"/>
          <w:szCs w:val="21"/>
          <w:color w:val="auto"/>
        </w:rPr>
      </w:pPr>
    </w:p>
    <w:p>
      <w:pPr>
        <w:jc w:val="both"/>
        <w:ind w:firstLine="1935"/>
        <w:spacing w:after="0" w:line="226" w:lineRule="auto"/>
        <w:tabs>
          <w:tab w:leader="none" w:pos="2634" w:val="left"/>
        </w:tabs>
        <w:numPr>
          <w:ilvl w:val="2"/>
          <w:numId w:val="143"/>
        </w:numPr>
        <w:rPr>
          <w:rFonts w:ascii="Arial" w:cs="Arial" w:eastAsia="Arial" w:hAnsi="Arial"/>
          <w:sz w:val="20"/>
          <w:szCs w:val="20"/>
          <w:color w:val="auto"/>
        </w:rPr>
      </w:pPr>
      <w:r>
        <w:rPr>
          <w:rFonts w:ascii="Arial" w:cs="Arial" w:eastAsia="Arial" w:hAnsi="Arial"/>
          <w:sz w:val="20"/>
          <w:szCs w:val="20"/>
          <w:color w:val="auto"/>
        </w:rPr>
        <w:t>on and after the Sixth Amendment Effective Date, the Parent Guarantor may make Restricted Payments other than dividends and distributions; provided that both prior to and after giving pro forma effect thereto (including any Borrowings made in connection with any such Restricted Payments), (A) no Default or Event of Default has occurred and is continuing, (B) [reserved], (C) the ratio of Total Debt to EBITDAX does not exceed 3.00 to 1.00, (D) [reserved], and (E) the Borrower would have undrawn availability under the then effective Commitments equal to or greater than 20% of the then effective Commitments. For all purposes under this clause (vi), the ratio of Total Debt to EBITDAX shall be calculated based on</w:t>
      </w:r>
    </w:p>
    <w:p>
      <w:pPr>
        <w:spacing w:after="0" w:line="4" w:lineRule="exact"/>
        <w:rPr>
          <w:rFonts w:ascii="Arial" w:cs="Arial" w:eastAsia="Arial" w:hAnsi="Arial"/>
          <w:sz w:val="20"/>
          <w:szCs w:val="20"/>
          <w:color w:val="auto"/>
        </w:rPr>
      </w:pPr>
    </w:p>
    <w:p>
      <w:pPr>
        <w:jc w:val="both"/>
        <w:ind w:firstLine="7"/>
        <w:spacing w:after="0" w:line="223" w:lineRule="auto"/>
        <w:tabs>
          <w:tab w:leader="none" w:pos="31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Total Debt as of any date of calculation and (2) EBITDAX for the Borrower’s most recently ended four full fiscal quarters for which financial statements have been delivered pursuant to Section 8.01(a) or (b), as applicable, after giving pro forma effect to such Restricted Payments and any Borrowings made in connection with such Restricted Payments, and otherwise in accordance with Section 9.01(a).</w:t>
      </w:r>
    </w:p>
    <w:p>
      <w:pPr>
        <w:spacing w:after="0" w:line="155" w:lineRule="exact"/>
        <w:rPr>
          <w:rFonts w:ascii="Arial" w:cs="Arial" w:eastAsia="Arial" w:hAnsi="Arial"/>
          <w:sz w:val="21"/>
          <w:szCs w:val="21"/>
          <w:color w:val="auto"/>
        </w:rPr>
      </w:pPr>
    </w:p>
    <w:p>
      <w:pPr>
        <w:ind w:firstLine="1293"/>
        <w:spacing w:after="0" w:line="244" w:lineRule="auto"/>
        <w:tabs>
          <w:tab w:leader="none" w:pos="1749" w:val="left"/>
        </w:tabs>
        <w:numPr>
          <w:ilvl w:val="1"/>
          <w:numId w:val="144"/>
        </w:numPr>
        <w:rPr>
          <w:rFonts w:ascii="Arial" w:cs="Arial" w:eastAsia="Arial" w:hAnsi="Arial"/>
          <w:sz w:val="21"/>
          <w:szCs w:val="21"/>
          <w:color w:val="auto"/>
        </w:rPr>
      </w:pPr>
      <w:r>
        <w:rPr>
          <w:rFonts w:ascii="Arial" w:cs="Arial" w:eastAsia="Arial" w:hAnsi="Arial"/>
          <w:sz w:val="21"/>
          <w:szCs w:val="21"/>
          <w:u w:val="single" w:color="auto"/>
          <w:color w:val="auto"/>
        </w:rPr>
        <w:t>Redemption of Senior Unsecured Notes; Amendment of Indenture</w:t>
      </w:r>
      <w:r>
        <w:rPr>
          <w:rFonts w:ascii="Arial" w:cs="Arial" w:eastAsia="Arial" w:hAnsi="Arial"/>
          <w:sz w:val="21"/>
          <w:szCs w:val="21"/>
          <w:color w:val="auto"/>
        </w:rPr>
        <w:t>. The Borrower will not, and will not permit any of the Restricted Subsidiaries to, prior to the date that is 91 days after the Maturity Date:</w:t>
      </w:r>
    </w:p>
    <w:p>
      <w:pPr>
        <w:spacing w:after="0" w:line="151" w:lineRule="exact"/>
        <w:rPr>
          <w:rFonts w:ascii="Arial" w:cs="Arial" w:eastAsia="Arial" w:hAnsi="Arial"/>
          <w:sz w:val="21"/>
          <w:szCs w:val="21"/>
          <w:color w:val="auto"/>
        </w:rPr>
      </w:pPr>
    </w:p>
    <w:p>
      <w:pPr>
        <w:ind w:firstLine="1935"/>
        <w:spacing w:after="0" w:line="244" w:lineRule="auto"/>
        <w:tabs>
          <w:tab w:leader="none" w:pos="2366" w:val="left"/>
        </w:tabs>
        <w:numPr>
          <w:ilvl w:val="2"/>
          <w:numId w:val="144"/>
        </w:numPr>
        <w:rPr>
          <w:rFonts w:ascii="Arial" w:cs="Arial" w:eastAsia="Arial" w:hAnsi="Arial"/>
          <w:sz w:val="21"/>
          <w:szCs w:val="21"/>
          <w:color w:val="auto"/>
        </w:rPr>
      </w:pPr>
      <w:r>
        <w:rPr>
          <w:rFonts w:ascii="Arial" w:cs="Arial" w:eastAsia="Arial" w:hAnsi="Arial"/>
          <w:sz w:val="21"/>
          <w:szCs w:val="21"/>
          <w:color w:val="auto"/>
        </w:rPr>
        <w:t>make any optional or voluntary Redemption of or otherwise optionally or voluntarily Redeem whether in whole or in part any Senior Unsecured Notes in cash, in each case other than:</w:t>
      </w:r>
    </w:p>
    <w:p>
      <w:pPr>
        <w:spacing w:after="0" w:line="151" w:lineRule="exact"/>
        <w:rPr>
          <w:rFonts w:ascii="Arial" w:cs="Arial" w:eastAsia="Arial" w:hAnsi="Arial"/>
          <w:sz w:val="21"/>
          <w:szCs w:val="21"/>
          <w:color w:val="auto"/>
        </w:rPr>
      </w:pPr>
    </w:p>
    <w:p>
      <w:pPr>
        <w:ind w:left="3080" w:hanging="502"/>
        <w:spacing w:after="0"/>
        <w:tabs>
          <w:tab w:leader="none" w:pos="3080" w:val="left"/>
        </w:tabs>
        <w:numPr>
          <w:ilvl w:val="3"/>
          <w:numId w:val="144"/>
        </w:numPr>
        <w:rPr>
          <w:rFonts w:ascii="Arial" w:cs="Arial" w:eastAsia="Arial" w:hAnsi="Arial"/>
          <w:sz w:val="21"/>
          <w:szCs w:val="21"/>
          <w:color w:val="010000"/>
        </w:rPr>
      </w:pPr>
      <w:r>
        <w:rPr>
          <w:rFonts w:ascii="Arial" w:cs="Arial" w:eastAsia="Arial" w:hAnsi="Arial"/>
          <w:sz w:val="21"/>
          <w:szCs w:val="21"/>
          <w:color w:val="auto"/>
        </w:rPr>
        <w:t>Redemptions made from the proceeds of Permitted Refinancing Debt;</w:t>
      </w:r>
    </w:p>
    <w:p>
      <w:pPr>
        <w:spacing w:after="0" w:line="186" w:lineRule="exact"/>
        <w:rPr>
          <w:rFonts w:ascii="Arial" w:cs="Arial" w:eastAsia="Arial" w:hAnsi="Arial"/>
          <w:sz w:val="21"/>
          <w:szCs w:val="21"/>
          <w:color w:val="010000"/>
        </w:rPr>
      </w:pPr>
    </w:p>
    <w:p>
      <w:pPr>
        <w:ind w:left="3240" w:hanging="662"/>
        <w:spacing w:after="0"/>
        <w:tabs>
          <w:tab w:leader="none" w:pos="3240" w:val="left"/>
        </w:tabs>
        <w:numPr>
          <w:ilvl w:val="3"/>
          <w:numId w:val="144"/>
        </w:numPr>
        <w:rPr>
          <w:rFonts w:ascii="Arial" w:cs="Arial" w:eastAsia="Arial" w:hAnsi="Arial"/>
          <w:sz w:val="20"/>
          <w:szCs w:val="20"/>
          <w:color w:val="010000"/>
        </w:rPr>
      </w:pPr>
      <w:r>
        <w:rPr>
          <w:rFonts w:ascii="Arial" w:cs="Arial" w:eastAsia="Arial" w:hAnsi="Arial"/>
          <w:sz w:val="20"/>
          <w:szCs w:val="20"/>
          <w:color w:val="auto"/>
        </w:rPr>
        <w:t>Redemptions made from the proceeds of the sale or issuance of Equity Interests by the</w:t>
      </w:r>
    </w:p>
    <w:p>
      <w:pPr>
        <w:spacing w:after="0" w:line="2" w:lineRule="exact"/>
        <w:rPr>
          <w:rFonts w:ascii="Arial" w:cs="Arial" w:eastAsia="Arial" w:hAnsi="Arial"/>
          <w:sz w:val="20"/>
          <w:szCs w:val="20"/>
          <w:color w:val="010000"/>
        </w:rPr>
      </w:pPr>
    </w:p>
    <w:p>
      <w:pPr>
        <w:spacing w:after="0"/>
        <w:rPr>
          <w:rFonts w:ascii="Arial" w:cs="Arial" w:eastAsia="Arial" w:hAnsi="Arial"/>
          <w:sz w:val="20"/>
          <w:szCs w:val="20"/>
          <w:color w:val="010000"/>
        </w:rPr>
      </w:pPr>
      <w:r>
        <w:rPr>
          <w:rFonts w:ascii="Arial" w:cs="Arial" w:eastAsia="Arial" w:hAnsi="Arial"/>
          <w:sz w:val="21"/>
          <w:szCs w:val="21"/>
          <w:color w:val="auto"/>
        </w:rPr>
        <w:t>Borrower if:</w:t>
      </w:r>
    </w:p>
    <w:p>
      <w:pPr>
        <w:spacing w:after="0" w:line="168" w:lineRule="exact"/>
        <w:rPr>
          <w:rFonts w:ascii="Arial" w:cs="Arial" w:eastAsia="Arial" w:hAnsi="Arial"/>
          <w:sz w:val="20"/>
          <w:szCs w:val="20"/>
          <w:color w:val="010000"/>
        </w:rPr>
      </w:pPr>
    </w:p>
    <w:p>
      <w:pPr>
        <w:ind w:left="3800" w:hanging="579"/>
        <w:spacing w:after="0"/>
        <w:tabs>
          <w:tab w:leader="none" w:pos="3800" w:val="left"/>
        </w:tabs>
        <w:numPr>
          <w:ilvl w:val="4"/>
          <w:numId w:val="144"/>
        </w:numPr>
        <w:rPr>
          <w:rFonts w:ascii="Arial" w:cs="Arial" w:eastAsia="Arial" w:hAnsi="Arial"/>
          <w:sz w:val="20"/>
          <w:szCs w:val="20"/>
          <w:color w:val="010000"/>
        </w:rPr>
      </w:pPr>
      <w:r>
        <w:rPr>
          <w:rFonts w:ascii="Arial" w:cs="Arial" w:eastAsia="Arial" w:hAnsi="Arial"/>
          <w:sz w:val="20"/>
          <w:szCs w:val="20"/>
          <w:color w:val="auto"/>
        </w:rPr>
        <w:t>no Default or Event of Default has occurred and is continuing or would exist after</w:t>
      </w:r>
    </w:p>
    <w:p>
      <w:pPr>
        <w:spacing w:after="0" w:line="2" w:lineRule="exact"/>
        <w:rPr>
          <w:rFonts w:ascii="Arial" w:cs="Arial" w:eastAsia="Arial" w:hAnsi="Arial"/>
          <w:sz w:val="20"/>
          <w:szCs w:val="20"/>
          <w:color w:val="010000"/>
        </w:rPr>
      </w:pPr>
    </w:p>
    <w:p>
      <w:pPr>
        <w:spacing w:after="0"/>
        <w:rPr>
          <w:rFonts w:ascii="Arial" w:cs="Arial" w:eastAsia="Arial" w:hAnsi="Arial"/>
          <w:sz w:val="20"/>
          <w:szCs w:val="20"/>
          <w:color w:val="010000"/>
        </w:rPr>
      </w:pPr>
      <w:r>
        <w:rPr>
          <w:rFonts w:ascii="Arial" w:cs="Arial" w:eastAsia="Arial" w:hAnsi="Arial"/>
          <w:sz w:val="21"/>
          <w:szCs w:val="21"/>
          <w:color w:val="auto"/>
        </w:rPr>
        <w:t>giving effect to such Redemption; and</w:t>
      </w:r>
    </w:p>
    <w:p>
      <w:pPr>
        <w:spacing w:after="0" w:line="168" w:lineRule="exact"/>
        <w:rPr>
          <w:rFonts w:ascii="Arial" w:cs="Arial" w:eastAsia="Arial" w:hAnsi="Arial"/>
          <w:sz w:val="20"/>
          <w:szCs w:val="20"/>
          <w:color w:val="010000"/>
        </w:rPr>
      </w:pPr>
    </w:p>
    <w:p>
      <w:pPr>
        <w:jc w:val="both"/>
        <w:ind w:firstLine="3221"/>
        <w:spacing w:after="0" w:line="227" w:lineRule="auto"/>
        <w:tabs>
          <w:tab w:leader="none" w:pos="3691" w:val="left"/>
        </w:tabs>
        <w:numPr>
          <w:ilvl w:val="4"/>
          <w:numId w:val="144"/>
        </w:numPr>
        <w:rPr>
          <w:rFonts w:ascii="Arial" w:cs="Arial" w:eastAsia="Arial" w:hAnsi="Arial"/>
          <w:sz w:val="21"/>
          <w:szCs w:val="21"/>
          <w:color w:val="010000"/>
        </w:rPr>
      </w:pPr>
      <w:r>
        <w:rPr>
          <w:rFonts w:ascii="Arial" w:cs="Arial" w:eastAsia="Arial" w:hAnsi="Arial"/>
          <w:sz w:val="21"/>
          <w:szCs w:val="21"/>
          <w:color w:val="auto"/>
        </w:rPr>
        <w:t>immediately after giving effect to such Redemption, the Borrower would have liquidity (which for the purpose of this Section 9.04(b) shall be defined as undrawn availability under the then effective Commitments, unrestricted cash and cash equivalents) equal to or greater than the greater of (I) 20% of the then effective Commitments and (II) $100,000,000;</w:t>
      </w:r>
    </w:p>
    <w:p>
      <w:pPr>
        <w:spacing w:after="0" w:line="157" w:lineRule="exact"/>
        <w:rPr>
          <w:rFonts w:ascii="Arial" w:cs="Arial" w:eastAsia="Arial" w:hAnsi="Arial"/>
          <w:sz w:val="21"/>
          <w:szCs w:val="21"/>
          <w:color w:val="010000"/>
        </w:rPr>
      </w:pPr>
    </w:p>
    <w:p>
      <w:pPr>
        <w:jc w:val="both"/>
        <w:ind w:firstLine="2578"/>
        <w:spacing w:after="0" w:line="232" w:lineRule="auto"/>
        <w:tabs>
          <w:tab w:leader="none" w:pos="3084" w:val="left"/>
        </w:tabs>
        <w:numPr>
          <w:ilvl w:val="3"/>
          <w:numId w:val="144"/>
        </w:numPr>
        <w:rPr>
          <w:rFonts w:ascii="Arial" w:cs="Arial" w:eastAsia="Arial" w:hAnsi="Arial"/>
          <w:sz w:val="21"/>
          <w:szCs w:val="21"/>
          <w:color w:val="010000"/>
        </w:rPr>
      </w:pPr>
      <w:r>
        <w:rPr>
          <w:rFonts w:ascii="Arial" w:cs="Arial" w:eastAsia="Arial" w:hAnsi="Arial"/>
          <w:sz w:val="21"/>
          <w:szCs w:val="21"/>
          <w:color w:val="auto"/>
        </w:rPr>
        <w:t>Redemptions made in respect of a mandatory offer to Redeem Senior Unsecured Notes arising out of a sale of Property of the Borrower or any Restricted Subsidiary if such sale of Property is made in compliance with Section 9.12(d); and</w:t>
      </w:r>
    </w:p>
    <w:p>
      <w:pPr>
        <w:spacing w:after="0" w:line="156" w:lineRule="exact"/>
        <w:rPr>
          <w:rFonts w:ascii="Arial" w:cs="Arial" w:eastAsia="Arial" w:hAnsi="Arial"/>
          <w:sz w:val="21"/>
          <w:szCs w:val="21"/>
          <w:color w:val="010000"/>
        </w:rPr>
      </w:pPr>
    </w:p>
    <w:p>
      <w:pPr>
        <w:ind w:left="3080" w:hanging="502"/>
        <w:spacing w:after="0"/>
        <w:tabs>
          <w:tab w:leader="none" w:pos="3080" w:val="left"/>
        </w:tabs>
        <w:numPr>
          <w:ilvl w:val="3"/>
          <w:numId w:val="144"/>
        </w:numPr>
        <w:rPr>
          <w:rFonts w:ascii="Arial" w:cs="Arial" w:eastAsia="Arial" w:hAnsi="Arial"/>
          <w:sz w:val="21"/>
          <w:szCs w:val="21"/>
          <w:color w:val="010000"/>
        </w:rPr>
      </w:pPr>
      <w:r>
        <w:rPr>
          <w:rFonts w:ascii="Arial" w:cs="Arial" w:eastAsia="Arial" w:hAnsi="Arial"/>
          <w:sz w:val="21"/>
          <w:szCs w:val="21"/>
          <w:color w:val="auto"/>
        </w:rPr>
        <w:t>voluntary Redemptions if immediately after giving effect to such Redemption:</w:t>
      </w:r>
    </w:p>
    <w:p>
      <w:pPr>
        <w:spacing w:after="0" w:line="186" w:lineRule="exact"/>
        <w:rPr>
          <w:rFonts w:ascii="Arial" w:cs="Arial" w:eastAsia="Arial" w:hAnsi="Arial"/>
          <w:sz w:val="21"/>
          <w:szCs w:val="21"/>
          <w:color w:val="010000"/>
        </w:rPr>
      </w:pPr>
    </w:p>
    <w:p>
      <w:pPr>
        <w:ind w:firstLine="3221"/>
        <w:spacing w:after="0" w:line="244" w:lineRule="auto"/>
        <w:tabs>
          <w:tab w:leader="none" w:pos="3691" w:val="left"/>
        </w:tabs>
        <w:numPr>
          <w:ilvl w:val="4"/>
          <w:numId w:val="144"/>
        </w:numPr>
        <w:rPr>
          <w:rFonts w:ascii="Arial" w:cs="Arial" w:eastAsia="Arial" w:hAnsi="Arial"/>
          <w:sz w:val="21"/>
          <w:szCs w:val="21"/>
          <w:color w:val="010000"/>
        </w:rPr>
      </w:pPr>
      <w:r>
        <w:rPr>
          <w:rFonts w:ascii="Arial" w:cs="Arial" w:eastAsia="Arial" w:hAnsi="Arial"/>
          <w:sz w:val="21"/>
          <w:szCs w:val="21"/>
          <w:color w:val="auto"/>
        </w:rPr>
        <w:t>the Borrower would have liquidity equal to or greater than the greater of (I) 20% of the then effective Commitments and(II)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15" w:name="page216"/>
    <w:bookmarkEnd w:id="215"/>
    <w:p>
      <w:pPr>
        <w:ind w:left="3740" w:hanging="519"/>
        <w:spacing w:after="0"/>
        <w:tabs>
          <w:tab w:leader="none" w:pos="3740" w:val="left"/>
        </w:tabs>
        <w:numPr>
          <w:ilvl w:val="1"/>
          <w:numId w:val="145"/>
        </w:numPr>
        <w:rPr>
          <w:rFonts w:ascii="Arial" w:cs="Arial" w:eastAsia="Arial" w:hAnsi="Arial"/>
          <w:sz w:val="19"/>
          <w:szCs w:val="19"/>
          <w:color w:val="010000"/>
        </w:rPr>
      </w:pPr>
      <w:r>
        <w:rPr>
          <w:rFonts w:ascii="Arial" w:cs="Arial" w:eastAsia="Arial" w:hAnsi="Arial"/>
          <w:sz w:val="19"/>
          <w:szCs w:val="19"/>
          <w:color w:val="auto"/>
        </w:rPr>
        <w:t>such Redemptions under this clause (D) do not exceed $100,000,000 in the aggregate</w:t>
      </w:r>
    </w:p>
    <w:p>
      <w:pPr>
        <w:spacing w:after="0" w:line="13"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1"/>
          <w:szCs w:val="21"/>
          <w:color w:val="auto"/>
        </w:rPr>
        <w:t>after the Redemption Calculation Date, and</w:t>
      </w:r>
    </w:p>
    <w:p>
      <w:pPr>
        <w:spacing w:after="0" w:line="168" w:lineRule="exact"/>
        <w:rPr>
          <w:rFonts w:ascii="Arial" w:cs="Arial" w:eastAsia="Arial" w:hAnsi="Arial"/>
          <w:sz w:val="19"/>
          <w:szCs w:val="19"/>
          <w:color w:val="010000"/>
        </w:rPr>
      </w:pPr>
    </w:p>
    <w:p>
      <w:pPr>
        <w:ind w:left="3720" w:hanging="499"/>
        <w:spacing w:after="0"/>
        <w:tabs>
          <w:tab w:leader="none" w:pos="3720" w:val="left"/>
        </w:tabs>
        <w:numPr>
          <w:ilvl w:val="1"/>
          <w:numId w:val="145"/>
        </w:numPr>
        <w:rPr>
          <w:rFonts w:ascii="Arial" w:cs="Arial" w:eastAsia="Arial" w:hAnsi="Arial"/>
          <w:sz w:val="19"/>
          <w:szCs w:val="19"/>
          <w:color w:val="010000"/>
        </w:rPr>
      </w:pPr>
      <w:r>
        <w:rPr>
          <w:rFonts w:ascii="Arial" w:cs="Arial" w:eastAsia="Arial" w:hAnsi="Arial"/>
          <w:sz w:val="19"/>
          <w:szCs w:val="19"/>
          <w:color w:val="auto"/>
        </w:rPr>
        <w:t>if the Borrower is using proceeds from the Loans for such Redemption, the ratio of the</w:t>
      </w:r>
    </w:p>
    <w:p>
      <w:pPr>
        <w:spacing w:after="0" w:line="13"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1"/>
          <w:szCs w:val="21"/>
          <w:color w:val="auto"/>
        </w:rPr>
        <w:t>Borrower’s Total Debt to EBITDAX (calculated in accordance with Section 9.01(a)) is equal to or less than 2.5 to 1.0.</w:t>
      </w:r>
    </w:p>
    <w:p>
      <w:pPr>
        <w:spacing w:after="0" w:line="168" w:lineRule="exact"/>
        <w:rPr>
          <w:rFonts w:ascii="Arial" w:cs="Arial" w:eastAsia="Arial" w:hAnsi="Arial"/>
          <w:sz w:val="19"/>
          <w:szCs w:val="19"/>
          <w:color w:val="010000"/>
        </w:rPr>
      </w:pPr>
    </w:p>
    <w:p>
      <w:pPr>
        <w:jc w:val="both"/>
        <w:ind w:firstLine="1935"/>
        <w:spacing w:after="0" w:line="227" w:lineRule="auto"/>
        <w:tabs>
          <w:tab w:leader="none" w:pos="2479" w:val="left"/>
        </w:tabs>
        <w:numPr>
          <w:ilvl w:val="0"/>
          <w:numId w:val="146"/>
        </w:numPr>
        <w:rPr>
          <w:rFonts w:ascii="Arial" w:cs="Arial" w:eastAsia="Arial" w:hAnsi="Arial"/>
          <w:sz w:val="21"/>
          <w:szCs w:val="21"/>
          <w:color w:val="auto"/>
        </w:rPr>
      </w:pPr>
      <w:r>
        <w:rPr>
          <w:rFonts w:ascii="Arial" w:cs="Arial" w:eastAsia="Arial" w:hAnsi="Arial"/>
          <w:sz w:val="21"/>
          <w:szCs w:val="21"/>
          <w:color w:val="auto"/>
        </w:rPr>
        <w:t>amend, modify, waive or otherwise change any of the terms of any Senior Unsecured Notes or any indenture, agreement, instrument, certificate or other document relating to any Senior Unsecured Notes incurred under Section 9.02(g) if after such amendment, waiver or change such Senior Unsecured Notes would no longer qualify as Senior Unsecured Notes.</w:t>
      </w:r>
    </w:p>
    <w:p>
      <w:pPr>
        <w:spacing w:after="0" w:line="158"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 xml:space="preserve">Section 9.05 </w:t>
      </w:r>
      <w:r>
        <w:rPr>
          <w:rFonts w:ascii="Arial" w:cs="Arial" w:eastAsia="Arial" w:hAnsi="Arial"/>
          <w:sz w:val="21"/>
          <w:szCs w:val="21"/>
          <w:u w:val="single" w:color="auto"/>
          <w:color w:val="auto"/>
        </w:rPr>
        <w:t>Investments, Loans and Advances.</w:t>
      </w:r>
      <w:r>
        <w:rPr>
          <w:rFonts w:ascii="Arial" w:cs="Arial" w:eastAsia="Arial" w:hAnsi="Arial"/>
          <w:sz w:val="21"/>
          <w:szCs w:val="21"/>
          <w:color w:val="auto"/>
        </w:rPr>
        <w:t xml:space="preserve"> The Borrower will not, and will not permit any of the Restricted Subsidiaries to, make or permit to remain outstanding any Investments in or to any Person, except that the foregoing restriction shall not apply to:</w:t>
      </w:r>
    </w:p>
    <w:p>
      <w:pPr>
        <w:spacing w:after="0" w:line="157" w:lineRule="exact"/>
        <w:rPr>
          <w:sz w:val="20"/>
          <w:szCs w:val="20"/>
          <w:color w:val="auto"/>
        </w:rPr>
      </w:pPr>
    </w:p>
    <w:p>
      <w:pPr>
        <w:ind w:left="1740" w:hanging="447"/>
        <w:spacing w:after="0"/>
        <w:tabs>
          <w:tab w:leader="none" w:pos="174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accounts receivable arising in the ordinary course of business.</w:t>
      </w:r>
    </w:p>
    <w:p>
      <w:pPr>
        <w:spacing w:after="0" w:line="186" w:lineRule="exact"/>
        <w:rPr>
          <w:rFonts w:ascii="Arial" w:cs="Arial" w:eastAsia="Arial" w:hAnsi="Arial"/>
          <w:sz w:val="21"/>
          <w:szCs w:val="21"/>
          <w:color w:val="auto"/>
        </w:rPr>
      </w:pPr>
    </w:p>
    <w:p>
      <w:pPr>
        <w:ind w:right="20" w:firstLine="1293"/>
        <w:spacing w:after="0" w:line="244" w:lineRule="auto"/>
        <w:tabs>
          <w:tab w:leader="none" w:pos="1752" w:val="left"/>
        </w:tabs>
        <w:numPr>
          <w:ilvl w:val="0"/>
          <w:numId w:val="147"/>
        </w:numPr>
        <w:rPr>
          <w:rFonts w:ascii="Arial" w:cs="Arial" w:eastAsia="Arial" w:hAnsi="Arial"/>
          <w:sz w:val="21"/>
          <w:szCs w:val="21"/>
          <w:color w:val="auto"/>
        </w:rPr>
      </w:pPr>
      <w:r>
        <w:rPr>
          <w:rFonts w:ascii="Arial" w:cs="Arial" w:eastAsia="Arial" w:hAnsi="Arial"/>
          <w:sz w:val="21"/>
          <w:szCs w:val="21"/>
          <w:color w:val="auto"/>
        </w:rPr>
        <w:t>direct obligations of the United States or any agency thereof, or obligations guaranteed by the United States or any agency thereof, in each case maturing within one year from the date of creation thereof.</w:t>
      </w:r>
    </w:p>
    <w:p>
      <w:pPr>
        <w:spacing w:after="0" w:line="151" w:lineRule="exact"/>
        <w:rPr>
          <w:rFonts w:ascii="Arial" w:cs="Arial" w:eastAsia="Arial" w:hAnsi="Arial"/>
          <w:sz w:val="21"/>
          <w:szCs w:val="21"/>
          <w:color w:val="auto"/>
        </w:rPr>
      </w:pPr>
    </w:p>
    <w:p>
      <w:pPr>
        <w:ind w:left="1820" w:hanging="527"/>
        <w:spacing w:after="0"/>
        <w:tabs>
          <w:tab w:leader="none" w:pos="182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commercial paper maturing within one year from the date of creation thereof rated in the highest grade by</w:t>
      </w:r>
    </w:p>
    <w:p>
      <w:pPr>
        <w:spacing w:after="0" w:line="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S&amp;P or Moody’s.</w:t>
      </w:r>
    </w:p>
    <w:p>
      <w:pPr>
        <w:spacing w:after="0" w:line="168" w:lineRule="exact"/>
        <w:rPr>
          <w:rFonts w:ascii="Arial" w:cs="Arial" w:eastAsia="Arial" w:hAnsi="Arial"/>
          <w:sz w:val="20"/>
          <w:szCs w:val="20"/>
          <w:color w:val="auto"/>
        </w:rPr>
      </w:pPr>
    </w:p>
    <w:p>
      <w:pPr>
        <w:jc w:val="both"/>
        <w:ind w:firstLine="1293"/>
        <w:spacing w:after="0" w:line="224" w:lineRule="auto"/>
        <w:tabs>
          <w:tab w:leader="none" w:pos="1851" w:val="left"/>
        </w:tabs>
        <w:numPr>
          <w:ilvl w:val="0"/>
          <w:numId w:val="147"/>
        </w:numPr>
        <w:rPr>
          <w:rFonts w:ascii="Arial" w:cs="Arial" w:eastAsia="Arial" w:hAnsi="Arial"/>
          <w:sz w:val="21"/>
          <w:szCs w:val="21"/>
          <w:color w:val="auto"/>
        </w:rPr>
      </w:pPr>
      <w:r>
        <w:rPr>
          <w:rFonts w:ascii="Arial" w:cs="Arial" w:eastAsia="Arial" w:hAnsi="Arial"/>
          <w:sz w:val="21"/>
          <w:szCs w:val="21"/>
          <w:color w:val="auto"/>
        </w:rPr>
        <w:t>deposits maturing within one year from the date of creation thereof with, including certificates of deposit issued by, any Lender or any office located in the United States of any other bank or trust company which is organized under the laws of the United States or any state thereof, has capital, surplus and undivided profits aggregating at least $100,000,000 (as of the date of such bank or trust company’s most recent financial reports) and has a short term deposit rating of no lower than A2 or P2, as such rating is set forth from time to time, by S&amp;P or Moody’s, respectively.</w:t>
      </w:r>
    </w:p>
    <w:p>
      <w:pPr>
        <w:spacing w:after="0" w:line="158" w:lineRule="exact"/>
        <w:rPr>
          <w:rFonts w:ascii="Arial" w:cs="Arial" w:eastAsia="Arial" w:hAnsi="Arial"/>
          <w:sz w:val="21"/>
          <w:szCs w:val="21"/>
          <w:color w:val="auto"/>
        </w:rPr>
      </w:pPr>
    </w:p>
    <w:p>
      <w:pPr>
        <w:ind w:firstLine="1293"/>
        <w:spacing w:after="0" w:line="244" w:lineRule="auto"/>
        <w:tabs>
          <w:tab w:leader="none" w:pos="2002" w:val="left"/>
        </w:tabs>
        <w:numPr>
          <w:ilvl w:val="0"/>
          <w:numId w:val="147"/>
        </w:numPr>
        <w:rPr>
          <w:rFonts w:ascii="Arial" w:cs="Arial" w:eastAsia="Arial" w:hAnsi="Arial"/>
          <w:sz w:val="21"/>
          <w:szCs w:val="21"/>
          <w:color w:val="auto"/>
        </w:rPr>
      </w:pPr>
      <w:r>
        <w:rPr>
          <w:rFonts w:ascii="Arial" w:cs="Arial" w:eastAsia="Arial" w:hAnsi="Arial"/>
          <w:sz w:val="21"/>
          <w:szCs w:val="21"/>
          <w:color w:val="auto"/>
        </w:rPr>
        <w:t>deposits in money market funds investing exclusively in Investments described in Section 9.05(b), Section 9.05(c) or Section 9.05(d).</w:t>
      </w:r>
    </w:p>
    <w:p>
      <w:pPr>
        <w:spacing w:after="0" w:line="151" w:lineRule="exact"/>
        <w:rPr>
          <w:rFonts w:ascii="Arial" w:cs="Arial" w:eastAsia="Arial" w:hAnsi="Arial"/>
          <w:sz w:val="21"/>
          <w:szCs w:val="21"/>
          <w:color w:val="auto"/>
        </w:rPr>
      </w:pPr>
    </w:p>
    <w:p>
      <w:pPr>
        <w:ind w:left="1720" w:hanging="427"/>
        <w:spacing w:after="0"/>
        <w:tabs>
          <w:tab w:leader="none" w:pos="172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Investments made by a Guarantor or the Borrower in or to a Guarantor or the Borrower.</w:t>
      </w:r>
    </w:p>
    <w:p>
      <w:pPr>
        <w:spacing w:after="0" w:line="186" w:lineRule="exact"/>
        <w:rPr>
          <w:rFonts w:ascii="Arial" w:cs="Arial" w:eastAsia="Arial" w:hAnsi="Arial"/>
          <w:sz w:val="21"/>
          <w:szCs w:val="21"/>
          <w:color w:val="auto"/>
        </w:rPr>
      </w:pPr>
    </w:p>
    <w:p>
      <w:pPr>
        <w:jc w:val="both"/>
        <w:ind w:firstLine="1293"/>
        <w:spacing w:after="0" w:line="220" w:lineRule="auto"/>
        <w:tabs>
          <w:tab w:leader="none" w:pos="1875" w:val="left"/>
        </w:tabs>
        <w:numPr>
          <w:ilvl w:val="0"/>
          <w:numId w:val="147"/>
        </w:numPr>
        <w:rPr>
          <w:rFonts w:ascii="Arial" w:cs="Arial" w:eastAsia="Arial" w:hAnsi="Arial"/>
          <w:sz w:val="21"/>
          <w:szCs w:val="21"/>
          <w:color w:val="auto"/>
        </w:rPr>
      </w:pPr>
      <w:r>
        <w:rPr>
          <w:rFonts w:ascii="Arial" w:cs="Arial" w:eastAsia="Arial" w:hAnsi="Arial"/>
          <w:sz w:val="21"/>
          <w:szCs w:val="21"/>
          <w:color w:val="auto"/>
        </w:rPr>
        <w:t>Subject to the limits in Section 9.06, Investments (including, without limitation, capital contributions) in general or limited partnerships or other types of entities (each a “</w:t>
      </w:r>
      <w:r>
        <w:rPr>
          <w:rFonts w:ascii="Arial" w:cs="Arial" w:eastAsia="Arial" w:hAnsi="Arial"/>
          <w:sz w:val="21"/>
          <w:szCs w:val="21"/>
          <w:u w:val="single" w:color="auto"/>
          <w:color w:val="auto"/>
        </w:rPr>
        <w:t>venture</w:t>
      </w:r>
      <w:r>
        <w:rPr>
          <w:rFonts w:ascii="Arial" w:cs="Arial" w:eastAsia="Arial" w:hAnsi="Arial"/>
          <w:sz w:val="21"/>
          <w:szCs w:val="21"/>
          <w:color w:val="auto"/>
        </w:rPr>
        <w:t>”) entered into by the Borrower or one of the Restricted Subsidiaries with others in the ordinary course of business; provided that (i) no Default or Event of Default exists at the time of, or would exist after making any such Investment, (ii) such venture is engaged exclusively in oil and gas exploration, development, production, processing and related activities, including transportation, (iii) the interest in such venture is acquired in the ordinary course of business and on fair and reasonable terms and (iv) such venture interests acquired and capital contributions made (valued as of the date such interest was acquired or the contribution made) do not exceed, in the aggregate at any time outstanding an amount equal to $10,000,000.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16" w:name="page217"/>
    <w:bookmarkEnd w:id="216"/>
    <w:p>
      <w:pPr>
        <w:jc w:val="both"/>
        <w:ind w:firstLine="1293"/>
        <w:spacing w:after="0" w:line="232" w:lineRule="auto"/>
        <w:tabs>
          <w:tab w:leader="none" w:pos="1811" w:val="left"/>
        </w:tabs>
        <w:numPr>
          <w:ilvl w:val="1"/>
          <w:numId w:val="148"/>
        </w:numPr>
        <w:rPr>
          <w:rFonts w:ascii="Arial" w:cs="Arial" w:eastAsia="Arial" w:hAnsi="Arial"/>
          <w:sz w:val="21"/>
          <w:szCs w:val="21"/>
          <w:color w:val="auto"/>
        </w:rPr>
      </w:pPr>
      <w:r>
        <w:rPr>
          <w:rFonts w:ascii="Arial" w:cs="Arial" w:eastAsia="Arial" w:hAnsi="Arial"/>
          <w:sz w:val="21"/>
          <w:szCs w:val="21"/>
          <w:color w:val="auto"/>
        </w:rPr>
        <w:t>loans or advances to employees, officers, or directors in the ordinary course of business of the Borrower as permitted by applicable law, including Section 402 of the Sarbanes Oxley Act of 2002, but in any event not to exceed $1,000,000 in the aggregate at any time.</w:t>
      </w:r>
    </w:p>
    <w:p>
      <w:pPr>
        <w:spacing w:after="0" w:line="156" w:lineRule="exact"/>
        <w:rPr>
          <w:rFonts w:ascii="Arial" w:cs="Arial" w:eastAsia="Arial" w:hAnsi="Arial"/>
          <w:sz w:val="21"/>
          <w:szCs w:val="21"/>
          <w:color w:val="auto"/>
        </w:rPr>
      </w:pPr>
    </w:p>
    <w:p>
      <w:pPr>
        <w:jc w:val="both"/>
        <w:ind w:firstLine="1293"/>
        <w:spacing w:after="0" w:line="222" w:lineRule="auto"/>
        <w:tabs>
          <w:tab w:leader="none" w:pos="1878" w:val="left"/>
        </w:tabs>
        <w:numPr>
          <w:ilvl w:val="1"/>
          <w:numId w:val="148"/>
        </w:numPr>
        <w:rPr>
          <w:rFonts w:ascii="Arial" w:cs="Arial" w:eastAsia="Arial" w:hAnsi="Arial"/>
          <w:sz w:val="21"/>
          <w:szCs w:val="21"/>
          <w:color w:val="auto"/>
        </w:rPr>
      </w:pPr>
      <w:r>
        <w:rPr>
          <w:rFonts w:ascii="Arial" w:cs="Arial" w:eastAsia="Arial" w:hAnsi="Arial"/>
          <w:sz w:val="21"/>
          <w:szCs w:val="21"/>
          <w:color w:val="auto"/>
        </w:rPr>
        <w:t>Investments in stock, obligations or securities received in settlement of debts arising from Investments permitted under this Section 9.05 owing to the Borrower or any of the Restricted Subsidiaries as a result of a bankruptcy or other insolvency proceeding of the obligor in respect of such debts or upon the enforcement of any Lien in favor of the Borrower or any Restricted Subsidiary; provided that the Borrower shall give the Administrative Agent prompt written notice in the event that the aggregate amount of all Investments held at any one time under this Section 9.05(i) exceeds $1,000,000 (measured by consideration paid at the time such Investment is received).</w:t>
      </w:r>
    </w:p>
    <w:p>
      <w:pPr>
        <w:spacing w:after="0" w:line="159" w:lineRule="exact"/>
        <w:rPr>
          <w:rFonts w:ascii="Arial" w:cs="Arial" w:eastAsia="Arial" w:hAnsi="Arial"/>
          <w:sz w:val="21"/>
          <w:szCs w:val="21"/>
          <w:color w:val="auto"/>
        </w:rPr>
      </w:pPr>
    </w:p>
    <w:p>
      <w:pPr>
        <w:ind w:left="1700" w:hanging="407"/>
        <w:spacing w:after="0"/>
        <w:tabs>
          <w:tab w:leader="none" w:pos="1700" w:val="left"/>
        </w:tabs>
        <w:numPr>
          <w:ilvl w:val="1"/>
          <w:numId w:val="148"/>
        </w:numPr>
        <w:rPr>
          <w:rFonts w:ascii="Arial" w:cs="Arial" w:eastAsia="Arial" w:hAnsi="Arial"/>
          <w:sz w:val="21"/>
          <w:szCs w:val="21"/>
          <w:color w:val="auto"/>
        </w:rPr>
      </w:pPr>
      <w:r>
        <w:rPr>
          <w:rFonts w:ascii="Arial" w:cs="Arial" w:eastAsia="Arial" w:hAnsi="Arial"/>
          <w:sz w:val="21"/>
          <w:szCs w:val="21"/>
          <w:color w:val="auto"/>
        </w:rPr>
        <w:t>Investments in the form of deposits or advances that are subject to Excepted Liens.</w:t>
      </w:r>
    </w:p>
    <w:p>
      <w:pPr>
        <w:spacing w:after="0" w:line="186" w:lineRule="exact"/>
        <w:rPr>
          <w:rFonts w:ascii="Arial" w:cs="Arial" w:eastAsia="Arial" w:hAnsi="Arial"/>
          <w:sz w:val="21"/>
          <w:szCs w:val="21"/>
          <w:color w:val="auto"/>
        </w:rPr>
      </w:pPr>
    </w:p>
    <w:p>
      <w:pPr>
        <w:ind w:firstLine="1293"/>
        <w:spacing w:after="0" w:line="244" w:lineRule="auto"/>
        <w:tabs>
          <w:tab w:leader="none" w:pos="1934" w:val="left"/>
        </w:tabs>
        <w:numPr>
          <w:ilvl w:val="1"/>
          <w:numId w:val="148"/>
        </w:numPr>
        <w:rPr>
          <w:rFonts w:ascii="Arial" w:cs="Arial" w:eastAsia="Arial" w:hAnsi="Arial"/>
          <w:sz w:val="21"/>
          <w:szCs w:val="21"/>
          <w:color w:val="auto"/>
        </w:rPr>
      </w:pPr>
      <w:r>
        <w:rPr>
          <w:rFonts w:ascii="Arial" w:cs="Arial" w:eastAsia="Arial" w:hAnsi="Arial"/>
          <w:sz w:val="21"/>
          <w:szCs w:val="21"/>
          <w:color w:val="auto"/>
        </w:rPr>
        <w:t>provided that no Default or Event of Default exists at the time of, or would exist after making such Investment, Permitted Acquisitions.</w:t>
      </w:r>
    </w:p>
    <w:p>
      <w:pPr>
        <w:spacing w:after="0" w:line="151" w:lineRule="exact"/>
        <w:rPr>
          <w:rFonts w:ascii="Arial" w:cs="Arial" w:eastAsia="Arial" w:hAnsi="Arial"/>
          <w:sz w:val="21"/>
          <w:szCs w:val="21"/>
          <w:color w:val="auto"/>
        </w:rPr>
      </w:pPr>
    </w:p>
    <w:p>
      <w:pPr>
        <w:jc w:val="both"/>
        <w:ind w:firstLine="1293"/>
        <w:spacing w:after="0" w:line="232" w:lineRule="auto"/>
        <w:tabs>
          <w:tab w:leader="none" w:pos="1702" w:val="left"/>
        </w:tabs>
        <w:numPr>
          <w:ilvl w:val="1"/>
          <w:numId w:val="148"/>
        </w:numPr>
        <w:rPr>
          <w:rFonts w:ascii="Arial" w:cs="Arial" w:eastAsia="Arial" w:hAnsi="Arial"/>
          <w:sz w:val="21"/>
          <w:szCs w:val="21"/>
          <w:color w:val="auto"/>
        </w:rPr>
      </w:pPr>
      <w:r>
        <w:rPr>
          <w:rFonts w:ascii="Arial" w:cs="Arial" w:eastAsia="Arial" w:hAnsi="Arial"/>
          <w:sz w:val="21"/>
          <w:szCs w:val="21"/>
          <w:color w:val="auto"/>
        </w:rPr>
        <w:t>provided that no Default or Event of Default exists at the time of, or would exist after making such Investment, other Investments not to exceed, in the aggregate at any time outstanding, $25,000,000 (measured by consideration paid at the time such Investment is made).</w:t>
      </w:r>
    </w:p>
    <w:p>
      <w:pPr>
        <w:spacing w:after="0" w:line="156" w:lineRule="exact"/>
        <w:rPr>
          <w:rFonts w:ascii="Arial" w:cs="Arial" w:eastAsia="Arial" w:hAnsi="Arial"/>
          <w:sz w:val="21"/>
          <w:szCs w:val="21"/>
          <w:color w:val="auto"/>
        </w:rPr>
      </w:pPr>
    </w:p>
    <w:p>
      <w:pPr>
        <w:jc w:val="both"/>
        <w:ind w:firstLine="1293"/>
        <w:spacing w:after="0" w:line="241" w:lineRule="auto"/>
        <w:tabs>
          <w:tab w:leader="none" w:pos="1937" w:val="left"/>
        </w:tabs>
        <w:numPr>
          <w:ilvl w:val="1"/>
          <w:numId w:val="148"/>
        </w:numPr>
        <w:rPr>
          <w:rFonts w:ascii="Arial" w:cs="Arial" w:eastAsia="Arial" w:hAnsi="Arial"/>
          <w:sz w:val="19"/>
          <w:szCs w:val="19"/>
          <w:color w:val="auto"/>
        </w:rPr>
      </w:pPr>
      <w:r>
        <w:rPr>
          <w:rFonts w:ascii="Arial" w:cs="Arial" w:eastAsia="Arial" w:hAnsi="Arial"/>
          <w:sz w:val="19"/>
          <w:szCs w:val="19"/>
          <w:color w:val="auto"/>
        </w:rPr>
        <w:t>Investments made by the Borrower or any Restricted Subsidiary (i) consisting of dispositions of Equity Interests in Unrestricted Subsidiaries that are contributed to the capital of, or that are exchanged for or used to purchase Equity Interests in, other Unrestricted Subsidiaries (and any Equity Interests received upon such contribution, exchange or purchase) and</w:t>
      </w:r>
    </w:p>
    <w:p>
      <w:pPr>
        <w:spacing w:after="0" w:line="2" w:lineRule="exact"/>
        <w:rPr>
          <w:rFonts w:ascii="Arial" w:cs="Arial" w:eastAsia="Arial" w:hAnsi="Arial"/>
          <w:sz w:val="19"/>
          <w:szCs w:val="19"/>
          <w:color w:val="auto"/>
        </w:rPr>
      </w:pPr>
    </w:p>
    <w:p>
      <w:pPr>
        <w:ind w:firstLine="7"/>
        <w:spacing w:after="0" w:line="233" w:lineRule="auto"/>
        <w:tabs>
          <w:tab w:leader="none" w:pos="326" w:val="left"/>
        </w:tabs>
        <w:numPr>
          <w:ilvl w:val="0"/>
          <w:numId w:val="149"/>
        </w:numPr>
        <w:rPr>
          <w:rFonts w:ascii="Arial" w:cs="Arial" w:eastAsia="Arial" w:hAnsi="Arial"/>
          <w:sz w:val="21"/>
          <w:szCs w:val="21"/>
          <w:color w:val="auto"/>
        </w:rPr>
      </w:pPr>
      <w:r>
        <w:rPr>
          <w:rFonts w:ascii="Arial" w:cs="Arial" w:eastAsia="Arial" w:hAnsi="Arial"/>
          <w:sz w:val="21"/>
          <w:szCs w:val="21"/>
          <w:color w:val="auto"/>
        </w:rPr>
        <w:t>in any Unrestricted Subsidiary (including the designation of a Subsidiary as an Unrestricted Subsidiary), provided that, in the case of this clause (ii):</w:t>
      </w:r>
    </w:p>
    <w:p>
      <w:pPr>
        <w:spacing w:after="0" w:line="155" w:lineRule="exact"/>
        <w:rPr>
          <w:rFonts w:ascii="Arial" w:cs="Arial" w:eastAsia="Arial" w:hAnsi="Arial"/>
          <w:sz w:val="21"/>
          <w:szCs w:val="21"/>
          <w:color w:val="auto"/>
        </w:rPr>
      </w:pPr>
    </w:p>
    <w:p>
      <w:pPr>
        <w:jc w:val="both"/>
        <w:ind w:firstLine="2578"/>
        <w:spacing w:after="0" w:line="222" w:lineRule="auto"/>
        <w:tabs>
          <w:tab w:leader="none" w:pos="3203" w:val="left"/>
        </w:tabs>
        <w:numPr>
          <w:ilvl w:val="2"/>
          <w:numId w:val="149"/>
        </w:numPr>
        <w:rPr>
          <w:rFonts w:ascii="Arial" w:cs="Arial" w:eastAsia="Arial" w:hAnsi="Arial"/>
          <w:sz w:val="21"/>
          <w:szCs w:val="21"/>
          <w:color w:val="010000"/>
        </w:rPr>
      </w:pPr>
      <w:r>
        <w:rPr>
          <w:rFonts w:ascii="Arial" w:cs="Arial" w:eastAsia="Arial" w:hAnsi="Arial"/>
          <w:sz w:val="21"/>
          <w:szCs w:val="21"/>
          <w:color w:val="auto"/>
        </w:rPr>
        <w:t>if such Investment consists of Oil and Gas Property or a Subsidiary owning Oil and Gas Properties included in the most recently delivered Reserve Report during any period between two successive Scheduled Redetermination Dates and such Oil and Gas Properties have a fair market value in excess of five percent (5%) of the Borrowing Base as then in effect (as determined by the Administrative Agent), individually or in the aggregate, then the Borrowing Base shall be reduced, effective immediately upon such Investment, by an amount equal to the value, if any, assigned such Oil and Gas Properties in the most recently delivered Reserve Report;</w:t>
      </w:r>
    </w:p>
    <w:p>
      <w:pPr>
        <w:spacing w:after="0" w:line="159" w:lineRule="exact"/>
        <w:rPr>
          <w:rFonts w:ascii="Arial" w:cs="Arial" w:eastAsia="Arial" w:hAnsi="Arial"/>
          <w:sz w:val="21"/>
          <w:szCs w:val="21"/>
          <w:color w:val="010000"/>
        </w:rPr>
      </w:pPr>
    </w:p>
    <w:p>
      <w:pPr>
        <w:ind w:firstLine="2578"/>
        <w:spacing w:after="0" w:line="268" w:lineRule="auto"/>
        <w:tabs>
          <w:tab w:leader="none" w:pos="3151" w:val="left"/>
        </w:tabs>
        <w:numPr>
          <w:ilvl w:val="2"/>
          <w:numId w:val="149"/>
        </w:numPr>
        <w:rPr>
          <w:rFonts w:ascii="Arial" w:cs="Arial" w:eastAsia="Arial" w:hAnsi="Arial"/>
          <w:sz w:val="20"/>
          <w:szCs w:val="20"/>
          <w:color w:val="010000"/>
        </w:rPr>
      </w:pPr>
      <w:r>
        <w:rPr>
          <w:rFonts w:ascii="Arial" w:cs="Arial" w:eastAsia="Arial" w:hAnsi="Arial"/>
          <w:sz w:val="20"/>
          <w:szCs w:val="20"/>
          <w:color w:val="auto"/>
        </w:rPr>
        <w:t>if such Investment consists of or includes Properties not described in clause (m)(ii)(A), the aggregate fair market value of all such Investments not described in clause (m)(ii)(A) shall be limited to $15,000,000; and</w:t>
      </w:r>
    </w:p>
    <w:p>
      <w:pPr>
        <w:spacing w:after="0" w:line="129" w:lineRule="exact"/>
        <w:rPr>
          <w:rFonts w:ascii="Arial" w:cs="Arial" w:eastAsia="Arial" w:hAnsi="Arial"/>
          <w:sz w:val="20"/>
          <w:szCs w:val="20"/>
          <w:color w:val="010000"/>
        </w:rPr>
      </w:pPr>
    </w:p>
    <w:p>
      <w:pPr>
        <w:ind w:firstLine="2578"/>
        <w:spacing w:after="0" w:line="244" w:lineRule="auto"/>
        <w:tabs>
          <w:tab w:leader="none" w:pos="3097" w:val="left"/>
        </w:tabs>
        <w:numPr>
          <w:ilvl w:val="2"/>
          <w:numId w:val="149"/>
        </w:numPr>
        <w:rPr>
          <w:rFonts w:ascii="Arial" w:cs="Arial" w:eastAsia="Arial" w:hAnsi="Arial"/>
          <w:sz w:val="21"/>
          <w:szCs w:val="21"/>
          <w:color w:val="010000"/>
        </w:rPr>
      </w:pPr>
      <w:r>
        <w:rPr>
          <w:rFonts w:ascii="Arial" w:cs="Arial" w:eastAsia="Arial" w:hAnsi="Arial"/>
          <w:sz w:val="21"/>
          <w:szCs w:val="21"/>
          <w:color w:val="auto"/>
        </w:rPr>
        <w:t>the Utilization Percentage is less than 80% immediately after giving effect to such Investment and all related contemporaneous transactions.</w:t>
      </w:r>
    </w:p>
    <w:p>
      <w:pPr>
        <w:spacing w:after="0" w:line="152"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Investments under this Section 9.05(m) shall be valued at the time made and without taking into account subsequent changes in the value thereof.</w:t>
      </w:r>
    </w:p>
    <w:p>
      <w:pPr>
        <w:spacing w:after="0" w:line="152" w:lineRule="exact"/>
        <w:rPr>
          <w:sz w:val="20"/>
          <w:szCs w:val="20"/>
          <w:color w:val="auto"/>
        </w:rPr>
      </w:pPr>
    </w:p>
    <w:p>
      <w:pPr>
        <w:jc w:val="both"/>
        <w:ind w:right="80" w:firstLine="1293"/>
        <w:spacing w:after="0" w:line="245" w:lineRule="auto"/>
        <w:tabs>
          <w:tab w:leader="none" w:pos="1749"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Investments in Persons primarily engaged in the Oil and Gas Business; provided that (i) the Borrower and the Restricted Subsidiaries in the aggregate will not invest in the Equity Interests of more than two (2) publicly traded entities or own margin stock (as such term is defined in Regulation U of the Board) in more than two (2) entities at any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17" w:name="page218"/>
    <w:bookmarkEnd w:id="217"/>
    <w:p>
      <w:pPr>
        <w:ind w:right="240" w:firstLine="7"/>
        <w:spacing w:after="0" w:line="244" w:lineRule="auto"/>
        <w:tabs>
          <w:tab w:leader="none" w:pos="315" w:val="left"/>
        </w:tabs>
        <w:numPr>
          <w:ilvl w:val="0"/>
          <w:numId w:val="151"/>
        </w:numPr>
        <w:rPr>
          <w:rFonts w:ascii="Arial" w:cs="Arial" w:eastAsia="Arial" w:hAnsi="Arial"/>
          <w:sz w:val="21"/>
          <w:szCs w:val="21"/>
          <w:color w:val="auto"/>
        </w:rPr>
      </w:pPr>
      <w:r>
        <w:rPr>
          <w:rFonts w:ascii="Arial" w:cs="Arial" w:eastAsia="Arial" w:hAnsi="Arial"/>
          <w:sz w:val="21"/>
          <w:szCs w:val="21"/>
          <w:color w:val="auto"/>
        </w:rPr>
        <w:t>the Borrower and the Restricted Subsidiaries will not invest in the Equity Interest of any Person if such Investment would be hostile at the time made.</w:t>
      </w:r>
    </w:p>
    <w:p>
      <w:pPr>
        <w:spacing w:after="0" w:line="178" w:lineRule="exact"/>
        <w:rPr>
          <w:sz w:val="20"/>
          <w:szCs w:val="20"/>
          <w:color w:val="auto"/>
        </w:rPr>
      </w:pPr>
    </w:p>
    <w:p>
      <w:pPr>
        <w:jc w:val="both"/>
        <w:ind w:firstLine="643"/>
        <w:spacing w:after="0" w:line="221" w:lineRule="auto"/>
        <w:rPr>
          <w:sz w:val="20"/>
          <w:szCs w:val="20"/>
          <w:color w:val="auto"/>
        </w:rPr>
      </w:pPr>
      <w:r>
        <w:rPr>
          <w:rFonts w:ascii="Arial" w:cs="Arial" w:eastAsia="Arial" w:hAnsi="Arial"/>
          <w:sz w:val="21"/>
          <w:szCs w:val="21"/>
          <w:color w:val="auto"/>
        </w:rPr>
        <w:t xml:space="preserve">Section 9.06 </w:t>
      </w:r>
      <w:r>
        <w:rPr>
          <w:rFonts w:ascii="Arial" w:cs="Arial" w:eastAsia="Arial" w:hAnsi="Arial"/>
          <w:sz w:val="21"/>
          <w:szCs w:val="21"/>
          <w:u w:val="single" w:color="auto"/>
          <w:color w:val="auto"/>
        </w:rPr>
        <w:t>Nature of Business; No International Operations.</w:t>
      </w:r>
      <w:r>
        <w:rPr>
          <w:rFonts w:ascii="Arial" w:cs="Arial" w:eastAsia="Arial" w:hAnsi="Arial"/>
          <w:sz w:val="21"/>
          <w:szCs w:val="21"/>
          <w:color w:val="auto"/>
        </w:rPr>
        <w:t xml:space="preserve"> The Borrower will not, and will not permit any of the Restricted Subsidiaries to engage in any business other than the Oil and Gas Business. Except for expenses in the ordinary course of business as to the properties described on Schedule 9.06, from and after the date hereof, the Borrower and the Restricted Subsidiaries will not acquire or make any other expenditure (whether such expenditure is capital, operating or otherwise) in or related to, any Oil and Gas Properties not located within the geographical boundaries of the United States of America or in the offshore federal waters of the United States of America and they will not form or acquire any Restricted Subsidiaries that are Foreign Subsidiaries.</w:t>
      </w:r>
    </w:p>
    <w:p>
      <w:pPr>
        <w:spacing w:after="0" w:line="157" w:lineRule="exact"/>
        <w:rPr>
          <w:sz w:val="20"/>
          <w:szCs w:val="20"/>
          <w:color w:val="auto"/>
        </w:rPr>
      </w:pPr>
    </w:p>
    <w:p>
      <w:pPr>
        <w:jc w:val="both"/>
        <w:ind w:firstLine="643"/>
        <w:spacing w:after="0" w:line="233" w:lineRule="auto"/>
        <w:rPr>
          <w:sz w:val="20"/>
          <w:szCs w:val="20"/>
          <w:color w:val="auto"/>
        </w:rPr>
      </w:pPr>
      <w:r>
        <w:rPr>
          <w:rFonts w:ascii="Arial" w:cs="Arial" w:eastAsia="Arial" w:hAnsi="Arial"/>
          <w:sz w:val="20"/>
          <w:szCs w:val="20"/>
          <w:color w:val="auto"/>
        </w:rPr>
        <w:t xml:space="preserve">Section 9.07 </w:t>
      </w:r>
      <w:r>
        <w:rPr>
          <w:rFonts w:ascii="Arial" w:cs="Arial" w:eastAsia="Arial" w:hAnsi="Arial"/>
          <w:sz w:val="20"/>
          <w:szCs w:val="20"/>
          <w:u w:val="single" w:color="auto"/>
          <w:color w:val="auto"/>
        </w:rPr>
        <w:t>Limitation on Leases.</w:t>
      </w:r>
      <w:r>
        <w:rPr>
          <w:rFonts w:ascii="Arial" w:cs="Arial" w:eastAsia="Arial" w:hAnsi="Arial"/>
          <w:sz w:val="20"/>
          <w:szCs w:val="20"/>
          <w:color w:val="auto"/>
        </w:rPr>
        <w:t xml:space="preserve"> The Borrower will not, and will not permit the Restricted Subsidiaries to, create, incur, assume or suffer to exist any obligation for the payment of rent or hire of Property of any kind whatsoever (real or personal but excluding Capital Leases and leases of Hydrocarbon Interests), under leases or lease agreements which would cause the aggregate amount of all payments made by the Borrower and the Restricted Subsidiaries pursuant to all such leases or lease agreements, including, without limitation, any residual payments at the end of any lease, to exceed $10,000,000 (net of any sub-leases) in any period of twelve consecutive calendar months during the life of such leases.</w:t>
      </w:r>
    </w:p>
    <w:p>
      <w:pPr>
        <w:spacing w:after="0" w:line="160" w:lineRule="exact"/>
        <w:rPr>
          <w:sz w:val="20"/>
          <w:szCs w:val="20"/>
          <w:color w:val="auto"/>
        </w:rPr>
      </w:pPr>
    </w:p>
    <w:p>
      <w:pPr>
        <w:jc w:val="both"/>
        <w:ind w:firstLine="643"/>
        <w:spacing w:after="0" w:line="220" w:lineRule="auto"/>
        <w:rPr>
          <w:sz w:val="20"/>
          <w:szCs w:val="20"/>
          <w:color w:val="auto"/>
        </w:rPr>
      </w:pPr>
      <w:r>
        <w:rPr>
          <w:rFonts w:ascii="Arial" w:cs="Arial" w:eastAsia="Arial" w:hAnsi="Arial"/>
          <w:sz w:val="21"/>
          <w:szCs w:val="21"/>
          <w:color w:val="auto"/>
        </w:rPr>
        <w:t xml:space="preserve">Section 9.08 </w:t>
      </w:r>
      <w:r>
        <w:rPr>
          <w:rFonts w:ascii="Arial" w:cs="Arial" w:eastAsia="Arial" w:hAnsi="Arial"/>
          <w:sz w:val="21"/>
          <w:szCs w:val="21"/>
          <w:u w:val="single" w:color="auto"/>
          <w:color w:val="auto"/>
        </w:rPr>
        <w:t>Proceeds of Notes.</w:t>
      </w:r>
      <w:r>
        <w:rPr>
          <w:rFonts w:ascii="Arial" w:cs="Arial" w:eastAsia="Arial" w:hAnsi="Arial"/>
          <w:sz w:val="21"/>
          <w:szCs w:val="21"/>
          <w:color w:val="auto"/>
        </w:rPr>
        <w:t xml:space="preserve"> The Borrower will not permit the proceeds of the Notes to be used for any purpose other than those permitted by Section 7.21. Neither the Borrower nor any Person acting on behalf of the Borrower has taken or will take any action which might cause any of the Loan Documents to violate Regulations T, U or X or any other regulation of the Board or to violate Section 7 of the Securities Exchange Act of 1934 or any rule or regulation thereunder, in each case as now in effect or as the same may hereinafter be in effect. If requested by the Administrative Agent, the Borrower will furnish to the Administrative Agent and each Lender a statement to the foregoing effect in conformity with the requirements of FR Form U-1 or such other form referred to in Regulation U, Regulation T or Regulation X of the Board, as the case may be. The Borrower shall comply with Section 12.18.</w:t>
      </w:r>
    </w:p>
    <w:p>
      <w:pPr>
        <w:spacing w:after="0" w:line="14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9.09</w:t>
      </w:r>
      <w:r>
        <w:rPr>
          <w:sz w:val="20"/>
          <w:szCs w:val="20"/>
          <w:color w:val="auto"/>
        </w:rPr>
        <w:tab/>
      </w:r>
      <w:r>
        <w:rPr>
          <w:rFonts w:ascii="Arial" w:cs="Arial" w:eastAsia="Arial" w:hAnsi="Arial"/>
          <w:sz w:val="19"/>
          <w:szCs w:val="19"/>
          <w:u w:val="single" w:color="auto"/>
          <w:color w:val="auto"/>
        </w:rPr>
        <w:t xml:space="preserve">ERISA Compliance. </w:t>
      </w:r>
      <w:r>
        <w:rPr>
          <w:rFonts w:ascii="Arial" w:cs="Arial" w:eastAsia="Arial" w:hAnsi="Arial"/>
          <w:sz w:val="19"/>
          <w:szCs w:val="19"/>
          <w:color w:val="auto"/>
        </w:rPr>
        <w:t>The Borrower will not, and will not permit any of the Restricted Subsidiaries to, at any</w:t>
      </w:r>
    </w:p>
    <w:p>
      <w:pPr>
        <w:spacing w:after="0"/>
        <w:rPr>
          <w:sz w:val="20"/>
          <w:szCs w:val="20"/>
          <w:color w:val="auto"/>
        </w:rPr>
      </w:pPr>
      <w:r>
        <w:rPr>
          <w:rFonts w:ascii="Arial" w:cs="Arial" w:eastAsia="Arial" w:hAnsi="Arial"/>
          <w:sz w:val="21"/>
          <w:szCs w:val="21"/>
          <w:color w:val="auto"/>
        </w:rPr>
        <w:t>time:</w:t>
      </w:r>
    </w:p>
    <w:p>
      <w:pPr>
        <w:spacing w:after="0" w:line="169" w:lineRule="exact"/>
        <w:rPr>
          <w:sz w:val="20"/>
          <w:szCs w:val="20"/>
          <w:color w:val="auto"/>
        </w:rPr>
      </w:pPr>
    </w:p>
    <w:p>
      <w:pPr>
        <w:jc w:val="both"/>
        <w:ind w:firstLine="1293"/>
        <w:spacing w:after="0" w:line="232" w:lineRule="auto"/>
        <w:tabs>
          <w:tab w:leader="none" w:pos="1911" w:val="left"/>
        </w:tabs>
        <w:numPr>
          <w:ilvl w:val="0"/>
          <w:numId w:val="152"/>
        </w:numPr>
        <w:rPr>
          <w:rFonts w:ascii="Arial" w:cs="Arial" w:eastAsia="Arial" w:hAnsi="Arial"/>
          <w:sz w:val="21"/>
          <w:szCs w:val="21"/>
          <w:color w:val="auto"/>
        </w:rPr>
      </w:pPr>
      <w:r>
        <w:rPr>
          <w:rFonts w:ascii="Arial" w:cs="Arial" w:eastAsia="Arial" w:hAnsi="Arial"/>
          <w:sz w:val="21"/>
          <w:szCs w:val="21"/>
          <w:color w:val="auto"/>
        </w:rPr>
        <w:t>Engage in, or permit any ERISA Affiliate to engage in, any transaction in connection with which the Borrower, a Restricted Subsidiary or any ERISA Affiliate could be subjected to either a civil penalty assessed pursuant to subsections (c), (i), (l) or (m) of section 502 of ERISA or a tax imposed by Chapter 43 of Subtitle D of the Code.</w:t>
      </w:r>
    </w:p>
    <w:p>
      <w:pPr>
        <w:spacing w:after="0" w:line="156" w:lineRule="exact"/>
        <w:rPr>
          <w:rFonts w:ascii="Arial" w:cs="Arial" w:eastAsia="Arial" w:hAnsi="Arial"/>
          <w:sz w:val="21"/>
          <w:szCs w:val="21"/>
          <w:color w:val="auto"/>
        </w:rPr>
      </w:pPr>
    </w:p>
    <w:p>
      <w:pPr>
        <w:jc w:val="both"/>
        <w:ind w:firstLine="1293"/>
        <w:spacing w:after="0" w:line="232" w:lineRule="auto"/>
        <w:tabs>
          <w:tab w:leader="none" w:pos="1822" w:val="left"/>
        </w:tabs>
        <w:numPr>
          <w:ilvl w:val="0"/>
          <w:numId w:val="152"/>
        </w:numPr>
        <w:rPr>
          <w:rFonts w:ascii="Arial" w:cs="Arial" w:eastAsia="Arial" w:hAnsi="Arial"/>
          <w:sz w:val="21"/>
          <w:szCs w:val="21"/>
          <w:color w:val="auto"/>
        </w:rPr>
      </w:pPr>
      <w:r>
        <w:rPr>
          <w:rFonts w:ascii="Arial" w:cs="Arial" w:eastAsia="Arial" w:hAnsi="Arial"/>
          <w:sz w:val="21"/>
          <w:szCs w:val="21"/>
          <w:color w:val="auto"/>
        </w:rPr>
        <w:t>Fail to make, or permit any ERISA Affiliate to fail to make, full payment when due of all amounts which, under the provisions of any Plan, agreement relating thereto or applicable law, the Borrower, a Restricted Subsidiary or any ERISA Affiliate is required to pay as contributions thereto.</w:t>
      </w:r>
    </w:p>
    <w:p>
      <w:pPr>
        <w:spacing w:after="0" w:line="156" w:lineRule="exact"/>
        <w:rPr>
          <w:rFonts w:ascii="Arial" w:cs="Arial" w:eastAsia="Arial" w:hAnsi="Arial"/>
          <w:sz w:val="21"/>
          <w:szCs w:val="21"/>
          <w:color w:val="auto"/>
        </w:rPr>
      </w:pPr>
    </w:p>
    <w:p>
      <w:pPr>
        <w:jc w:val="both"/>
        <w:ind w:firstLine="1293"/>
        <w:spacing w:after="0" w:line="235" w:lineRule="auto"/>
        <w:tabs>
          <w:tab w:leader="none" w:pos="185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Contribute to or assume an obligation to contribute to, or permit any ERISA Affiliate to contribute to or assume an obligation to contribute to (i) any employee welfare benefit plan, as defined in section 3(1) of ERISA, including, without limitation, any such plan maintained to provide benefits to former employees of such entities, that may not be terminated by such entities in their sole discretion at any time without any material liability or (ii) any employee pension benefit plan, as defined in Section 3(2) of ERISA, that is subject to Title IV of ERISA, section 302 of ERISA or section 412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18" w:name="page219"/>
    <w:bookmarkEnd w:id="218"/>
    <w:p>
      <w:pPr>
        <w:jc w:val="both"/>
        <w:ind w:firstLine="643"/>
        <w:spacing w:after="0" w:line="222"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Sale or Discount of Receivables.</w:t>
      </w:r>
      <w:r>
        <w:rPr>
          <w:rFonts w:ascii="Arial" w:cs="Arial" w:eastAsia="Arial" w:hAnsi="Arial"/>
          <w:sz w:val="21"/>
          <w:szCs w:val="21"/>
          <w:color w:val="auto"/>
        </w:rPr>
        <w:t xml:space="preserve"> Except for receivables obtained by the Borrower or any Restricted Subsidiary out of the ordinary course of business or the settlement of joint interest billing accounts in the ordinary course of business or discounts granted to settle collection of accounts receivable or the sale of defaulted accounts arising in the ordinary course of business in connection with the compromise or collection thereof and not in connection with any financing transaction, the Borrower will not, and will not permit any of the Restricted Subsidiaries to, discount or sell (with or without recourse) any of its notes receivable or accounts receivable.</w:t>
      </w:r>
    </w:p>
    <w:p>
      <w:pPr>
        <w:spacing w:after="0" w:line="159" w:lineRule="exact"/>
        <w:rPr>
          <w:sz w:val="20"/>
          <w:szCs w:val="20"/>
          <w:color w:val="auto"/>
        </w:rPr>
      </w:pPr>
    </w:p>
    <w:p>
      <w:pPr>
        <w:jc w:val="both"/>
        <w:ind w:firstLine="643"/>
        <w:spacing w:after="0" w:line="233" w:lineRule="auto"/>
        <w:rPr>
          <w:sz w:val="20"/>
          <w:szCs w:val="20"/>
          <w:color w:val="auto"/>
        </w:rPr>
      </w:pPr>
      <w:r>
        <w:rPr>
          <w:rFonts w:ascii="Arial" w:cs="Arial" w:eastAsia="Arial" w:hAnsi="Arial"/>
          <w:sz w:val="20"/>
          <w:szCs w:val="20"/>
          <w:color w:val="auto"/>
        </w:rPr>
        <w:t xml:space="preserve">Section 9.11 </w:t>
      </w:r>
      <w:r>
        <w:rPr>
          <w:rFonts w:ascii="Arial" w:cs="Arial" w:eastAsia="Arial" w:hAnsi="Arial"/>
          <w:sz w:val="20"/>
          <w:szCs w:val="20"/>
          <w:u w:val="single" w:color="auto"/>
          <w:color w:val="auto"/>
        </w:rPr>
        <w:t>Mergers, Etc.</w:t>
      </w:r>
      <w:r>
        <w:rPr>
          <w:rFonts w:ascii="Arial" w:cs="Arial" w:eastAsia="Arial" w:hAnsi="Arial"/>
          <w:sz w:val="20"/>
          <w:szCs w:val="20"/>
          <w:color w:val="auto"/>
        </w:rPr>
        <w:t xml:space="preserve"> Neither the Borrower, nor any Restricted Subsidiary will merge into or with or consolidate with any other Person, or sell, lease or otherwise dispose of (whether in one transaction or in a series of transactions) all or substantially all of its Property to any other Person, except that the Borrower or any Restricted Subsidiary may merge or consolidate with, or sell, lease or otherwise dispose of all or substantially all of its Property to, the Borrower or any Restricted Subsidiary, but (a) in the case of a merger involving a Guarantor, a Guarantor must be the surviving entity, and (b) notwithstanding clause (a), in the case of a merger involving the Borrower, the Borrower must be the surviving entity.</w:t>
      </w:r>
    </w:p>
    <w:p>
      <w:pPr>
        <w:spacing w:after="0" w:line="160"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1"/>
          <w:szCs w:val="21"/>
          <w:color w:val="auto"/>
        </w:rPr>
        <w:t xml:space="preserve">Section 9.12 </w:t>
      </w:r>
      <w:r>
        <w:rPr>
          <w:rFonts w:ascii="Arial" w:cs="Arial" w:eastAsia="Arial" w:hAnsi="Arial"/>
          <w:sz w:val="21"/>
          <w:szCs w:val="21"/>
          <w:u w:val="single" w:color="auto"/>
          <w:color w:val="auto"/>
        </w:rPr>
        <w:t>Sale of Properties.</w:t>
      </w:r>
      <w:r>
        <w:rPr>
          <w:rFonts w:ascii="Arial" w:cs="Arial" w:eastAsia="Arial" w:hAnsi="Arial"/>
          <w:sz w:val="21"/>
          <w:szCs w:val="21"/>
          <w:color w:val="auto"/>
        </w:rPr>
        <w:t xml:space="preserve"> The Borrower will not, and will not permit any of the Restricted Subsidiaries to, sell, assign, farm-out, convey or otherwise transfer or dispose of any Property except for:</w:t>
      </w:r>
    </w:p>
    <w:p>
      <w:pPr>
        <w:spacing w:after="0" w:line="152" w:lineRule="exact"/>
        <w:rPr>
          <w:sz w:val="20"/>
          <w:szCs w:val="20"/>
          <w:color w:val="auto"/>
        </w:rPr>
      </w:pPr>
    </w:p>
    <w:p>
      <w:pPr>
        <w:ind w:left="1740" w:hanging="447"/>
        <w:spacing w:after="0"/>
        <w:tabs>
          <w:tab w:leader="none" w:pos="174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sale or other disposition of Hydrocarbons in the ordinary course of business;</w:t>
      </w:r>
    </w:p>
    <w:p>
      <w:pPr>
        <w:spacing w:after="0" w:line="186" w:lineRule="exact"/>
        <w:rPr>
          <w:rFonts w:ascii="Arial" w:cs="Arial" w:eastAsia="Arial" w:hAnsi="Arial"/>
          <w:sz w:val="21"/>
          <w:szCs w:val="21"/>
          <w:color w:val="auto"/>
        </w:rPr>
      </w:pPr>
    </w:p>
    <w:p>
      <w:pPr>
        <w:jc w:val="both"/>
        <w:ind w:firstLine="1293"/>
        <w:spacing w:after="0" w:line="245" w:lineRule="auto"/>
        <w:tabs>
          <w:tab w:leader="none" w:pos="1865" w:val="left"/>
        </w:tabs>
        <w:numPr>
          <w:ilvl w:val="0"/>
          <w:numId w:val="153"/>
        </w:numPr>
        <w:rPr>
          <w:rFonts w:ascii="Arial" w:cs="Arial" w:eastAsia="Arial" w:hAnsi="Arial"/>
          <w:sz w:val="20"/>
          <w:szCs w:val="20"/>
          <w:color w:val="auto"/>
        </w:rPr>
      </w:pPr>
      <w:r>
        <w:rPr>
          <w:rFonts w:ascii="Arial" w:cs="Arial" w:eastAsia="Arial" w:hAnsi="Arial"/>
          <w:sz w:val="20"/>
          <w:szCs w:val="20"/>
          <w:color w:val="auto"/>
        </w:rPr>
        <w:t>as long as no Default exists, farmouts and other dispositions of undeveloped acreage and assignments in connection with such farmouts or dispositions (provided that if such farmout or disposition is of Oil and Gas Property included in the most recent Borrowing Base, such farmout or disposition is included in the 5% basket in Section 9.12(d)(ii) below);</w:t>
      </w:r>
    </w:p>
    <w:p>
      <w:pPr>
        <w:spacing w:after="0" w:line="152" w:lineRule="exact"/>
        <w:rPr>
          <w:rFonts w:ascii="Arial" w:cs="Arial" w:eastAsia="Arial" w:hAnsi="Arial"/>
          <w:sz w:val="20"/>
          <w:szCs w:val="20"/>
          <w:color w:val="auto"/>
        </w:rPr>
      </w:pPr>
    </w:p>
    <w:p>
      <w:pPr>
        <w:ind w:firstLine="1293"/>
        <w:spacing w:after="0" w:line="244" w:lineRule="auto"/>
        <w:tabs>
          <w:tab w:leader="none" w:pos="1756"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sale or other disposition of equipment that is no longer necessary for the business of the Borrower or such Restricted Subsidiary or is replaced by equipment of at least comparable value and use;</w:t>
      </w:r>
    </w:p>
    <w:p>
      <w:pPr>
        <w:spacing w:after="0" w:line="151" w:lineRule="exact"/>
        <w:rPr>
          <w:rFonts w:ascii="Arial" w:cs="Arial" w:eastAsia="Arial" w:hAnsi="Arial"/>
          <w:sz w:val="21"/>
          <w:szCs w:val="21"/>
          <w:color w:val="auto"/>
        </w:rPr>
      </w:pPr>
    </w:p>
    <w:p>
      <w:pPr>
        <w:jc w:val="both"/>
        <w:ind w:firstLine="1293"/>
        <w:spacing w:after="0" w:line="227" w:lineRule="auto"/>
        <w:tabs>
          <w:tab w:leader="none" w:pos="1757"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sale or other disposition (including Casualty Events) of any Oil and Gas Property or any interest therein or any Restricted Subsidiary owning Oil and Gas Properties; provided that (i) 100% of the consideration received in respect of such sale or other disposition shall be cash, (ii) the consideration received in respect of such sale or other disposition shall be equal to or greater than the fair market value of the Oil and Gas Property, interest therein or Restricted Subsidiary subject of such sale or other disposition (as reasonably determined by the Borrower and, if requested by the Administrative Agent, the Borrower shall deliver a certificate of a Responsible Officer of the Borrower certifying to that effect), (iii) if such sale or other disposition of Oil and Gas Property or a Restricted Subsidiary owning Oil and Gas Properties (including farmouts of proved reserves under clause (b)) included in the most recently delivered Reserve Report during any period between two successive Scheduled Redetermination Dates has a Borrowing Base value in excess of five percent (5%) of the Borrowing Base as then in effect (as determined by the Administrative Agent), individually or in the aggregate, the Borrowing Base shall be reduced, effective immediately upon such sale or other disposition, by an amount equal to the Borrowing Base value assigned such Property (but in no event in excess of the value assigned to such Property in the most recently delivered Reserve Report) and (iv) if any such sale or other disposition is of a Restricted Subsidiary owning Oil and Gas Properties, such sale or other disposition shall include all the Equity Interests of such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19" w:name="page220"/>
    <w:bookmarkEnd w:id="219"/>
    <w:p>
      <w:pPr>
        <w:ind w:left="1740" w:hanging="447"/>
        <w:spacing w:after="0"/>
        <w:tabs>
          <w:tab w:leader="none" w:pos="174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sales or other dispositions to the Borrower or a Guarantor;</w:t>
      </w:r>
    </w:p>
    <w:p>
      <w:pPr>
        <w:spacing w:after="0" w:line="186" w:lineRule="exact"/>
        <w:rPr>
          <w:rFonts w:ascii="Arial" w:cs="Arial" w:eastAsia="Arial" w:hAnsi="Arial"/>
          <w:sz w:val="21"/>
          <w:szCs w:val="21"/>
          <w:color w:val="auto"/>
        </w:rPr>
      </w:pPr>
    </w:p>
    <w:p>
      <w:pPr>
        <w:ind w:left="1720" w:hanging="427"/>
        <w:spacing w:after="0"/>
        <w:tabs>
          <w:tab w:leader="none" w:pos="17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sales or other dispositions permitted by Section 9.04(a), Section 9.05(m), Section 9.10, or Section 9.14(b);</w:t>
      </w:r>
    </w:p>
    <w:p>
      <w:pPr>
        <w:spacing w:after="0" w:line="198" w:lineRule="exact"/>
        <w:rPr>
          <w:rFonts w:ascii="Arial" w:cs="Arial" w:eastAsia="Arial" w:hAnsi="Arial"/>
          <w:sz w:val="20"/>
          <w:szCs w:val="20"/>
          <w:color w:val="auto"/>
        </w:rPr>
      </w:pPr>
    </w:p>
    <w:p>
      <w:pPr>
        <w:ind w:left="1760" w:hanging="467"/>
        <w:spacing w:after="0"/>
        <w:tabs>
          <w:tab w:leader="none" w:pos="176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sales or other dispositions of Equity Interests in Unrestricted Subsidiaries; and</w:t>
      </w:r>
    </w:p>
    <w:p>
      <w:pPr>
        <w:spacing w:after="0" w:line="186" w:lineRule="exact"/>
        <w:rPr>
          <w:rFonts w:ascii="Arial" w:cs="Arial" w:eastAsia="Arial" w:hAnsi="Arial"/>
          <w:sz w:val="21"/>
          <w:szCs w:val="21"/>
          <w:color w:val="auto"/>
        </w:rPr>
      </w:pPr>
    </w:p>
    <w:p>
      <w:pPr>
        <w:ind w:firstLine="1293"/>
        <w:spacing w:after="0" w:line="244" w:lineRule="auto"/>
        <w:tabs>
          <w:tab w:leader="none" w:pos="1752" w:val="left"/>
        </w:tabs>
        <w:numPr>
          <w:ilvl w:val="0"/>
          <w:numId w:val="154"/>
        </w:numPr>
        <w:rPr>
          <w:rFonts w:ascii="Arial" w:cs="Arial" w:eastAsia="Arial" w:hAnsi="Arial"/>
          <w:sz w:val="21"/>
          <w:szCs w:val="21"/>
          <w:color w:val="auto"/>
        </w:rPr>
      </w:pPr>
      <w:r>
        <w:rPr>
          <w:rFonts w:ascii="Arial" w:cs="Arial" w:eastAsia="Arial" w:hAnsi="Arial"/>
          <w:sz w:val="21"/>
          <w:szCs w:val="21"/>
          <w:color w:val="auto"/>
        </w:rPr>
        <w:t>sales and other dispositions of Properties not regulated by Section 9.12(a) to (g) having a fair market value not to exceed $10,000,000 during any six-month period.</w:t>
      </w:r>
    </w:p>
    <w:p>
      <w:pPr>
        <w:spacing w:after="0" w:line="152" w:lineRule="exact"/>
        <w:rPr>
          <w:sz w:val="20"/>
          <w:szCs w:val="20"/>
          <w:color w:val="auto"/>
        </w:rPr>
      </w:pPr>
    </w:p>
    <w:p>
      <w:pPr>
        <w:jc w:val="both"/>
        <w:ind w:firstLine="643"/>
        <w:spacing w:after="0" w:line="222" w:lineRule="auto"/>
        <w:rPr>
          <w:sz w:val="20"/>
          <w:szCs w:val="20"/>
          <w:color w:val="auto"/>
        </w:rPr>
      </w:pPr>
      <w:r>
        <w:rPr>
          <w:rFonts w:ascii="Arial" w:cs="Arial" w:eastAsia="Arial" w:hAnsi="Arial"/>
          <w:sz w:val="21"/>
          <w:szCs w:val="21"/>
          <w:color w:val="auto"/>
        </w:rPr>
        <w:t xml:space="preserve">Section 9.13 </w:t>
      </w:r>
      <w:r>
        <w:rPr>
          <w:rFonts w:ascii="Arial" w:cs="Arial" w:eastAsia="Arial" w:hAnsi="Arial"/>
          <w:sz w:val="21"/>
          <w:szCs w:val="21"/>
          <w:u w:val="single" w:color="auto"/>
          <w:color w:val="auto"/>
        </w:rPr>
        <w:t>Environmental Matters.</w:t>
      </w:r>
      <w:r>
        <w:rPr>
          <w:rFonts w:ascii="Arial" w:cs="Arial" w:eastAsia="Arial" w:hAnsi="Arial"/>
          <w:sz w:val="21"/>
          <w:szCs w:val="21"/>
          <w:color w:val="auto"/>
        </w:rPr>
        <w:t xml:space="preserve"> The Borrower will not, and will not permit any of the Restricted Subsidiaries to, cause or permit any of its Property to be in violation of, or do anything or permit anything to be done which will subject any such Property to a Release or threatened Release of Hazardous Materials, exposure to any Hazardous Materials, or to any Remedial Work under any Environmental Laws, assuming disclosure to the applicable Governmental Authority of all relevant facts, conditions and circumstances, if any, pertaining to such Property where such violations or remedial obligations could reasonably be expected to have a Material Adverse Effect.</w:t>
      </w:r>
    </w:p>
    <w:p>
      <w:pPr>
        <w:spacing w:after="0" w:line="15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9.14</w:t>
      </w:r>
      <w:r>
        <w:rPr>
          <w:sz w:val="20"/>
          <w:szCs w:val="20"/>
          <w:color w:val="auto"/>
        </w:rPr>
        <w:tab/>
      </w:r>
      <w:r>
        <w:rPr>
          <w:rFonts w:ascii="Arial" w:cs="Arial" w:eastAsia="Arial" w:hAnsi="Arial"/>
          <w:sz w:val="19"/>
          <w:szCs w:val="19"/>
          <w:u w:val="single" w:color="auto"/>
          <w:color w:val="auto"/>
        </w:rPr>
        <w:t>Transactions With Affiliates.</w:t>
      </w:r>
    </w:p>
    <w:p>
      <w:pPr>
        <w:spacing w:after="0" w:line="187" w:lineRule="exact"/>
        <w:rPr>
          <w:sz w:val="20"/>
          <w:szCs w:val="20"/>
          <w:color w:val="auto"/>
        </w:rPr>
      </w:pPr>
    </w:p>
    <w:p>
      <w:pPr>
        <w:jc w:val="both"/>
        <w:ind w:firstLine="1293"/>
        <w:spacing w:after="0" w:line="238" w:lineRule="auto"/>
        <w:tabs>
          <w:tab w:leader="none" w:pos="180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Borrower will not, and will not permit any of the Restricted Subsidiaries to, enter into any transaction, including, without limitation, any purchase, sale, lease or exchange of Property or the rendering of any service, with any Affiliate unless such transactions are otherwise permitted under this Agreement and are upon fair and reasonable terms no less favorable to it than it would obtain in a comparable arm’s length transaction with a Person not an Affiliate.</w:t>
      </w:r>
    </w:p>
    <w:p>
      <w:pPr>
        <w:spacing w:after="0" w:line="158" w:lineRule="exact"/>
        <w:rPr>
          <w:rFonts w:ascii="Arial" w:cs="Arial" w:eastAsia="Arial" w:hAnsi="Arial"/>
          <w:sz w:val="20"/>
          <w:szCs w:val="20"/>
          <w:color w:val="auto"/>
        </w:rPr>
      </w:pPr>
    </w:p>
    <w:p>
      <w:pPr>
        <w:ind w:firstLine="1293"/>
        <w:spacing w:after="0" w:line="244" w:lineRule="auto"/>
        <w:tabs>
          <w:tab w:leader="none" w:pos="1885" w:val="left"/>
        </w:tabs>
        <w:numPr>
          <w:ilvl w:val="0"/>
          <w:numId w:val="155"/>
        </w:numPr>
        <w:rPr>
          <w:rFonts w:ascii="Arial" w:cs="Arial" w:eastAsia="Arial" w:hAnsi="Arial"/>
          <w:sz w:val="21"/>
          <w:szCs w:val="21"/>
          <w:color w:val="auto"/>
        </w:rPr>
      </w:pPr>
      <w:r>
        <w:rPr>
          <w:rFonts w:ascii="Arial" w:cs="Arial" w:eastAsia="Arial" w:hAnsi="Arial"/>
          <w:sz w:val="21"/>
          <w:szCs w:val="21"/>
          <w:color w:val="auto"/>
        </w:rPr>
        <w:t>Notwithstanding clause (a), the Borrower and the Restricted Subsidiaries may enter into any transaction contemplated by Section 9.03(h), Section 9.04(a), Section 9.05(m), Section 9.12(g) or Section 9.19.</w:t>
      </w:r>
    </w:p>
    <w:p>
      <w:pPr>
        <w:spacing w:after="0" w:line="151" w:lineRule="exact"/>
        <w:rPr>
          <w:rFonts w:ascii="Arial" w:cs="Arial" w:eastAsia="Arial" w:hAnsi="Arial"/>
          <w:sz w:val="21"/>
          <w:szCs w:val="21"/>
          <w:color w:val="auto"/>
        </w:rPr>
      </w:pPr>
    </w:p>
    <w:p>
      <w:pPr>
        <w:jc w:val="both"/>
        <w:ind w:firstLine="1293"/>
        <w:spacing w:after="0" w:line="222" w:lineRule="auto"/>
        <w:tabs>
          <w:tab w:leader="none" w:pos="1776" w:val="left"/>
        </w:tabs>
        <w:numPr>
          <w:ilvl w:val="0"/>
          <w:numId w:val="155"/>
        </w:numPr>
        <w:rPr>
          <w:rFonts w:ascii="Arial" w:cs="Arial" w:eastAsia="Arial" w:hAnsi="Arial"/>
          <w:sz w:val="21"/>
          <w:szCs w:val="21"/>
          <w:color w:val="auto"/>
        </w:rPr>
      </w:pPr>
      <w:r>
        <w:rPr>
          <w:rFonts w:ascii="Arial" w:cs="Arial" w:eastAsia="Arial" w:hAnsi="Arial"/>
          <w:sz w:val="21"/>
          <w:szCs w:val="21"/>
          <w:color w:val="auto"/>
        </w:rPr>
        <w:t>Clause (a) above shall not apply to (i) that certain Advisory Services Agreement dated June 23, 2014 by and among the Parent Guarantor, the General Partner and Wexford Capital LP, and amendments, supplements, modifications, renewals, extensions and replacements thereof that are not, taken as a whole, materially less favorable to the Borrower and the Restricted Subsidiaries than the agreement as in effect on the date of this Agreement, and, in each case, transactions contemplated therein, and (ii) transactions between or among (A) the Borrower and the Restricted Subsidiaries and (B) Diamondback Energy, Inc. and its subsidiaries.</w:t>
      </w:r>
    </w:p>
    <w:p>
      <w:pPr>
        <w:spacing w:after="0" w:line="159" w:lineRule="exact"/>
        <w:rPr>
          <w:sz w:val="20"/>
          <w:szCs w:val="20"/>
          <w:color w:val="auto"/>
        </w:rPr>
      </w:pPr>
    </w:p>
    <w:p>
      <w:pPr>
        <w:jc w:val="both"/>
        <w:ind w:firstLine="643"/>
        <w:spacing w:after="0" w:line="222" w:lineRule="auto"/>
        <w:rPr>
          <w:sz w:val="20"/>
          <w:szCs w:val="20"/>
          <w:color w:val="auto"/>
        </w:rPr>
      </w:pPr>
      <w:r>
        <w:rPr>
          <w:rFonts w:ascii="Arial" w:cs="Arial" w:eastAsia="Arial" w:hAnsi="Arial"/>
          <w:sz w:val="21"/>
          <w:szCs w:val="21"/>
          <w:color w:val="auto"/>
        </w:rPr>
        <w:t xml:space="preserve">Section 9.15 </w:t>
      </w:r>
      <w:r>
        <w:rPr>
          <w:rFonts w:ascii="Arial" w:cs="Arial" w:eastAsia="Arial" w:hAnsi="Arial"/>
          <w:sz w:val="21"/>
          <w:szCs w:val="21"/>
          <w:u w:val="single" w:color="auto"/>
          <w:color w:val="auto"/>
        </w:rPr>
        <w:t>Subsidiaries.</w:t>
      </w:r>
      <w:r>
        <w:rPr>
          <w:rFonts w:ascii="Arial" w:cs="Arial" w:eastAsia="Arial" w:hAnsi="Arial"/>
          <w:sz w:val="21"/>
          <w:szCs w:val="21"/>
          <w:color w:val="auto"/>
        </w:rPr>
        <w:t xml:space="preserve"> The Borrower will not, and will not permit any of the Restricted Subsidiaries to, create or acquire any additional Subsidiaries, unless the Borrower gives written notice to the Administrative Agent of such creation or acquisition and complies with Section 8.14(b), to the extent required thereby. The Borrower shall not, and shall not permit any of the Restricted Subsidiaries to, sell, assign or otherwise dispose of any Equity Interests in any Restricted Subsidiary except in compliance with Section 9.12(d), (e), (f), (g) or (h). The Borrower and the Restricted Subsidiaries shall have no Restricted Subsidiaries that are Foreign Subsidiaries.</w:t>
      </w:r>
    </w:p>
    <w:p>
      <w:pPr>
        <w:spacing w:after="0" w:line="159"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20"/>
          <w:szCs w:val="20"/>
          <w:color w:val="auto"/>
        </w:rPr>
        <w:t xml:space="preserve">Section 9.16 </w:t>
      </w:r>
      <w:r>
        <w:rPr>
          <w:rFonts w:ascii="Arial" w:cs="Arial" w:eastAsia="Arial" w:hAnsi="Arial"/>
          <w:sz w:val="20"/>
          <w:szCs w:val="20"/>
          <w:u w:val="single" w:color="auto"/>
          <w:color w:val="auto"/>
        </w:rPr>
        <w:t>Negative Pledge Agreements; Dividend Restrictions.</w:t>
      </w:r>
      <w:r>
        <w:rPr>
          <w:rFonts w:ascii="Arial" w:cs="Arial" w:eastAsia="Arial" w:hAnsi="Arial"/>
          <w:sz w:val="20"/>
          <w:szCs w:val="20"/>
          <w:color w:val="auto"/>
        </w:rPr>
        <w:t xml:space="preserve"> The Borrower will not, and will not permit any of the Restricted Subsidiaries to, create, incur, assume or suffer to exist any contract, agreement or understanding (other than this Agreement, the Security Instruments, the agreements creating Liens permitted by Section 9.03(c), the instruments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20" w:name="page221"/>
    <w:bookmarkEnd w:id="220"/>
    <w:p>
      <w:pPr>
        <w:jc w:val="both"/>
        <w:spacing w:after="0" w:line="219" w:lineRule="auto"/>
        <w:rPr>
          <w:sz w:val="20"/>
          <w:szCs w:val="20"/>
          <w:color w:val="auto"/>
        </w:rPr>
      </w:pPr>
      <w:r>
        <w:rPr>
          <w:rFonts w:ascii="Arial" w:cs="Arial" w:eastAsia="Arial" w:hAnsi="Arial"/>
          <w:sz w:val="21"/>
          <w:szCs w:val="21"/>
          <w:color w:val="auto"/>
        </w:rPr>
        <w:t>agreements evidencing Senior Unsecured Notes or any Permitted Refinancing Debt in respect thereof, usual and customary restrictions on the pledge or transfer of equity interests in certain joint ventures, usual and customary restrictions in purchase and sale agreements relating to the Property subject thereof, restrictions on the granting of Liens contained in agreements subject to Excepted Liens, restrictions on the granting of Liens on the Equity Interests in Unrestricted Subsidiaries, restrictions in agreements of the types contemplated by Section 9.14(b), and restrictions on the granting of Liens in licenses, easements and leases entered into in the ordinary course of business) which in any way prohibits or restricts the granting, conveying, creation or imposition of any Lien on any of its Property in favor of the Administrative Agent and the Lenders or restricts any Restricted Subsidiary from paying dividends or making distributions to the Borrower or any Guarantor, or which requires the consent of or notice to other Persons in connection therewith.</w:t>
      </w:r>
    </w:p>
    <w:p>
      <w:pPr>
        <w:spacing w:after="0" w:line="159"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 xml:space="preserve">Section 9.17 </w:t>
      </w:r>
      <w:r>
        <w:rPr>
          <w:rFonts w:ascii="Arial" w:cs="Arial" w:eastAsia="Arial" w:hAnsi="Arial"/>
          <w:sz w:val="21"/>
          <w:szCs w:val="21"/>
          <w:u w:val="single" w:color="auto"/>
          <w:color w:val="auto"/>
        </w:rPr>
        <w:t>Gas Imbalances, Take-or-Pay or Other Prepayments.</w:t>
      </w:r>
      <w:r>
        <w:rPr>
          <w:rFonts w:ascii="Arial" w:cs="Arial" w:eastAsia="Arial" w:hAnsi="Arial"/>
          <w:sz w:val="21"/>
          <w:szCs w:val="21"/>
          <w:color w:val="auto"/>
        </w:rPr>
        <w:t xml:space="preserve"> The Borrower will not, and will not permit any of the Restricted Subsidiaries to, allow gas imbalances, take-or-pay or other prepayments with respect to the Oil and Gas Properties of the Borrower or any of the Restricted Subsidiaries that would require the Borrower or any of Restricted Subsidiaries to deliver Hydrocarbons at some future time without then or thereafter receiving full payment therefor to exceed 500,000 Mcf of gas (on an mcf equivalent basis) in the aggregate.</w:t>
      </w:r>
    </w:p>
    <w:p>
      <w:pPr>
        <w:spacing w:after="0" w:line="15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1"/>
          <w:szCs w:val="21"/>
          <w:color w:val="auto"/>
        </w:rPr>
        <w:t>Section 9.18</w:t>
      </w:r>
      <w:r>
        <w:rPr>
          <w:sz w:val="20"/>
          <w:szCs w:val="20"/>
          <w:color w:val="auto"/>
        </w:rPr>
        <w:tab/>
      </w:r>
      <w:r>
        <w:rPr>
          <w:rFonts w:ascii="Arial" w:cs="Arial" w:eastAsia="Arial" w:hAnsi="Arial"/>
          <w:sz w:val="19"/>
          <w:szCs w:val="19"/>
          <w:u w:val="single" w:color="auto"/>
          <w:color w:val="auto"/>
        </w:rPr>
        <w:t>Swap Agreements.</w:t>
      </w:r>
    </w:p>
    <w:p>
      <w:pPr>
        <w:spacing w:after="0" w:line="187" w:lineRule="exact"/>
        <w:rPr>
          <w:sz w:val="20"/>
          <w:szCs w:val="20"/>
          <w:color w:val="auto"/>
        </w:rPr>
      </w:pPr>
    </w:p>
    <w:p>
      <w:pPr>
        <w:jc w:val="both"/>
        <w:ind w:firstLine="1293"/>
        <w:spacing w:after="0" w:line="232" w:lineRule="auto"/>
        <w:tabs>
          <w:tab w:leader="none" w:pos="1897" w:val="left"/>
        </w:tabs>
        <w:numPr>
          <w:ilvl w:val="1"/>
          <w:numId w:val="156"/>
        </w:numPr>
        <w:rPr>
          <w:rFonts w:ascii="Arial" w:cs="Arial" w:eastAsia="Arial" w:hAnsi="Arial"/>
          <w:sz w:val="20"/>
          <w:szCs w:val="20"/>
          <w:color w:val="auto"/>
        </w:rPr>
      </w:pPr>
      <w:r>
        <w:rPr>
          <w:rFonts w:ascii="Arial" w:cs="Arial" w:eastAsia="Arial" w:hAnsi="Arial"/>
          <w:sz w:val="20"/>
          <w:szCs w:val="20"/>
          <w:color w:val="auto"/>
        </w:rPr>
        <w:t>The Borrower will not, and will not permit any of the Restricted Subsidiaries to, enter into any Swap Agreements with any Person other than (i) Swap Agreements in respect of commodities (A) with an Approved Counterparty,</w:t>
      </w:r>
    </w:p>
    <w:p>
      <w:pPr>
        <w:spacing w:after="0" w:line="1" w:lineRule="exact"/>
        <w:rPr>
          <w:rFonts w:ascii="Arial" w:cs="Arial" w:eastAsia="Arial" w:hAnsi="Arial"/>
          <w:sz w:val="20"/>
          <w:szCs w:val="20"/>
          <w:color w:val="auto"/>
        </w:rPr>
      </w:pPr>
    </w:p>
    <w:p>
      <w:pPr>
        <w:jc w:val="both"/>
        <w:ind w:firstLine="7"/>
        <w:spacing w:after="0" w:line="237" w:lineRule="auto"/>
        <w:tabs>
          <w:tab w:leader="none" w:pos="365"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notional volumes for which (when aggregated with other commodity Swap Agreements then in effect other than basis differential swaps on volumes already hedged pursuant to other Swap Agreements) do not exceed, as of the date such Swap Agreement is executed, 90% of the reasonably anticipated projected production from their Oil and Gas Properties which are classified as proved developed producing as of the date such Swap Agreement is entered into for each month during which such Swap Agreement is in place for each of crude oil and natural gas, calculated separately and determined by reference to the most recently delivered Reserve Report and (C) for a tenor of no more than 60 months after such Swap Agreement is entered into, provided that if such Swap Agreements exceed the greater of (1) the daily average of 100% of the actual production from the Borrower’s and the Restricted Subsidiaries’ Oil and Gas Properties for the most recent month, and (2) the daily average of 100% of the actual production from the Borrower’s and the Restricted Subsidiaries’ Oil and Gas Properties for the most recent week, in each case based on reports available to the Borrower at such time, and such condition (either (1) or (2)) lasts for a period of 90 days, the Borrower shall terminate, create off-setting positions, or otherwise unwind existing Swap Agreements within fifteen (15) days after the end of such month in which Swap Agreements exceed 100% of the actual production; and (ii) Swap Agreements in respect of interest rates with an Approved Counterparty effectively converting interest rates from floating to fixed, the notional amounts of which (when aggregated with all other Swap Agreements of the Borrower and the Restricted Subsidiaries then in effect effectively converting interest rates from floating to fixed) do not exceed 75% of the then outstanding principal amount of the Borrower’s Debt for borrowed money which bears interest at a floating rate. In no event shall any Swap Agreement (other than Secured Swap Agreements) contain any requirement, agreement or covenant for the Borrower or any Restricted Subsidiary to post collateral or margin to secure their obligations under such Swap Agreement or to cover market exposures.</w:t>
      </w:r>
    </w:p>
    <w:p>
      <w:pPr>
        <w:spacing w:after="0" w:line="168" w:lineRule="exact"/>
        <w:rPr>
          <w:rFonts w:ascii="Arial" w:cs="Arial" w:eastAsia="Arial" w:hAnsi="Arial"/>
          <w:sz w:val="19"/>
          <w:szCs w:val="19"/>
          <w:color w:val="auto"/>
        </w:rPr>
      </w:pPr>
    </w:p>
    <w:p>
      <w:pPr>
        <w:jc w:val="both"/>
        <w:ind w:firstLine="1293"/>
        <w:spacing w:after="0" w:line="232" w:lineRule="auto"/>
        <w:tabs>
          <w:tab w:leader="none" w:pos="1921" w:val="left"/>
        </w:tabs>
        <w:numPr>
          <w:ilvl w:val="1"/>
          <w:numId w:val="157"/>
        </w:numPr>
        <w:rPr>
          <w:rFonts w:ascii="Arial" w:cs="Arial" w:eastAsia="Arial" w:hAnsi="Arial"/>
          <w:sz w:val="21"/>
          <w:szCs w:val="21"/>
          <w:color w:val="auto"/>
        </w:rPr>
      </w:pPr>
      <w:r>
        <w:rPr>
          <w:rFonts w:ascii="Arial" w:cs="Arial" w:eastAsia="Arial" w:hAnsi="Arial"/>
          <w:sz w:val="21"/>
          <w:szCs w:val="21"/>
          <w:color w:val="auto"/>
        </w:rPr>
        <w:t>In addition to the Swap Agreements permitted by Section 9.18(a), a Loan Party may enter into Swap Agreements (“</w:t>
      </w:r>
      <w:r>
        <w:rPr>
          <w:rFonts w:ascii="Arial" w:cs="Arial" w:eastAsia="Arial" w:hAnsi="Arial"/>
          <w:sz w:val="21"/>
          <w:szCs w:val="21"/>
          <w:u w:val="single" w:color="auto"/>
          <w:color w:val="auto"/>
        </w:rPr>
        <w:t>Acquisition Swaps</w:t>
      </w:r>
      <w:r>
        <w:rPr>
          <w:rFonts w:ascii="Arial" w:cs="Arial" w:eastAsia="Arial" w:hAnsi="Arial"/>
          <w:sz w:val="21"/>
          <w:szCs w:val="21"/>
          <w:color w:val="auto"/>
        </w:rPr>
        <w:t>”) for production to be produced from properties or interests that a Loan Party proposes to acquire but does not then own (each,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21" w:name="page222"/>
    <w:bookmarkEnd w:id="221"/>
    <w:p>
      <w:pPr>
        <w:jc w:val="both"/>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Property</w:t>
      </w:r>
      <w:r>
        <w:rPr>
          <w:rFonts w:ascii="Arial" w:cs="Arial" w:eastAsia="Arial" w:hAnsi="Arial"/>
          <w:sz w:val="20"/>
          <w:szCs w:val="20"/>
          <w:color w:val="auto"/>
        </w:rPr>
        <w:t>”) if such Acquisition Swaps (i) are with an Approved Counterparty, (ii) are entered into after the purchase and sale agreement with respect to such Pro Forma Property has been fully executed, and (iii) do not exceed the volume and term limitations set forth in Section 9.18(a) determined on a pro forma basis as if the Pro Forma Properties were owned by a Loan Party. The Borrower agrees that, if a Loan Party has outstanding Acquisition Swaps, the Borrower shall, or shall cause other Loan Parties to, terminate, create offsetting positions or otherwise unwind Swap Agreements to the extent necessary to comply with the volume requirements of Section 9.18(a) determined without inclusion of any production from such Pro Forma Property within 15 days after the earlier to occur of (A) 180 days after the date the applicable purchase and sale agreement was entered into if the acquisition of such Pro Forma Property has not been consummated, or (B) the date the Borrower obtains knowledge with reasonable certainty that the acquisition of such Pro Forma Property will not be consummated.</w:t>
      </w:r>
    </w:p>
    <w:p>
      <w:pPr>
        <w:spacing w:after="0" w:line="159" w:lineRule="exact"/>
        <w:rPr>
          <w:sz w:val="20"/>
          <w:szCs w:val="20"/>
          <w:color w:val="auto"/>
        </w:rPr>
      </w:pPr>
    </w:p>
    <w:p>
      <w:pPr>
        <w:ind w:left="640" w:right="3640" w:firstLine="653"/>
        <w:spacing w:after="0" w:line="470" w:lineRule="auto"/>
        <w:tabs>
          <w:tab w:leader="none" w:pos="1735"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No Swap Agreements shall be entered into for speculative purposes. Section 9.19 </w:t>
      </w:r>
      <w:r>
        <w:rPr>
          <w:rFonts w:ascii="Arial" w:cs="Arial" w:eastAsia="Arial" w:hAnsi="Arial"/>
          <w:sz w:val="19"/>
          <w:szCs w:val="19"/>
          <w:u w:val="single" w:color="auto"/>
          <w:color w:val="auto"/>
        </w:rPr>
        <w:t>Designation of Restricted and Unrestricted Subsidiaries.</w:t>
      </w:r>
    </w:p>
    <w:p>
      <w:pPr>
        <w:spacing w:after="0" w:line="1" w:lineRule="exact"/>
        <w:rPr>
          <w:sz w:val="20"/>
          <w:szCs w:val="20"/>
          <w:color w:val="auto"/>
        </w:rPr>
      </w:pPr>
    </w:p>
    <w:p>
      <w:pPr>
        <w:jc w:val="both"/>
        <w:ind w:firstLine="1293"/>
        <w:spacing w:after="0" w:line="232" w:lineRule="auto"/>
        <w:tabs>
          <w:tab w:leader="none" w:pos="1871" w:val="left"/>
        </w:tabs>
        <w:numPr>
          <w:ilvl w:val="1"/>
          <w:numId w:val="159"/>
        </w:numPr>
        <w:rPr>
          <w:rFonts w:ascii="Arial" w:cs="Arial" w:eastAsia="Arial" w:hAnsi="Arial"/>
          <w:sz w:val="21"/>
          <w:szCs w:val="21"/>
          <w:color w:val="auto"/>
        </w:rPr>
      </w:pPr>
      <w:r>
        <w:rPr>
          <w:rFonts w:ascii="Arial" w:cs="Arial" w:eastAsia="Arial" w:hAnsi="Arial"/>
          <w:sz w:val="21"/>
          <w:szCs w:val="21"/>
          <w:color w:val="auto"/>
        </w:rPr>
        <w:t>Unless designated as an Unrestricted Subsidiary on Schedule 7.14 as of the date hereof or thereafter, in compliance with Section 9.19(b) or (d), any Person that becomes a Subsidiary of the Borrower or any of its Restricted Subsidiaries shall be classified as a Restricted Subsidiary.</w:t>
      </w:r>
    </w:p>
    <w:p>
      <w:pPr>
        <w:spacing w:after="0" w:line="156" w:lineRule="exact"/>
        <w:rPr>
          <w:rFonts w:ascii="Arial" w:cs="Arial" w:eastAsia="Arial" w:hAnsi="Arial"/>
          <w:sz w:val="21"/>
          <w:szCs w:val="21"/>
          <w:color w:val="auto"/>
        </w:rPr>
      </w:pPr>
    </w:p>
    <w:p>
      <w:pPr>
        <w:jc w:val="both"/>
        <w:ind w:firstLine="1293"/>
        <w:spacing w:after="0" w:line="232" w:lineRule="auto"/>
        <w:tabs>
          <w:tab w:leader="none" w:pos="1881" w:val="left"/>
        </w:tabs>
        <w:numPr>
          <w:ilvl w:val="1"/>
          <w:numId w:val="159"/>
        </w:numPr>
        <w:rPr>
          <w:rFonts w:ascii="Arial" w:cs="Arial" w:eastAsia="Arial" w:hAnsi="Arial"/>
          <w:sz w:val="20"/>
          <w:szCs w:val="20"/>
          <w:color w:val="auto"/>
        </w:rPr>
      </w:pPr>
      <w:r>
        <w:rPr>
          <w:rFonts w:ascii="Arial" w:cs="Arial" w:eastAsia="Arial" w:hAnsi="Arial"/>
          <w:sz w:val="20"/>
          <w:szCs w:val="20"/>
          <w:color w:val="auto"/>
        </w:rPr>
        <w:t>The Borrower may designate by written notification thereof to the Administrative Agent, any Restricted Subsidiary, including a newly or to be formed or newly or to be acquired Subsidiary, as an Unrestricted Subsidiary if (i) prior, and immediately after giving effect, to such designation, neither a Default nor a Borrowing Base Deficiency would exist and (ii) such designation is deemed to be an Investment in an Unrestricted Subsidiary in an amount equal to the fair market value as of the date of such designation of the Borrower’s and its Restricted Subsidiaries’ direct ownership interests in such Subsidiary and such Investment would be permitted to be made at the time of such designation under Section 9.05(m). Except as provided in this Section 9.19(b), no Restricted Subsidiary may be designated as an Unrestricted Subsidiary.</w:t>
      </w:r>
    </w:p>
    <w:p>
      <w:pPr>
        <w:spacing w:after="0" w:line="157" w:lineRule="exact"/>
        <w:rPr>
          <w:rFonts w:ascii="Arial" w:cs="Arial" w:eastAsia="Arial" w:hAnsi="Arial"/>
          <w:sz w:val="20"/>
          <w:szCs w:val="20"/>
          <w:color w:val="auto"/>
        </w:rPr>
      </w:pPr>
    </w:p>
    <w:p>
      <w:pPr>
        <w:jc w:val="both"/>
        <w:ind w:firstLine="1293"/>
        <w:spacing w:after="0" w:line="239" w:lineRule="auto"/>
        <w:tabs>
          <w:tab w:leader="none" w:pos="1796" w:val="left"/>
        </w:tabs>
        <w:numPr>
          <w:ilvl w:val="1"/>
          <w:numId w:val="159"/>
        </w:numPr>
        <w:rPr>
          <w:rFonts w:ascii="Arial" w:cs="Arial" w:eastAsia="Arial" w:hAnsi="Arial"/>
          <w:sz w:val="19"/>
          <w:szCs w:val="19"/>
          <w:color w:val="auto"/>
        </w:rPr>
      </w:pPr>
      <w:r>
        <w:rPr>
          <w:rFonts w:ascii="Arial" w:cs="Arial" w:eastAsia="Arial" w:hAnsi="Arial"/>
          <w:sz w:val="19"/>
          <w:szCs w:val="19"/>
          <w:color w:val="auto"/>
        </w:rPr>
        <w:t>The Borrower may designate any Unrestricted Subsidiary to be a Restricted Subsidiary if immediately after giving effect to such designation, (i) the representations and warranties of the Borrower and its Restricted Subsidiaries contained in each of the Loan Documents are true and correct in all material respects on and as of such date as if made on and as of the date of such redesignation (or, if stated to have been made expressly as of an earlier date, were true and correct in all material respects as of such date), (ii) no Default exists, (iii) the Borrower complies with the requirements of Section 8.14(b) and Section 8.18 and</w:t>
      </w:r>
    </w:p>
    <w:p>
      <w:pPr>
        <w:spacing w:after="0" w:line="1" w:lineRule="exact"/>
        <w:rPr>
          <w:rFonts w:ascii="Arial" w:cs="Arial" w:eastAsia="Arial" w:hAnsi="Arial"/>
          <w:sz w:val="19"/>
          <w:szCs w:val="19"/>
          <w:color w:val="auto"/>
        </w:rPr>
      </w:pPr>
    </w:p>
    <w:p>
      <w:pPr>
        <w:jc w:val="both"/>
        <w:ind w:firstLine="7"/>
        <w:spacing w:after="0" w:line="230" w:lineRule="auto"/>
        <w:tabs>
          <w:tab w:leader="none" w:pos="402"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Borrower and/or one or more Restricted Subsidiaries owns all of the Equity Interests in such Subsidiary. Any such designation shall be treated as a cash dividend to the Borrower in an amount equal to the lesser of the fair market value of the Borrower’s and its Restricted Subsidiaries’ direct ownership interests in such Subsidiary or the amount of the Borrower’s and its Restricted Subsidiaries’ aggregate investment previously made for purposes of the limitation on Investments under Section 9.05(m). Upon the designation of an Unrestricted Subsidiary as a Restricted Subsidiary, all Investments previously made in such Unrestricted Subsidiary shall no longer be counted in determining the limitation on Investments under Section 9.05(m).</w:t>
      </w:r>
    </w:p>
    <w:p>
      <w:pPr>
        <w:spacing w:after="0" w:line="159" w:lineRule="exact"/>
        <w:rPr>
          <w:rFonts w:ascii="Arial" w:cs="Arial" w:eastAsia="Arial" w:hAnsi="Arial"/>
          <w:sz w:val="20"/>
          <w:szCs w:val="20"/>
          <w:color w:val="auto"/>
        </w:rPr>
      </w:pPr>
    </w:p>
    <w:p>
      <w:pPr>
        <w:ind w:left="1760" w:hanging="467"/>
        <w:spacing w:after="0"/>
        <w:tabs>
          <w:tab w:leader="none" w:pos="176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Each Subsidiary of an Unrestricted Subsidiary shall automatically be designated as an Unrestricted Subsidiary.</w:t>
      </w:r>
    </w:p>
    <w:p>
      <w:pPr>
        <w:spacing w:after="0" w:line="209" w:lineRule="exact"/>
        <w:rPr>
          <w:rFonts w:ascii="Arial" w:cs="Arial" w:eastAsia="Arial" w:hAnsi="Arial"/>
          <w:sz w:val="19"/>
          <w:szCs w:val="19"/>
          <w:color w:val="auto"/>
        </w:rPr>
      </w:pPr>
    </w:p>
    <w:p>
      <w:pPr>
        <w:ind w:left="1740" w:hanging="447"/>
        <w:spacing w:after="0"/>
        <w:tabs>
          <w:tab w:leader="none" w:pos="174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Upon designation of a Restricted Subsidiary as an Unrestricted Subsidiary in compliance with Section 9.19(b),</w:t>
      </w:r>
    </w:p>
    <w:p>
      <w:pPr>
        <w:spacing w:after="0" w:line="13" w:lineRule="exact"/>
        <w:rPr>
          <w:rFonts w:ascii="Arial" w:cs="Arial" w:eastAsia="Arial" w:hAnsi="Arial"/>
          <w:sz w:val="19"/>
          <w:szCs w:val="19"/>
          <w:color w:val="auto"/>
        </w:rPr>
      </w:pPr>
    </w:p>
    <w:p>
      <w:pPr>
        <w:ind w:left="260" w:hanging="253"/>
        <w:spacing w:after="0"/>
        <w:tabs>
          <w:tab w:leader="none" w:pos="26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such Subsidiary shall be automatically released from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22" w:name="page223"/>
    <w:bookmarkEnd w:id="222"/>
    <w:p>
      <w:pPr>
        <w:jc w:val="both"/>
        <w:spacing w:after="0" w:line="232" w:lineRule="auto"/>
        <w:rPr>
          <w:sz w:val="20"/>
          <w:szCs w:val="20"/>
          <w:color w:val="auto"/>
        </w:rPr>
      </w:pPr>
      <w:r>
        <w:rPr>
          <w:rFonts w:ascii="Arial" w:cs="Arial" w:eastAsia="Arial" w:hAnsi="Arial"/>
          <w:sz w:val="21"/>
          <w:szCs w:val="21"/>
          <w:color w:val="auto"/>
        </w:rPr>
        <w:t>obligations, if any, under the Loan Documents, including the Guaranty Agreement and all other applicable Security Instruments and (ii) all Liens granted pursuant to the Guaranty Agreement and all other applicable Security Instruments on the Property of, and the Equity Interests in, such Unrestricted Subsidiary shall be automatically released.</w:t>
      </w:r>
    </w:p>
    <w:p>
      <w:pPr>
        <w:spacing w:after="0" w:line="157" w:lineRule="exact"/>
        <w:rPr>
          <w:sz w:val="20"/>
          <w:szCs w:val="20"/>
          <w:color w:val="auto"/>
        </w:rPr>
      </w:pPr>
    </w:p>
    <w:p>
      <w:pPr>
        <w:jc w:val="both"/>
        <w:ind w:firstLine="643"/>
        <w:spacing w:after="0" w:line="237" w:lineRule="auto"/>
        <w:rPr>
          <w:sz w:val="20"/>
          <w:szCs w:val="20"/>
          <w:color w:val="auto"/>
        </w:rPr>
      </w:pPr>
      <w:r>
        <w:rPr>
          <w:rFonts w:ascii="Arial" w:cs="Arial" w:eastAsia="Arial" w:hAnsi="Arial"/>
          <w:sz w:val="19"/>
          <w:szCs w:val="19"/>
          <w:color w:val="auto"/>
        </w:rPr>
        <w:t xml:space="preserve">Section 9.20 </w:t>
      </w:r>
      <w:r>
        <w:rPr>
          <w:rFonts w:ascii="Arial" w:cs="Arial" w:eastAsia="Arial" w:hAnsi="Arial"/>
          <w:sz w:val="19"/>
          <w:szCs w:val="19"/>
          <w:u w:val="single" w:color="auto"/>
          <w:color w:val="auto"/>
        </w:rPr>
        <w:t>Control Agreements.</w:t>
      </w:r>
      <w:r>
        <w:rPr>
          <w:rFonts w:ascii="Arial" w:cs="Arial" w:eastAsia="Arial" w:hAnsi="Arial"/>
          <w:sz w:val="19"/>
          <w:szCs w:val="19"/>
          <w:color w:val="auto"/>
        </w:rPr>
        <w:t xml:space="preserve"> Neither the Borrower nor any other Loan Party shall open any deposit or securities account (other than payroll, withholding tax, escrow, trust fund and other fiduciary deposit accounts) unless such deposit or securities account is, or within 30 days after being opened becomes, subject to a deposit account control agreement or securities account control agreement, as applicable, in form and substance reasonably satisfactory to the Administrative Agent naming the Administrative Agent as the secured party thereunder for the benefit of the Other Secured Persons. Each deposit account control agreement will provide that the depositary bank will comply with instructions originated by the Administrative Agent directing dispositions of funds in the deposit account without further consent by the applicable Loan Party. Each securities account control agreement will provide that the securities intermediary will comply with entitlement orders originated by the Administrative Agent without further consent by the applicable Loan Party. The Administrative Agent agrees that it shall not issue any such instructions or entitlement orders or otherwise exercise any control right granted under any such deposit account control agreement or securities account control agreement unless (a) an Event of Default of the type set forth in Section 10.01(a), (b), (f), (g), (h), (i), or</w:t>
      </w:r>
    </w:p>
    <w:p>
      <w:pPr>
        <w:spacing w:after="0" w:line="1" w:lineRule="exact"/>
        <w:rPr>
          <w:sz w:val="20"/>
          <w:szCs w:val="20"/>
          <w:color w:val="auto"/>
        </w:rPr>
      </w:pPr>
    </w:p>
    <w:p>
      <w:pPr>
        <w:ind w:firstLine="7"/>
        <w:spacing w:after="0" w:line="233" w:lineRule="auto"/>
        <w:tabs>
          <w:tab w:leader="none" w:pos="264" w:val="left"/>
        </w:tabs>
        <w:numPr>
          <w:ilvl w:val="0"/>
          <w:numId w:val="162"/>
        </w:numPr>
        <w:rPr>
          <w:rFonts w:ascii="Arial" w:cs="Arial" w:eastAsia="Arial" w:hAnsi="Arial"/>
          <w:sz w:val="21"/>
          <w:szCs w:val="21"/>
          <w:color w:val="auto"/>
        </w:rPr>
      </w:pPr>
      <w:r>
        <w:rPr>
          <w:rFonts w:ascii="Arial" w:cs="Arial" w:eastAsia="Arial" w:hAnsi="Arial"/>
          <w:sz w:val="21"/>
          <w:szCs w:val="21"/>
          <w:color w:val="auto"/>
        </w:rPr>
        <w:t>has occurred or (b) the Notes and the Loans then outstanding have become due and payable in whole (and not merely in part), whether at the due date thereof, by acceleration or otherwise.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w:t>
      </w:r>
    </w:p>
    <w:p>
      <w:pPr>
        <w:jc w:val="center"/>
        <w:spacing w:after="0"/>
        <w:rPr>
          <w:sz w:val="20"/>
          <w:szCs w:val="20"/>
          <w:color w:val="auto"/>
        </w:rPr>
      </w:pPr>
      <w:r>
        <w:rPr>
          <w:rFonts w:ascii="Arial" w:cs="Arial" w:eastAsia="Arial" w:hAnsi="Arial"/>
          <w:sz w:val="21"/>
          <w:szCs w:val="21"/>
          <w:b w:val="1"/>
          <w:bCs w:val="1"/>
          <w:color w:val="auto"/>
        </w:rPr>
        <w:t>Events of Default; Remedies</w:t>
      </w:r>
    </w:p>
    <w:p>
      <w:pPr>
        <w:spacing w:after="0" w:line="169"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21"/>
          <w:szCs w:val="21"/>
          <w:color w:val="auto"/>
        </w:rPr>
        <w:t>Section 10.01</w:t>
      </w:r>
      <w:r>
        <w:rPr>
          <w:sz w:val="20"/>
          <w:szCs w:val="20"/>
          <w:color w:val="auto"/>
        </w:rPr>
        <w:tab/>
      </w:r>
      <w:r>
        <w:rPr>
          <w:rFonts w:ascii="Arial" w:cs="Arial" w:eastAsia="Arial" w:hAnsi="Arial"/>
          <w:sz w:val="19"/>
          <w:szCs w:val="19"/>
          <w:u w:val="single" w:color="auto"/>
          <w:color w:val="auto"/>
        </w:rPr>
        <w:t xml:space="preserve">Events of Default. </w:t>
      </w:r>
      <w:r>
        <w:rPr>
          <w:rFonts w:ascii="Arial" w:cs="Arial" w:eastAsia="Arial" w:hAnsi="Arial"/>
          <w:sz w:val="19"/>
          <w:szCs w:val="19"/>
          <w:color w:val="auto"/>
        </w:rPr>
        <w:t>One or more of the following events shall constitute an “</w:t>
      </w:r>
      <w:r>
        <w:rPr>
          <w:rFonts w:ascii="Arial" w:cs="Arial" w:eastAsia="Arial" w:hAnsi="Arial"/>
          <w:sz w:val="19"/>
          <w:szCs w:val="19"/>
          <w:u w:val="single" w:color="auto"/>
          <w:color w:val="auto"/>
        </w:rPr>
        <w:t>Event of Default</w:t>
      </w:r>
      <w:r>
        <w:rPr>
          <w:rFonts w:ascii="Arial" w:cs="Arial" w:eastAsia="Arial" w:hAnsi="Arial"/>
          <w:sz w:val="19"/>
          <w:szCs w:val="19"/>
          <w:color w:val="auto"/>
        </w:rPr>
        <w:t>”:</w:t>
      </w:r>
    </w:p>
    <w:p>
      <w:pPr>
        <w:spacing w:after="0" w:line="187" w:lineRule="exact"/>
        <w:rPr>
          <w:sz w:val="20"/>
          <w:szCs w:val="20"/>
          <w:color w:val="auto"/>
        </w:rPr>
      </w:pPr>
    </w:p>
    <w:p>
      <w:pPr>
        <w:jc w:val="both"/>
        <w:ind w:firstLine="1293"/>
        <w:spacing w:after="0" w:line="232" w:lineRule="auto"/>
        <w:tabs>
          <w:tab w:leader="none" w:pos="1747"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Borrower shall fail to pay any principal of any Loan or any reimbursement obligation in respect of any LC Disbursement when and as the same shall become due and payable, whether at the due date thereof or at a date fixed for prepayment thereof, by acceleration or otherwise.</w:t>
      </w:r>
    </w:p>
    <w:p>
      <w:pPr>
        <w:spacing w:after="0" w:line="156" w:lineRule="exact"/>
        <w:rPr>
          <w:rFonts w:ascii="Arial" w:cs="Arial" w:eastAsia="Arial" w:hAnsi="Arial"/>
          <w:sz w:val="21"/>
          <w:szCs w:val="21"/>
          <w:color w:val="auto"/>
        </w:rPr>
      </w:pPr>
    </w:p>
    <w:p>
      <w:pPr>
        <w:jc w:val="both"/>
        <w:ind w:firstLine="1293"/>
        <w:spacing w:after="0" w:line="232" w:lineRule="auto"/>
        <w:tabs>
          <w:tab w:leader="none" w:pos="1775"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Borrower shall fail to pay any interest on any Loan or any fee or any other amount (other than an amount referred to in Section 10.01(a)) payable under any Loan Document, when and as the same shall become due and payable, and such failure shall continue unremedied for a period of three Business Days.</w:t>
      </w:r>
    </w:p>
    <w:p>
      <w:pPr>
        <w:spacing w:after="0" w:line="156" w:lineRule="exact"/>
        <w:rPr>
          <w:rFonts w:ascii="Arial" w:cs="Arial" w:eastAsia="Arial" w:hAnsi="Arial"/>
          <w:sz w:val="21"/>
          <w:szCs w:val="21"/>
          <w:color w:val="auto"/>
        </w:rPr>
      </w:pPr>
    </w:p>
    <w:p>
      <w:pPr>
        <w:jc w:val="both"/>
        <w:ind w:firstLine="1293"/>
        <w:spacing w:after="0" w:line="222" w:lineRule="auto"/>
        <w:tabs>
          <w:tab w:leader="none" w:pos="185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any representation or warranty made or deemed made by or on behalf of the Borrower or any Restricted Subsidiary in or in connection with any Loan Document or any amendment or modification of any Loan Document or waiver under such Loan Document, or in any report, certificate, financial statement or other document furnished pursuant to or in connection with any Loan Document or any amendment or modification thereof or waiver thereunder, shall prove to have been materially incorrect when made or deemed made (or, if already qualified by materiality, Material Adverse Effect or a similar qualification, true and correct in all respects).</w:t>
      </w:r>
    </w:p>
    <w:p>
      <w:pPr>
        <w:spacing w:after="0" w:line="159" w:lineRule="exact"/>
        <w:rPr>
          <w:rFonts w:ascii="Arial" w:cs="Arial" w:eastAsia="Arial" w:hAnsi="Arial"/>
          <w:sz w:val="21"/>
          <w:szCs w:val="21"/>
          <w:color w:val="auto"/>
        </w:rPr>
      </w:pPr>
    </w:p>
    <w:p>
      <w:pPr>
        <w:ind w:firstLine="1293"/>
        <w:spacing w:after="0" w:line="268" w:lineRule="auto"/>
        <w:tabs>
          <w:tab w:leader="none" w:pos="191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Borrower or any Restricted Subsidiary shall fail to observe or perform any covenant, condition or agreement contained in Section 8.01(h), Section 8.01(k), Section 8.02, Section 8.03, Section 8.14, Section 8.15 or in Article IX.</w:t>
      </w:r>
    </w:p>
    <w:p>
      <w:pPr>
        <w:spacing w:after="0" w:line="129" w:lineRule="exact"/>
        <w:rPr>
          <w:rFonts w:ascii="Arial" w:cs="Arial" w:eastAsia="Arial" w:hAnsi="Arial"/>
          <w:sz w:val="20"/>
          <w:szCs w:val="20"/>
          <w:color w:val="auto"/>
        </w:rPr>
      </w:pPr>
    </w:p>
    <w:p>
      <w:pPr>
        <w:ind w:firstLine="1293"/>
        <w:spacing w:after="0" w:line="244" w:lineRule="auto"/>
        <w:tabs>
          <w:tab w:leader="none" w:pos="1909"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Borrower or any Restricted Subsidiary shall fail to observe or perform any covenant, condition or agreement contained in this Agreement (other than those specified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23" w:name="page224"/>
    <w:bookmarkEnd w:id="223"/>
    <w:p>
      <w:pPr>
        <w:jc w:val="both"/>
        <w:spacing w:after="0" w:line="227" w:lineRule="auto"/>
        <w:rPr>
          <w:sz w:val="20"/>
          <w:szCs w:val="20"/>
          <w:color w:val="auto"/>
        </w:rPr>
      </w:pPr>
      <w:r>
        <w:rPr>
          <w:rFonts w:ascii="Arial" w:cs="Arial" w:eastAsia="Arial" w:hAnsi="Arial"/>
          <w:sz w:val="21"/>
          <w:szCs w:val="21"/>
          <w:color w:val="auto"/>
        </w:rPr>
        <w:t>Section 10.01(a), Section 10.01(b) or Section 10.01(d)) or any other Loan Document, and such failure shall continue unremedied for a period of 30 days after the earlier to occur of (i) notice thereof from the Administrative Agent to the Borrower (which notice will be given at the request of any Lender) or (ii) a Responsible Officer of the Borrower otherwise becoming aware of such default.</w:t>
      </w:r>
    </w:p>
    <w:p>
      <w:pPr>
        <w:spacing w:after="0" w:line="158" w:lineRule="exact"/>
        <w:rPr>
          <w:sz w:val="20"/>
          <w:szCs w:val="20"/>
          <w:color w:val="auto"/>
        </w:rPr>
      </w:pPr>
    </w:p>
    <w:p>
      <w:pPr>
        <w:ind w:firstLine="1293"/>
        <w:spacing w:after="0" w:line="268" w:lineRule="auto"/>
        <w:tabs>
          <w:tab w:leader="none" w:pos="1726"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Borrower or any Restricted Subsidiary shall fail to make any payment (whether of principal or interest and regardless of amount) in respect of any Material Indebtedness, when and as the same shall become due and payable.</w:t>
      </w:r>
    </w:p>
    <w:p>
      <w:pPr>
        <w:spacing w:after="0" w:line="129" w:lineRule="exact"/>
        <w:rPr>
          <w:rFonts w:ascii="Arial" w:cs="Arial" w:eastAsia="Arial" w:hAnsi="Arial"/>
          <w:sz w:val="20"/>
          <w:szCs w:val="20"/>
          <w:color w:val="auto"/>
        </w:rPr>
      </w:pPr>
    </w:p>
    <w:p>
      <w:pPr>
        <w:jc w:val="both"/>
        <w:ind w:firstLine="1293"/>
        <w:spacing w:after="0" w:line="221" w:lineRule="auto"/>
        <w:tabs>
          <w:tab w:leader="none" w:pos="1811" w:val="left"/>
        </w:tabs>
        <w:numPr>
          <w:ilvl w:val="0"/>
          <w:numId w:val="164"/>
        </w:numPr>
        <w:rPr>
          <w:rFonts w:ascii="Arial" w:cs="Arial" w:eastAsia="Arial" w:hAnsi="Arial"/>
          <w:sz w:val="21"/>
          <w:szCs w:val="21"/>
          <w:color w:val="auto"/>
        </w:rPr>
      </w:pPr>
      <w:r>
        <w:rPr>
          <w:rFonts w:ascii="Arial" w:cs="Arial" w:eastAsia="Arial" w:hAnsi="Arial"/>
          <w:sz w:val="21"/>
          <w:szCs w:val="21"/>
          <w:color w:val="auto"/>
        </w:rPr>
        <w:t>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Redemption thereof or any offer to Redeem to be made in respect thereof, prior to its scheduled maturity or require the Borrower or any Restricted Subsidiary to make an offer in respect thereof, other than with respect to Senior Unsecured Notes or Permitted Refinancing Debt in respect thereof, if, at the time of the payment or Redemption thereof, a Redemption thereof could have been made pursuant to Section 9.04(b).</w:t>
      </w:r>
    </w:p>
    <w:p>
      <w:pPr>
        <w:spacing w:after="0" w:line="157" w:lineRule="exact"/>
        <w:rPr>
          <w:rFonts w:ascii="Arial" w:cs="Arial" w:eastAsia="Arial" w:hAnsi="Arial"/>
          <w:sz w:val="21"/>
          <w:szCs w:val="21"/>
          <w:color w:val="auto"/>
        </w:rPr>
      </w:pPr>
    </w:p>
    <w:p>
      <w:pPr>
        <w:jc w:val="both"/>
        <w:ind w:firstLine="1293"/>
        <w:spacing w:after="0" w:line="222" w:lineRule="auto"/>
        <w:tabs>
          <w:tab w:leader="none" w:pos="1755" w:val="left"/>
        </w:tabs>
        <w:numPr>
          <w:ilvl w:val="0"/>
          <w:numId w:val="164"/>
        </w:numPr>
        <w:rPr>
          <w:rFonts w:ascii="Arial" w:cs="Arial" w:eastAsia="Arial" w:hAnsi="Arial"/>
          <w:sz w:val="21"/>
          <w:szCs w:val="21"/>
          <w:color w:val="auto"/>
        </w:rPr>
      </w:pPr>
      <w:r>
        <w:rPr>
          <w:rFonts w:ascii="Arial" w:cs="Arial" w:eastAsia="Arial" w:hAnsi="Arial"/>
          <w:sz w:val="21"/>
          <w:szCs w:val="21"/>
          <w:color w:val="auto"/>
        </w:rPr>
        <w:t>an involuntary proceeding shall be commenced or an involuntary petition shall be filed seeking (i) liquidation, reorganization or other relief in respect of the Borrower or any Guarantor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Guarantor or for a substantial part of its assets, and, in any such case, such proceeding or petition shall continue undismissed for 30 days or an order or decree approving or ordering any of the foregoing shall be entered.</w:t>
      </w:r>
    </w:p>
    <w:p>
      <w:pPr>
        <w:spacing w:after="0" w:line="159" w:lineRule="exact"/>
        <w:rPr>
          <w:rFonts w:ascii="Arial" w:cs="Arial" w:eastAsia="Arial" w:hAnsi="Arial"/>
          <w:sz w:val="21"/>
          <w:szCs w:val="21"/>
          <w:color w:val="auto"/>
        </w:rPr>
      </w:pPr>
    </w:p>
    <w:p>
      <w:pPr>
        <w:jc w:val="both"/>
        <w:ind w:firstLine="1293"/>
        <w:spacing w:after="0" w:line="230" w:lineRule="auto"/>
        <w:tabs>
          <w:tab w:leader="none" w:pos="180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Borrower or any Guarantor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Section 10.01(h), (iii) apply for or consent to the appointment of a receiver, trustee, custodian, sequestrator, conservator or similar official for the Borrower or any Guarantor or for a substantial part of its assets, (iv) file an answer admitting the material allegations of a petition filed against it in any such proceeding, (v) make a general assignment for the benefit of creditors or (vi) take any action for the purpose of effecting any of the foregoing; or the holders of Equity Interests of the Borrower shall make any request to take any action for the purpose of calling a meeting of the equity holders of the Borrower to consider a resolution to dissolve and wind-up the Borrower’s affairs.</w:t>
      </w:r>
    </w:p>
    <w:p>
      <w:pPr>
        <w:spacing w:after="0" w:line="158" w:lineRule="exact"/>
        <w:rPr>
          <w:rFonts w:ascii="Arial" w:cs="Arial" w:eastAsia="Arial" w:hAnsi="Arial"/>
          <w:sz w:val="20"/>
          <w:szCs w:val="20"/>
          <w:color w:val="auto"/>
        </w:rPr>
      </w:pPr>
    </w:p>
    <w:p>
      <w:pPr>
        <w:ind w:firstLine="1293"/>
        <w:spacing w:after="0" w:line="244" w:lineRule="auto"/>
        <w:tabs>
          <w:tab w:leader="none" w:pos="1755"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the Borrower or any Guarantor shall become unable, admit in writing its inability or fail generally to pay its debts as they become due.</w:t>
      </w:r>
    </w:p>
    <w:p>
      <w:pPr>
        <w:spacing w:after="0" w:line="151" w:lineRule="exact"/>
        <w:rPr>
          <w:rFonts w:ascii="Arial" w:cs="Arial" w:eastAsia="Arial" w:hAnsi="Arial"/>
          <w:sz w:val="21"/>
          <w:szCs w:val="21"/>
          <w:color w:val="auto"/>
        </w:rPr>
      </w:pPr>
    </w:p>
    <w:p>
      <w:pPr>
        <w:jc w:val="both"/>
        <w:ind w:firstLine="1293"/>
        <w:spacing w:after="0" w:line="233" w:lineRule="auto"/>
        <w:tabs>
          <w:tab w:leader="none" w:pos="1787"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 one or more judgments for the payment of money in an aggregate amount in excess of $5,000,000 (to the extent not covered by independent third party insurance provided by insurers of the highest claims paying rating or financial strength as to which the insurer does not dispute coverage and is not subject to an insolvency proceeding) or (ii) any one or more non-monetary judgments that have, or could reasonably be expected to have, individually or in the aggregate, a Material Adverse Effect, shall be rendered against the Borrower, any Restricted Subsidiary or any combination thereof and the same shall remain undischarged for a period of 30 consecutive days during which execution shall not be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24" w:name="page225"/>
    <w:bookmarkEnd w:id="224"/>
    <w:p>
      <w:pPr>
        <w:spacing w:after="0" w:line="244" w:lineRule="auto"/>
        <w:rPr>
          <w:sz w:val="20"/>
          <w:szCs w:val="20"/>
          <w:color w:val="auto"/>
        </w:rPr>
      </w:pPr>
      <w:r>
        <w:rPr>
          <w:rFonts w:ascii="Arial" w:cs="Arial" w:eastAsia="Arial" w:hAnsi="Arial"/>
          <w:sz w:val="21"/>
          <w:szCs w:val="21"/>
          <w:color w:val="auto"/>
        </w:rPr>
        <w:t>stayed, or any action shall be legally taken by a judgment creditor to attach or levy upon any assets of the Borrower or any Restricted Subsidiary to enforce any such judgment.</w:t>
      </w:r>
    </w:p>
    <w:p>
      <w:pPr>
        <w:spacing w:after="0" w:line="152" w:lineRule="exact"/>
        <w:rPr>
          <w:sz w:val="20"/>
          <w:szCs w:val="20"/>
          <w:color w:val="auto"/>
        </w:rPr>
      </w:pPr>
    </w:p>
    <w:p>
      <w:pPr>
        <w:jc w:val="both"/>
        <w:ind w:firstLine="1293"/>
        <w:spacing w:after="0" w:line="235" w:lineRule="auto"/>
        <w:tabs>
          <w:tab w:leader="none" w:pos="177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Loan Documents after delivery thereof shall for any reason, except to the extent permitted by the terms thereof, cease to be in full force and effect and valid, binding and enforceable in accordance with their terms against the Borrower or any Guarantor party thereto or shall be repudiated by any of them, or cease to create a valid and perfected Lien of the priority required thereby on any of the collateral purported to be covered thereby, except to the extent permitted by the terms of this Agreement, or the Borrower, any Restricted Subsidiary or any Affiliate shall so state in writing.</w:t>
      </w:r>
    </w:p>
    <w:p>
      <w:pPr>
        <w:spacing w:after="0" w:line="159" w:lineRule="exact"/>
        <w:rPr>
          <w:rFonts w:ascii="Arial" w:cs="Arial" w:eastAsia="Arial" w:hAnsi="Arial"/>
          <w:sz w:val="20"/>
          <w:szCs w:val="20"/>
          <w:color w:val="auto"/>
        </w:rPr>
      </w:pPr>
    </w:p>
    <w:p>
      <w:pPr>
        <w:ind w:left="1820" w:hanging="527"/>
        <w:spacing w:after="0"/>
        <w:tabs>
          <w:tab w:leader="none" w:pos="182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a Change in Control shall occur.</w:t>
      </w:r>
    </w:p>
    <w:p>
      <w:pPr>
        <w:spacing w:after="0" w:line="186" w:lineRule="exact"/>
        <w:rPr>
          <w:rFonts w:ascii="Arial" w:cs="Arial" w:eastAsia="Arial" w:hAnsi="Arial"/>
          <w:sz w:val="21"/>
          <w:szCs w:val="21"/>
          <w:color w:val="auto"/>
        </w:rPr>
      </w:pPr>
    </w:p>
    <w:p>
      <w:pPr>
        <w:ind w:left="1760" w:hanging="467"/>
        <w:spacing w:after="0"/>
        <w:tabs>
          <w:tab w:leader="none" w:pos="176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if any Non-Voting Units shall be entitled to vote under the Borrower LLC Agreement.</w:t>
      </w:r>
    </w:p>
    <w:p>
      <w:pPr>
        <w:spacing w:after="0" w:line="187"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21"/>
          <w:szCs w:val="21"/>
          <w:color w:val="auto"/>
        </w:rPr>
        <w:t>Section 10.02</w:t>
      </w:r>
      <w:r>
        <w:rPr>
          <w:sz w:val="20"/>
          <w:szCs w:val="20"/>
          <w:color w:val="auto"/>
        </w:rPr>
        <w:tab/>
      </w:r>
      <w:r>
        <w:rPr>
          <w:rFonts w:ascii="Arial" w:cs="Arial" w:eastAsia="Arial" w:hAnsi="Arial"/>
          <w:sz w:val="18"/>
          <w:szCs w:val="18"/>
          <w:u w:val="single" w:color="auto"/>
          <w:color w:val="auto"/>
        </w:rPr>
        <w:t>Remedies.</w:t>
      </w:r>
    </w:p>
    <w:p>
      <w:pPr>
        <w:spacing w:after="0" w:line="187" w:lineRule="exact"/>
        <w:rPr>
          <w:sz w:val="20"/>
          <w:szCs w:val="20"/>
          <w:color w:val="auto"/>
        </w:rPr>
      </w:pPr>
    </w:p>
    <w:p>
      <w:pPr>
        <w:jc w:val="both"/>
        <w:ind w:firstLine="1293"/>
        <w:spacing w:after="0" w:line="227" w:lineRule="auto"/>
        <w:tabs>
          <w:tab w:leader="none" w:pos="1934"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In the case of an Event of Default other than one described in Section 10.01(h), Section 10.01(i) or Section 10.01(j), at any time thereafter during the continuance of such Event of Default, the Administrative Agent may, and at the request of the Majority Lenders, shall, by notice to the Borrower, take either or both of the following actions, at the same or different times: (i) terminate the Commitments, and thereupon the Commitments shall terminate immediately, and (ii) declare the Notes and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and the Guarantors accrued hereunder and under the Notes and the other Loan Documents (including, without limitation, the payment of cash collateral to secure the LC Exposure as provided in Section 2.08(j)), shall become due and payable immediately, without presentment, demand, protest, notice of intent to accelerate, notice of acceleration or other notice of any kind, all of which are hereby waived by the Borrower and each Guarantor; and in case of an Event of Default described in Section 10.01(h), Section 10.01(i) or Section 10.01(j), the Commitments shall automatically terminate and the Notes and the principal of the Loans then outstanding, together with accrued interest thereon and all fees and the other obligations of the Borrower and the Guarantors accrued hereunder and under the Notes and the other Loan Documents (including, without limitation, the payment of cash collateral to secure the LC Exposure as provided in Section 2.08(j)), shall automatically become due and payable, without presentment, demand, protest, notice of intent to accelerate, notice of acceleration or other notice of any kind, all of which are hereby waived by the Borrower and each Guarantor.</w:t>
      </w:r>
    </w:p>
    <w:p>
      <w:pPr>
        <w:spacing w:after="0" w:line="158" w:lineRule="exact"/>
        <w:rPr>
          <w:rFonts w:ascii="Arial" w:cs="Arial" w:eastAsia="Arial" w:hAnsi="Arial"/>
          <w:sz w:val="20"/>
          <w:szCs w:val="20"/>
          <w:color w:val="auto"/>
        </w:rPr>
      </w:pPr>
    </w:p>
    <w:p>
      <w:pPr>
        <w:ind w:right="20" w:firstLine="1293"/>
        <w:spacing w:after="0" w:line="244" w:lineRule="auto"/>
        <w:tabs>
          <w:tab w:leader="none" w:pos="1789" w:val="left"/>
        </w:tabs>
        <w:numPr>
          <w:ilvl w:val="0"/>
          <w:numId w:val="166"/>
        </w:numPr>
        <w:rPr>
          <w:rFonts w:ascii="Arial" w:cs="Arial" w:eastAsia="Arial" w:hAnsi="Arial"/>
          <w:sz w:val="21"/>
          <w:szCs w:val="21"/>
          <w:color w:val="auto"/>
        </w:rPr>
      </w:pPr>
      <w:r>
        <w:rPr>
          <w:rFonts w:ascii="Arial" w:cs="Arial" w:eastAsia="Arial" w:hAnsi="Arial"/>
          <w:sz w:val="21"/>
          <w:szCs w:val="21"/>
          <w:color w:val="auto"/>
        </w:rPr>
        <w:t>In the case of the occurrence of an Event of Default, the Administrative Agent and the Lenders will have all other rights and remedies available at law and equity.</w:t>
      </w:r>
    </w:p>
    <w:p>
      <w:pPr>
        <w:spacing w:after="0" w:line="151" w:lineRule="exact"/>
        <w:rPr>
          <w:rFonts w:ascii="Arial" w:cs="Arial" w:eastAsia="Arial" w:hAnsi="Arial"/>
          <w:sz w:val="21"/>
          <w:szCs w:val="21"/>
          <w:color w:val="auto"/>
        </w:rPr>
      </w:pPr>
    </w:p>
    <w:p>
      <w:pPr>
        <w:ind w:firstLine="1293"/>
        <w:spacing w:after="0" w:line="244" w:lineRule="auto"/>
        <w:tabs>
          <w:tab w:leader="none" w:pos="1751" w:val="left"/>
        </w:tabs>
        <w:numPr>
          <w:ilvl w:val="0"/>
          <w:numId w:val="166"/>
        </w:numPr>
        <w:rPr>
          <w:rFonts w:ascii="Arial" w:cs="Arial" w:eastAsia="Arial" w:hAnsi="Arial"/>
          <w:sz w:val="21"/>
          <w:szCs w:val="21"/>
          <w:color w:val="auto"/>
        </w:rPr>
      </w:pPr>
      <w:r>
        <w:rPr>
          <w:rFonts w:ascii="Arial" w:cs="Arial" w:eastAsia="Arial" w:hAnsi="Arial"/>
          <w:sz w:val="21"/>
          <w:szCs w:val="21"/>
          <w:color w:val="auto"/>
        </w:rPr>
        <w:t>Except as provided in Section 4.03, all proceeds realized from the liquidation or other disposition of collateral or otherwise received after maturity of the Notes, whether by acceleration or otherwise, shall be applied:</w:t>
      </w:r>
    </w:p>
    <w:p>
      <w:pPr>
        <w:spacing w:after="0" w:line="151" w:lineRule="exact"/>
        <w:rPr>
          <w:rFonts w:ascii="Arial" w:cs="Arial" w:eastAsia="Arial" w:hAnsi="Arial"/>
          <w:sz w:val="21"/>
          <w:szCs w:val="21"/>
          <w:color w:val="auto"/>
        </w:rPr>
      </w:pPr>
    </w:p>
    <w:p>
      <w:pPr>
        <w:ind w:firstLine="1935"/>
        <w:spacing w:after="0" w:line="244" w:lineRule="auto"/>
        <w:tabs>
          <w:tab w:leader="none" w:pos="2384" w:val="left"/>
        </w:tabs>
        <w:numPr>
          <w:ilvl w:val="1"/>
          <w:numId w:val="166"/>
        </w:numPr>
        <w:rPr>
          <w:rFonts w:ascii="Arial" w:cs="Arial" w:eastAsia="Arial" w:hAnsi="Arial"/>
          <w:sz w:val="21"/>
          <w:szCs w:val="21"/>
          <w:color w:val="auto"/>
        </w:rPr>
      </w:pPr>
      <w:r>
        <w:rPr>
          <w:rFonts w:ascii="Arial" w:cs="Arial" w:eastAsia="Arial" w:hAnsi="Arial"/>
          <w:sz w:val="21"/>
          <w:szCs w:val="21"/>
          <w:i w:val="1"/>
          <w:iCs w:val="1"/>
          <w:color w:val="auto"/>
        </w:rPr>
        <w:t>first</w:t>
      </w:r>
      <w:r>
        <w:rPr>
          <w:rFonts w:ascii="Arial" w:cs="Arial" w:eastAsia="Arial" w:hAnsi="Arial"/>
          <w:sz w:val="21"/>
          <w:szCs w:val="21"/>
          <w:color w:val="auto"/>
        </w:rPr>
        <w:t>, to payment or reimbursement of that portion of the Indebtedness constituting fees, expenses and</w:t>
      </w:r>
      <w:r>
        <w:rPr>
          <w:rFonts w:ascii="Arial" w:cs="Arial" w:eastAsia="Arial" w:hAnsi="Arial"/>
          <w:sz w:val="21"/>
          <w:szCs w:val="21"/>
          <w:i w:val="1"/>
          <w:iCs w:val="1"/>
          <w:color w:val="auto"/>
        </w:rPr>
        <w:t xml:space="preserve"> </w:t>
      </w:r>
      <w:r>
        <w:rPr>
          <w:rFonts w:ascii="Arial" w:cs="Arial" w:eastAsia="Arial" w:hAnsi="Arial"/>
          <w:sz w:val="21"/>
          <w:szCs w:val="21"/>
          <w:color w:val="auto"/>
        </w:rPr>
        <w:t>indemnities payable to the Administrative Agent in its capacity as such;</w:t>
      </w:r>
    </w:p>
    <w:p>
      <w:pPr>
        <w:spacing w:after="0" w:line="151" w:lineRule="exact"/>
        <w:rPr>
          <w:rFonts w:ascii="Arial" w:cs="Arial" w:eastAsia="Arial" w:hAnsi="Arial"/>
          <w:sz w:val="21"/>
          <w:szCs w:val="21"/>
          <w:color w:val="auto"/>
        </w:rPr>
      </w:pPr>
    </w:p>
    <w:p>
      <w:pPr>
        <w:ind w:firstLine="1935"/>
        <w:spacing w:after="0" w:line="244" w:lineRule="auto"/>
        <w:tabs>
          <w:tab w:leader="none" w:pos="2484" w:val="left"/>
        </w:tabs>
        <w:numPr>
          <w:ilvl w:val="1"/>
          <w:numId w:val="166"/>
        </w:numPr>
        <w:rPr>
          <w:rFonts w:ascii="Arial" w:cs="Arial" w:eastAsia="Arial" w:hAnsi="Arial"/>
          <w:sz w:val="21"/>
          <w:szCs w:val="21"/>
          <w:color w:val="auto"/>
        </w:rPr>
      </w:pPr>
      <w:r>
        <w:rPr>
          <w:rFonts w:ascii="Arial" w:cs="Arial" w:eastAsia="Arial" w:hAnsi="Arial"/>
          <w:sz w:val="21"/>
          <w:szCs w:val="21"/>
          <w:i w:val="1"/>
          <w:iCs w:val="1"/>
          <w:color w:val="auto"/>
        </w:rPr>
        <w:t>second</w:t>
      </w:r>
      <w:r>
        <w:rPr>
          <w:rFonts w:ascii="Arial" w:cs="Arial" w:eastAsia="Arial" w:hAnsi="Arial"/>
          <w:sz w:val="21"/>
          <w:szCs w:val="21"/>
          <w:color w:val="auto"/>
        </w:rPr>
        <w:t>, pro rata to payment or reimbursement of that portion of the Indebtedness constituting fees,</w:t>
      </w:r>
      <w:r>
        <w:rPr>
          <w:rFonts w:ascii="Arial" w:cs="Arial" w:eastAsia="Arial" w:hAnsi="Arial"/>
          <w:sz w:val="21"/>
          <w:szCs w:val="21"/>
          <w:i w:val="1"/>
          <w:iCs w:val="1"/>
          <w:color w:val="auto"/>
        </w:rPr>
        <w:t xml:space="preserve"> </w:t>
      </w:r>
      <w:r>
        <w:rPr>
          <w:rFonts w:ascii="Arial" w:cs="Arial" w:eastAsia="Arial" w:hAnsi="Arial"/>
          <w:sz w:val="21"/>
          <w:szCs w:val="21"/>
          <w:color w:val="auto"/>
        </w:rPr>
        <w:t>expenses and indemnities payable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25" w:name="page226"/>
    <w:bookmarkEnd w:id="225"/>
    <w:p>
      <w:pPr>
        <w:ind w:left="2480" w:hanging="545"/>
        <w:spacing w:after="0"/>
        <w:tabs>
          <w:tab w:leader="none" w:pos="2480" w:val="left"/>
        </w:tabs>
        <w:numPr>
          <w:ilvl w:val="0"/>
          <w:numId w:val="167"/>
        </w:numPr>
        <w:rPr>
          <w:rFonts w:ascii="Arial" w:cs="Arial" w:eastAsia="Arial" w:hAnsi="Arial"/>
          <w:sz w:val="21"/>
          <w:szCs w:val="21"/>
          <w:color w:val="auto"/>
        </w:rPr>
      </w:pPr>
      <w:r>
        <w:rPr>
          <w:rFonts w:ascii="Arial" w:cs="Arial" w:eastAsia="Arial" w:hAnsi="Arial"/>
          <w:sz w:val="21"/>
          <w:szCs w:val="21"/>
          <w:i w:val="1"/>
          <w:iCs w:val="1"/>
          <w:color w:val="auto"/>
        </w:rPr>
        <w:t>third</w:t>
      </w:r>
      <w:r>
        <w:rPr>
          <w:rFonts w:ascii="Arial" w:cs="Arial" w:eastAsia="Arial" w:hAnsi="Arial"/>
          <w:sz w:val="21"/>
          <w:szCs w:val="21"/>
          <w:color w:val="auto"/>
        </w:rPr>
        <w:t>, pro rata to payment of accrued interest on the Loans;</w:t>
      </w:r>
    </w:p>
    <w:p>
      <w:pPr>
        <w:spacing w:after="0" w:line="186" w:lineRule="exact"/>
        <w:rPr>
          <w:rFonts w:ascii="Arial" w:cs="Arial" w:eastAsia="Arial" w:hAnsi="Arial"/>
          <w:sz w:val="21"/>
          <w:szCs w:val="21"/>
          <w:color w:val="auto"/>
        </w:rPr>
      </w:pPr>
    </w:p>
    <w:p>
      <w:pPr>
        <w:ind w:firstLine="1935"/>
        <w:spacing w:after="0" w:line="244" w:lineRule="auto"/>
        <w:tabs>
          <w:tab w:leader="none" w:pos="2559" w:val="left"/>
        </w:tabs>
        <w:numPr>
          <w:ilvl w:val="0"/>
          <w:numId w:val="167"/>
        </w:numPr>
        <w:rPr>
          <w:rFonts w:ascii="Arial" w:cs="Arial" w:eastAsia="Arial" w:hAnsi="Arial"/>
          <w:sz w:val="21"/>
          <w:szCs w:val="21"/>
          <w:color w:val="auto"/>
        </w:rPr>
      </w:pPr>
      <w:r>
        <w:rPr>
          <w:rFonts w:ascii="Arial" w:cs="Arial" w:eastAsia="Arial" w:hAnsi="Arial"/>
          <w:sz w:val="21"/>
          <w:szCs w:val="21"/>
          <w:i w:val="1"/>
          <w:iCs w:val="1"/>
          <w:color w:val="auto"/>
        </w:rPr>
        <w:t xml:space="preserve">fourth, </w:t>
      </w:r>
      <w:r>
        <w:rPr>
          <w:rFonts w:ascii="Arial" w:cs="Arial" w:eastAsia="Arial" w:hAnsi="Arial"/>
          <w:sz w:val="21"/>
          <w:szCs w:val="21"/>
          <w:color w:val="auto"/>
        </w:rPr>
        <w:t>pro rata to payment of principal outstanding on the Loans and Indebtedness referred to in</w:t>
      </w:r>
      <w:r>
        <w:rPr>
          <w:rFonts w:ascii="Arial" w:cs="Arial" w:eastAsia="Arial" w:hAnsi="Arial"/>
          <w:sz w:val="21"/>
          <w:szCs w:val="21"/>
          <w:i w:val="1"/>
          <w:iCs w:val="1"/>
          <w:color w:val="auto"/>
        </w:rPr>
        <w:t xml:space="preserve"> </w:t>
      </w:r>
      <w:r>
        <w:rPr>
          <w:rFonts w:ascii="Arial" w:cs="Arial" w:eastAsia="Arial" w:hAnsi="Arial"/>
          <w:sz w:val="21"/>
          <w:szCs w:val="21"/>
          <w:color w:val="auto"/>
        </w:rPr>
        <w:t>clause (b) and (c) of the definition of Indebtedness;</w:t>
      </w:r>
    </w:p>
    <w:p>
      <w:pPr>
        <w:spacing w:after="0" w:line="151" w:lineRule="exact"/>
        <w:rPr>
          <w:rFonts w:ascii="Arial" w:cs="Arial" w:eastAsia="Arial" w:hAnsi="Arial"/>
          <w:sz w:val="21"/>
          <w:szCs w:val="21"/>
          <w:color w:val="auto"/>
        </w:rPr>
      </w:pPr>
    </w:p>
    <w:p>
      <w:pPr>
        <w:ind w:left="2400" w:hanging="465"/>
        <w:spacing w:after="0"/>
        <w:tabs>
          <w:tab w:leader="none" w:pos="2400" w:val="left"/>
        </w:tabs>
        <w:numPr>
          <w:ilvl w:val="0"/>
          <w:numId w:val="167"/>
        </w:numPr>
        <w:rPr>
          <w:rFonts w:ascii="Arial" w:cs="Arial" w:eastAsia="Arial" w:hAnsi="Arial"/>
          <w:sz w:val="21"/>
          <w:szCs w:val="21"/>
          <w:color w:val="auto"/>
        </w:rPr>
      </w:pPr>
      <w:r>
        <w:rPr>
          <w:rFonts w:ascii="Arial" w:cs="Arial" w:eastAsia="Arial" w:hAnsi="Arial"/>
          <w:sz w:val="21"/>
          <w:szCs w:val="21"/>
          <w:i w:val="1"/>
          <w:iCs w:val="1"/>
          <w:color w:val="auto"/>
        </w:rPr>
        <w:t>fifth</w:t>
      </w:r>
      <w:r>
        <w:rPr>
          <w:rFonts w:ascii="Arial" w:cs="Arial" w:eastAsia="Arial" w:hAnsi="Arial"/>
          <w:sz w:val="21"/>
          <w:szCs w:val="21"/>
          <w:color w:val="auto"/>
        </w:rPr>
        <w:t>, pro rata to any other Indebtedness;</w:t>
      </w:r>
    </w:p>
    <w:p>
      <w:pPr>
        <w:spacing w:after="0" w:line="186" w:lineRule="exact"/>
        <w:rPr>
          <w:rFonts w:ascii="Arial" w:cs="Arial" w:eastAsia="Arial" w:hAnsi="Arial"/>
          <w:sz w:val="21"/>
          <w:szCs w:val="21"/>
          <w:color w:val="auto"/>
        </w:rPr>
      </w:pPr>
    </w:p>
    <w:p>
      <w:pPr>
        <w:ind w:left="2520" w:hanging="585"/>
        <w:spacing w:after="0"/>
        <w:tabs>
          <w:tab w:leader="none" w:pos="2520" w:val="left"/>
        </w:tabs>
        <w:numPr>
          <w:ilvl w:val="0"/>
          <w:numId w:val="167"/>
        </w:numPr>
        <w:rPr>
          <w:rFonts w:ascii="Arial" w:cs="Arial" w:eastAsia="Arial" w:hAnsi="Arial"/>
          <w:sz w:val="19"/>
          <w:szCs w:val="19"/>
          <w:color w:val="auto"/>
        </w:rPr>
      </w:pPr>
      <w:r>
        <w:rPr>
          <w:rFonts w:ascii="Arial" w:cs="Arial" w:eastAsia="Arial" w:hAnsi="Arial"/>
          <w:sz w:val="19"/>
          <w:szCs w:val="19"/>
          <w:i w:val="1"/>
          <w:iCs w:val="1"/>
          <w:color w:val="auto"/>
        </w:rPr>
        <w:t>sixth</w:t>
      </w:r>
      <w:r>
        <w:rPr>
          <w:rFonts w:ascii="Arial" w:cs="Arial" w:eastAsia="Arial" w:hAnsi="Arial"/>
          <w:sz w:val="19"/>
          <w:szCs w:val="19"/>
          <w:color w:val="auto"/>
        </w:rPr>
        <w:t>, to serve as cash collateral to be held by the Administrative Agent to secure the LC Exposure;</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and</w:t>
      </w:r>
    </w:p>
    <w:p>
      <w:pPr>
        <w:spacing w:after="0" w:line="168" w:lineRule="exact"/>
        <w:rPr>
          <w:rFonts w:ascii="Arial" w:cs="Arial" w:eastAsia="Arial" w:hAnsi="Arial"/>
          <w:sz w:val="19"/>
          <w:szCs w:val="19"/>
          <w:color w:val="auto"/>
        </w:rPr>
      </w:pPr>
    </w:p>
    <w:p>
      <w:pPr>
        <w:ind w:firstLine="1935"/>
        <w:spacing w:after="0" w:line="244" w:lineRule="auto"/>
        <w:tabs>
          <w:tab w:leader="none" w:pos="2578" w:val="left"/>
        </w:tabs>
        <w:numPr>
          <w:ilvl w:val="0"/>
          <w:numId w:val="167"/>
        </w:numPr>
        <w:rPr>
          <w:rFonts w:ascii="Arial" w:cs="Arial" w:eastAsia="Arial" w:hAnsi="Arial"/>
          <w:sz w:val="21"/>
          <w:szCs w:val="21"/>
          <w:color w:val="auto"/>
        </w:rPr>
      </w:pPr>
      <w:r>
        <w:rPr>
          <w:rFonts w:ascii="Arial" w:cs="Arial" w:eastAsia="Arial" w:hAnsi="Arial"/>
          <w:sz w:val="21"/>
          <w:szCs w:val="21"/>
          <w:i w:val="1"/>
          <w:iCs w:val="1"/>
          <w:color w:val="auto"/>
        </w:rPr>
        <w:t>seventh</w:t>
      </w:r>
      <w:r>
        <w:rPr>
          <w:rFonts w:ascii="Arial" w:cs="Arial" w:eastAsia="Arial" w:hAnsi="Arial"/>
          <w:sz w:val="21"/>
          <w:szCs w:val="21"/>
          <w:color w:val="auto"/>
        </w:rPr>
        <w:t>, any excess, after all of the Indebtedness shall have been indefeasibly paid in full in cash,</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 paid to the Borrower or as otherwise required by any Governmental Requirement.</w:t>
      </w:r>
    </w:p>
    <w:p>
      <w:pPr>
        <w:spacing w:after="0" w:line="152"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Notwithstanding the foregoing, amounts received from the Borrower or any Guarantor that is not an Eligible Contract Participant shall not be applied to any Excluded Swap Obligations (it being understood, that in the event that any amount is applied to Indebtedness other than Excluded Swap Obligations as a result of this clause, the Administrative Agent shall make such adjustments as it determines are appropriate to distributions pursuant to clause “</w:t>
      </w:r>
      <w:r>
        <w:rPr>
          <w:rFonts w:ascii="Arial" w:cs="Arial" w:eastAsia="Arial" w:hAnsi="Arial"/>
          <w:sz w:val="21"/>
          <w:szCs w:val="21"/>
          <w:u w:val="single" w:color="auto"/>
          <w:color w:val="auto"/>
        </w:rPr>
        <w:t>fourth</w:t>
      </w:r>
      <w:r>
        <w:rPr>
          <w:rFonts w:ascii="Arial" w:cs="Arial" w:eastAsia="Arial" w:hAnsi="Arial"/>
          <w:sz w:val="21"/>
          <w:szCs w:val="21"/>
          <w:color w:val="auto"/>
        </w:rPr>
        <w:t>” above from amounts received from Eligible Contract Participants to ensure, as nearly as possible, that the proportional aggregate recoveries with respect to Excluded Swap Obligations described in such clause “</w:t>
      </w:r>
      <w:r>
        <w:rPr>
          <w:rFonts w:ascii="Arial" w:cs="Arial" w:eastAsia="Arial" w:hAnsi="Arial"/>
          <w:sz w:val="21"/>
          <w:szCs w:val="21"/>
          <w:u w:val="single" w:color="auto"/>
          <w:color w:val="auto"/>
        </w:rPr>
        <w:t>fourth</w:t>
      </w:r>
      <w:r>
        <w:rPr>
          <w:rFonts w:ascii="Arial" w:cs="Arial" w:eastAsia="Arial" w:hAnsi="Arial"/>
          <w:sz w:val="21"/>
          <w:szCs w:val="21"/>
          <w:color w:val="auto"/>
        </w:rPr>
        <w:t>” are the same as the proportional aggregate recoveries with respect to other Indebtedness pursuant to such clause).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w:t>
      </w:r>
    </w:p>
    <w:p>
      <w:pPr>
        <w:jc w:val="center"/>
        <w:spacing w:after="0"/>
        <w:rPr>
          <w:sz w:val="20"/>
          <w:szCs w:val="20"/>
          <w:color w:val="auto"/>
        </w:rPr>
      </w:pPr>
      <w:r>
        <w:rPr>
          <w:rFonts w:ascii="Arial" w:cs="Arial" w:eastAsia="Arial" w:hAnsi="Arial"/>
          <w:sz w:val="21"/>
          <w:szCs w:val="21"/>
          <w:b w:val="1"/>
          <w:bCs w:val="1"/>
          <w:color w:val="auto"/>
        </w:rPr>
        <w:t>The Administrative Agent</w:t>
      </w:r>
    </w:p>
    <w:p>
      <w:pPr>
        <w:spacing w:after="0" w:line="169"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 xml:space="preserve">Section 11.01 </w:t>
      </w:r>
      <w:r>
        <w:rPr>
          <w:rFonts w:ascii="Arial" w:cs="Arial" w:eastAsia="Arial" w:hAnsi="Arial"/>
          <w:sz w:val="21"/>
          <w:szCs w:val="21"/>
          <w:u w:val="single" w:color="auto"/>
          <w:color w:val="auto"/>
        </w:rPr>
        <w:t>Appointment; Powers.</w:t>
      </w:r>
      <w:r>
        <w:rPr>
          <w:rFonts w:ascii="Arial" w:cs="Arial" w:eastAsia="Arial" w:hAnsi="Arial"/>
          <w:sz w:val="21"/>
          <w:szCs w:val="21"/>
          <w:color w:val="auto"/>
        </w:rPr>
        <w:t xml:space="preserve"> Each of the Lenders and the Issuing Bank hereby irrevocably appoints the Administrative Agent as its agent and authorizes the Administrative Agent to take such actions on its behalf and to exercise such powers as are delegated to the Administrative Agent by the terms hereof and the other Loan Documents, together with such actions and powers as are reasonably incidental thereto.</w:t>
      </w:r>
    </w:p>
    <w:p>
      <w:pPr>
        <w:spacing w:after="0" w:line="158"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0"/>
          <w:szCs w:val="20"/>
          <w:color w:val="auto"/>
        </w:rPr>
        <w:t xml:space="preserve">Section 11.02 </w:t>
      </w:r>
      <w:r>
        <w:rPr>
          <w:rFonts w:ascii="Arial" w:cs="Arial" w:eastAsia="Arial" w:hAnsi="Arial"/>
          <w:sz w:val="20"/>
          <w:szCs w:val="20"/>
          <w:u w:val="single" w:color="auto"/>
          <w:color w:val="auto"/>
        </w:rPr>
        <w:t>Duties and Obligations of Administrative Agent.</w:t>
      </w:r>
      <w:r>
        <w:rPr>
          <w:rFonts w:ascii="Arial" w:cs="Arial" w:eastAsia="Arial" w:hAnsi="Arial"/>
          <w:sz w:val="20"/>
          <w:szCs w:val="20"/>
          <w:color w:val="auto"/>
        </w:rPr>
        <w:t xml:space="preserve">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(the use of the term “</w:t>
      </w:r>
      <w:r>
        <w:rPr>
          <w:rFonts w:ascii="Arial" w:cs="Arial" w:eastAsia="Arial" w:hAnsi="Arial"/>
          <w:sz w:val="20"/>
          <w:szCs w:val="20"/>
          <w:u w:val="single" w:color="auto"/>
          <w:color w:val="auto"/>
        </w:rPr>
        <w:t>agent</w:t>
      </w:r>
      <w:r>
        <w:rPr>
          <w:rFonts w:ascii="Arial" w:cs="Arial" w:eastAsia="Arial" w:hAnsi="Arial"/>
          <w:sz w:val="20"/>
          <w:szCs w:val="20"/>
          <w:color w:val="auto"/>
        </w:rPr>
        <w:t>” herein and in the other Loan Documents with reference to the Administrative Agent is not intended to connote any fiduciary or other implied (or express) obligations arising under agency doctrine of any applicable law; rather, such term is used merely as a matter of market custom, and is intended to create or reflect only an administrative relationship between independent contracting parties), (b) the Administrative Agent shall have no duty to take any discretionary action or exercise any discretionary powers, except as provided in Section 11.03, and (c) except as expressly set forth herein,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be deemed not to have knowledge of any Default unless and until written notice thereof is given to the Administrative Agent by the Borrower or a Lender, and shall not be responsible for or have any duty to ascertain or inquire into (i) any statement, warranty or representation made in or in connection with this Agreement or any other Loan Document, (ii) the contents of any certificate, report or other document delivered hereunder or under any other Loan Document or in connection herewith or therewith, (iii) the performance or observance of any of the covenants, agreements or other terms or conditions set forth herein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26" w:name="page227"/>
    <w:bookmarkEnd w:id="226"/>
    <w:p>
      <w:pPr>
        <w:jc w:val="both"/>
        <w:spacing w:after="0" w:line="241" w:lineRule="auto"/>
        <w:rPr>
          <w:sz w:val="20"/>
          <w:szCs w:val="20"/>
          <w:color w:val="auto"/>
        </w:rPr>
      </w:pPr>
      <w:r>
        <w:rPr>
          <w:rFonts w:ascii="Arial" w:cs="Arial" w:eastAsia="Arial" w:hAnsi="Arial"/>
          <w:sz w:val="19"/>
          <w:szCs w:val="19"/>
          <w:color w:val="auto"/>
        </w:rPr>
        <w:t>in any other Loan Document, (iv) the validity, enforceability, effectiveness or genuineness of this Agreement, any other Loan Document or any other agreement, instrument or document, (v) the satisfaction of any condition set forth in Article VI or elsewhere herein, other than to confirm receipt of items expressly required to be delivered to the Administrative Agent or as to those conditions precedent expressly required to be to the Administrative Agent’s satisfaction, (vi) the existence, value, perfection or priority of any collateral security or the financial or other condition of the Borrower and its Subsidiaries or any other obligor or guarantor, or (vii) any failure by the Borrower or any other Person (other than itself) to perform any of its obligations hereunder or under any other Loan Document or the performance or observance of any covenants, agreements or other terms or conditions set forth herein or therein. For purposes of determining compliance with the conditions specified in Article VI, each Lender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p>
    <w:p>
      <w:pPr>
        <w:spacing w:after="0" w:line="157" w:lineRule="exact"/>
        <w:rPr>
          <w:sz w:val="20"/>
          <w:szCs w:val="20"/>
          <w:color w:val="auto"/>
        </w:rPr>
      </w:pPr>
    </w:p>
    <w:p>
      <w:pPr>
        <w:jc w:val="both"/>
        <w:ind w:firstLine="643"/>
        <w:spacing w:after="0" w:line="226" w:lineRule="auto"/>
        <w:rPr>
          <w:sz w:val="20"/>
          <w:szCs w:val="20"/>
          <w:color w:val="auto"/>
        </w:rPr>
      </w:pPr>
      <w:r>
        <w:rPr>
          <w:rFonts w:ascii="Arial" w:cs="Arial" w:eastAsia="Arial" w:hAnsi="Arial"/>
          <w:sz w:val="20"/>
          <w:szCs w:val="20"/>
          <w:color w:val="auto"/>
        </w:rPr>
        <w:t xml:space="preserve">Section 11.03 </w:t>
      </w:r>
      <w:r>
        <w:rPr>
          <w:rFonts w:ascii="Arial" w:cs="Arial" w:eastAsia="Arial" w:hAnsi="Arial"/>
          <w:sz w:val="20"/>
          <w:szCs w:val="20"/>
          <w:u w:val="single" w:color="auto"/>
          <w:color w:val="auto"/>
        </w:rPr>
        <w:t>Action by Administrative Agent.</w:t>
      </w:r>
      <w:r>
        <w:rPr>
          <w:rFonts w:ascii="Arial" w:cs="Arial" w:eastAsia="Arial" w:hAnsi="Arial"/>
          <w:sz w:val="20"/>
          <w:szCs w:val="20"/>
          <w:color w:val="auto"/>
        </w:rPr>
        <w:t xml:space="preserve"> The Administrative Agent shall have no duty to take any discretionary action or exercise any discretionary powers, except discretionary rights and powers expressly contemplated hereby or by the other Loan Documents that the Administrative Agent is required to exercise in writing as directed by the Majority Lenders (or such other number or percentage of the Lenders as shall be necessary under the circumstances as provided in Section 12.02) and in all cases the Administrative Agent shall be fully justified in failing or refusing to act hereunder or under any other Loan Documents unless it shall (a) receive written instructions from the Majority Lenders or the Lenders, as applicable, (or such other number or percentage of the Lenders as shall be necessary under the circumstances as provided in Section 12.02) specifying the action to be taken and (b) be indemnified to its satisfaction by the Lenders against any and all liability and expenses which may be incurred by it by reason of taking or continuing to take any such action. The instructions as aforesaid and any action taken or failure to act pursuant thereto by the Administrative Agent shall be binding on all of the Lenders. If a Default has occurred and is continuing, then the Administrative Agent shall take such action with respect to such Default as shall be directed by the requisite Lenders in the written instructions (with indemnities) described in this Section 11.03, provided that, unless and until the Administrative Agent shall have received such directions, the Administrative Agent may (but shall not be obligated to) take such action, or refrain from taking such action, with respect to such Default as it shall deem advisable in the best interests of the Lenders. In no event, however, shall the Administrative Agent be required to take any action which exposes the Administrative Agent to personal liability or which is contrary to this Agreement, the Loan Documents or applicable law. If a Default has occurred and is continuing, neither of the Syndication Agents shall have any obligation to perform any act in respect thereof. The Administrative Agent shall not be liable for any action taken or not taken by it with the consent or at the request of the Majority Lenders or the Lenders (or such other number or percentage of the Lenders as shall be necessary under the circumstances as provided in Section 12.02), and otherwise the Administrative Agent shall not be liable for any action taken or not taken by it hereunder or under any other Loan Document or under any other document or instrument referred to or provided for herein or therein or in connection herewith or therewith INCLUDING ITS OWN ORDINARY NEGLIGENCE, except for its own gross negligence or willful misconduct.</w:t>
      </w:r>
    </w:p>
    <w:p>
      <w:pPr>
        <w:spacing w:after="0" w:line="161"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 xml:space="preserve">Section 11.04 </w:t>
      </w:r>
      <w:r>
        <w:rPr>
          <w:rFonts w:ascii="Arial" w:cs="Arial" w:eastAsia="Arial" w:hAnsi="Arial"/>
          <w:sz w:val="21"/>
          <w:szCs w:val="21"/>
          <w:u w:val="single" w:color="auto"/>
          <w:color w:val="auto"/>
        </w:rPr>
        <w:t>Reliance by Administrative Agent.</w:t>
      </w:r>
      <w:r>
        <w:rPr>
          <w:rFonts w:ascii="Arial" w:cs="Arial" w:eastAsia="Arial" w:hAnsi="Arial"/>
          <w:sz w:val="21"/>
          <w:szCs w:val="21"/>
          <w:color w:val="auto"/>
        </w:rPr>
        <w:t xml:space="preserve">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and each of the Borrower,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27" w:name="page228"/>
    <w:bookmarkEnd w:id="227"/>
    <w:p>
      <w:pPr>
        <w:jc w:val="both"/>
        <w:spacing w:after="0" w:line="233" w:lineRule="auto"/>
        <w:rPr>
          <w:sz w:val="20"/>
          <w:szCs w:val="20"/>
          <w:color w:val="auto"/>
        </w:rPr>
      </w:pPr>
      <w:r>
        <w:rPr>
          <w:rFonts w:ascii="Arial" w:cs="Arial" w:eastAsia="Arial" w:hAnsi="Arial"/>
          <w:sz w:val="20"/>
          <w:szCs w:val="20"/>
          <w:color w:val="auto"/>
        </w:rPr>
        <w:t>Lenders and the Issuing Bank hereby waives the right to dispute the Administrative Agent’s record of such statement, except in the case of gross negligence or willful misconduct by the Administrative Agent.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The Administrative Agent may deem and treat the payee of any Note as the holder thereof for all purposes hereof unless and until a written notice of the assignment or transfer thereof permitted hereunder shall have been filed with the Administrative Agent.</w:t>
      </w:r>
    </w:p>
    <w:p>
      <w:pPr>
        <w:spacing w:after="0" w:line="160" w:lineRule="exact"/>
        <w:rPr>
          <w:sz w:val="20"/>
          <w:szCs w:val="20"/>
          <w:color w:val="auto"/>
        </w:rPr>
      </w:pPr>
    </w:p>
    <w:p>
      <w:pPr>
        <w:jc w:val="both"/>
        <w:ind w:firstLine="643"/>
        <w:spacing w:after="0" w:line="233" w:lineRule="auto"/>
        <w:rPr>
          <w:sz w:val="20"/>
          <w:szCs w:val="20"/>
          <w:color w:val="auto"/>
        </w:rPr>
      </w:pPr>
      <w:r>
        <w:rPr>
          <w:rFonts w:ascii="Arial" w:cs="Arial" w:eastAsia="Arial" w:hAnsi="Arial"/>
          <w:sz w:val="20"/>
          <w:szCs w:val="20"/>
          <w:color w:val="auto"/>
        </w:rPr>
        <w:t xml:space="preserve">Section 11.05 </w:t>
      </w:r>
      <w:r>
        <w:rPr>
          <w:rFonts w:ascii="Arial" w:cs="Arial" w:eastAsia="Arial" w:hAnsi="Arial"/>
          <w:sz w:val="20"/>
          <w:szCs w:val="20"/>
          <w:u w:val="single" w:color="auto"/>
          <w:color w:val="auto"/>
        </w:rPr>
        <w:t>Subagents.</w:t>
      </w:r>
      <w:r>
        <w:rPr>
          <w:rFonts w:ascii="Arial" w:cs="Arial" w:eastAsia="Arial" w:hAnsi="Arial"/>
          <w:sz w:val="20"/>
          <w:szCs w:val="20"/>
          <w:color w:val="auto"/>
        </w:rPr>
        <w:t xml:space="preserve">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Sections of this Article XI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60" w:lineRule="exact"/>
        <w:rPr>
          <w:sz w:val="20"/>
          <w:szCs w:val="20"/>
          <w:color w:val="auto"/>
        </w:rPr>
      </w:pPr>
    </w:p>
    <w:p>
      <w:pPr>
        <w:jc w:val="both"/>
        <w:ind w:firstLine="643"/>
        <w:spacing w:after="0"/>
        <w:rPr>
          <w:sz w:val="20"/>
          <w:szCs w:val="20"/>
          <w:color w:val="auto"/>
        </w:rPr>
      </w:pPr>
      <w:r>
        <w:rPr>
          <w:rFonts w:ascii="Arial" w:cs="Arial" w:eastAsia="Arial" w:hAnsi="Arial"/>
          <w:sz w:val="19"/>
          <w:szCs w:val="19"/>
          <w:color w:val="auto"/>
        </w:rPr>
        <w:t xml:space="preserve">Section 11.06 </w:t>
      </w:r>
      <w:r>
        <w:rPr>
          <w:rFonts w:ascii="Arial" w:cs="Arial" w:eastAsia="Arial" w:hAnsi="Arial"/>
          <w:sz w:val="19"/>
          <w:szCs w:val="19"/>
          <w:u w:val="single" w:color="auto"/>
          <w:color w:val="auto"/>
        </w:rPr>
        <w:t>Resignation of the Administrative Agent.</w:t>
      </w:r>
      <w:r>
        <w:rPr>
          <w:rFonts w:ascii="Arial" w:cs="Arial" w:eastAsia="Arial" w:hAnsi="Arial"/>
          <w:sz w:val="19"/>
          <w:szCs w:val="19"/>
          <w:color w:val="auto"/>
        </w:rPr>
        <w:t xml:space="preserve"> Subject to the appointment and acceptance of a successor Administrative Agent as provided in this Section 11.06, the Administrative Agent may resign at any time by notifying the Lenders, the Issuing Bank and the Borrower. Upon any such resignation, the Majority Lenders shall have the right, subject, if no Event of Default exists, to the consent of the Borrower, to appoint a successor. If no successor shall have been so appointed by the Majority Lenders and shall have accepted such appointment within 30 days after the retiring Administrative Agent gives notice of its resignation, then the retiring Administrative Agent may, on behalf of the Lenders and the Issuing Bank, appoint a successor Administrative Agent.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Article XI and Section 12.03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59"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 xml:space="preserve">Section 11.07 </w:t>
      </w:r>
      <w:r>
        <w:rPr>
          <w:rFonts w:ascii="Arial" w:cs="Arial" w:eastAsia="Arial" w:hAnsi="Arial"/>
          <w:sz w:val="21"/>
          <w:szCs w:val="21"/>
          <w:u w:val="single" w:color="auto"/>
          <w:color w:val="auto"/>
        </w:rPr>
        <w:t>Agents as Lenders.</w:t>
      </w:r>
      <w:r>
        <w:rPr>
          <w:rFonts w:ascii="Arial" w:cs="Arial" w:eastAsia="Arial" w:hAnsi="Arial"/>
          <w:sz w:val="21"/>
          <w:szCs w:val="21"/>
          <w:color w:val="auto"/>
        </w:rPr>
        <w:t xml:space="preserve"> Each bank serving as an Agent hereunder shall have the same rights and powers in its capacity as a Lender as any other Lender and may exercise the same as though it were not an Agent, and such bank and its Affiliates may accept deposits from, lend money to and generally engage in any kind of business with the Borrower or any of its Subsidiaries or other Affiliate thereof as if it were not an Agent hereunder.</w:t>
      </w:r>
    </w:p>
    <w:p>
      <w:pPr>
        <w:spacing w:after="0" w:line="158" w:lineRule="exact"/>
        <w:rPr>
          <w:sz w:val="20"/>
          <w:szCs w:val="20"/>
          <w:color w:val="auto"/>
        </w:rPr>
      </w:pPr>
    </w:p>
    <w:p>
      <w:pPr>
        <w:jc w:val="both"/>
        <w:ind w:firstLine="643"/>
        <w:spacing w:after="0" w:line="231" w:lineRule="auto"/>
        <w:rPr>
          <w:sz w:val="20"/>
          <w:szCs w:val="20"/>
          <w:color w:val="auto"/>
        </w:rPr>
      </w:pPr>
      <w:r>
        <w:rPr>
          <w:rFonts w:ascii="Arial" w:cs="Arial" w:eastAsia="Arial" w:hAnsi="Arial"/>
          <w:sz w:val="20"/>
          <w:szCs w:val="20"/>
          <w:color w:val="auto"/>
        </w:rPr>
        <w:t xml:space="preserve">Section 11.08 </w:t>
      </w:r>
      <w:r>
        <w:rPr>
          <w:rFonts w:ascii="Arial" w:cs="Arial" w:eastAsia="Arial" w:hAnsi="Arial"/>
          <w:sz w:val="20"/>
          <w:szCs w:val="20"/>
          <w:u w:val="single" w:color="auto"/>
          <w:color w:val="auto"/>
        </w:rPr>
        <w:t>No Reliance.</w:t>
      </w:r>
      <w:r>
        <w:rPr>
          <w:rFonts w:ascii="Arial" w:cs="Arial" w:eastAsia="Arial" w:hAnsi="Arial"/>
          <w:sz w:val="20"/>
          <w:szCs w:val="20"/>
          <w:color w:val="auto"/>
        </w:rPr>
        <w:t xml:space="preserve"> Each Lender acknowledges that it has, independently and without reliance upon the Administrative Agent, any other Agent or any other Lender and based on such documents and information as it has deemed appropriate, made its own credit analysis and decision to enter into this Agreement and each other Loan Document to which it is a party. Each Lender also acknowledges that it will, independently and without reliance upon the Administrative Agent, any other Agent or any other Lender and based on such documents and information as it shall from time to time deem appropriate, continue to make its own decisions in taking or not taking action under or based upon this Agreement, any other Loan Document, any related agreement or any document furnished hereunder or thereunder. The Agents shall not be required to keep themselves informed as to the performance or observance by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28" w:name="page229"/>
    <w:bookmarkEnd w:id="228"/>
    <w:p>
      <w:pPr>
        <w:jc w:val="both"/>
        <w:spacing w:after="0" w:line="230" w:lineRule="auto"/>
        <w:rPr>
          <w:sz w:val="20"/>
          <w:szCs w:val="20"/>
          <w:color w:val="auto"/>
        </w:rPr>
      </w:pPr>
      <w:r>
        <w:rPr>
          <w:rFonts w:ascii="Arial" w:cs="Arial" w:eastAsia="Arial" w:hAnsi="Arial"/>
          <w:sz w:val="20"/>
          <w:szCs w:val="20"/>
          <w:color w:val="auto"/>
        </w:rPr>
        <w:t>any of its Subsidiaries of this Agreement, the Loan Documents or any other document referred to or provided for herein or to inspect the Properties or books of the Borrower or any of its Subsidiaries. Except for notices, reports and other documents and information expressly required to be furnished to the Lenders by the Administrative Agent hereunder, none of the Agents nor the Arranger shall have any duty or responsibility to provide any Lender with any credit or other information concerning the affairs, financial condition or business of the Borrower (or any of its Affiliates) which may come into the possession of the Administrative Agent or any of its Affiliates. In this regard, each Lender acknowledges that Vinson &amp; Elkins LLP is acting in this transaction as special counsel to the Administrative Agent only, except to the extent otherwise expressly stated in any legal opinion or any Loan Document. Each other party hereto will consult with its own legal counsel to the extent that it deems necessary in connection with the Loan Documents and the matters contemplated therein.</w:t>
      </w:r>
    </w:p>
    <w:p>
      <w:pPr>
        <w:spacing w:after="0" w:line="159" w:lineRule="exact"/>
        <w:rPr>
          <w:sz w:val="20"/>
          <w:szCs w:val="20"/>
          <w:color w:val="auto"/>
        </w:rPr>
      </w:pPr>
    </w:p>
    <w:p>
      <w:pPr>
        <w:jc w:val="both"/>
        <w:ind w:firstLine="643"/>
        <w:spacing w:after="0" w:line="235" w:lineRule="auto"/>
        <w:rPr>
          <w:sz w:val="20"/>
          <w:szCs w:val="20"/>
          <w:color w:val="auto"/>
        </w:rPr>
      </w:pPr>
      <w:r>
        <w:rPr>
          <w:rFonts w:ascii="Arial" w:cs="Arial" w:eastAsia="Arial" w:hAnsi="Arial"/>
          <w:sz w:val="20"/>
          <w:szCs w:val="20"/>
          <w:color w:val="auto"/>
        </w:rPr>
        <w:t xml:space="preserve">Section 11.09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xml:space="preserve"> In case of the pendency of any receivership, insolvency, liquidation, bankruptcy, reorganization, arrangement, adjustment, composition or other judicial proceeding relative to the Borrower or any of its Subsidiaries,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59" w:lineRule="exact"/>
        <w:rPr>
          <w:sz w:val="20"/>
          <w:szCs w:val="20"/>
          <w:color w:val="auto"/>
        </w:rPr>
      </w:pPr>
    </w:p>
    <w:p>
      <w:pPr>
        <w:jc w:val="both"/>
        <w:ind w:firstLine="1293"/>
        <w:spacing w:after="0" w:line="250" w:lineRule="auto"/>
        <w:tabs>
          <w:tab w:leader="none" w:pos="175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and all other Indebtedness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 12.03) allowed in such judicial proceeding; and</w:t>
      </w:r>
    </w:p>
    <w:p>
      <w:pPr>
        <w:spacing w:after="0" w:line="147" w:lineRule="exact"/>
        <w:rPr>
          <w:rFonts w:ascii="Arial" w:cs="Arial" w:eastAsia="Arial" w:hAnsi="Arial"/>
          <w:sz w:val="19"/>
          <w:szCs w:val="19"/>
          <w:color w:val="auto"/>
        </w:rPr>
      </w:pPr>
    </w:p>
    <w:p>
      <w:pPr>
        <w:ind w:left="1760" w:hanging="467"/>
        <w:spacing w:after="0"/>
        <w:tabs>
          <w:tab w:leader="none" w:pos="17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 same;</w:t>
      </w:r>
    </w:p>
    <w:p>
      <w:pPr>
        <w:spacing w:after="0" w:line="169"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 12.03.</w:t>
      </w:r>
    </w:p>
    <w:p>
      <w:pPr>
        <w:spacing w:after="0" w:line="159"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Nothing contained herein shall be deemed to authorize the Administrative Agent to authorize or consent to or accept or adopt on behalf of any Lender any plan of reorganization, arrangement, adjustment or composition affecting the Indebtedness or the rights of any Lender or to authorize the Administrative Agent to vote in respect of the claim of any Lender in any such proceeding.</w:t>
      </w:r>
    </w:p>
    <w:p>
      <w:pPr>
        <w:spacing w:after="0" w:line="158"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19"/>
          <w:szCs w:val="19"/>
          <w:color w:val="auto"/>
        </w:rPr>
        <w:t xml:space="preserve">Section 11.10 </w:t>
      </w:r>
      <w:r>
        <w:rPr>
          <w:rFonts w:ascii="Arial" w:cs="Arial" w:eastAsia="Arial" w:hAnsi="Arial"/>
          <w:sz w:val="19"/>
          <w:szCs w:val="19"/>
          <w:u w:val="single" w:color="auto"/>
          <w:color w:val="auto"/>
        </w:rPr>
        <w:t>Authority of Administrative Agent to Release Collateral and Guarantors.</w:t>
      </w:r>
      <w:r>
        <w:rPr>
          <w:rFonts w:ascii="Arial" w:cs="Arial" w:eastAsia="Arial" w:hAnsi="Arial"/>
          <w:sz w:val="19"/>
          <w:szCs w:val="19"/>
          <w:color w:val="auto"/>
        </w:rPr>
        <w:t xml:space="preserve"> Each Lender and the Issuing Bank hereby authorizes the Administrative Agent to (a) release any collateral that is permitted to be sold or released pursuant to the terms of the Loan Documents, (b) release any Guarantor from the Guaranty Agreement pursuant to the terms hereof or thereof and (c) subordinate any Lien on any collateral granted to or held by the Administrative Agent under any Loan Document to the holder of any Lien permitted pursuant to Section 9.03. Each Lender and the Issuing Bank hereby authorizes the Administrative Agent to execute and deliver to the Borrower, at the Borrower’s sole cost and expense, any and all releases of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29" w:name="page230"/>
    <w:bookmarkEnd w:id="229"/>
    <w:p>
      <w:pPr>
        <w:jc w:val="both"/>
        <w:spacing w:after="0" w:line="232" w:lineRule="auto"/>
        <w:rPr>
          <w:sz w:val="20"/>
          <w:szCs w:val="20"/>
          <w:color w:val="auto"/>
        </w:rPr>
      </w:pPr>
      <w:r>
        <w:rPr>
          <w:rFonts w:ascii="Arial" w:cs="Arial" w:eastAsia="Arial" w:hAnsi="Arial"/>
          <w:sz w:val="21"/>
          <w:szCs w:val="21"/>
          <w:color w:val="auto"/>
        </w:rPr>
        <w:t>termination statements, assignments, releases of guarantees or other documents reasonably requested by the Borrower in connection with (i) the events described in the preceding sentence and (ii) any designation of a Restricted Subsidiary as an Unrestricted Subsidiary in compliance with Section 9.19(b).</w:t>
      </w:r>
    </w:p>
    <w:p>
      <w:pPr>
        <w:spacing w:after="0" w:line="157"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 xml:space="preserve">Section 11.11 </w:t>
      </w:r>
      <w:r>
        <w:rPr>
          <w:rFonts w:ascii="Arial" w:cs="Arial" w:eastAsia="Arial" w:hAnsi="Arial"/>
          <w:sz w:val="21"/>
          <w:szCs w:val="21"/>
          <w:u w:val="single" w:color="auto"/>
          <w:color w:val="auto"/>
        </w:rPr>
        <w:t>The Arranger and the Syndication Agents.</w:t>
      </w:r>
      <w:r>
        <w:rPr>
          <w:rFonts w:ascii="Arial" w:cs="Arial" w:eastAsia="Arial" w:hAnsi="Arial"/>
          <w:sz w:val="21"/>
          <w:szCs w:val="21"/>
          <w:color w:val="auto"/>
        </w:rPr>
        <w:t xml:space="preserve"> The Arranger and the Syndication Agents shall have no duties, responsibilities or liabilities under this Agreement and the other Loan Documents other than their duties, responsibilities and liabilities in their capacity as Lenders hereunder.</w:t>
      </w:r>
    </w:p>
    <w:p>
      <w:pPr>
        <w:spacing w:after="0" w:line="157"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21"/>
          <w:szCs w:val="21"/>
          <w:color w:val="auto"/>
        </w:rPr>
        <w:t>Section 11.12</w:t>
      </w:r>
      <w:r>
        <w:rPr>
          <w:sz w:val="20"/>
          <w:szCs w:val="20"/>
          <w:color w:val="auto"/>
        </w:rPr>
        <w:tab/>
      </w:r>
      <w:r>
        <w:rPr>
          <w:rFonts w:ascii="Arial" w:cs="Arial" w:eastAsia="Arial" w:hAnsi="Arial"/>
          <w:sz w:val="18"/>
          <w:szCs w:val="18"/>
          <w:u w:val="single" w:color="auto"/>
          <w:color w:val="auto"/>
        </w:rPr>
        <w:t>Erroneous Payments.</w:t>
      </w:r>
    </w:p>
    <w:p>
      <w:pPr>
        <w:spacing w:after="0" w:line="187" w:lineRule="exact"/>
        <w:rPr>
          <w:sz w:val="20"/>
          <w:szCs w:val="20"/>
          <w:color w:val="auto"/>
        </w:rPr>
      </w:pPr>
    </w:p>
    <w:p>
      <w:pPr>
        <w:jc w:val="both"/>
        <w:ind w:firstLine="1293"/>
        <w:spacing w:after="0" w:line="239" w:lineRule="auto"/>
        <w:tabs>
          <w:tab w:leader="none" w:pos="175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Each Lender and the Issuing Bank hereby severally agrees that if (i) the Administrative Agent notifies (which such notice shall be conclusive absent manifest error) such Lender or Issuing Bank that the Administrative Agent has determined in its sole discretion that any funds received by such Lender or Issuing Bank from the Administrative Agent or any of its Affiliates were erroneously transmitted to, or otherwise erroneously or mistakenly received by, such Lender or Issuing Bank (whether or not known to such Lender or Issuing Bank) or (ii) it receives any payment from the Administrative Agent (or any of its Affiliates) (A) that is in a different amount than, or on a different date from, that specified in a notice of payment sent by the Administrative Agent (or any of its Affiliates) with respect to such payment, (B) that was not preceded or accompanied by a notice of payment sent by the Administrative Agent (or any of its Affiliates) with respect to such payment or (C) that such Lender or Issuing Bank otherwise becomes aware was transmitted, or received, in error or by mistake (in whole or in part) then, in each case an error in payment has been made (any such amounts specified in clauses (i) or (ii) of this Section 11.12(a), whether received as a payment, prepayment or repayment of principal, interest, fees or otherwise; individually and collectively, an “</w:t>
      </w:r>
      <w:r>
        <w:rPr>
          <w:rFonts w:ascii="Arial" w:cs="Arial" w:eastAsia="Arial" w:hAnsi="Arial"/>
          <w:sz w:val="19"/>
          <w:szCs w:val="19"/>
          <w:u w:val="single" w:color="auto"/>
          <w:color w:val="auto"/>
        </w:rPr>
        <w:t>Erroneous Payment</w:t>
      </w:r>
      <w:r>
        <w:rPr>
          <w:rFonts w:ascii="Arial" w:cs="Arial" w:eastAsia="Arial" w:hAnsi="Arial"/>
          <w:sz w:val="19"/>
          <w:szCs w:val="19"/>
          <w:color w:val="auto"/>
        </w:rPr>
        <w:t>”) and the Lender or the Issuing Bank, as the case may be, is deemed to have knowledge of such error at the time of its receipt of such Erroneous Payment and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w:t>
      </w:r>
    </w:p>
    <w:p>
      <w:pPr>
        <w:spacing w:after="0" w:line="160" w:lineRule="exact"/>
        <w:rPr>
          <w:rFonts w:ascii="Arial" w:cs="Arial" w:eastAsia="Arial" w:hAnsi="Arial"/>
          <w:sz w:val="19"/>
          <w:szCs w:val="19"/>
          <w:color w:val="auto"/>
        </w:rPr>
      </w:pPr>
    </w:p>
    <w:p>
      <w:pPr>
        <w:jc w:val="both"/>
        <w:ind w:firstLine="1293"/>
        <w:spacing w:after="0" w:line="242" w:lineRule="auto"/>
        <w:tabs>
          <w:tab w:leader="none" w:pos="179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Without limiting the immediately preceding clause (a), each Lender and the Issuing Bank agrees that, in the case of clause (a)(ii) above, it shall promptly (and, in all events, within one Business Day of its knowledge (or deemed knowledge) of such error) notify the Administrative Agent in writing of such occurrence and, in the case of either clause (a)(i) or (a)(ii) above upon demand from the Administrative Agent, it shall promptly, but in all events no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or Issuing Bank to the date such amount is repaid to the Administrative Agent in same day funds at the greater of the Federal Funds Effective Rate and a rate determined by the Administrative Agent in accordance with banking industry rules on interbank compensation from time to time in effect.</w:t>
      </w:r>
    </w:p>
    <w:p>
      <w:pPr>
        <w:spacing w:after="0" w:line="159" w:lineRule="exact"/>
        <w:rPr>
          <w:rFonts w:ascii="Arial" w:cs="Arial" w:eastAsia="Arial" w:hAnsi="Arial"/>
          <w:sz w:val="19"/>
          <w:szCs w:val="19"/>
          <w:color w:val="auto"/>
        </w:rPr>
      </w:pPr>
    </w:p>
    <w:p>
      <w:pPr>
        <w:jc w:val="both"/>
        <w:ind w:firstLine="1293"/>
        <w:spacing w:after="0" w:line="238" w:lineRule="auto"/>
        <w:tabs>
          <w:tab w:leader="none" w:pos="175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Borrower and each other Loan Party hereby agrees that (i) in the event an Erroneous Payment (or portion thereof) is not recovered from any Lender or the Issuing Bank that has received such Erroneous Payment (or portion thereof) for any reason, the Administrative Agent shall be subrogated to all the rights of such Lender or the Issuing Bank with respect to such amount, (ii) an Erroneous Payment shall not pay, prepay, repay, discharge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30" w:name="page231"/>
    <w:bookmarkEnd w:id="230"/>
    <w:p>
      <w:pPr>
        <w:jc w:val="both"/>
        <w:spacing w:after="0" w:line="255" w:lineRule="auto"/>
        <w:rPr>
          <w:sz w:val="20"/>
          <w:szCs w:val="20"/>
          <w:color w:val="auto"/>
        </w:rPr>
      </w:pPr>
      <w:r>
        <w:rPr>
          <w:rFonts w:ascii="Arial" w:cs="Arial" w:eastAsia="Arial" w:hAnsi="Arial"/>
          <w:sz w:val="19"/>
          <w:szCs w:val="19"/>
          <w:color w:val="auto"/>
        </w:rPr>
        <w:t>satisfy any Indebtedness owed by the Borrower or any other Loan Party and (iii) to the extent that an Erroneous Payment was in any way or at any time credited as payment or satisfaction of any of the Indebtedness, the Indebtedness or any part thereof that were so credited, and all rights of the applicable Lender, Issuing Bank, Administrative Agent, or Other Secured Person, as the case may be, shall be reinstated and continue in full force and effect as if such payment or satisfaction had never been received.</w:t>
      </w:r>
    </w:p>
    <w:p>
      <w:pPr>
        <w:spacing w:after="0" w:line="143" w:lineRule="exact"/>
        <w:rPr>
          <w:sz w:val="20"/>
          <w:szCs w:val="20"/>
          <w:color w:val="auto"/>
        </w:rPr>
      </w:pPr>
    </w:p>
    <w:p>
      <w:pPr>
        <w:jc w:val="both"/>
        <w:ind w:firstLine="1293"/>
        <w:spacing w:after="0" w:line="265" w:lineRule="auto"/>
        <w:tabs>
          <w:tab w:leader="none" w:pos="1958" w:val="left"/>
        </w:tabs>
        <w:numPr>
          <w:ilvl w:val="0"/>
          <w:numId w:val="170"/>
        </w:numPr>
        <w:rPr>
          <w:rFonts w:ascii="Arial" w:cs="Arial" w:eastAsia="Arial" w:hAnsi="Arial"/>
          <w:sz w:val="19"/>
          <w:szCs w:val="19"/>
          <w:color w:val="auto"/>
        </w:rPr>
      </w:pPr>
      <w:r>
        <w:rPr>
          <w:rFonts w:ascii="Arial" w:cs="Arial" w:eastAsia="Arial" w:hAnsi="Arial"/>
          <w:sz w:val="19"/>
          <w:szCs w:val="19"/>
          <w:color w:val="auto"/>
        </w:rPr>
        <w:t>Each party’s obligations under this Section 11.12 shall survive the resignation or replacement of the Administrative Agent or any transfer of right or obligations by, or the replacement of, a Lender, the termination of the Commitments or the repayment, satisfaction or discharge of all Indebtedness (or any portion thereof) under any Loan Document.</w:t>
      </w:r>
    </w:p>
    <w:p>
      <w:pPr>
        <w:spacing w:after="0" w:line="124" w:lineRule="exact"/>
        <w:rPr>
          <w:sz w:val="20"/>
          <w:szCs w:val="20"/>
          <w:color w:val="auto"/>
        </w:rPr>
      </w:pPr>
    </w:p>
    <w:p>
      <w:pPr>
        <w:ind w:left="4960"/>
        <w:spacing w:after="0"/>
        <w:rPr>
          <w:sz w:val="20"/>
          <w:szCs w:val="20"/>
          <w:color w:val="auto"/>
        </w:rPr>
      </w:pPr>
      <w:r>
        <w:rPr>
          <w:rFonts w:ascii="Arial" w:cs="Arial" w:eastAsia="Arial" w:hAnsi="Arial"/>
          <w:sz w:val="21"/>
          <w:szCs w:val="21"/>
          <w:b w:val="1"/>
          <w:bCs w:val="1"/>
          <w:color w:val="auto"/>
        </w:rPr>
        <w:t>ARTICLE XII</w:t>
      </w:r>
    </w:p>
    <w:p>
      <w:pPr>
        <w:ind w:left="4980"/>
        <w:spacing w:after="0"/>
        <w:rPr>
          <w:sz w:val="20"/>
          <w:szCs w:val="20"/>
          <w:color w:val="auto"/>
        </w:rPr>
      </w:pPr>
      <w:r>
        <w:rPr>
          <w:rFonts w:ascii="Arial" w:cs="Arial" w:eastAsia="Arial" w:hAnsi="Arial"/>
          <w:sz w:val="21"/>
          <w:szCs w:val="21"/>
          <w:b w:val="1"/>
          <w:bCs w:val="1"/>
          <w:color w:val="auto"/>
        </w:rPr>
        <w:t>Miscellaneous</w:t>
      </w:r>
    </w:p>
    <w:p>
      <w:pPr>
        <w:spacing w:after="0" w:line="169"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21"/>
          <w:szCs w:val="21"/>
          <w:color w:val="auto"/>
        </w:rPr>
        <w:t>Section 12.01</w:t>
      </w:r>
      <w:r>
        <w:rPr>
          <w:sz w:val="20"/>
          <w:szCs w:val="20"/>
          <w:color w:val="auto"/>
        </w:rPr>
        <w:tab/>
      </w:r>
      <w:r>
        <w:rPr>
          <w:rFonts w:ascii="Arial" w:cs="Arial" w:eastAsia="Arial" w:hAnsi="Arial"/>
          <w:sz w:val="19"/>
          <w:szCs w:val="19"/>
          <w:u w:val="single" w:color="auto"/>
          <w:color w:val="auto"/>
        </w:rPr>
        <w:t>Notices.</w:t>
      </w:r>
    </w:p>
    <w:p>
      <w:pPr>
        <w:spacing w:after="0" w:line="187" w:lineRule="exact"/>
        <w:rPr>
          <w:sz w:val="20"/>
          <w:szCs w:val="20"/>
          <w:color w:val="auto"/>
        </w:rPr>
      </w:pPr>
    </w:p>
    <w:p>
      <w:pPr>
        <w:jc w:val="both"/>
        <w:ind w:firstLine="1293"/>
        <w:spacing w:after="0" w:line="232" w:lineRule="auto"/>
        <w:tabs>
          <w:tab w:leader="none" w:pos="1815" w:val="left"/>
        </w:tabs>
        <w:numPr>
          <w:ilvl w:val="0"/>
          <w:numId w:val="171"/>
        </w:numPr>
        <w:rPr>
          <w:rFonts w:ascii="Arial" w:cs="Arial" w:eastAsia="Arial" w:hAnsi="Arial"/>
          <w:sz w:val="21"/>
          <w:szCs w:val="21"/>
          <w:color w:val="auto"/>
        </w:rPr>
      </w:pPr>
      <w:r>
        <w:rPr>
          <w:rFonts w:ascii="Arial" w:cs="Arial" w:eastAsia="Arial" w:hAnsi="Arial"/>
          <w:sz w:val="21"/>
          <w:szCs w:val="21"/>
          <w:color w:val="auto"/>
        </w:rPr>
        <w:t>Except in the case of notices and other communications expressly permitted to be given by telephone (and subject to Section 12.01(b)), all notices and other communications provided for herein shall be in writing and shall be delivered by hand or overnight courier service, mailed by certified or registered mail or sent by telecopy, as follows:</w:t>
      </w:r>
    </w:p>
    <w:p>
      <w:pPr>
        <w:spacing w:after="0" w:line="156" w:lineRule="exact"/>
        <w:rPr>
          <w:rFonts w:ascii="Arial" w:cs="Arial" w:eastAsia="Arial" w:hAnsi="Arial"/>
          <w:sz w:val="21"/>
          <w:szCs w:val="21"/>
          <w:color w:val="auto"/>
        </w:rPr>
      </w:pPr>
    </w:p>
    <w:p>
      <w:pPr>
        <w:ind w:left="2360" w:hanging="425"/>
        <w:spacing w:after="0"/>
        <w:tabs>
          <w:tab w:leader="none" w:pos="2360" w:val="left"/>
        </w:tabs>
        <w:numPr>
          <w:ilvl w:val="1"/>
          <w:numId w:val="171"/>
        </w:numPr>
        <w:rPr>
          <w:rFonts w:ascii="Arial" w:cs="Arial" w:eastAsia="Arial" w:hAnsi="Arial"/>
          <w:sz w:val="21"/>
          <w:szCs w:val="21"/>
          <w:color w:val="auto"/>
        </w:rPr>
      </w:pPr>
      <w:r>
        <w:rPr>
          <w:rFonts w:ascii="Arial" w:cs="Arial" w:eastAsia="Arial" w:hAnsi="Arial"/>
          <w:sz w:val="21"/>
          <w:szCs w:val="21"/>
          <w:color w:val="auto"/>
        </w:rPr>
        <w:t>if to the Borrower, to it at:</w:t>
      </w:r>
    </w:p>
    <w:p>
      <w:pPr>
        <w:spacing w:after="0" w:line="178"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Viper Energy Partners LLC</w:t>
      </w:r>
    </w:p>
    <w:p>
      <w:pPr>
        <w:ind w:left="2580"/>
        <w:spacing w:after="0" w:line="212" w:lineRule="auto"/>
        <w:rPr>
          <w:sz w:val="20"/>
          <w:szCs w:val="20"/>
          <w:color w:val="auto"/>
        </w:rPr>
      </w:pPr>
      <w:r>
        <w:rPr>
          <w:rFonts w:ascii="Arial" w:cs="Arial" w:eastAsia="Arial" w:hAnsi="Arial"/>
          <w:sz w:val="21"/>
          <w:szCs w:val="21"/>
          <w:color w:val="auto"/>
        </w:rPr>
        <w:t>500 West Texas, Suite 1200</w:t>
      </w:r>
    </w:p>
    <w:p>
      <w:pPr>
        <w:ind w:left="2580"/>
        <w:spacing w:after="0" w:line="213" w:lineRule="auto"/>
        <w:rPr>
          <w:sz w:val="20"/>
          <w:szCs w:val="20"/>
          <w:color w:val="auto"/>
        </w:rPr>
      </w:pPr>
      <w:r>
        <w:rPr>
          <w:rFonts w:ascii="Arial" w:cs="Arial" w:eastAsia="Arial" w:hAnsi="Arial"/>
          <w:sz w:val="21"/>
          <w:szCs w:val="21"/>
          <w:color w:val="auto"/>
        </w:rPr>
        <w:t>Midland, Texas 79701</w:t>
      </w:r>
    </w:p>
    <w:p>
      <w:pPr>
        <w:ind w:left="2580"/>
        <w:spacing w:after="0" w:line="213" w:lineRule="auto"/>
        <w:rPr>
          <w:sz w:val="20"/>
          <w:szCs w:val="20"/>
          <w:color w:val="auto"/>
        </w:rPr>
      </w:pPr>
      <w:r>
        <w:rPr>
          <w:rFonts w:ascii="Arial" w:cs="Arial" w:eastAsia="Arial" w:hAnsi="Arial"/>
          <w:sz w:val="21"/>
          <w:szCs w:val="21"/>
          <w:color w:val="auto"/>
        </w:rPr>
        <w:t>Attention: Teresa L. Dick, CFO</w:t>
      </w:r>
    </w:p>
    <w:p>
      <w:pPr>
        <w:ind w:left="2580"/>
        <w:spacing w:after="0" w:line="213" w:lineRule="auto"/>
        <w:rPr>
          <w:sz w:val="20"/>
          <w:szCs w:val="20"/>
          <w:color w:val="auto"/>
        </w:rPr>
      </w:pPr>
      <w:r>
        <w:rPr>
          <w:rFonts w:ascii="Arial" w:cs="Arial" w:eastAsia="Arial" w:hAnsi="Arial"/>
          <w:sz w:val="21"/>
          <w:szCs w:val="21"/>
          <w:color w:val="auto"/>
        </w:rPr>
        <w:t>Telecopy: 405-463-6968</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email: tdick@diamondbackenergy.com</w:t>
      </w:r>
    </w:p>
    <w:p>
      <w:pPr>
        <w:spacing w:after="0" w:line="169" w:lineRule="exact"/>
        <w:rPr>
          <w:sz w:val="20"/>
          <w:szCs w:val="20"/>
          <w:color w:val="auto"/>
        </w:rPr>
      </w:pPr>
    </w:p>
    <w:p>
      <w:pPr>
        <w:ind w:left="1940"/>
        <w:spacing w:after="0"/>
        <w:tabs>
          <w:tab w:leader="none" w:pos="2400" w:val="left"/>
        </w:tabs>
        <w:rPr>
          <w:sz w:val="20"/>
          <w:szCs w:val="20"/>
          <w:color w:val="auto"/>
        </w:rPr>
      </w:pPr>
      <w:r>
        <w:rPr>
          <w:rFonts w:ascii="Arial" w:cs="Arial" w:eastAsia="Arial" w:hAnsi="Arial"/>
          <w:sz w:val="21"/>
          <w:szCs w:val="21"/>
          <w:color w:val="auto"/>
        </w:rPr>
        <w:t>(ii)</w:t>
      </w:r>
      <w:r>
        <w:rPr>
          <w:sz w:val="20"/>
          <w:szCs w:val="20"/>
          <w:color w:val="auto"/>
        </w:rPr>
        <w:tab/>
      </w:r>
      <w:r>
        <w:rPr>
          <w:rFonts w:ascii="Arial" w:cs="Arial" w:eastAsia="Arial" w:hAnsi="Arial"/>
          <w:sz w:val="19"/>
          <w:szCs w:val="19"/>
          <w:color w:val="auto"/>
        </w:rPr>
        <w:t>if to the Administrative Agent or the Issuing Bank, to it at:</w:t>
      </w:r>
    </w:p>
    <w:p>
      <w:pPr>
        <w:spacing w:after="0" w:line="178"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Wells Fargo Bank, National Association</w:t>
      </w:r>
    </w:p>
    <w:p>
      <w:pPr>
        <w:ind w:left="2580"/>
        <w:spacing w:after="0" w:line="212" w:lineRule="auto"/>
        <w:rPr>
          <w:sz w:val="20"/>
          <w:szCs w:val="20"/>
          <w:color w:val="auto"/>
        </w:rPr>
      </w:pPr>
      <w:r>
        <w:rPr>
          <w:rFonts w:ascii="Arial" w:cs="Arial" w:eastAsia="Arial" w:hAnsi="Arial"/>
          <w:sz w:val="21"/>
          <w:szCs w:val="21"/>
          <w:color w:val="auto"/>
        </w:rPr>
        <w:t>1525 West W.T. Harris Boulevard</w:t>
      </w:r>
    </w:p>
    <w:p>
      <w:pPr>
        <w:ind w:left="2580"/>
        <w:spacing w:after="0" w:line="213" w:lineRule="auto"/>
        <w:rPr>
          <w:sz w:val="20"/>
          <w:szCs w:val="20"/>
          <w:color w:val="auto"/>
        </w:rPr>
      </w:pPr>
      <w:r>
        <w:rPr>
          <w:rFonts w:ascii="Arial" w:cs="Arial" w:eastAsia="Arial" w:hAnsi="Arial"/>
          <w:sz w:val="21"/>
          <w:szCs w:val="21"/>
          <w:color w:val="auto"/>
        </w:rPr>
        <w:t>MAC D1109-019</w:t>
      </w:r>
    </w:p>
    <w:p>
      <w:pPr>
        <w:ind w:left="2580"/>
        <w:spacing w:after="0" w:line="213" w:lineRule="auto"/>
        <w:rPr>
          <w:sz w:val="20"/>
          <w:szCs w:val="20"/>
          <w:color w:val="auto"/>
        </w:rPr>
      </w:pPr>
      <w:r>
        <w:rPr>
          <w:rFonts w:ascii="Arial" w:cs="Arial" w:eastAsia="Arial" w:hAnsi="Arial"/>
          <w:sz w:val="21"/>
          <w:szCs w:val="21"/>
          <w:color w:val="auto"/>
        </w:rPr>
        <w:t>Charlotte, NC 28252</w:t>
      </w:r>
    </w:p>
    <w:p>
      <w:pPr>
        <w:ind w:left="2580"/>
        <w:spacing w:after="0" w:line="213" w:lineRule="auto"/>
        <w:rPr>
          <w:sz w:val="20"/>
          <w:szCs w:val="20"/>
          <w:color w:val="auto"/>
        </w:rPr>
      </w:pPr>
      <w:r>
        <w:rPr>
          <w:rFonts w:ascii="Arial" w:cs="Arial" w:eastAsia="Arial" w:hAnsi="Arial"/>
          <w:sz w:val="21"/>
          <w:szCs w:val="21"/>
          <w:color w:val="auto"/>
        </w:rPr>
        <w:t>Attention: Dugan McDermott</w:t>
      </w:r>
    </w:p>
    <w:p>
      <w:pPr>
        <w:ind w:left="2580"/>
        <w:spacing w:after="0" w:line="213" w:lineRule="auto"/>
        <w:rPr>
          <w:sz w:val="20"/>
          <w:szCs w:val="20"/>
          <w:color w:val="auto"/>
        </w:rPr>
      </w:pPr>
      <w:r>
        <w:rPr>
          <w:rFonts w:ascii="Arial" w:cs="Arial" w:eastAsia="Arial" w:hAnsi="Arial"/>
          <w:sz w:val="21"/>
          <w:szCs w:val="21"/>
          <w:color w:val="auto"/>
        </w:rPr>
        <w:t>Telecopy: 704.590.2082</w:t>
      </w:r>
    </w:p>
    <w:p>
      <w:pPr>
        <w:ind w:left="2580"/>
        <w:spacing w:after="0" w:line="213" w:lineRule="auto"/>
        <w:rPr>
          <w:sz w:val="20"/>
          <w:szCs w:val="20"/>
          <w:color w:val="auto"/>
        </w:rPr>
      </w:pPr>
      <w:r>
        <w:rPr>
          <w:rFonts w:ascii="Arial" w:cs="Arial" w:eastAsia="Arial" w:hAnsi="Arial"/>
          <w:sz w:val="21"/>
          <w:szCs w:val="21"/>
          <w:color w:val="auto"/>
        </w:rPr>
        <w:t xml:space="preserve">e-mail: </w:t>
      </w:r>
      <w:r>
        <w:rPr>
          <w:rFonts w:ascii="Arial" w:cs="Arial" w:eastAsia="Arial" w:hAnsi="Arial"/>
          <w:sz w:val="21"/>
          <w:szCs w:val="21"/>
          <w:u w:val="single" w:color="auto"/>
          <w:color w:val="auto"/>
        </w:rPr>
        <w:t>Dugan.Mcdermott@wellsfargo.com</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21"/>
          <w:szCs w:val="21"/>
          <w:u w:val="single" w:color="auto"/>
          <w:color w:val="auto"/>
        </w:rPr>
        <w:t>Agencyservices.requests@wellsfargo.com</w:t>
      </w:r>
    </w:p>
    <w:p>
      <w:pPr>
        <w:spacing w:after="0" w:line="160" w:lineRule="exact"/>
        <w:rPr>
          <w:sz w:val="20"/>
          <w:szCs w:val="20"/>
          <w:color w:val="auto"/>
        </w:rPr>
      </w:pPr>
    </w:p>
    <w:p>
      <w:pPr>
        <w:ind w:left="1940"/>
        <w:spacing w:after="0"/>
        <w:tabs>
          <w:tab w:leader="none" w:pos="2620" w:val="left"/>
        </w:tabs>
        <w:rPr>
          <w:sz w:val="20"/>
          <w:szCs w:val="20"/>
          <w:color w:val="auto"/>
        </w:rPr>
      </w:pPr>
      <w:r>
        <w:rPr>
          <w:rFonts w:ascii="Arial" w:cs="Arial" w:eastAsia="Arial" w:hAnsi="Arial"/>
          <w:sz w:val="21"/>
          <w:szCs w:val="21"/>
          <w:color w:val="auto"/>
        </w:rPr>
        <w:t>(iii)</w:t>
      </w:r>
      <w:r>
        <w:rPr>
          <w:sz w:val="20"/>
          <w:szCs w:val="20"/>
          <w:color w:val="auto"/>
        </w:rPr>
        <w:tab/>
      </w:r>
      <w:r>
        <w:rPr>
          <w:rFonts w:ascii="Arial" w:cs="Arial" w:eastAsia="Arial" w:hAnsi="Arial"/>
          <w:sz w:val="21"/>
          <w:szCs w:val="21"/>
          <w:color w:val="auto"/>
        </w:rPr>
        <w:t>if to any other Lender, to it at its address (or telecopy number) set forth in its Administrative</w:t>
      </w:r>
    </w:p>
    <w:p>
      <w:pPr>
        <w:spacing w:after="0"/>
        <w:rPr>
          <w:sz w:val="20"/>
          <w:szCs w:val="20"/>
          <w:color w:val="auto"/>
        </w:rPr>
      </w:pPr>
      <w:r>
        <w:rPr>
          <w:rFonts w:ascii="Arial" w:cs="Arial" w:eastAsia="Arial" w:hAnsi="Arial"/>
          <w:sz w:val="21"/>
          <w:szCs w:val="21"/>
          <w:color w:val="auto"/>
        </w:rPr>
        <w:t>Questionnaire.</w:t>
      </w:r>
    </w:p>
    <w:p>
      <w:pPr>
        <w:spacing w:after="0" w:line="169" w:lineRule="exact"/>
        <w:rPr>
          <w:sz w:val="20"/>
          <w:szCs w:val="20"/>
          <w:color w:val="auto"/>
        </w:rPr>
      </w:pPr>
    </w:p>
    <w:p>
      <w:pPr>
        <w:jc w:val="both"/>
        <w:ind w:firstLine="1293"/>
        <w:spacing w:after="0" w:line="222" w:lineRule="auto"/>
        <w:tabs>
          <w:tab w:leader="none" w:pos="1865" w:val="left"/>
        </w:tabs>
        <w:numPr>
          <w:ilvl w:val="0"/>
          <w:numId w:val="172"/>
        </w:numPr>
        <w:rPr>
          <w:rFonts w:ascii="Arial" w:cs="Arial" w:eastAsia="Arial" w:hAnsi="Arial"/>
          <w:sz w:val="21"/>
          <w:szCs w:val="21"/>
          <w:color w:val="auto"/>
        </w:rPr>
      </w:pPr>
      <w:r>
        <w:rPr>
          <w:rFonts w:ascii="Arial" w:cs="Arial" w:eastAsia="Arial" w:hAnsi="Arial"/>
          <w:sz w:val="21"/>
          <w:szCs w:val="21"/>
          <w:color w:val="auto"/>
        </w:rPr>
        <w:t>Notices and other communications to the Lenders hereunder may be delivered or furnished by electronic communications pursuant to procedures approved by the Administrative Agent; provided that the foregoing shall not apply to notices pursuant to Article II, Article III, Article IV and Article V unless otherwise agreed by the Administrative Agent and the applicable Lender.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31" w:name="page232"/>
    <w:bookmarkEnd w:id="231"/>
    <w:p>
      <w:pPr>
        <w:jc w:val="both"/>
        <w:ind w:firstLine="1293"/>
        <w:spacing w:after="0" w:line="232" w:lineRule="auto"/>
        <w:tabs>
          <w:tab w:leader="none" w:pos="1976" w:val="left"/>
        </w:tabs>
        <w:numPr>
          <w:ilvl w:val="0"/>
          <w:numId w:val="173"/>
        </w:numPr>
        <w:rPr>
          <w:rFonts w:ascii="Arial" w:cs="Arial" w:eastAsia="Arial" w:hAnsi="Arial"/>
          <w:sz w:val="21"/>
          <w:szCs w:val="21"/>
          <w:color w:val="auto"/>
        </w:rPr>
      </w:pPr>
      <w:r>
        <w:rPr>
          <w:rFonts w:ascii="Arial" w:cs="Arial" w:eastAsia="Arial" w:hAnsi="Arial"/>
          <w:sz w:val="21"/>
          <w:szCs w:val="21"/>
          <w:color w:val="auto"/>
        </w:rPr>
        <w:t>Any party hereto may change its address, email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57"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21"/>
          <w:szCs w:val="21"/>
          <w:color w:val="auto"/>
        </w:rPr>
        <w:t>Section 12.02</w:t>
      </w:r>
      <w:r>
        <w:rPr>
          <w:sz w:val="20"/>
          <w:szCs w:val="20"/>
          <w:color w:val="auto"/>
        </w:rPr>
        <w:tab/>
      </w:r>
      <w:r>
        <w:rPr>
          <w:rFonts w:ascii="Arial" w:cs="Arial" w:eastAsia="Arial" w:hAnsi="Arial"/>
          <w:sz w:val="19"/>
          <w:szCs w:val="19"/>
          <w:u w:val="single" w:color="auto"/>
          <w:color w:val="auto"/>
        </w:rPr>
        <w:t>Waivers; Amendments.</w:t>
      </w:r>
    </w:p>
    <w:p>
      <w:pPr>
        <w:spacing w:after="0" w:line="187" w:lineRule="exact"/>
        <w:rPr>
          <w:sz w:val="20"/>
          <w:szCs w:val="20"/>
          <w:color w:val="auto"/>
        </w:rPr>
      </w:pPr>
    </w:p>
    <w:p>
      <w:pPr>
        <w:jc w:val="both"/>
        <w:ind w:firstLine="1293"/>
        <w:spacing w:after="0" w:line="217" w:lineRule="auto"/>
        <w:tabs>
          <w:tab w:leader="none" w:pos="1859" w:val="left"/>
        </w:tabs>
        <w:numPr>
          <w:ilvl w:val="1"/>
          <w:numId w:val="174"/>
        </w:numPr>
        <w:rPr>
          <w:rFonts w:ascii="Arial" w:cs="Arial" w:eastAsia="Arial" w:hAnsi="Arial"/>
          <w:sz w:val="21"/>
          <w:szCs w:val="21"/>
          <w:color w:val="auto"/>
        </w:rPr>
      </w:pPr>
      <w:r>
        <w:rPr>
          <w:rFonts w:ascii="Arial" w:cs="Arial" w:eastAsia="Arial" w:hAnsi="Arial"/>
          <w:sz w:val="21"/>
          <w:szCs w:val="21"/>
          <w:color w:val="auto"/>
        </w:rPr>
        <w:t>No failure on the part of the Administrative Agent, any other Agent, the Issuing Bank or any Lender to exercise and no delay in exercising, and no course of dealing with respect to, any right, power or privilege, or any abandonment or discontinuance of steps to enforce such right, power or privilege, under any of the Loan Documents shall operate as a waiver thereof, nor shall any single or partial exercise of any right, power or privilege under any of the Loan Documents preclude any other or further exercise thereof or the exercise of any other right, power or privilege. The rights and remedies of the Administrative Agent, each other Agent, the Issuing Bank and the Lenders hereunder and under the other Loan Documents are cumulative and are not exclusive of any rights or remedies that they would otherwise have. No waiver of any provision of this Agreement or any other Loan Document or consent to any departure by the Borrower or any of the Restricted Subsidiaries therefrom shall in any event be effective unless the same shall be permitted by Section 12.02(b),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other Agent, any Lender or the Issuing Bank may have had notice or knowledge of such Default at the time.</w:t>
      </w:r>
    </w:p>
    <w:p>
      <w:pPr>
        <w:spacing w:after="0" w:line="160" w:lineRule="exact"/>
        <w:rPr>
          <w:rFonts w:ascii="Arial" w:cs="Arial" w:eastAsia="Arial" w:hAnsi="Arial"/>
          <w:sz w:val="21"/>
          <w:szCs w:val="21"/>
          <w:color w:val="auto"/>
        </w:rPr>
      </w:pPr>
    </w:p>
    <w:p>
      <w:pPr>
        <w:jc w:val="both"/>
        <w:ind w:firstLine="1293"/>
        <w:spacing w:after="0"/>
        <w:tabs>
          <w:tab w:leader="none" w:pos="1877" w:val="left"/>
        </w:tabs>
        <w:numPr>
          <w:ilvl w:val="1"/>
          <w:numId w:val="174"/>
        </w:numPr>
        <w:rPr>
          <w:rFonts w:ascii="Arial" w:cs="Arial" w:eastAsia="Arial" w:hAnsi="Arial"/>
          <w:sz w:val="19"/>
          <w:szCs w:val="19"/>
          <w:color w:val="auto"/>
        </w:rPr>
      </w:pPr>
      <w:r>
        <w:rPr>
          <w:rFonts w:ascii="Arial" w:cs="Arial" w:eastAsia="Arial" w:hAnsi="Arial"/>
          <w:sz w:val="19"/>
          <w:szCs w:val="19"/>
          <w:color w:val="auto"/>
        </w:rPr>
        <w:t>Subject to 3.02(f) and Section 3.03(c) with respect to the implementation of a Benchmark Replacement, neither this Agreement nor any provision hereof nor any Security Instrument nor any provision thereof may be waived, amended or modified except pursuant to an agreement or agreements in writing entered into by the Borrower and the Majority Lenders or by the Borrower and the Administrative Agent with the consent of the Majority Lenders; provided that no such agreement shall</w:t>
      </w:r>
    </w:p>
    <w:p>
      <w:pPr>
        <w:jc w:val="both"/>
        <w:ind w:firstLine="7"/>
        <w:spacing w:after="0" w:line="225" w:lineRule="auto"/>
        <w:tabs>
          <w:tab w:leader="none" w:pos="265"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increase the Commitment or Elected Commitment or the Maximum Credit Amount of any Lender without the written consent of such Lender, (ii) increase the Borrowing Base without the written consent of each Lender, decrease or maintain the Borrowing Base without the consent of the Required Lenders or modify Section 2.07 in any manner without the consent of each Lender; provided that (A) a Scheduled Redetermination may be postponed by the Required Lenders and (B) reductions of the Borrowing Base pursuant to Section 2.07(f), Section 9.05(m) or Section 9.12 may be waived or reduced with the consent of the Required Lenders, (iii) reduce the principal amount of any Loan or LC Disbursement or reduce the rate of interest thereon, or reduce any fees payable hereunder, or reduce any other Indebtedness hereunder or under any other Loan Document, without the written consent of each Lender affected thereby, (iv) postpone the scheduled date of payment or prepayment of the principal amount of any Loan or LC Disbursement, or any interest thereon, or any fees payable hereunder, or any other Indebtedness hereunder or under any other Loan Document, or reduce the amount of, waive or excuse any such payment, or postpone or extend the Termination Date without the written consent of each Lender affected thereby, (v) change Section 4.01(b) or Section 4.01(c) in a manner that would alter the pro rata sharing of payments required thereby, without the written consent of each Lender, (vi) waive or amend Section 3.04(c), Section 6.01, Section 8.14 or Section 12.14 or change the definition of the terms “</w:t>
      </w:r>
      <w:r>
        <w:rPr>
          <w:rFonts w:ascii="Arial" w:cs="Arial" w:eastAsia="Arial" w:hAnsi="Arial"/>
          <w:sz w:val="20"/>
          <w:szCs w:val="20"/>
          <w:u w:val="single" w:color="auto"/>
          <w:color w:val="auto"/>
        </w:rPr>
        <w:t>Domestic</w:t>
      </w:r>
      <w:r>
        <w:rPr>
          <w:rFonts w:ascii="Arial" w:cs="Arial" w:eastAsia="Arial" w:hAnsi="Arial"/>
          <w:sz w:val="20"/>
          <w:szCs w:val="20"/>
          <w:color w:val="auto"/>
        </w:rPr>
        <w:t xml:space="preserve"> </w:t>
      </w:r>
      <w:r>
        <w:rPr>
          <w:rFonts w:ascii="Arial" w:cs="Arial" w:eastAsia="Arial" w:hAnsi="Arial"/>
          <w:sz w:val="20"/>
          <w:szCs w:val="20"/>
          <w:u w:val="single" w:color="auto"/>
          <w:color w:val="auto"/>
        </w:rPr>
        <w:t>Subsidiary</w:t>
      </w:r>
      <w:r>
        <w:rPr>
          <w:rFonts w:ascii="Arial" w:cs="Arial" w:eastAsia="Arial" w:hAnsi="Arial"/>
          <w:sz w:val="20"/>
          <w:szCs w:val="20"/>
          <w:color w:val="auto"/>
        </w:rPr>
        <w:t>”, “</w:t>
      </w:r>
      <w:r>
        <w:rPr>
          <w:rFonts w:ascii="Arial" w:cs="Arial" w:eastAsia="Arial" w:hAnsi="Arial"/>
          <w:sz w:val="20"/>
          <w:szCs w:val="20"/>
          <w:u w:val="single" w:color="auto"/>
          <w:color w:val="auto"/>
        </w:rPr>
        <w:t>Foreign Subsidiary</w:t>
      </w:r>
      <w:r>
        <w:rPr>
          <w:rFonts w:ascii="Arial" w:cs="Arial" w:eastAsia="Arial" w:hAnsi="Arial"/>
          <w:sz w:val="20"/>
          <w:szCs w:val="20"/>
          <w:color w:val="auto"/>
        </w:rPr>
        <w:t>” or “</w:t>
      </w:r>
      <w:r>
        <w:rPr>
          <w:rFonts w:ascii="Arial" w:cs="Arial" w:eastAsia="Arial" w:hAnsi="Arial"/>
          <w:sz w:val="20"/>
          <w:szCs w:val="20"/>
          <w:u w:val="single" w:color="auto"/>
          <w:color w:val="auto"/>
        </w:rPr>
        <w:t>Subsidiary</w:t>
      </w:r>
      <w:r>
        <w:rPr>
          <w:rFonts w:ascii="Arial" w:cs="Arial" w:eastAsia="Arial" w:hAnsi="Arial"/>
          <w:sz w:val="20"/>
          <w:szCs w:val="20"/>
          <w:color w:val="auto"/>
        </w:rPr>
        <w:t>”, without the written consent of each Lender; provided that any waiver or amendment to Section 12.14, this proviso in this Section 12.02(b)(vi), or Section 12.02(b)(vii), shall also require the written consent of each adversely affected Secured Swap Party, (vii) modify the terms of Section 10.02(c) without the written consent of each Lender and Secured Swap Party adversely affected thereby or amend or otherwise modify any Security Instrument in a manner that results in the Secured Swap Obligations secured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100</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32" w:name="page233"/>
    <w:bookmarkEnd w:id="232"/>
    <w:p>
      <w:pPr>
        <w:jc w:val="both"/>
        <w:spacing w:after="0" w:line="226" w:lineRule="auto"/>
        <w:rPr>
          <w:sz w:val="20"/>
          <w:szCs w:val="20"/>
          <w:color w:val="auto"/>
        </w:rPr>
      </w:pPr>
      <w:r>
        <w:rPr>
          <w:rFonts w:ascii="Arial" w:cs="Arial" w:eastAsia="Arial" w:hAnsi="Arial"/>
          <w:sz w:val="20"/>
          <w:szCs w:val="20"/>
          <w:color w:val="auto"/>
        </w:rPr>
        <w:t>Security Instrument no longer being secured thereby, or amend or otherwise change the definition of “</w:t>
      </w:r>
      <w:r>
        <w:rPr>
          <w:rFonts w:ascii="Arial" w:cs="Arial" w:eastAsia="Arial" w:hAnsi="Arial"/>
          <w:sz w:val="20"/>
          <w:szCs w:val="20"/>
          <w:u w:val="single" w:color="auto"/>
          <w:color w:val="auto"/>
        </w:rPr>
        <w:t>Secured Swap Agreement</w:t>
      </w:r>
      <w:r>
        <w:rPr>
          <w:rFonts w:ascii="Arial" w:cs="Arial" w:eastAsia="Arial" w:hAnsi="Arial"/>
          <w:sz w:val="20"/>
          <w:szCs w:val="20"/>
          <w:color w:val="auto"/>
        </w:rPr>
        <w:t>”, “</w:t>
      </w:r>
      <w:r>
        <w:rPr>
          <w:rFonts w:ascii="Arial" w:cs="Arial" w:eastAsia="Arial" w:hAnsi="Arial"/>
          <w:sz w:val="20"/>
          <w:szCs w:val="20"/>
          <w:u w:val="single" w:color="auto"/>
          <w:color w:val="auto"/>
        </w:rPr>
        <w:t>Secured Swap Obligations</w:t>
      </w:r>
      <w:r>
        <w:rPr>
          <w:rFonts w:ascii="Arial" w:cs="Arial" w:eastAsia="Arial" w:hAnsi="Arial"/>
          <w:sz w:val="20"/>
          <w:szCs w:val="20"/>
          <w:color w:val="auto"/>
        </w:rPr>
        <w:t>” or “</w:t>
      </w:r>
      <w:r>
        <w:rPr>
          <w:rFonts w:ascii="Arial" w:cs="Arial" w:eastAsia="Arial" w:hAnsi="Arial"/>
          <w:sz w:val="20"/>
          <w:szCs w:val="20"/>
          <w:u w:val="single" w:color="auto"/>
          <w:color w:val="auto"/>
        </w:rPr>
        <w:t>Secured Swap Party</w:t>
      </w:r>
      <w:r>
        <w:rPr>
          <w:rFonts w:ascii="Arial" w:cs="Arial" w:eastAsia="Arial" w:hAnsi="Arial"/>
          <w:sz w:val="20"/>
          <w:szCs w:val="20"/>
          <w:color w:val="auto"/>
        </w:rPr>
        <w:t>”, without the written consent of each Secured Swap Party adversely affected thereby, (viii) release any Guarantor (except as set forth in the Guaranty Agreement), release all or substantially all of the collateral (other than as provided in Section 11.10), or reduce the percentage set forth in Section 8.14(a), without the written consent of each Lender, or (ix) change any of the provisions of this Section 12.02(b) or the definitions of “</w:t>
      </w:r>
      <w:r>
        <w:rPr>
          <w:rFonts w:ascii="Arial" w:cs="Arial" w:eastAsia="Arial" w:hAnsi="Arial"/>
          <w:sz w:val="20"/>
          <w:szCs w:val="20"/>
          <w:u w:val="single" w:color="auto"/>
          <w:color w:val="auto"/>
        </w:rPr>
        <w:t>Majority Lenders</w:t>
      </w:r>
      <w:r>
        <w:rPr>
          <w:rFonts w:ascii="Arial" w:cs="Arial" w:eastAsia="Arial" w:hAnsi="Arial"/>
          <w:sz w:val="20"/>
          <w:szCs w:val="20"/>
          <w:color w:val="auto"/>
        </w:rPr>
        <w:t>” or “</w:t>
      </w:r>
      <w:r>
        <w:rPr>
          <w:rFonts w:ascii="Arial" w:cs="Arial" w:eastAsia="Arial" w:hAnsi="Arial"/>
          <w:sz w:val="20"/>
          <w:szCs w:val="20"/>
          <w:u w:val="single" w:color="auto"/>
          <w:color w:val="auto"/>
        </w:rPr>
        <w:t>Required Lenders</w:t>
      </w:r>
      <w:r>
        <w:rPr>
          <w:rFonts w:ascii="Arial" w:cs="Arial" w:eastAsia="Arial" w:hAnsi="Arial"/>
          <w:sz w:val="20"/>
          <w:szCs w:val="20"/>
          <w:color w:val="auto"/>
        </w:rPr>
        <w:t>” or any other provision hereof specifying the number or percentage of Lenders required to waive, amend or modify any rights hereunder or under any other Loan Documents or make any determination or grant any consent hereunder or any other Loan Documents, without the written consent of each Lender; provided further that no such agreement shall amend, modify or otherwise affect the rights or duties of the Administrative Agent, any other Agent or the Issuing Bank hereunder or under any other Loan Document without the prior written consent of the Administrative Agent, such other Agent or the Issuing Bank, as the case may be. Notwithstanding the foregoing, (i) joinders and modifications contemplated by Section 2.06(b) shall not require the consent of any Person other than the Borrower, the Administrative Agent and, to the extent applicable, any Lenders executing Elected Commitment Amount Increase Agreements and any Additional Lenders executing Additional Lender Agreements and (ii) any supplement to Schedule 7.14 (Subsidiaries) shall be effective simply by delivering to the Administrative Agent a supplemental schedule clearly marked as such and, upon receipt, the Administrative Agent will promptly deliver a copy thereof to the Lenders. Notwithstanding anything to the contrary herein, no Defaulting Lender shall have any right to approve or disapprove any amendment, waiver or consent hereunder, except that the Commitment or Elected Commitment of such Lender may not be increased or extended or amounts owed to such Lenders reduced, or the final maturity thereof extended without the consent of such Lender, and any amendment to further restrict the voting rights of Defaulting Lenders shall require the consent of all Lenders.</w:t>
      </w:r>
    </w:p>
    <w:p>
      <w:pPr>
        <w:spacing w:after="0" w:line="168"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21"/>
          <w:szCs w:val="21"/>
          <w:color w:val="auto"/>
        </w:rPr>
        <w:t>Section 12.03</w:t>
      </w:r>
      <w:r>
        <w:rPr>
          <w:sz w:val="20"/>
          <w:szCs w:val="20"/>
          <w:color w:val="auto"/>
        </w:rPr>
        <w:tab/>
      </w:r>
      <w:r>
        <w:rPr>
          <w:rFonts w:ascii="Arial" w:cs="Arial" w:eastAsia="Arial" w:hAnsi="Arial"/>
          <w:sz w:val="19"/>
          <w:szCs w:val="19"/>
          <w:u w:val="single" w:color="auto"/>
          <w:color w:val="auto"/>
        </w:rPr>
        <w:t>Expenses, Indemnity; Damage Waiver.</w:t>
      </w:r>
    </w:p>
    <w:p>
      <w:pPr>
        <w:spacing w:after="0" w:line="187" w:lineRule="exact"/>
        <w:rPr>
          <w:sz w:val="20"/>
          <w:szCs w:val="20"/>
          <w:color w:val="auto"/>
        </w:rPr>
      </w:pPr>
    </w:p>
    <w:p>
      <w:pPr>
        <w:jc w:val="both"/>
        <w:ind w:firstLine="1293"/>
        <w:spacing w:after="0" w:line="226" w:lineRule="auto"/>
        <w:tabs>
          <w:tab w:leader="none" w:pos="174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The Borrower shall pay (i) all reasonable out-of-pocket expenses incurred by the Administrative Agent and its Affiliates, including, without limitation, the reasonable fees, charges and disbursements of counsel and other outside consultants for the Administrative Agent, the reasonable travel, photocopy, mailing, courier, telephone and other similar expenses, and the cost of environmental invasive and non-invasive assessments and audits and surveys and appraisals, in connection with the syndication of the credit facilities provided for herein, the preparation, negotiation, execution, delivery and administration (both before and after the execution hereof and including advice of counsel to the Administrative Agent as to the rights and duties of the Administrative Agent and the Lenders with respect thereto) of this Agreement and the other Loan Documents and any amendments, modifications or waivers of or consents related to the provisions hereof or thereof (whether or not the transactions contemplated hereby or thereby shall be consummated), (ii) all costs, expenses, Taxes, assessments and other charges incurred by the Administrative Agent or any Lender in connection with any filing, registration, recording or perfection of any security interest contemplated by this Agreement or any Security Instrument or any other document referred to therein, (iii) all reasonable out-of-pocket expenses incurred by the Issuing Bank in connection with the issuance, amendment, renewal or extension of any Letter of Credit or any demand for payment thereunder, and (iv) all out-of-pocket expenses incurred by any Agent, the Issuing Bank or any Lender, including the fees, charges and disbursements of any counsel for any Agent, the Issuing Bank or any Lender, in connection with the enforcement or protection of its rights in connection with this Agreement or any other Loan Document, including its rights under this Section 12.03, or in connection with the Loans made or Letters of Credit issued hereunder, including, without limitation, all such out-of-pocket expenses incurred during any workout, restructuring or negotiations in respect of such Loans or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33" w:name="page234"/>
    <w:bookmarkEnd w:id="233"/>
    <w:p>
      <w:pPr>
        <w:jc w:val="both"/>
        <w:ind w:firstLine="1293"/>
        <w:spacing w:after="0" w:line="215" w:lineRule="auto"/>
        <w:tabs>
          <w:tab w:leader="none" w:pos="1756" w:val="left"/>
        </w:tabs>
        <w:numPr>
          <w:ilvl w:val="1"/>
          <w:numId w:val="177"/>
        </w:numPr>
        <w:rPr>
          <w:rFonts w:ascii="Arial" w:cs="Arial" w:eastAsia="Arial" w:hAnsi="Arial"/>
          <w:sz w:val="21"/>
          <w:szCs w:val="21"/>
          <w:color w:val="auto"/>
        </w:rPr>
      </w:pPr>
      <w:r>
        <w:rPr>
          <w:rFonts w:ascii="Arial" w:cs="Arial" w:eastAsia="Arial" w:hAnsi="Arial"/>
          <w:sz w:val="21"/>
          <w:szCs w:val="21"/>
          <w:color w:val="auto"/>
        </w:rPr>
        <w:t>THE BORROWER SHALL INDEMNIFY EACH AGENT, THE ARRANGER, THE ISSUING BANK AND EACH LENDER, AND EACH RELATED PARTY OF ANY OF THE FOREGOING PERSONS (EACH SUCH PERSON BEING CALLED AN “</w:t>
      </w:r>
      <w:r>
        <w:rPr>
          <w:rFonts w:ascii="Arial" w:cs="Arial" w:eastAsia="Arial" w:hAnsi="Arial"/>
          <w:sz w:val="21"/>
          <w:szCs w:val="21"/>
          <w:u w:val="single" w:color="auto"/>
          <w:color w:val="auto"/>
        </w:rPr>
        <w:t>INDEMNITEE</w:t>
      </w:r>
      <w:r>
        <w:rPr>
          <w:rFonts w:ascii="Arial" w:cs="Arial" w:eastAsia="Arial" w:hAnsi="Arial"/>
          <w:sz w:val="21"/>
          <w:szCs w:val="21"/>
          <w:color w:val="auto"/>
        </w:rPr>
        <w:t>”) AGAINST, AND DEFEND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w:t>
      </w:r>
    </w:p>
    <w:p>
      <w:pPr>
        <w:spacing w:after="0" w:line="5" w:lineRule="exact"/>
        <w:rPr>
          <w:rFonts w:ascii="Arial" w:cs="Arial" w:eastAsia="Arial" w:hAnsi="Arial"/>
          <w:sz w:val="21"/>
          <w:szCs w:val="21"/>
          <w:color w:val="auto"/>
        </w:rPr>
      </w:pPr>
    </w:p>
    <w:p>
      <w:pPr>
        <w:jc w:val="both"/>
        <w:ind w:firstLine="7"/>
        <w:spacing w:after="0" w:line="214" w:lineRule="auto"/>
        <w:tabs>
          <w:tab w:leader="none" w:pos="335"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EXECUTION OR DELIVERY OF THIS AGREEMENT OR ANY OTHER LOAN DOCUMENT OR ANY AGREEMENT OR INSTRUMENT CONTEMPLATED HEREBY OR THEREBY, THE PERFORMANCE BY THE PARTIES HERETO OR THE PARTIES TO ANY OTHER LOAN DOCUMENT OF THEIR RESPECTIVE OBLIGATIONS HEREUNDER OR THEREUNDER OR THE CONSUMMATION OF THE TRANSACTIONS CONTEMPLATED HEREBY OR BY ANY OTHER LOAN DOCUMENT, (ii) THE FAILURE OF THE BORROWER OR ANY OF THE RESTRICTED SUBSIDIARIES TO COMPLY WITH THE TERMS OF ANY LOAN DOCUMENT, INCLUDING THIS AGREEMENT, OR WITH ANY GOVERNMENTAL REQUIREMENT, (iii) ANY INACCURACY OF ANY REPRESENTATION OR ANY BREACH OF ANY WARRANTY OR COVENANT OF THE BORROWER OR ANY GUARANTOR SET FORTH IN ANY OF THE LOAN DOCUMENTS OR ANY INSTRUMENTS, DOCUMENTS OR CERTIFICATIONS DELIVERED IN CONNECTION THEREWITH, (iv) ANY LOAN OR LETTER OF CREDIT OR THE USE OF THE PROCEEDS THEREFROM, INCLUDING, WITHOUT LIMITATION, (A) ANY REFUSAL BY THE ISSUING BANK TO HONOR A DEMAND FOR PAYMENT UNDER A LETTER OF CREDIT IF THE DOCUMENTS PRESENTED IN CONNECTION WITH SUCH DEMAND DO NOT STRICTLY COMPLY WITH THE TERMS OF SUCH LETTER OF CREDIT, OR (B) THE PAYMENT OF A DRAWING UNDER ANY LETTER OF CREDIT NOTWITHSTANDING THE NON-COMPLIANCE, NON-DELIVERY OR OTHER IMPROPER PRESENTATION OF THE DOCUMENTS PRESENTED IN CONNECTION THEREWITH, (v) ANY OTHER ASPECT OF THE LOAN DOCUMENTS, (vi) THE OPERATIONS OF THE BUSINESS OF THE BORROWER AND THE RESTRICTED SUBSIDIARIES BY THE BORROWER AND THE RESTRICTED SUBSIDIARIES, (vii) ANY ASSERTION THAT THE LENDERS WERE NOT ENTITLED TO RECEIVE THE PROCEEDS RECEIVED PURSUANT TO THE SECURITY INSTRUMENTS, (viii) ANY ENVIRONMENTAL LAW APPLICABLE TO THE BORROWER OR ANY RESTRICTED SUBSIDIARY OR ANY OF THEIR PROPERTIES OR OPERATIONS, INCLUDING THE PRESENCE, GENERATION, STORAGE, RELEASE, THREATENED RELEASE, USE, TRANSPORT, DISPOSAL, ARRANGEMENT OF DISPOSAL OR TREATMENT OF HAZARDOUS MATERIALS ON OR AT ANY OF THEIR PROPERTIES, (ix) THE BREACH OR NON-COMPLIANCE BY THE BORROWER OR ANY RESTRICTED SUBSIDIARY WITH ANY ENVIRONMENTAL LAW APPLICABLE TO THE BORROWER OR ANY RESTRICTED SUBSIDIARY, (x) THE PAST OWNERSHIP BY THE BORROWER OR ANY RESTRICTED SUBSIDIARY OF ANY OF THEIR PROPERTIES OR PAST ACTIVITY ON ANY OF THEIR PROPERTIES WHICH, THOUGH LAWFUL AND FULLY PERMISSIBLE AT THE TIME, COULD RESULT IN PRESENT LIABILITY, (xi) THE PRESENCE, USE, RELEASE, STORAGE, TREATMENT, DISPOSAL, GENERATION, THREATENED RELEASE, TRANSPORT, ARRANGEMENT FOR TRANSPORT OR ARRANGEMENT FOR DISPOSAL HAZARDOUS MATERIALS ON OR AT ANY OF THE PROPERTIES OWNED OR OPERATED BY THE BORROWER OR ANY RESTRICTED SUBSIDIARY OR ANY ACTUAL OR ALLEGED PRESENCE OR RELEASE OF HAZARDOUS MATERIALS ON OR FROM ANY PROPERTY OWNED OR OPERATED BY THE BORROWER OR ANY RESTRICTED SUBSIDIARY, (xii) ANY ENVIRONMENTAL LIABILITY RELATED IN ANY WAY TO THE BORROWER OR ANY RESTRICTED SUBSIDIARY, OR (xiii) ANY OTHER ENVIRONMENTAL, HEALTH OR SAFETY CONDITION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34" w:name="page235"/>
    <w:bookmarkEnd w:id="234"/>
    <w:p>
      <w:pPr>
        <w:jc w:val="both"/>
        <w:spacing w:after="0" w:line="217" w:lineRule="auto"/>
        <w:rPr>
          <w:sz w:val="20"/>
          <w:szCs w:val="20"/>
          <w:color w:val="auto"/>
        </w:rPr>
      </w:pPr>
      <w:r>
        <w:rPr>
          <w:rFonts w:ascii="Arial" w:cs="Arial" w:eastAsia="Arial" w:hAnsi="Arial"/>
          <w:sz w:val="21"/>
          <w:szCs w:val="21"/>
          <w:color w:val="auto"/>
        </w:rPr>
        <w:t>WITH THE LOAN DOCUMENTS, OR (xiv) ANY ACTUAL OR PROSPECTIVE CLAIM, LITIGATION, INVESTIGATION OR PROCEEDING RELATING TO ANY OF THE FOREGOING, WHETHER BASED ON CONTRACT, TORT OR ANY OTHER THEORY AND REGARDLESS OF WHETHER ANY INDEMNITEE IS A PARTY THERETO, AND SUCH INDEMNITY SHALL EXTEND TO EACH INDEMNITEE NOTWITHSTANDING THE SOLE OR CONCURRENT NEGLIGENCE OF EVERY KIND OR CHARACTER WHATSOEVER, WHETHER ACTIVE OR PASSIVE, WHETHER AN AFFIRMATIVE ACT OR AN OMISSION, INCLUDING WITHOUT LIMITATION, ALL TYPES OF NEGLIGENT CONDUCT IDENTIFIED IN THE RESTATEMENT (SECOND) OF TORTS OF ONE OR MORE OF THE INDEMNITEES OR BY REASON OF STRICT LIABILITY IMPOSED WITHOUT FAULT ON ANY ONE OR MORE OF THE INDEMNITEES; PROVIDED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w:t>
      </w:r>
    </w:p>
    <w:p>
      <w:pPr>
        <w:spacing w:after="0" w:line="165" w:lineRule="exact"/>
        <w:rPr>
          <w:sz w:val="20"/>
          <w:szCs w:val="20"/>
          <w:color w:val="auto"/>
        </w:rPr>
      </w:pPr>
    </w:p>
    <w:p>
      <w:pPr>
        <w:jc w:val="both"/>
        <w:ind w:firstLine="1293"/>
        <w:spacing w:after="0" w:line="222" w:lineRule="auto"/>
        <w:tabs>
          <w:tab w:leader="none" w:pos="1742"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To the extent that the Borrower fails to pay any amount required to be paid by it to any Agent, the Arranger or the Issuing Bank under Section 12.03(a) or (b), each Lender severally agrees to pay to such Agent, the Arranger or the Issuing Bank, as the case may be, such Lender’s Applicable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such Agent, the Arranger or the Issuing Bank in its capacity as such.</w:t>
      </w:r>
    </w:p>
    <w:p>
      <w:pPr>
        <w:spacing w:after="0" w:line="159" w:lineRule="exact"/>
        <w:rPr>
          <w:rFonts w:ascii="Arial" w:cs="Arial" w:eastAsia="Arial" w:hAnsi="Arial"/>
          <w:sz w:val="21"/>
          <w:szCs w:val="21"/>
          <w:color w:val="auto"/>
        </w:rPr>
      </w:pPr>
    </w:p>
    <w:p>
      <w:pPr>
        <w:jc w:val="both"/>
        <w:ind w:firstLine="1293"/>
        <w:spacing w:after="0" w:line="255" w:lineRule="auto"/>
        <w:tabs>
          <w:tab w:leader="none" w:pos="1758"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42" w:lineRule="exact"/>
        <w:rPr>
          <w:rFonts w:ascii="Arial" w:cs="Arial" w:eastAsia="Arial" w:hAnsi="Arial"/>
          <w:sz w:val="19"/>
          <w:szCs w:val="19"/>
          <w:color w:val="auto"/>
        </w:rPr>
      </w:pPr>
    </w:p>
    <w:p>
      <w:pPr>
        <w:ind w:left="1840" w:hanging="547"/>
        <w:spacing w:after="0"/>
        <w:tabs>
          <w:tab w:leader="none" w:pos="184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All amounts due under this Section 12.03 shall be payable not later than three days after written demand</w:t>
      </w:r>
    </w:p>
    <w:p>
      <w:pPr>
        <w:spacing w:after="0" w:line="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therefor.</w:t>
      </w:r>
    </w:p>
    <w:p>
      <w:pPr>
        <w:spacing w:after="0" w:line="169"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21"/>
          <w:szCs w:val="21"/>
          <w:color w:val="auto"/>
        </w:rPr>
        <w:t>Section 12.04</w:t>
      </w:r>
      <w:r>
        <w:rPr>
          <w:sz w:val="20"/>
          <w:szCs w:val="20"/>
          <w:color w:val="auto"/>
        </w:rPr>
        <w:tab/>
      </w:r>
      <w:r>
        <w:rPr>
          <w:rFonts w:ascii="Arial" w:cs="Arial" w:eastAsia="Arial" w:hAnsi="Arial"/>
          <w:sz w:val="18"/>
          <w:szCs w:val="18"/>
          <w:u w:val="single" w:color="auto"/>
          <w:color w:val="auto"/>
        </w:rPr>
        <w:t>Successors and Assigns.</w:t>
      </w:r>
    </w:p>
    <w:p>
      <w:pPr>
        <w:spacing w:after="0" w:line="187" w:lineRule="exact"/>
        <w:rPr>
          <w:sz w:val="20"/>
          <w:szCs w:val="20"/>
          <w:color w:val="auto"/>
        </w:rPr>
      </w:pPr>
    </w:p>
    <w:p>
      <w:pPr>
        <w:jc w:val="both"/>
        <w:ind w:firstLine="1293"/>
        <w:spacing w:after="0" w:line="229" w:lineRule="auto"/>
        <w:tabs>
          <w:tab w:leader="none" w:pos="175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The provisions of this Agreement shall be binding upon and inure to the benefit of the parties hereto and their respective successors and assigns permitted hereby (including any Affiliate of the Issuing Bank that issues any Letter of Credit), except that (i) other than in connection with a transaction permitted under Section 9.12(e), the Borrower may not assign or otherwise transfer any of its rights or obligations hereunder without the prior written consent of each Lender, such consent not to be unreasonably withheld (and any attempted assignment or transfer by the Borrower in violation of this Section 12.04(a)(i) shall be null and void) and (ii) no Lender may assign or otherwise transfer its rights or obligations hereunder except in accordance with this Section 12.04.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Section 12.04(c)) and, to the extent expressly contemplated hereby, the Related Parties of each of the Administrative Agent, the Issuing Bank and the Lenders)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103</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35" w:name="page236"/>
    <w:bookmarkEnd w:id="235"/>
    <w:p>
      <w:pPr>
        <w:jc w:val="both"/>
        <w:ind w:firstLine="1293"/>
        <w:spacing w:after="0" w:line="232" w:lineRule="auto"/>
        <w:tabs>
          <w:tab w:leader="none" w:pos="1885" w:val="left"/>
        </w:tabs>
        <w:numPr>
          <w:ilvl w:val="0"/>
          <w:numId w:val="181"/>
        </w:numPr>
        <w:rPr>
          <w:rFonts w:ascii="Arial" w:cs="Arial" w:eastAsia="Arial" w:hAnsi="Arial"/>
          <w:sz w:val="21"/>
          <w:szCs w:val="21"/>
          <w:color w:val="auto"/>
        </w:rPr>
      </w:pPr>
      <w:r>
        <w:rPr>
          <w:rFonts w:ascii="Arial" w:cs="Arial" w:eastAsia="Arial" w:hAnsi="Arial"/>
          <w:sz w:val="21"/>
          <w:szCs w:val="21"/>
          <w:color w:val="auto"/>
        </w:rPr>
        <w:t>(i) Subject to the conditions set forth in Section 12.04(b)(ii), any Lender may assign to one or more assignees all or a portion of its rights and obligations under this Agreement (including all or a portion of its Commitment and the Loans at the time owing to it) with the prior written consent (such consent not to be unreasonably withheld) of:</w:t>
      </w:r>
    </w:p>
    <w:p>
      <w:pPr>
        <w:spacing w:after="0" w:line="156" w:lineRule="exact"/>
        <w:rPr>
          <w:rFonts w:ascii="Arial" w:cs="Arial" w:eastAsia="Arial" w:hAnsi="Arial"/>
          <w:sz w:val="21"/>
          <w:szCs w:val="21"/>
          <w:color w:val="auto"/>
        </w:rPr>
      </w:pPr>
    </w:p>
    <w:p>
      <w:pPr>
        <w:jc w:val="both"/>
        <w:ind w:firstLine="2578"/>
        <w:spacing w:after="0" w:line="224" w:lineRule="auto"/>
        <w:tabs>
          <w:tab w:leader="none" w:pos="3082" w:val="left"/>
        </w:tabs>
        <w:numPr>
          <w:ilvl w:val="2"/>
          <w:numId w:val="181"/>
        </w:numPr>
        <w:rPr>
          <w:rFonts w:ascii="Arial" w:cs="Arial" w:eastAsia="Arial" w:hAnsi="Arial"/>
          <w:sz w:val="21"/>
          <w:szCs w:val="21"/>
          <w:color w:val="010000"/>
        </w:rPr>
      </w:pPr>
      <w:r>
        <w:rPr>
          <w:rFonts w:ascii="Arial" w:cs="Arial" w:eastAsia="Arial" w:hAnsi="Arial"/>
          <w:sz w:val="21"/>
          <w:szCs w:val="21"/>
          <w:color w:val="auto"/>
        </w:rPr>
        <w:t>the Borrower, provided that no consent of the Borrower shall be required if such assignment is to a Lender or, an Affiliate of a Lender, or, if an Event of Default has occurred and is continuing, is to any other assignee; provided further, if at the end of fifteen (15) days after the Borrower has received a request for such approval, the Borrower has not communicated its approval or disapproval in writing to the Administrative Agent, such silence shall be deemed to be an approval of such assignment; and</w:t>
      </w:r>
    </w:p>
    <w:p>
      <w:pPr>
        <w:spacing w:after="0" w:line="158" w:lineRule="exact"/>
        <w:rPr>
          <w:rFonts w:ascii="Arial" w:cs="Arial" w:eastAsia="Arial" w:hAnsi="Arial"/>
          <w:sz w:val="21"/>
          <w:szCs w:val="21"/>
          <w:color w:val="010000"/>
        </w:rPr>
      </w:pPr>
    </w:p>
    <w:p>
      <w:pPr>
        <w:jc w:val="both"/>
        <w:ind w:firstLine="2578"/>
        <w:spacing w:after="0" w:line="232" w:lineRule="auto"/>
        <w:tabs>
          <w:tab w:leader="none" w:pos="3070" w:val="left"/>
        </w:tabs>
        <w:numPr>
          <w:ilvl w:val="2"/>
          <w:numId w:val="181"/>
        </w:numPr>
        <w:rPr>
          <w:rFonts w:ascii="Arial" w:cs="Arial" w:eastAsia="Arial" w:hAnsi="Arial"/>
          <w:sz w:val="21"/>
          <w:szCs w:val="21"/>
          <w:color w:val="010000"/>
        </w:rPr>
      </w:pPr>
      <w:r>
        <w:rPr>
          <w:rFonts w:ascii="Arial" w:cs="Arial" w:eastAsia="Arial" w:hAnsi="Arial"/>
          <w:sz w:val="21"/>
          <w:szCs w:val="21"/>
          <w:color w:val="auto"/>
        </w:rPr>
        <w:t>the Administrative Agent and the Issuing Bank, provided that no consent of the Administrative Agent or the Issuing Bank shall be required for an assignment to an assignee that is a Lender (or an Affiliate of a Lender) immediately prior to giving effect to such assignment.</w:t>
      </w:r>
    </w:p>
    <w:p>
      <w:pPr>
        <w:spacing w:after="0" w:line="156" w:lineRule="exact"/>
        <w:rPr>
          <w:rFonts w:ascii="Arial" w:cs="Arial" w:eastAsia="Arial" w:hAnsi="Arial"/>
          <w:sz w:val="21"/>
          <w:szCs w:val="21"/>
          <w:color w:val="010000"/>
        </w:rPr>
      </w:pPr>
    </w:p>
    <w:p>
      <w:pPr>
        <w:ind w:left="2400" w:hanging="465"/>
        <w:spacing w:after="0"/>
        <w:tabs>
          <w:tab w:leader="none" w:pos="2400" w:val="left"/>
        </w:tabs>
        <w:numPr>
          <w:ilvl w:val="1"/>
          <w:numId w:val="181"/>
        </w:numPr>
        <w:rPr>
          <w:rFonts w:ascii="Arial" w:cs="Arial" w:eastAsia="Arial" w:hAnsi="Arial"/>
          <w:sz w:val="21"/>
          <w:szCs w:val="21"/>
          <w:color w:val="auto"/>
        </w:rPr>
      </w:pPr>
      <w:r>
        <w:rPr>
          <w:rFonts w:ascii="Arial" w:cs="Arial" w:eastAsia="Arial" w:hAnsi="Arial"/>
          <w:sz w:val="21"/>
          <w:szCs w:val="21"/>
          <w:color w:val="auto"/>
        </w:rPr>
        <w:t>Assignments shall be subject to the following additional conditions:</w:t>
      </w:r>
    </w:p>
    <w:p>
      <w:pPr>
        <w:spacing w:after="0" w:line="186" w:lineRule="exact"/>
        <w:rPr>
          <w:rFonts w:ascii="Arial" w:cs="Arial" w:eastAsia="Arial" w:hAnsi="Arial"/>
          <w:sz w:val="21"/>
          <w:szCs w:val="21"/>
          <w:color w:val="auto"/>
        </w:rPr>
      </w:pPr>
    </w:p>
    <w:p>
      <w:pPr>
        <w:jc w:val="both"/>
        <w:ind w:firstLine="2578"/>
        <w:spacing w:after="0" w:line="222" w:lineRule="auto"/>
        <w:tabs>
          <w:tab w:leader="none" w:pos="3082" w:val="left"/>
        </w:tabs>
        <w:numPr>
          <w:ilvl w:val="2"/>
          <w:numId w:val="181"/>
        </w:numPr>
        <w:rPr>
          <w:rFonts w:ascii="Arial" w:cs="Arial" w:eastAsia="Arial" w:hAnsi="Arial"/>
          <w:sz w:val="21"/>
          <w:szCs w:val="21"/>
          <w:color w:val="010000"/>
        </w:rPr>
      </w:pPr>
      <w:r>
        <w:rPr>
          <w:rFonts w:ascii="Arial" w:cs="Arial" w:eastAsia="Arial" w:hAnsi="Arial"/>
          <w:sz w:val="21"/>
          <w:szCs w:val="21"/>
          <w:color w:val="auto"/>
        </w:rPr>
        <w:t>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the Borrower and the Administrative Agent otherwise consent, provided that no such consent of the Borrower shall be required if an Event of Default has occurred and is continuing;</w:t>
      </w:r>
    </w:p>
    <w:p>
      <w:pPr>
        <w:spacing w:after="0" w:line="159" w:lineRule="exact"/>
        <w:rPr>
          <w:rFonts w:ascii="Arial" w:cs="Arial" w:eastAsia="Arial" w:hAnsi="Arial"/>
          <w:sz w:val="21"/>
          <w:szCs w:val="21"/>
          <w:color w:val="010000"/>
        </w:rPr>
      </w:pPr>
    </w:p>
    <w:p>
      <w:pPr>
        <w:ind w:firstLine="2578"/>
        <w:spacing w:after="0" w:line="244" w:lineRule="auto"/>
        <w:tabs>
          <w:tab w:leader="none" w:pos="3191" w:val="left"/>
        </w:tabs>
        <w:numPr>
          <w:ilvl w:val="2"/>
          <w:numId w:val="181"/>
        </w:numPr>
        <w:rPr>
          <w:rFonts w:ascii="Arial" w:cs="Arial" w:eastAsia="Arial" w:hAnsi="Arial"/>
          <w:sz w:val="21"/>
          <w:szCs w:val="21"/>
          <w:color w:val="010000"/>
        </w:rPr>
      </w:pPr>
      <w:r>
        <w:rPr>
          <w:rFonts w:ascii="Arial" w:cs="Arial" w:eastAsia="Arial" w:hAnsi="Arial"/>
          <w:sz w:val="21"/>
          <w:szCs w:val="21"/>
          <w:color w:val="auto"/>
        </w:rPr>
        <w:t>each partial assignment shall be made as an assignment of a proportionate part of all the assigning Lender’s rights and obligations under this Agreement;</w:t>
      </w:r>
    </w:p>
    <w:p>
      <w:pPr>
        <w:spacing w:after="0" w:line="151" w:lineRule="exact"/>
        <w:rPr>
          <w:rFonts w:ascii="Arial" w:cs="Arial" w:eastAsia="Arial" w:hAnsi="Arial"/>
          <w:sz w:val="21"/>
          <w:szCs w:val="21"/>
          <w:color w:val="010000"/>
        </w:rPr>
      </w:pPr>
    </w:p>
    <w:p>
      <w:pPr>
        <w:ind w:right="20" w:firstLine="2578"/>
        <w:spacing w:after="0" w:line="244" w:lineRule="auto"/>
        <w:tabs>
          <w:tab w:leader="none" w:pos="3231" w:val="left"/>
        </w:tabs>
        <w:numPr>
          <w:ilvl w:val="2"/>
          <w:numId w:val="181"/>
        </w:numPr>
        <w:rPr>
          <w:rFonts w:ascii="Arial" w:cs="Arial" w:eastAsia="Arial" w:hAnsi="Arial"/>
          <w:sz w:val="21"/>
          <w:szCs w:val="21"/>
          <w:color w:val="010000"/>
        </w:rPr>
      </w:pPr>
      <w:r>
        <w:rPr>
          <w:rFonts w:ascii="Arial" w:cs="Arial" w:eastAsia="Arial" w:hAnsi="Arial"/>
          <w:sz w:val="21"/>
          <w:szCs w:val="21"/>
          <w:color w:val="auto"/>
        </w:rPr>
        <w:t>the parties to each assignment shall execute and deliver to the Administrative Agent an Assignment and Assumption, together with a processing and recordation fee of $3,500;</w:t>
      </w:r>
    </w:p>
    <w:p>
      <w:pPr>
        <w:spacing w:after="0" w:line="142" w:lineRule="exact"/>
        <w:rPr>
          <w:rFonts w:ascii="Arial" w:cs="Arial" w:eastAsia="Arial" w:hAnsi="Arial"/>
          <w:sz w:val="21"/>
          <w:szCs w:val="21"/>
          <w:color w:val="010000"/>
        </w:rPr>
      </w:pPr>
    </w:p>
    <w:p>
      <w:pPr>
        <w:ind w:left="3300" w:hanging="722"/>
        <w:spacing w:after="0"/>
        <w:tabs>
          <w:tab w:leader="none" w:pos="3300" w:val="left"/>
        </w:tabs>
        <w:numPr>
          <w:ilvl w:val="2"/>
          <w:numId w:val="181"/>
        </w:numPr>
        <w:rPr>
          <w:rFonts w:ascii="Arial" w:cs="Arial" w:eastAsia="Arial" w:hAnsi="Arial"/>
          <w:sz w:val="21"/>
          <w:szCs w:val="21"/>
          <w:color w:val="010000"/>
        </w:rPr>
      </w:pPr>
      <w:r>
        <w:rPr>
          <w:rFonts w:ascii="Arial" w:cs="Arial" w:eastAsia="Arial" w:hAnsi="Arial"/>
          <w:sz w:val="21"/>
          <w:szCs w:val="21"/>
          <w:color w:val="auto"/>
        </w:rPr>
        <w:t>the assignee, if it shall not be a Lender, shall deliver to the Administrative Agent an</w:t>
      </w:r>
    </w:p>
    <w:p>
      <w:pPr>
        <w:spacing w:after="0"/>
        <w:rPr>
          <w:rFonts w:ascii="Arial" w:cs="Arial" w:eastAsia="Arial" w:hAnsi="Arial"/>
          <w:sz w:val="21"/>
          <w:szCs w:val="21"/>
          <w:color w:val="010000"/>
        </w:rPr>
      </w:pPr>
      <w:r>
        <w:rPr>
          <w:rFonts w:ascii="Arial" w:cs="Arial" w:eastAsia="Arial" w:hAnsi="Arial"/>
          <w:sz w:val="21"/>
          <w:szCs w:val="21"/>
          <w:color w:val="auto"/>
        </w:rPr>
        <w:t>Administrative Questionnaire; and</w:t>
      </w:r>
    </w:p>
    <w:p>
      <w:pPr>
        <w:spacing w:after="0" w:line="168" w:lineRule="exact"/>
        <w:rPr>
          <w:rFonts w:ascii="Arial" w:cs="Arial" w:eastAsia="Arial" w:hAnsi="Arial"/>
          <w:sz w:val="21"/>
          <w:szCs w:val="21"/>
          <w:color w:val="010000"/>
        </w:rPr>
      </w:pPr>
    </w:p>
    <w:p>
      <w:pPr>
        <w:jc w:val="both"/>
        <w:ind w:firstLine="2578"/>
        <w:spacing w:after="0" w:line="232" w:lineRule="auto"/>
        <w:tabs>
          <w:tab w:leader="none" w:pos="3152" w:val="left"/>
        </w:tabs>
        <w:numPr>
          <w:ilvl w:val="2"/>
          <w:numId w:val="181"/>
        </w:numPr>
        <w:rPr>
          <w:rFonts w:ascii="Arial" w:cs="Arial" w:eastAsia="Arial" w:hAnsi="Arial"/>
          <w:sz w:val="21"/>
          <w:szCs w:val="21"/>
          <w:color w:val="010000"/>
        </w:rPr>
      </w:pPr>
      <w:r>
        <w:rPr>
          <w:rFonts w:ascii="Arial" w:cs="Arial" w:eastAsia="Arial" w:hAnsi="Arial"/>
          <w:sz w:val="21"/>
          <w:szCs w:val="21"/>
          <w:color w:val="auto"/>
        </w:rPr>
        <w:t>no assignment shall be made to (1) the Borrower or any of the Borrower’s Subsidiaries or Affiliates, (2) any Defaulting Lender or any of its Subsidiaries, or any Person who, upon becoming a Lender hereunder, would constitute any of the foregoing Persons described in this clause (ii) or (iii) any natural Person.</w:t>
      </w:r>
    </w:p>
    <w:p>
      <w:pPr>
        <w:spacing w:after="0" w:line="156" w:lineRule="exact"/>
        <w:rPr>
          <w:rFonts w:ascii="Arial" w:cs="Arial" w:eastAsia="Arial" w:hAnsi="Arial"/>
          <w:sz w:val="21"/>
          <w:szCs w:val="21"/>
          <w:color w:val="010000"/>
        </w:rPr>
      </w:pPr>
    </w:p>
    <w:p>
      <w:pPr>
        <w:jc w:val="both"/>
        <w:ind w:firstLine="1935"/>
        <w:spacing w:after="0" w:line="220" w:lineRule="auto"/>
        <w:tabs>
          <w:tab w:leader="none" w:pos="2484" w:val="left"/>
        </w:tabs>
        <w:numPr>
          <w:ilvl w:val="1"/>
          <w:numId w:val="181"/>
        </w:numPr>
        <w:rPr>
          <w:rFonts w:ascii="Arial" w:cs="Arial" w:eastAsia="Arial" w:hAnsi="Arial"/>
          <w:sz w:val="21"/>
          <w:szCs w:val="21"/>
          <w:color w:val="auto"/>
        </w:rPr>
      </w:pPr>
      <w:r>
        <w:rPr>
          <w:rFonts w:ascii="Arial" w:cs="Arial" w:eastAsia="Arial" w:hAnsi="Arial"/>
          <w:sz w:val="21"/>
          <w:szCs w:val="21"/>
          <w:color w:val="auto"/>
        </w:rPr>
        <w:t>Subject to Section 12.04(b)(iv) and the acceptance and recording thereof,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 5.01, Section 5.02, Section 5.03 and Section 12.03). Any assignment or transfer by a Lender of rights or obligations under this Agreement that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104</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36" w:name="page237"/>
    <w:bookmarkEnd w:id="236"/>
    <w:p>
      <w:pPr>
        <w:spacing w:after="0" w:line="244" w:lineRule="auto"/>
        <w:rPr>
          <w:sz w:val="20"/>
          <w:szCs w:val="20"/>
          <w:color w:val="auto"/>
        </w:rPr>
      </w:pPr>
      <w:r>
        <w:rPr>
          <w:rFonts w:ascii="Arial" w:cs="Arial" w:eastAsia="Arial" w:hAnsi="Arial"/>
          <w:sz w:val="21"/>
          <w:szCs w:val="21"/>
          <w:color w:val="auto"/>
        </w:rPr>
        <w:t>comply with this Section 12.04 shall be treated for purposes of this Agreement as a sale by such Lender of a participation in such rights and obligations in accordance with Section 12.04(c).</w:t>
      </w:r>
    </w:p>
    <w:p>
      <w:pPr>
        <w:spacing w:after="0" w:line="152" w:lineRule="exact"/>
        <w:rPr>
          <w:sz w:val="20"/>
          <w:szCs w:val="20"/>
          <w:color w:val="auto"/>
        </w:rPr>
      </w:pPr>
    </w:p>
    <w:p>
      <w:pPr>
        <w:jc w:val="both"/>
        <w:ind w:firstLine="1935"/>
        <w:spacing w:after="0" w:line="229" w:lineRule="auto"/>
        <w:tabs>
          <w:tab w:leader="none" w:pos="2488" w:val="left"/>
        </w:tabs>
        <w:numPr>
          <w:ilvl w:val="1"/>
          <w:numId w:val="182"/>
        </w:numPr>
        <w:rPr>
          <w:rFonts w:ascii="Arial" w:cs="Arial" w:eastAsia="Arial" w:hAnsi="Arial"/>
          <w:sz w:val="20"/>
          <w:szCs w:val="20"/>
          <w:color w:val="auto"/>
        </w:rPr>
      </w:pPr>
      <w:r>
        <w:rPr>
          <w:rFonts w:ascii="Arial" w:cs="Arial" w:eastAsia="Arial" w:hAnsi="Arial"/>
          <w:sz w:val="20"/>
          <w:szCs w:val="20"/>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Maximum Credit Amount and Elected Commitment of, and principal amount of the Loans and LC Disbursements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The entries in the Register shall be conclusive absent manifest error, and the Borrower, the Administrative Agent, the Issuing Bank and the Lenders may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 In connection with any changes to the Register, if necessary, the Administrative Agent will reflect the revisions on Annex I and forward a copy of such revised Annex I to the Borrower, the Issuing Bank and each Lender.</w:t>
      </w:r>
    </w:p>
    <w:p>
      <w:pPr>
        <w:spacing w:after="0" w:line="162" w:lineRule="exact"/>
        <w:rPr>
          <w:rFonts w:ascii="Arial" w:cs="Arial" w:eastAsia="Arial" w:hAnsi="Arial"/>
          <w:sz w:val="20"/>
          <w:szCs w:val="20"/>
          <w:color w:val="auto"/>
        </w:rPr>
      </w:pPr>
    </w:p>
    <w:p>
      <w:pPr>
        <w:jc w:val="both"/>
        <w:ind w:firstLine="1935"/>
        <w:spacing w:after="0" w:line="222" w:lineRule="auto"/>
        <w:tabs>
          <w:tab w:leader="none" w:pos="2463" w:val="left"/>
        </w:tabs>
        <w:numPr>
          <w:ilvl w:val="1"/>
          <w:numId w:val="182"/>
        </w:numPr>
        <w:rPr>
          <w:rFonts w:ascii="Arial" w:cs="Arial" w:eastAsia="Arial" w:hAnsi="Arial"/>
          <w:sz w:val="21"/>
          <w:szCs w:val="21"/>
          <w:color w:val="auto"/>
        </w:rPr>
      </w:pPr>
      <w:r>
        <w:rPr>
          <w:rFonts w:ascii="Arial" w:cs="Arial" w:eastAsia="Arial" w:hAnsi="Arial"/>
          <w:sz w:val="21"/>
          <w:szCs w:val="21"/>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Section 12.04(b) and any written consent to such assignment required by Section 12.04(b), the Administrative Agent shall accept such Assignment and Assumption and record the information contained therein in the Register. No assignment shall be effective for purposes of this Agreement unless it has been recorded in the Register as provided in this Section 12.04(b).</w:t>
      </w:r>
    </w:p>
    <w:p>
      <w:pPr>
        <w:spacing w:after="0" w:line="159" w:lineRule="exact"/>
        <w:rPr>
          <w:rFonts w:ascii="Arial" w:cs="Arial" w:eastAsia="Arial" w:hAnsi="Arial"/>
          <w:sz w:val="21"/>
          <w:szCs w:val="21"/>
          <w:color w:val="auto"/>
        </w:rPr>
      </w:pPr>
    </w:p>
    <w:p>
      <w:pPr>
        <w:jc w:val="both"/>
        <w:ind w:firstLine="1293"/>
        <w:spacing w:after="0" w:line="227" w:lineRule="auto"/>
        <w:tabs>
          <w:tab w:leader="none" w:pos="177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(i) Any Lender may, without the consent of the Borrower, the Administrative Agent or the Issuing Bank, sell participations to one or more banks or other entities (a “</w:t>
      </w:r>
      <w:r>
        <w:rPr>
          <w:rFonts w:ascii="Arial" w:cs="Arial" w:eastAsia="Arial" w:hAnsi="Arial"/>
          <w:sz w:val="20"/>
          <w:szCs w:val="20"/>
          <w:u w:val="single" w:color="auto"/>
          <w:color w:val="auto"/>
        </w:rPr>
        <w:t>Participant</w:t>
      </w:r>
      <w:r>
        <w:rPr>
          <w:rFonts w:ascii="Arial" w:cs="Arial" w:eastAsia="Arial" w:hAnsi="Arial"/>
          <w:sz w:val="20"/>
          <w:szCs w:val="20"/>
          <w:color w:val="auto"/>
        </w:rPr>
        <w:t>”) in all or a portion of such Lender’s rights and obligations under this Agreement (including all or a portion of its Commitment and the Loans owing to it); provided that (A) such Lender’s obligations under this Agreement shall remain unchanged, (B) such Lender shall remain solely responsible to the other parties hereto for the performance of such obligations and (C) the Borrower,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proviso to Section 12.02 that affects such Participant. In addition such agreement must provide that the Participant be bound by the provisions of Section 12.03. Subject to Section 12.04(c)(ii), the Borrower agrees that each Participant shall be entitled to the benefits of Section 5.01, Section 5.02 and Section 5.03 to the same extent as if it were a Lender and had acquired its interest by assignment pursuant to Section 12.04(b). To the extent permitted by law, each Participant also shall be entitled to the benefits of Section 12.08 as though it were a Lender, provided such Participant agrees to be subject to Section 4.01(c) as though it were a Lender.</w:t>
      </w:r>
    </w:p>
    <w:p>
      <w:pPr>
        <w:spacing w:after="0" w:line="164" w:lineRule="exact"/>
        <w:rPr>
          <w:rFonts w:ascii="Arial" w:cs="Arial" w:eastAsia="Arial" w:hAnsi="Arial"/>
          <w:sz w:val="20"/>
          <w:szCs w:val="20"/>
          <w:color w:val="auto"/>
        </w:rPr>
      </w:pPr>
    </w:p>
    <w:p>
      <w:pPr>
        <w:jc w:val="both"/>
        <w:ind w:firstLine="1935"/>
        <w:spacing w:after="0" w:line="224" w:lineRule="auto"/>
        <w:tabs>
          <w:tab w:leader="none" w:pos="2440" w:val="left"/>
        </w:tabs>
        <w:numPr>
          <w:ilvl w:val="1"/>
          <w:numId w:val="183"/>
        </w:numPr>
        <w:rPr>
          <w:rFonts w:ascii="Arial" w:cs="Arial" w:eastAsia="Arial" w:hAnsi="Arial"/>
          <w:sz w:val="21"/>
          <w:szCs w:val="21"/>
          <w:color w:val="auto"/>
        </w:rPr>
      </w:pPr>
      <w:r>
        <w:rPr>
          <w:rFonts w:ascii="Arial" w:cs="Arial" w:eastAsia="Arial" w:hAnsi="Arial"/>
          <w:sz w:val="21"/>
          <w:szCs w:val="21"/>
          <w:color w:val="auto"/>
        </w:rPr>
        <w:t>A Participant shall not be entitled to receive any greater payment under Section 5.01 or Section 5.03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5.03 unless the Borrower is notified of the participation sold to such Participant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105</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37" w:name="page238"/>
    <w:bookmarkEnd w:id="237"/>
    <w:p>
      <w:pPr>
        <w:spacing w:after="0"/>
        <w:rPr>
          <w:sz w:val="20"/>
          <w:szCs w:val="20"/>
          <w:color w:val="auto"/>
        </w:rPr>
      </w:pPr>
      <w:r>
        <w:rPr>
          <w:rFonts w:ascii="Arial" w:cs="Arial" w:eastAsia="Arial" w:hAnsi="Arial"/>
          <w:sz w:val="21"/>
          <w:szCs w:val="21"/>
          <w:color w:val="auto"/>
        </w:rPr>
        <w:t>Participant agrees, for the benefit of the Borrower, to comply with Section 5.03(e) as though it were a Lender.</w:t>
      </w:r>
    </w:p>
    <w:p>
      <w:pPr>
        <w:spacing w:after="0" w:line="187" w:lineRule="exact"/>
        <w:rPr>
          <w:sz w:val="20"/>
          <w:szCs w:val="20"/>
          <w:color w:val="auto"/>
        </w:rPr>
      </w:pPr>
    </w:p>
    <w:p>
      <w:pPr>
        <w:jc w:val="both"/>
        <w:ind w:firstLine="1935"/>
        <w:spacing w:after="0" w:line="229" w:lineRule="auto"/>
        <w:tabs>
          <w:tab w:leader="none" w:pos="2498" w:val="left"/>
        </w:tabs>
        <w:numPr>
          <w:ilvl w:val="1"/>
          <w:numId w:val="184"/>
        </w:numPr>
        <w:rPr>
          <w:rFonts w:ascii="Arial" w:cs="Arial" w:eastAsia="Arial" w:hAnsi="Arial"/>
          <w:sz w:val="20"/>
          <w:szCs w:val="20"/>
          <w:color w:val="auto"/>
        </w:rPr>
      </w:pPr>
      <w:r>
        <w:rPr>
          <w:rFonts w:ascii="Arial" w:cs="Arial" w:eastAsia="Arial" w:hAnsi="Arial"/>
          <w:sz w:val="20"/>
          <w:szCs w:val="20"/>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6" w:lineRule="exact"/>
        <w:rPr>
          <w:rFonts w:ascii="Arial" w:cs="Arial" w:eastAsia="Arial" w:hAnsi="Arial"/>
          <w:sz w:val="20"/>
          <w:szCs w:val="20"/>
          <w:color w:val="auto"/>
        </w:rPr>
      </w:pPr>
    </w:p>
    <w:p>
      <w:pPr>
        <w:jc w:val="both"/>
        <w:ind w:firstLine="1293"/>
        <w:spacing w:after="0" w:line="224" w:lineRule="auto"/>
        <w:tabs>
          <w:tab w:leader="none" w:pos="1791" w:val="left"/>
        </w:tabs>
        <w:numPr>
          <w:ilvl w:val="0"/>
          <w:numId w:val="185"/>
        </w:numPr>
        <w:rPr>
          <w:rFonts w:ascii="Arial" w:cs="Arial" w:eastAsia="Arial" w:hAnsi="Arial"/>
          <w:sz w:val="21"/>
          <w:szCs w:val="21"/>
          <w:color w:val="auto"/>
        </w:rPr>
      </w:pPr>
      <w:r>
        <w:rPr>
          <w:rFonts w:ascii="Arial" w:cs="Arial" w:eastAsia="Arial" w:hAnsi="Arial"/>
          <w:sz w:val="21"/>
          <w:szCs w:val="21"/>
          <w:color w:val="auto"/>
        </w:rPr>
        <w:t>Any Lender may at any time pledge or assign a security interest in all or any portion of its rights under this Agreement to secure obligations of such Lender, including any pledge or assignment to secure obligations to a Federal Reserve Bank, and Section 12.04(b)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spacing w:after="0" w:line="158" w:lineRule="exact"/>
        <w:rPr>
          <w:rFonts w:ascii="Arial" w:cs="Arial" w:eastAsia="Arial" w:hAnsi="Arial"/>
          <w:sz w:val="21"/>
          <w:szCs w:val="21"/>
          <w:color w:val="auto"/>
        </w:rPr>
      </w:pPr>
    </w:p>
    <w:p>
      <w:pPr>
        <w:jc w:val="both"/>
        <w:ind w:firstLine="1293"/>
        <w:spacing w:after="0" w:line="227" w:lineRule="auto"/>
        <w:tabs>
          <w:tab w:leader="none" w:pos="1864" w:val="left"/>
        </w:tabs>
        <w:numPr>
          <w:ilvl w:val="0"/>
          <w:numId w:val="185"/>
        </w:numPr>
        <w:rPr>
          <w:rFonts w:ascii="Arial" w:cs="Arial" w:eastAsia="Arial" w:hAnsi="Arial"/>
          <w:sz w:val="21"/>
          <w:szCs w:val="21"/>
          <w:color w:val="auto"/>
        </w:rPr>
      </w:pPr>
      <w:r>
        <w:rPr>
          <w:rFonts w:ascii="Arial" w:cs="Arial" w:eastAsia="Arial" w:hAnsi="Arial"/>
          <w:sz w:val="21"/>
          <w:szCs w:val="21"/>
          <w:color w:val="auto"/>
        </w:rPr>
        <w:t>Notwithstanding any other provisions of this Section 12.04, no transfer or assignment of the interests or obligations of any Lender or any grant of participations therein shall be permitted if such transfer, assignment or grant would require the Borrower or any of the Restricted Subsidiaries to file a registration statement with the SEC or to qualify the Loans under the “</w:t>
      </w:r>
      <w:r>
        <w:rPr>
          <w:rFonts w:ascii="Arial" w:cs="Arial" w:eastAsia="Arial" w:hAnsi="Arial"/>
          <w:sz w:val="21"/>
          <w:szCs w:val="21"/>
          <w:u w:val="single" w:color="auto"/>
          <w:color w:val="auto"/>
        </w:rPr>
        <w:t>Blue Sky</w:t>
      </w:r>
      <w:r>
        <w:rPr>
          <w:rFonts w:ascii="Arial" w:cs="Arial" w:eastAsia="Arial" w:hAnsi="Arial"/>
          <w:sz w:val="21"/>
          <w:szCs w:val="21"/>
          <w:color w:val="auto"/>
        </w:rPr>
        <w:t>” laws of any state.</w:t>
      </w:r>
    </w:p>
    <w:p>
      <w:pPr>
        <w:spacing w:after="0" w:line="158"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21"/>
          <w:szCs w:val="21"/>
          <w:color w:val="auto"/>
        </w:rPr>
        <w:t>Section 12.05</w:t>
      </w:r>
      <w:r>
        <w:rPr>
          <w:sz w:val="20"/>
          <w:szCs w:val="20"/>
          <w:color w:val="auto"/>
        </w:rPr>
        <w:tab/>
      </w:r>
      <w:r>
        <w:rPr>
          <w:rFonts w:ascii="Arial" w:cs="Arial" w:eastAsia="Arial" w:hAnsi="Arial"/>
          <w:sz w:val="19"/>
          <w:szCs w:val="19"/>
          <w:u w:val="single" w:color="auto"/>
          <w:color w:val="auto"/>
        </w:rPr>
        <w:t>Survival; Revival; Reinstatement.</w:t>
      </w:r>
    </w:p>
    <w:p>
      <w:pPr>
        <w:spacing w:after="0" w:line="187" w:lineRule="exact"/>
        <w:rPr>
          <w:sz w:val="20"/>
          <w:szCs w:val="20"/>
          <w:color w:val="auto"/>
        </w:rPr>
      </w:pPr>
    </w:p>
    <w:p>
      <w:pPr>
        <w:jc w:val="both"/>
        <w:ind w:firstLine="1293"/>
        <w:spacing w:after="0" w:line="228" w:lineRule="auto"/>
        <w:tabs>
          <w:tab w:leader="none" w:pos="179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All covenants, agreements, representations and warranties made by the Borrower and the Guarantors herein and in the certificates or other instruments delivered in connection with or pursuant to this Agreement or any other Loan Document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other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 5.01, Section 5.02, Section 5.03 and Section 12.03 and Article XI shall survive and remain in full force and effect regardless of the consummation of the transactions contemplated hereby, the repayment of the Loans, the expiration or termination of the Letters of Credit and the Commitments or the termination of this Agreement, any other Loan Document or any provision hereof or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106</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38" w:name="page239"/>
    <w:bookmarkEnd w:id="238"/>
    <w:p>
      <w:pPr>
        <w:jc w:val="both"/>
        <w:ind w:firstLine="1293"/>
        <w:spacing w:after="0" w:line="232" w:lineRule="auto"/>
        <w:tabs>
          <w:tab w:leader="none" w:pos="196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To the extent that any payments on the Indebtedness or proceeds of any collateral are subsequently invalidated, declared to be fraudulent or preferential, set aside or required to be repaid to a trustee, debtor in possession, receiver or other Person under any bankruptcy law, common law or equitable cause, then to such extent, the Indebtedness so satisfied shall be revived and continue as if such payment or proceeds had not been received and the Administrative Agent’s and the Lenders’ Liens, security interests, rights, powers and remedies under this Agreement and each Loan Document shall continue in full force and effect. In such event, each Loan Document shall be automatically reinstated and the Borrower shall take such action as may be reasonably requested by the Administrative Agent and the Lenders to effect such reinstatement.</w:t>
      </w:r>
    </w:p>
    <w:p>
      <w:pPr>
        <w:spacing w:after="0" w:line="158"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21"/>
          <w:szCs w:val="21"/>
          <w:color w:val="auto"/>
        </w:rPr>
        <w:t>Section 12.06</w:t>
      </w:r>
      <w:r>
        <w:rPr>
          <w:sz w:val="20"/>
          <w:szCs w:val="20"/>
          <w:color w:val="auto"/>
        </w:rPr>
        <w:tab/>
      </w:r>
      <w:r>
        <w:rPr>
          <w:rFonts w:ascii="Arial" w:cs="Arial" w:eastAsia="Arial" w:hAnsi="Arial"/>
          <w:sz w:val="19"/>
          <w:szCs w:val="19"/>
          <w:u w:val="single" w:color="auto"/>
          <w:color w:val="auto"/>
        </w:rPr>
        <w:t>Counterparts; Integration; Effectiveness.</w:t>
      </w:r>
    </w:p>
    <w:p>
      <w:pPr>
        <w:spacing w:after="0" w:line="187" w:lineRule="exact"/>
        <w:rPr>
          <w:sz w:val="20"/>
          <w:szCs w:val="20"/>
          <w:color w:val="auto"/>
        </w:rPr>
      </w:pPr>
    </w:p>
    <w:p>
      <w:pPr>
        <w:ind w:right="20" w:firstLine="1293"/>
        <w:spacing w:after="0" w:line="268" w:lineRule="auto"/>
        <w:tabs>
          <w:tab w:leader="none" w:pos="179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This Agreement may be executed in counterparts (and by different parties hereto on different counterparts), each of which shall constitute an original, but all of which when taken together shall constitute a single contract.</w:t>
      </w:r>
    </w:p>
    <w:p>
      <w:pPr>
        <w:spacing w:after="0" w:line="129" w:lineRule="exact"/>
        <w:rPr>
          <w:rFonts w:ascii="Arial" w:cs="Arial" w:eastAsia="Arial" w:hAnsi="Arial"/>
          <w:sz w:val="20"/>
          <w:szCs w:val="20"/>
          <w:color w:val="auto"/>
        </w:rPr>
      </w:pPr>
    </w:p>
    <w:p>
      <w:pPr>
        <w:jc w:val="both"/>
        <w:ind w:firstLine="1293"/>
        <w:spacing w:after="0" w:line="241" w:lineRule="auto"/>
        <w:tabs>
          <w:tab w:leader="none" w:pos="175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This Agreement, the other Loan Documents and any separate letter agreements with respect to fees payable to the Administrative Agent constitute the entire contract among the parties relating to the subject matter hereof and thereof and supersede any and all previous agreements and understandings, oral or written, relating to the subject matter hereof and thereof.</w:t>
      </w:r>
    </w:p>
    <w:p>
      <w:pPr>
        <w:spacing w:after="0" w:line="2" w:lineRule="exact"/>
        <w:rPr>
          <w:rFonts w:ascii="Arial" w:cs="Arial" w:eastAsia="Arial" w:hAnsi="Arial"/>
          <w:sz w:val="19"/>
          <w:szCs w:val="19"/>
          <w:color w:val="auto"/>
        </w:rPr>
      </w:pPr>
    </w:p>
    <w:p>
      <w:pPr>
        <w:jc w:val="both"/>
        <w:spacing w:after="0" w:line="223" w:lineRule="auto"/>
        <w:rPr>
          <w:rFonts w:ascii="Arial" w:cs="Arial" w:eastAsia="Arial" w:hAnsi="Arial"/>
          <w:sz w:val="19"/>
          <w:szCs w:val="19"/>
          <w:color w:val="auto"/>
        </w:rPr>
      </w:pPr>
      <w:r>
        <w:rPr>
          <w:rFonts w:ascii="Arial" w:cs="Arial" w:eastAsia="Arial" w:hAnsi="Arial"/>
          <w:sz w:val="21"/>
          <w:szCs w:val="21"/>
          <w:b w:val="1"/>
          <w:bCs w:val="1"/>
          <w:color w:val="auto"/>
        </w:rPr>
        <w:t>THIS AGREEMENT AND THE OTHER LOAN DOCUMENTS REPRESENT THE FINAL AGREEMENT AMONG THE PARTIES HERETO AND THERETO AND MAY NOT BE CONTRADICTED BY EVIDENCE OF PRIOR, CONTEMPORANEOUS OR SUBSEQUENT ORAL AGREEMENTS OF THE PARTIES. THERE ARE NO UNWRITTEN ORAL AGREEMENTS BETWEEN THE PARTIES</w:t>
      </w:r>
      <w:r>
        <w:rPr>
          <w:rFonts w:ascii="Arial" w:cs="Arial" w:eastAsia="Arial" w:hAnsi="Arial"/>
          <w:sz w:val="21"/>
          <w:szCs w:val="21"/>
          <w:color w:val="auto"/>
        </w:rPr>
        <w:t>.</w:t>
      </w:r>
    </w:p>
    <w:p>
      <w:pPr>
        <w:spacing w:after="0" w:line="155" w:lineRule="exact"/>
        <w:rPr>
          <w:rFonts w:ascii="Arial" w:cs="Arial" w:eastAsia="Arial" w:hAnsi="Arial"/>
          <w:sz w:val="19"/>
          <w:szCs w:val="19"/>
          <w:color w:val="auto"/>
        </w:rPr>
      </w:pPr>
    </w:p>
    <w:p>
      <w:pPr>
        <w:jc w:val="both"/>
        <w:ind w:firstLine="1293"/>
        <w:spacing w:after="0" w:line="222" w:lineRule="auto"/>
        <w:tabs>
          <w:tab w:leader="none" w:pos="1783" w:val="left"/>
        </w:tabs>
        <w:numPr>
          <w:ilvl w:val="0"/>
          <w:numId w:val="188"/>
        </w:numPr>
        <w:rPr>
          <w:rFonts w:ascii="Arial" w:cs="Arial" w:eastAsia="Arial" w:hAnsi="Arial"/>
          <w:sz w:val="21"/>
          <w:szCs w:val="21"/>
          <w:color w:val="auto"/>
        </w:rPr>
      </w:pPr>
      <w:r>
        <w:rPr>
          <w:rFonts w:ascii="Arial" w:cs="Arial" w:eastAsia="Arial" w:hAnsi="Arial"/>
          <w:sz w:val="21"/>
          <w:szCs w:val="21"/>
          <w:color w:val="auto"/>
        </w:rPr>
        <w:t>Except as provided in Section 6.01,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facsimile or other electronic means shall be effective as delivery of a manually executed counterpart of this Agreement.</w:t>
      </w:r>
    </w:p>
    <w:p>
      <w:pPr>
        <w:spacing w:after="0" w:line="159" w:lineRule="exact"/>
        <w:rPr>
          <w:sz w:val="20"/>
          <w:szCs w:val="20"/>
          <w:color w:val="auto"/>
        </w:rPr>
      </w:pPr>
    </w:p>
    <w:p>
      <w:pPr>
        <w:jc w:val="both"/>
        <w:ind w:firstLine="643"/>
        <w:spacing w:after="0" w:line="227" w:lineRule="auto"/>
        <w:rPr>
          <w:sz w:val="20"/>
          <w:szCs w:val="20"/>
          <w:color w:val="auto"/>
        </w:rPr>
      </w:pPr>
      <w:r>
        <w:rPr>
          <w:rFonts w:ascii="Arial" w:cs="Arial" w:eastAsia="Arial" w:hAnsi="Arial"/>
          <w:sz w:val="21"/>
          <w:szCs w:val="21"/>
          <w:color w:val="auto"/>
        </w:rPr>
        <w:t xml:space="preserve">Section 12.07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58" w:lineRule="exact"/>
        <w:rPr>
          <w:sz w:val="20"/>
          <w:szCs w:val="20"/>
          <w:color w:val="auto"/>
        </w:rPr>
      </w:pPr>
    </w:p>
    <w:p>
      <w:pPr>
        <w:jc w:val="both"/>
        <w:ind w:firstLine="643"/>
        <w:spacing w:after="0" w:line="230" w:lineRule="auto"/>
        <w:rPr>
          <w:sz w:val="20"/>
          <w:szCs w:val="20"/>
          <w:color w:val="auto"/>
        </w:rPr>
      </w:pPr>
      <w:r>
        <w:rPr>
          <w:rFonts w:ascii="Arial" w:cs="Arial" w:eastAsia="Arial" w:hAnsi="Arial"/>
          <w:sz w:val="20"/>
          <w:szCs w:val="20"/>
          <w:color w:val="auto"/>
        </w:rPr>
        <w:t xml:space="preserve">Section 12.08 </w:t>
      </w:r>
      <w:r>
        <w:rPr>
          <w:rFonts w:ascii="Arial" w:cs="Arial" w:eastAsia="Arial" w:hAnsi="Arial"/>
          <w:sz w:val="20"/>
          <w:szCs w:val="20"/>
          <w:u w:val="single" w:color="auto"/>
          <w:color w:val="auto"/>
        </w:rPr>
        <w:t>Right of Setoff.</w:t>
      </w:r>
      <w:r>
        <w:rPr>
          <w:rFonts w:ascii="Arial" w:cs="Arial" w:eastAsia="Arial" w:hAnsi="Arial"/>
          <w:sz w:val="20"/>
          <w:szCs w:val="20"/>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(of whatsoever kind, including, without limitations obligations under Swap Agreements) at any time owing by such Lender or Affiliate to or for the credit or the account of the Borrower or any of the Restricted Subsidiaries against any of and all the obligations of the Borrower or any of the Restricted Subsidiaries owed to such Lender now or hereafter existing under this Agreement or any other Loan Document, irrespective of whether or not such Lender shall have made any demand under this Agreement or any other Loan Document and although such obligations may be unmatured. The rights of each Lender under this Section 12.08 are in addition to other rights and remedies (including other rights of setoff) which such Lender or its Affiliates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107</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39" w:name="page240"/>
    <w:bookmarkEnd w:id="239"/>
    <w:p>
      <w:pPr>
        <w:jc w:val="both"/>
        <w:spacing w:after="0" w:line="220" w:lineRule="auto"/>
        <w:rPr>
          <w:sz w:val="20"/>
          <w:szCs w:val="20"/>
          <w:color w:val="auto"/>
        </w:rPr>
      </w:pPr>
      <w:r>
        <w:rPr>
          <w:rFonts w:ascii="Arial" w:cs="Arial" w:eastAsia="Arial" w:hAnsi="Arial"/>
          <w:sz w:val="21"/>
          <w:szCs w:val="21"/>
          <w:color w:val="auto"/>
        </w:rPr>
        <w:t>provided that in the event that any Defaulting Lender shall exercise any such right of setoff, (a) all amounts so set off shall be paid over immediately to the Administrative Agent for further application in accordance with the provisions of Section 10.02(c) and, pending such payment, shall be segregated by such Defaulting Lender from its other funds and deemed held in trust for the benefit of the Administrative Agent, the Issuing Bank and the Lenders, and (b) the Defaulting Lender shall provide promptly to the Administrative Agent a statement describing in reasonable detail the Indebtedness owing to such Defaulting Lender as to which it exercised such right of setoff. Each Lender and the Issuing Bank agrees to notify the Borrower and the Administrative Agent promptly after any such setoff and application; provided that the failure to give such notice shall not affect the validity of such setoff and application.</w:t>
      </w:r>
    </w:p>
    <w:p>
      <w:pPr>
        <w:spacing w:after="0" w:line="157"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21"/>
          <w:szCs w:val="21"/>
          <w:color w:val="auto"/>
        </w:rPr>
        <w:t>Section 12.09</w:t>
      </w:r>
      <w:r>
        <w:rPr>
          <w:sz w:val="20"/>
          <w:szCs w:val="20"/>
          <w:color w:val="auto"/>
        </w:rPr>
        <w:tab/>
      </w:r>
      <w:r>
        <w:rPr>
          <w:rFonts w:ascii="Arial" w:cs="Arial" w:eastAsia="Arial" w:hAnsi="Arial"/>
          <w:sz w:val="20"/>
          <w:szCs w:val="20"/>
          <w:u w:val="single" w:color="auto"/>
          <w:color w:val="auto"/>
        </w:rPr>
        <w:t>GOVERNING LAW; JURISDICTION; CONSENT TO SERVICE OF PROCESS.</w:t>
      </w:r>
    </w:p>
    <w:p>
      <w:pPr>
        <w:spacing w:after="0" w:line="187" w:lineRule="exact"/>
        <w:rPr>
          <w:sz w:val="20"/>
          <w:szCs w:val="20"/>
          <w:color w:val="auto"/>
        </w:rPr>
      </w:pPr>
    </w:p>
    <w:p>
      <w:pPr>
        <w:jc w:val="both"/>
        <w:ind w:firstLine="1293"/>
        <w:spacing w:after="0" w:line="221" w:lineRule="auto"/>
        <w:tabs>
          <w:tab w:leader="none" w:pos="2026" w:val="left"/>
        </w:tabs>
        <w:numPr>
          <w:ilvl w:val="0"/>
          <w:numId w:val="189"/>
        </w:numPr>
        <w:rPr>
          <w:rFonts w:ascii="Arial" w:cs="Arial" w:eastAsia="Arial" w:hAnsi="Arial"/>
          <w:sz w:val="21"/>
          <w:szCs w:val="21"/>
          <w:color w:val="auto"/>
        </w:rPr>
      </w:pPr>
      <w:r>
        <w:rPr>
          <w:rFonts w:ascii="Arial" w:cs="Arial" w:eastAsia="Arial" w:hAnsi="Arial"/>
          <w:sz w:val="21"/>
          <w:szCs w:val="21"/>
          <w:color w:val="auto"/>
        </w:rPr>
        <w:t>THIS AGREEMENT AND THE NOTES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 AS OF THE SEVENTH AMENDMENT EFFECTIVE DATE, EACH OUTSTANDING NOTE PREVIOUSLY ISSUED BY THE BORROWER TO ANY LENDER SHALL BE DEEMED TO BE AMENDED TO PROVIDE THAT SUCH NOTE SHALL BE GOVERNED BY, AND CONSTRUED IN ACCORDANCE WITH, THE LAWS OF THE STATE OF NEW YORK.</w:t>
      </w:r>
    </w:p>
    <w:p>
      <w:pPr>
        <w:spacing w:after="0" w:line="157" w:lineRule="exact"/>
        <w:rPr>
          <w:rFonts w:ascii="Arial" w:cs="Arial" w:eastAsia="Arial" w:hAnsi="Arial"/>
          <w:sz w:val="21"/>
          <w:szCs w:val="21"/>
          <w:color w:val="auto"/>
        </w:rPr>
      </w:pPr>
    </w:p>
    <w:p>
      <w:pPr>
        <w:jc w:val="both"/>
        <w:ind w:firstLine="1293"/>
        <w:spacing w:after="0" w:line="219" w:lineRule="auto"/>
        <w:tabs>
          <w:tab w:leader="none" w:pos="1774" w:val="left"/>
        </w:tabs>
        <w:numPr>
          <w:ilvl w:val="0"/>
          <w:numId w:val="189"/>
        </w:numPr>
        <w:rPr>
          <w:rFonts w:ascii="Arial" w:cs="Arial" w:eastAsia="Arial" w:hAnsi="Arial"/>
          <w:sz w:val="21"/>
          <w:szCs w:val="21"/>
          <w:color w:val="auto"/>
        </w:rPr>
      </w:pPr>
      <w:r>
        <w:rPr>
          <w:rFonts w:ascii="Arial" w:cs="Arial" w:eastAsia="Arial" w:hAnsi="Arial"/>
          <w:sz w:val="21"/>
          <w:szCs w:val="21"/>
          <w:color w:val="auto"/>
        </w:rPr>
        <w:t>ANY LEGAL ACTION OR PROCEEDING WITH RESPECT TO THE LOAN DOCUMENTS SHALL BE BROUGHT IN THE COURTS OF THE STATE OF NEW YORK SITTING IN THE BOROUGH OF MANHATTAN OR OF THE UNITED STATES OF AMERICA FOR THE SOUTHERN DISTRICT OF NEW YORK SITTING IN THE BOROUGH OF MANHATTAN, AND, BY EXECUTION AND DELIVERY OF THIS AGREEMENT, EACH PARTY HEREBY ACCEPTS FOR ITSELF AND (TO THE EXTENT PERMITTED BY LAW) IN RESPECT OF ITS PROPERTY, GENERALLY AND UNCONDITIONALLY, THE JURISDICTION OF THE AFORESAID COURTS. EACH PARTY HEREBY IRREVOCABLY WAIVES ANY OBJECTION, INCLUDING, WITHOUT LIMITATION, ANY OBJECTION TO THE LAYING OF VENUE OR BASED ON THE GROUNDS OF FORUM NON CONVENIENS, WHICH IT MAY NOW OR HEREAFTER HAVE TO THE BRINGING OF ANY SUCH ACTION OR PROCEEDING IN SUCH RESPECTIVE JURISDICTIONS.</w:t>
      </w:r>
    </w:p>
    <w:p>
      <w:pPr>
        <w:spacing w:after="0" w:line="159" w:lineRule="exact"/>
        <w:rPr>
          <w:rFonts w:ascii="Arial" w:cs="Arial" w:eastAsia="Arial" w:hAnsi="Arial"/>
          <w:sz w:val="21"/>
          <w:szCs w:val="21"/>
          <w:color w:val="auto"/>
        </w:rPr>
      </w:pPr>
    </w:p>
    <w:p>
      <w:pPr>
        <w:jc w:val="both"/>
        <w:ind w:firstLine="1293"/>
        <w:spacing w:after="0" w:line="220" w:lineRule="auto"/>
        <w:tabs>
          <w:tab w:leader="none" w:pos="1931" w:val="left"/>
        </w:tabs>
        <w:numPr>
          <w:ilvl w:val="0"/>
          <w:numId w:val="189"/>
        </w:numPr>
        <w:rPr>
          <w:rFonts w:ascii="Arial" w:cs="Arial" w:eastAsia="Arial" w:hAnsi="Arial"/>
          <w:sz w:val="21"/>
          <w:szCs w:val="21"/>
          <w:color w:val="auto"/>
        </w:rPr>
      </w:pPr>
      <w:r>
        <w:rPr>
          <w:rFonts w:ascii="Arial" w:cs="Arial" w:eastAsia="Arial" w:hAnsi="Arial"/>
          <w:sz w:val="21"/>
          <w:szCs w:val="21"/>
          <w:color w:val="auto"/>
        </w:rPr>
        <w:t>EACH PARTY IRREVOCABLY CONSENTS TO THE SERVICE OF PROCESS OF ANY OF THE AFOREMENTIONED COURTS IN ANY SUCH ACTION OR PROCEEDING BY THE MAILING OF COPIES THEREOF BY REGISTERED OR CERTIFIED MAIL, POSTAGE PREPAID, TO IT AT THE ADDRESS SPECIFIED IN SECTION 12.01 OR SUCH OTHER ADDRESS AS IS SPECIFIED PURSUANT TO SECTION 12.01 (OR ITS ASSIGNMENT AND ASSUMPTION), SUCH SERVICE TO BECOME EFFECTIVE THIRTY (30) DAYS AFTER SUCH MAILING. NOTHING HEREIN SHALL AFFECT THE RIGHT OF A PARTY OR ANY HOLDER OF A NOTE TO SERVE PROCESS IN ANY OTHER MANNER PERMITTED BY LAW OR TO COMMENCE LEGAL PROCEEDINGS OR OTHERWISE PROCEED AGAINST ANOTHER PARTY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108</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40" w:name="page241"/>
    <w:bookmarkEnd w:id="240"/>
    <w:p>
      <w:pPr>
        <w:jc w:val="both"/>
        <w:ind w:firstLine="1293"/>
        <w:spacing w:after="0" w:line="228" w:lineRule="auto"/>
        <w:tabs>
          <w:tab w:leader="none" w:pos="1788" w:val="left"/>
        </w:tabs>
        <w:numPr>
          <w:ilvl w:val="0"/>
          <w:numId w:val="190"/>
        </w:numPr>
        <w:rPr>
          <w:rFonts w:ascii="Arial" w:cs="Arial" w:eastAsia="Arial" w:hAnsi="Arial"/>
          <w:sz w:val="20"/>
          <w:szCs w:val="20"/>
          <w:color w:val="auto"/>
        </w:rPr>
      </w:pPr>
      <w:r>
        <w:rPr>
          <w:rFonts w:ascii="Arial" w:cs="Arial" w:eastAsia="Arial" w:hAnsi="Arial"/>
          <w:sz w:val="20"/>
          <w:szCs w:val="20"/>
          <w:color w:val="auto"/>
        </w:rPr>
        <w:t>EACH PARTY HEREBY (i) IRREVOCABLY AND UNCONDITIONALLY WAIVES, TO THE FULLEST EXTENT PERMITTED BY LAW, TRIAL BY JURY IN ANY LEGAL ACTION OR PROCEEDING RELATING TO THIS AGREEMENT OR ANY OTHER LOAN DOCUMENT AND FOR ANY COUNTERCLAIM THEREIN; (ii) IRREVOCABLY WAIVES, TO THE MAXIMUM EXTENT NOT PROHIBITED BY LAW, ANY RIGHT IT MAY HAVE TO CLAIM OR RECOVER IN ANY SUCH LITIGATION ANY SPECIAL, EXEMPLARY, PUNITIVE OR CONSEQUENTIAL DAMAGES, OR DAMAGES OTHER THAN, OR IN ADDITION TO, ACTUAL DAMAGES EXCEPT FOR ANY SUCH SPECIAL, EXEMPLARY, PUNITIVE, CONSEQUENTIAL OR OTHER DAMAGES FOR WHICH THE BORROWER HAS INDEMNIFIED AN INDEMNITEE PURSUANT TO SECTION 12.03; (iii) CERTIFIES THAT NO PARTY HERETO NOR ANY REPRESENTATIVE OR AGENT OF COUNSEL FOR ANY PARTY HERETO HAS REPRESENTED, EXPRESSLY OR OTHERWISE, OR IMPLIED THAT SUCH PARTY WOULD NOT, IN THE EVENT OF LITIGATION, SEEK TO ENFORCE THE FOREGOING WAIVERS, AND (iv) ACKNOWLEDGES THAT IT HAS BEEN INDUCED TO ENTER INTO THIS AGREEMENT, THE LOAN DOCUMENTS AND THE TRANSACTIONS CONTEMPLATED HEREBY AND THEREBY BY, AMONG OTHER THINGS, THE MUTUAL WAIVERS AND CERTIFICATIONS CONTAINED IN THIS SECTION 12.09.</w:t>
      </w:r>
    </w:p>
    <w:p>
      <w:pPr>
        <w:spacing w:after="0" w:line="159" w:lineRule="exact"/>
        <w:rPr>
          <w:sz w:val="20"/>
          <w:szCs w:val="20"/>
          <w:color w:val="auto"/>
        </w:rPr>
      </w:pPr>
    </w:p>
    <w:p>
      <w:pPr>
        <w:jc w:val="both"/>
        <w:ind w:firstLine="643"/>
        <w:spacing w:after="0" w:line="232" w:lineRule="auto"/>
        <w:rPr>
          <w:sz w:val="20"/>
          <w:szCs w:val="20"/>
          <w:color w:val="auto"/>
        </w:rPr>
      </w:pPr>
      <w:r>
        <w:rPr>
          <w:rFonts w:ascii="Arial" w:cs="Arial" w:eastAsia="Arial" w:hAnsi="Arial"/>
          <w:sz w:val="21"/>
          <w:szCs w:val="21"/>
          <w:color w:val="auto"/>
        </w:rPr>
        <w:t xml:space="preserve">Section 12.10 </w:t>
      </w:r>
      <w:r>
        <w:rPr>
          <w:rFonts w:ascii="Arial" w:cs="Arial" w:eastAsia="Arial" w:hAnsi="Arial"/>
          <w:sz w:val="21"/>
          <w:szCs w:val="21"/>
          <w:u w:val="single" w:color="auto"/>
          <w:color w:val="auto"/>
        </w:rPr>
        <w:t>Headings.</w:t>
      </w:r>
      <w:r>
        <w:rPr>
          <w:rFonts w:ascii="Arial" w:cs="Arial" w:eastAsia="Arial" w:hAnsi="Arial"/>
          <w:sz w:val="21"/>
          <w:szCs w:val="21"/>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57"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19"/>
          <w:szCs w:val="19"/>
          <w:color w:val="auto"/>
        </w:rPr>
        <w:t xml:space="preserve">Section 12.11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or any other Loan Document,</w:t>
      </w:r>
    </w:p>
    <w:p>
      <w:pPr>
        <w:spacing w:after="0" w:line="3" w:lineRule="exact"/>
        <w:rPr>
          <w:sz w:val="20"/>
          <w:szCs w:val="20"/>
          <w:color w:val="auto"/>
        </w:rPr>
      </w:pPr>
    </w:p>
    <w:p>
      <w:pPr>
        <w:jc w:val="both"/>
        <w:ind w:firstLine="7"/>
        <w:spacing w:after="0" w:line="226" w:lineRule="auto"/>
        <w:tabs>
          <w:tab w:leader="none" w:pos="29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12.11, to (i) any assignee of or Participant in, or any prospective assignee of or Participant in, any of its rights or obligations under this Agreement or (ii) any actual or prospective counterparty (or its advisors) to any Swap Agreement relating to the Borrower and its obligations, (g) with the consent of the Borrower or (h) to the extent such Information (i) becomes publicly available other than as a result of a breach of this Section 12.11 or (ii) becomes available to the Administrative Agent, the Issuing Bank or any Lender on a nonconfidential basis from a source other than the Borrower or any of its Subsidiaries. For the purposes of this Section 12.11, “</w:t>
      </w:r>
      <w:r>
        <w:rPr>
          <w:rFonts w:ascii="Arial" w:cs="Arial" w:eastAsia="Arial" w:hAnsi="Arial"/>
          <w:sz w:val="20"/>
          <w:szCs w:val="20"/>
          <w:u w:val="single" w:color="auto"/>
          <w:color w:val="auto"/>
        </w:rPr>
        <w:t>Information</w:t>
      </w:r>
      <w:r>
        <w:rPr>
          <w:rFonts w:ascii="Arial" w:cs="Arial" w:eastAsia="Arial" w:hAnsi="Arial"/>
          <w:sz w:val="20"/>
          <w:szCs w:val="20"/>
          <w:color w:val="auto"/>
        </w:rPr>
        <w:t>” means all information received from the Borrower or any of its Subsidiaries relating to the Borrower’s or any of its Subsidiaries’ businesses, other than any such information that is available to the Administrative Agent, the Issuing Bank or any Lender on a nonconfidential basis prior to disclosure by the Borrower or any of its Subsidiaries; provided that, in the case of information received from the Borrower or any of its Subsidiaries after the date hereof, such information is hereby deemed at the time of delivery as confidential. Any Person required to maintain the confidentiality of Information as provided in this Section 12.11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109</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41" w:name="page242"/>
    <w:bookmarkEnd w:id="241"/>
    <w:p>
      <w:pPr>
        <w:jc w:val="both"/>
        <w:ind w:firstLine="643"/>
        <w:spacing w:after="0"/>
        <w:rPr>
          <w:sz w:val="20"/>
          <w:szCs w:val="20"/>
          <w:color w:val="auto"/>
        </w:rPr>
      </w:pPr>
      <w:r>
        <w:rPr>
          <w:rFonts w:ascii="Arial" w:cs="Arial" w:eastAsia="Arial" w:hAnsi="Arial"/>
          <w:sz w:val="19"/>
          <w:szCs w:val="19"/>
          <w:color w:val="auto"/>
        </w:rPr>
        <w:t xml:space="preserve">Section 12.12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xml:space="preserve"> It is the intention of the parties hereto that each Lender shall conform strictly to usury laws applicable to it. Accordingly, if the transactions contemplated hereby would be usurious as to any Lender under laws applicable to it (including the laws of the United States of America and the State of Texas or any other jurisdiction whose laws may be mandatorily applicable to such Lender notwithstanding the other provisions of this Agreement), then, in that event, notwithstanding anything to the contrary in any of the Loan Documents or any agreement entered into in connection with or as security for the Notes, it is agreed as follows: (i) the aggregate of all consideration which constitutes interest under law applicable to any Lender that is contracted for, taken, reserved, charged or received by such Lender under any of the Loan Documents or agreements or otherwise in connection with the Notes shall under no circumstances exceed the maximum amount allowed by such applicable law, and any excess shall be canceled automatically and if theretofore paid shall be credited by such Lender on the principal amount of the Indebtedness (or, to the extent that the principal amount of the Indebtedness shall have been or would thereby be paid in full, refunded by such Lender to the Borrower); and (ii) in the event that the maturity of the Notes is accelerated by reason of an election of the holder thereof resulting from any Event of Default under this Agreement or otherwise, or in the event of any required or permitted prepayment, then such consideration that constitutes interest under law applicable to any Lender may never include more than the maximum amount allowed by such applicable law, and excess interest, if any, provided for in this Agreement or otherwise shall be canceled automatically by such Lender as of the date of such acceleration or prepayment and, if theretofore paid, shall be credited by such Lender on the principal amount of the Indebtedness (or, to the extent that the principal amount of the Indebtedness shall have been or would thereby be paid in full, refunded by such Lender to the Borrower). All sums paid or agreed to be paid to any Lender for the use, forbearance or detention of sums due hereunder shall, to the extent permitted by law applicable to such Lender, be amortized, prorated, allocated and spread throughout the stated term of the Loans evidenced by the Notes until payment in full so that the rate or amount of interest on account of any Loans hereunder does not exceed the maximum amount allowed by such applicable law. If at any time and from time to time (i) the amount of interest payable to any Lender on any date shall be computed at the Highest Lawful Rate applicable to such Lender pursuant to this Section 12.12 and (ii) in respect of any subsequent interest computation period the amount of interest otherwise payable to such Lender would be less than the amount of interest payable to such Lender computed at the Highest Lawful Rate applicable to such Lender, then the amount of interest payable to such Lender in respect of such subsequent interest computation period shall continue to be computed at the Highest Lawful Rate applicable to such Lender until the total amount of interest payable to such Lender shall equal the total amount of interest which would have been payable to such Lender if the total amount of interest had been computed without giving effect to this Section 12.12. To the extent that Chapter 303 of the Texas Finance Code is relevant for the purpose of determining the Highest Lawful Rate applicable to a Lender, such Lender elects to determine the applicable rate ceiling under such Chapter by the weekly ceiling from time to time in effect. Chapter 346 of the Texas Finance Code does not apply to the Borrower’s obligations hereunder.</w:t>
      </w:r>
    </w:p>
    <w:p>
      <w:pPr>
        <w:spacing w:after="0" w:line="301" w:lineRule="exact"/>
        <w:rPr>
          <w:sz w:val="20"/>
          <w:szCs w:val="20"/>
          <w:color w:val="auto"/>
        </w:rPr>
      </w:pPr>
    </w:p>
    <w:p>
      <w:pPr>
        <w:jc w:val="both"/>
        <w:ind w:firstLine="643"/>
        <w:spacing w:after="0" w:line="219" w:lineRule="auto"/>
        <w:rPr>
          <w:sz w:val="20"/>
          <w:szCs w:val="20"/>
          <w:color w:val="auto"/>
        </w:rPr>
      </w:pPr>
      <w:r>
        <w:rPr>
          <w:rFonts w:ascii="Arial" w:cs="Arial" w:eastAsia="Arial" w:hAnsi="Arial"/>
          <w:sz w:val="21"/>
          <w:szCs w:val="21"/>
          <w:color w:val="auto"/>
        </w:rPr>
        <w:t xml:space="preserve">Section 12.13 </w:t>
      </w:r>
      <w:r>
        <w:rPr>
          <w:rFonts w:ascii="Arial" w:cs="Arial" w:eastAsia="Arial" w:hAnsi="Arial"/>
          <w:sz w:val="21"/>
          <w:szCs w:val="21"/>
          <w:u w:val="single" w:color="auto"/>
          <w:color w:val="auto"/>
        </w:rPr>
        <w:t>EXCULPATION PROVISIONS.</w:t>
      </w:r>
      <w:r>
        <w:rPr>
          <w:rFonts w:ascii="Arial" w:cs="Arial" w:eastAsia="Arial" w:hAnsi="Arial"/>
          <w:sz w:val="21"/>
          <w:szCs w:val="21"/>
          <w:color w:val="auto"/>
        </w:rPr>
        <w:t xml:space="preserve"> EACH OF THE PARTIES HERETO SPECIFICALLY AGREES THAT IT HAS A DUTY TO READ THIS 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110</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42" w:name="page243"/>
    <w:bookmarkEnd w:id="242"/>
    <w:p>
      <w:pPr>
        <w:jc w:val="both"/>
        <w:spacing w:after="0" w:line="221" w:lineRule="auto"/>
        <w:rPr>
          <w:sz w:val="20"/>
          <w:szCs w:val="20"/>
          <w:color w:val="auto"/>
        </w:rPr>
      </w:pPr>
      <w:r>
        <w:rPr>
          <w:rFonts w:ascii="Arial" w:cs="Arial" w:eastAsia="Arial" w:hAnsi="Arial"/>
          <w:sz w:val="21"/>
          <w:szCs w:val="21"/>
          <w:color w:val="auto"/>
        </w:rPr>
        <w:t>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w:t>
      </w:r>
      <w:r>
        <w:rPr>
          <w:rFonts w:ascii="Arial" w:cs="Arial" w:eastAsia="Arial" w:hAnsi="Arial"/>
          <w:sz w:val="21"/>
          <w:szCs w:val="21"/>
          <w:u w:val="single" w:color="auto"/>
          <w:color w:val="auto"/>
        </w:rPr>
        <w:t>CONSPICUOUS</w:t>
      </w:r>
      <w:r>
        <w:rPr>
          <w:rFonts w:ascii="Arial" w:cs="Arial" w:eastAsia="Arial" w:hAnsi="Arial"/>
          <w:sz w:val="21"/>
          <w:szCs w:val="21"/>
          <w:color w:val="auto"/>
        </w:rPr>
        <w:t>.”</w:t>
      </w:r>
    </w:p>
    <w:p>
      <w:pPr>
        <w:spacing w:after="0" w:line="157"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21"/>
          <w:szCs w:val="21"/>
          <w:color w:val="auto"/>
        </w:rPr>
        <w:t>Section 12.14</w:t>
      </w:r>
      <w:r>
        <w:rPr>
          <w:sz w:val="20"/>
          <w:szCs w:val="20"/>
          <w:color w:val="auto"/>
        </w:rPr>
        <w:tab/>
      </w:r>
      <w:r>
        <w:rPr>
          <w:rFonts w:ascii="Arial" w:cs="Arial" w:eastAsia="Arial" w:hAnsi="Arial"/>
          <w:sz w:val="19"/>
          <w:szCs w:val="19"/>
          <w:u w:val="single" w:color="auto"/>
          <w:color w:val="auto"/>
        </w:rPr>
        <w:t>Collateral Matters; Swap Agreements.</w:t>
      </w:r>
    </w:p>
    <w:p>
      <w:pPr>
        <w:spacing w:after="0" w:line="187" w:lineRule="exact"/>
        <w:rPr>
          <w:sz w:val="20"/>
          <w:szCs w:val="20"/>
          <w:color w:val="auto"/>
        </w:rPr>
      </w:pPr>
    </w:p>
    <w:p>
      <w:pPr>
        <w:jc w:val="both"/>
        <w:ind w:firstLine="1293"/>
        <w:spacing w:after="0" w:line="250" w:lineRule="auto"/>
        <w:tabs>
          <w:tab w:leader="none" w:pos="1841"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 benefit of the Security Instruments and of the provisions of this Agreement relating to any collateral securing the Indebtedness shall also extend to and be available to Secured Swap Parties on a pro rata basis (but subject to the terms of the Loan Documents, including provisions thereof relating to the application and priority of payments to the Persons entitled thereto) in respect of any Secured Swap Obligations. Except as expressly set forth in Section 12.02(b), no Secured Swap Party shall have any voting rights under any Loan Document as a result of the existence of any Secured Swap Obligations owed to it.</w:t>
      </w:r>
    </w:p>
    <w:p>
      <w:pPr>
        <w:spacing w:after="0" w:line="147" w:lineRule="exact"/>
        <w:rPr>
          <w:rFonts w:ascii="Arial" w:cs="Arial" w:eastAsia="Arial" w:hAnsi="Arial"/>
          <w:sz w:val="19"/>
          <w:szCs w:val="19"/>
          <w:color w:val="auto"/>
        </w:rPr>
      </w:pPr>
    </w:p>
    <w:p>
      <w:pPr>
        <w:jc w:val="both"/>
        <w:ind w:firstLine="1293"/>
        <w:spacing w:after="0" w:line="241" w:lineRule="auto"/>
        <w:tabs>
          <w:tab w:leader="none" w:pos="1791"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 Borrower hereby guarantees the payment and performance of all Indebtedness of each other Loan Party and absolutely, unconditionally and irrevocably undertakes to provide such funds or other support as may be needed from time to time by each Benefiting Guarantor in order for such Benefiting Guarantor to honor its obligations under the Guaranty Agreement and any other Security Instruments including obligations with respect to Swap Agreements (provided, however, that the Borrower shall only be liable under this Section 12.14(b) for the maximum amount of such liability that can be hereby incurred without rendering its obligations under this Section 12.14(b), or otherwise under this Agreement or any other Loan Document, as it relates to such Benefiting Guarantor, voidable under applicable law relating to fraudulent conveyance or fraudulent transfer, and not for any greater amount). The obligations of Borrower under this Section 12.14(b) shall remain in full force and effect until all Indebtedness is paid in full, and all of the Lenders’ Commitments are terminated. The Borrower intends that this Section 12.14(b) constitute, and this Section 12.14(b) shall be deemed to constitute, a “</w:t>
      </w:r>
      <w:r>
        <w:rPr>
          <w:rFonts w:ascii="Arial" w:cs="Arial" w:eastAsia="Arial" w:hAnsi="Arial"/>
          <w:sz w:val="19"/>
          <w:szCs w:val="19"/>
          <w:u w:val="single" w:color="auto"/>
          <w:color w:val="auto"/>
        </w:rPr>
        <w:t>keepwell, support, or other agreement</w:t>
      </w:r>
      <w:r>
        <w:rPr>
          <w:rFonts w:ascii="Arial" w:cs="Arial" w:eastAsia="Arial" w:hAnsi="Arial"/>
          <w:sz w:val="19"/>
          <w:szCs w:val="19"/>
          <w:color w:val="auto"/>
        </w:rPr>
        <w:t>” for the benefit of each Benefiting Guarantor for all purposes of Section 1a(18)(A)(v)(ii) of the Commodity Exchange Act.</w:t>
      </w:r>
    </w:p>
    <w:p>
      <w:pPr>
        <w:spacing w:after="0" w:line="157" w:lineRule="exact"/>
        <w:rPr>
          <w:sz w:val="20"/>
          <w:szCs w:val="20"/>
          <w:color w:val="auto"/>
        </w:rPr>
      </w:pPr>
    </w:p>
    <w:p>
      <w:pPr>
        <w:jc w:val="both"/>
        <w:ind w:firstLine="643"/>
        <w:spacing w:after="0" w:line="222" w:lineRule="auto"/>
        <w:rPr>
          <w:sz w:val="20"/>
          <w:szCs w:val="20"/>
          <w:color w:val="auto"/>
        </w:rPr>
      </w:pPr>
      <w:r>
        <w:rPr>
          <w:rFonts w:ascii="Arial" w:cs="Arial" w:eastAsia="Arial" w:hAnsi="Arial"/>
          <w:sz w:val="21"/>
          <w:szCs w:val="21"/>
          <w:color w:val="auto"/>
        </w:rPr>
        <w:t xml:space="preserve">Section 12.15 </w:t>
      </w:r>
      <w:r>
        <w:rPr>
          <w:rFonts w:ascii="Arial" w:cs="Arial" w:eastAsia="Arial" w:hAnsi="Arial"/>
          <w:sz w:val="21"/>
          <w:szCs w:val="21"/>
          <w:u w:val="single" w:color="auto"/>
          <w:color w:val="auto"/>
        </w:rPr>
        <w:t>No Third Party Beneficiaries.</w:t>
      </w:r>
      <w:r>
        <w:rPr>
          <w:rFonts w:ascii="Arial" w:cs="Arial" w:eastAsia="Arial" w:hAnsi="Arial"/>
          <w:sz w:val="21"/>
          <w:szCs w:val="21"/>
          <w:color w:val="auto"/>
        </w:rPr>
        <w:t xml:space="preserve"> This Agreement, the other Loan Documents, and the agreement of the Lenders to make Loans and the Issuing Bank to issue, amend, renew or extend Letters of Credit hereunder are solely for the benefit of the Borrower, and no other Person (including, without limitation, any Subsidiary of the Borrower, any obligor, contractor, subcontractor, supplier or materialsman) shall have any rights, claims, remedies or privileges hereunder or under any other Loan Document against the Administrative Agent, any other Agent, the Issuing Bank or any Lender for any reason whatsoever. There are no third party beneficiaries.</w:t>
      </w:r>
    </w:p>
    <w:p>
      <w:pPr>
        <w:spacing w:after="0" w:line="159" w:lineRule="exact"/>
        <w:rPr>
          <w:sz w:val="20"/>
          <w:szCs w:val="20"/>
          <w:color w:val="auto"/>
        </w:rPr>
      </w:pPr>
    </w:p>
    <w:p>
      <w:pPr>
        <w:jc w:val="both"/>
        <w:ind w:firstLine="643"/>
        <w:spacing w:after="0" w:line="238" w:lineRule="auto"/>
        <w:rPr>
          <w:sz w:val="20"/>
          <w:szCs w:val="20"/>
          <w:color w:val="auto"/>
        </w:rPr>
      </w:pPr>
      <w:r>
        <w:rPr>
          <w:rFonts w:ascii="Arial" w:cs="Arial" w:eastAsia="Arial" w:hAnsi="Arial"/>
          <w:sz w:val="20"/>
          <w:szCs w:val="20"/>
          <w:color w:val="auto"/>
        </w:rPr>
        <w:t xml:space="preserve">Section 12.16 </w:t>
      </w:r>
      <w:r>
        <w:rPr>
          <w:rFonts w:ascii="Arial" w:cs="Arial" w:eastAsia="Arial" w:hAnsi="Arial"/>
          <w:sz w:val="20"/>
          <w:szCs w:val="20"/>
          <w:u w:val="single" w:color="auto"/>
          <w:color w:val="auto"/>
        </w:rPr>
        <w:t>USA Patriot Act Notice.</w:t>
      </w:r>
      <w:r>
        <w:rPr>
          <w:rFonts w:ascii="Arial" w:cs="Arial" w:eastAsia="Arial" w:hAnsi="Arial"/>
          <w:sz w:val="20"/>
          <w:szCs w:val="20"/>
          <w:color w:val="auto"/>
        </w:rPr>
        <w:t xml:space="preserve"> Each Lender hereby notifies the Borrower that pursuant to the requirements of the USA Patriot Act (Title III 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it is required to obtain, verify and record information that identifies the Borrower, which information includes the name and address of the Borrower and other information that will allow such Lender to identify the Borrower in accordance with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111</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43" w:name="page244"/>
    <w:bookmarkEnd w:id="243"/>
    <w:p>
      <w:pPr>
        <w:jc w:val="both"/>
        <w:ind w:firstLine="643"/>
        <w:spacing w:after="0" w:line="243" w:lineRule="auto"/>
        <w:rPr>
          <w:sz w:val="20"/>
          <w:szCs w:val="20"/>
          <w:color w:val="auto"/>
        </w:rPr>
      </w:pPr>
      <w:r>
        <w:rPr>
          <w:rFonts w:ascii="Arial" w:cs="Arial" w:eastAsia="Arial" w:hAnsi="Arial"/>
          <w:sz w:val="19"/>
          <w:szCs w:val="19"/>
          <w:color w:val="auto"/>
        </w:rPr>
        <w:t xml:space="preserve">Section 12.17 </w:t>
      </w:r>
      <w:r>
        <w:rPr>
          <w:rFonts w:ascii="Arial" w:cs="Arial" w:eastAsia="Arial" w:hAnsi="Arial"/>
          <w:sz w:val="19"/>
          <w:szCs w:val="19"/>
          <w:u w:val="single" w:color="auto"/>
          <w:color w:val="auto"/>
        </w:rPr>
        <w:t>Flood Insurance Provisions.</w:t>
      </w:r>
      <w:r>
        <w:rPr>
          <w:rFonts w:ascii="Arial" w:cs="Arial" w:eastAsia="Arial" w:hAnsi="Arial"/>
          <w:sz w:val="19"/>
          <w:szCs w:val="19"/>
          <w:color w:val="auto"/>
        </w:rPr>
        <w:t xml:space="preserve"> Notwithstanding any provision in this Agreement or any other Loan Document to the contrary, in no event is any Building (as defined in the applicable Flood Insurance Regulation) or Manufactured (Mobile) Home (as defined in the applicable Flood Insurance Regulation) included in the definition of “</w:t>
      </w:r>
      <w:r>
        <w:rPr>
          <w:rFonts w:ascii="Arial" w:cs="Arial" w:eastAsia="Arial" w:hAnsi="Arial"/>
          <w:sz w:val="19"/>
          <w:szCs w:val="19"/>
          <w:u w:val="single" w:color="auto"/>
          <w:color w:val="auto"/>
        </w:rPr>
        <w:t>Mortgaged Property</w:t>
      </w:r>
      <w:r>
        <w:rPr>
          <w:rFonts w:ascii="Arial" w:cs="Arial" w:eastAsia="Arial" w:hAnsi="Arial"/>
          <w:sz w:val="19"/>
          <w:szCs w:val="19"/>
          <w:color w:val="auto"/>
        </w:rPr>
        <w:t>” and no Building or Manufactured (Mobile) Home is hereby encumbered by this Agreement or any other Loan Document. As used herein, “</w:t>
      </w:r>
      <w:r>
        <w:rPr>
          <w:rFonts w:ascii="Arial" w:cs="Arial" w:eastAsia="Arial" w:hAnsi="Arial"/>
          <w:sz w:val="19"/>
          <w:szCs w:val="19"/>
          <w:u w:val="single" w:color="auto"/>
          <w:color w:val="auto"/>
        </w:rPr>
        <w:t>Flood Insurance Regulations</w:t>
      </w:r>
      <w:r>
        <w:rPr>
          <w:rFonts w:ascii="Arial" w:cs="Arial" w:eastAsia="Arial" w:hAnsi="Arial"/>
          <w:sz w:val="19"/>
          <w:szCs w:val="19"/>
          <w:color w:val="auto"/>
        </w:rPr>
        <w:t>” means (a) the National Flood Insurance Act of 1968 as now or hereafter in effect or any successor statute thereto, (b) the Flood Disaster Protection Act of 1973 as now or hereafter in effect or any successor statue thereto, (c) the National Flood Insurance Reform Act of 1994 (amending 42 USC 4001, et seq.), as the same may be amended or recodified from time to time and (d) the Flood Insurance Reform Act of 2004 and any regulations promulgated thereunder.</w:t>
      </w:r>
    </w:p>
    <w:p>
      <w:pPr>
        <w:spacing w:after="0" w:line="158"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21"/>
          <w:szCs w:val="21"/>
          <w:color w:val="auto"/>
        </w:rPr>
        <w:t>Section 12.18</w:t>
      </w:r>
      <w:r>
        <w:rPr>
          <w:sz w:val="20"/>
          <w:szCs w:val="20"/>
          <w:color w:val="auto"/>
        </w:rPr>
        <w:tab/>
      </w:r>
      <w:r>
        <w:rPr>
          <w:rFonts w:ascii="Arial" w:cs="Arial" w:eastAsia="Arial" w:hAnsi="Arial"/>
          <w:sz w:val="19"/>
          <w:szCs w:val="19"/>
          <w:u w:val="single" w:color="auto"/>
          <w:color w:val="auto"/>
        </w:rPr>
        <w:t>Regulation U Matters.</w:t>
      </w:r>
    </w:p>
    <w:p>
      <w:pPr>
        <w:spacing w:after="0" w:line="187" w:lineRule="exact"/>
        <w:rPr>
          <w:sz w:val="20"/>
          <w:szCs w:val="20"/>
          <w:color w:val="auto"/>
        </w:rPr>
      </w:pPr>
    </w:p>
    <w:p>
      <w:pPr>
        <w:jc w:val="both"/>
        <w:ind w:firstLine="1293"/>
        <w:spacing w:after="0" w:line="227" w:lineRule="auto"/>
        <w:tabs>
          <w:tab w:leader="none" w:pos="1799" w:val="left"/>
        </w:tabs>
        <w:numPr>
          <w:ilvl w:val="0"/>
          <w:numId w:val="193"/>
        </w:numPr>
        <w:rPr>
          <w:rFonts w:ascii="Arial" w:cs="Arial" w:eastAsia="Arial" w:hAnsi="Arial"/>
          <w:sz w:val="21"/>
          <w:szCs w:val="21"/>
          <w:color w:val="auto"/>
        </w:rPr>
      </w:pPr>
      <w:r>
        <w:rPr>
          <w:rFonts w:ascii="Arial" w:cs="Arial" w:eastAsia="Arial" w:hAnsi="Arial"/>
          <w:sz w:val="21"/>
          <w:szCs w:val="21"/>
          <w:color w:val="auto"/>
        </w:rPr>
        <w:t>The parties hereto acknowledge and agree that (i) the Borrower may, directly or through one or more of its Subsidiaries, from time to time use the proceeds of Loans to purchase “</w:t>
      </w:r>
      <w:r>
        <w:rPr>
          <w:rFonts w:ascii="Arial" w:cs="Arial" w:eastAsia="Arial" w:hAnsi="Arial"/>
          <w:sz w:val="21"/>
          <w:szCs w:val="21"/>
          <w:u w:val="single" w:color="auto"/>
          <w:color w:val="auto"/>
        </w:rPr>
        <w:t>margin stock</w:t>
      </w:r>
      <w:r>
        <w:rPr>
          <w:rFonts w:ascii="Arial" w:cs="Arial" w:eastAsia="Arial" w:hAnsi="Arial"/>
          <w:sz w:val="21"/>
          <w:szCs w:val="21"/>
          <w:color w:val="auto"/>
        </w:rPr>
        <w:t>” (as such term is defined in Regulation U of the Board) and (ii) it is their explicit intent that the Transactions shall, at all times, be in compliance with and permitted under all applicable Governmental Requirements, including Regulation U.</w:t>
      </w:r>
    </w:p>
    <w:p>
      <w:pPr>
        <w:spacing w:after="0" w:line="157" w:lineRule="exact"/>
        <w:rPr>
          <w:rFonts w:ascii="Arial" w:cs="Arial" w:eastAsia="Arial" w:hAnsi="Arial"/>
          <w:sz w:val="21"/>
          <w:szCs w:val="21"/>
          <w:color w:val="auto"/>
        </w:rPr>
      </w:pPr>
    </w:p>
    <w:p>
      <w:pPr>
        <w:ind w:left="1760" w:hanging="467"/>
        <w:spacing w:after="0"/>
        <w:tabs>
          <w:tab w:leader="none" w:pos="176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Notwithstanding any provision in this Agreement or any other Loan Document to the contrary:</w:t>
      </w:r>
    </w:p>
    <w:p>
      <w:pPr>
        <w:spacing w:after="0" w:line="186" w:lineRule="exact"/>
        <w:rPr>
          <w:rFonts w:ascii="Arial" w:cs="Arial" w:eastAsia="Arial" w:hAnsi="Arial"/>
          <w:sz w:val="21"/>
          <w:szCs w:val="21"/>
          <w:color w:val="auto"/>
        </w:rPr>
      </w:pPr>
    </w:p>
    <w:p>
      <w:pPr>
        <w:ind w:left="2380" w:hanging="445"/>
        <w:spacing w:after="0"/>
        <w:tabs>
          <w:tab w:leader="none" w:pos="2380" w:val="left"/>
        </w:tabs>
        <w:numPr>
          <w:ilvl w:val="1"/>
          <w:numId w:val="193"/>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Collateral</w:t>
      </w:r>
      <w:r>
        <w:rPr>
          <w:rFonts w:ascii="Arial" w:cs="Arial" w:eastAsia="Arial" w:hAnsi="Arial"/>
          <w:sz w:val="19"/>
          <w:szCs w:val="19"/>
          <w:color w:val="auto"/>
        </w:rPr>
        <w:t>” and similar terms in the Loan Documents shall be deemed to exclude all margin</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stock;</w:t>
      </w:r>
    </w:p>
    <w:p>
      <w:pPr>
        <w:spacing w:after="0" w:line="168" w:lineRule="exact"/>
        <w:rPr>
          <w:rFonts w:ascii="Arial" w:cs="Arial" w:eastAsia="Arial" w:hAnsi="Arial"/>
          <w:sz w:val="19"/>
          <w:szCs w:val="19"/>
          <w:color w:val="auto"/>
        </w:rPr>
      </w:pPr>
    </w:p>
    <w:p>
      <w:pPr>
        <w:ind w:firstLine="1935"/>
        <w:spacing w:after="0" w:line="268" w:lineRule="auto"/>
        <w:tabs>
          <w:tab w:leader="none" w:pos="2412" w:val="left"/>
        </w:tabs>
        <w:numPr>
          <w:ilvl w:val="1"/>
          <w:numId w:val="193"/>
        </w:numPr>
        <w:rPr>
          <w:rFonts w:ascii="Arial" w:cs="Arial" w:eastAsia="Arial" w:hAnsi="Arial"/>
          <w:sz w:val="20"/>
          <w:szCs w:val="20"/>
          <w:color w:val="auto"/>
        </w:rPr>
      </w:pPr>
      <w:r>
        <w:rPr>
          <w:rFonts w:ascii="Arial" w:cs="Arial" w:eastAsia="Arial" w:hAnsi="Arial"/>
          <w:sz w:val="20"/>
          <w:szCs w:val="20"/>
          <w:color w:val="auto"/>
        </w:rPr>
        <w:t>the Indebtedness shall not, under any circumstances, ever be, or be deemed to be, directly or indirectly secured by any margin stock (with the term “</w:t>
      </w:r>
      <w:r>
        <w:rPr>
          <w:rFonts w:ascii="Arial" w:cs="Arial" w:eastAsia="Arial" w:hAnsi="Arial"/>
          <w:sz w:val="20"/>
          <w:szCs w:val="20"/>
          <w:u w:val="single" w:color="auto"/>
          <w:color w:val="auto"/>
        </w:rPr>
        <w:t>indirectly secured</w:t>
      </w:r>
      <w:r>
        <w:rPr>
          <w:rFonts w:ascii="Arial" w:cs="Arial" w:eastAsia="Arial" w:hAnsi="Arial"/>
          <w:sz w:val="20"/>
          <w:szCs w:val="20"/>
          <w:color w:val="auto"/>
        </w:rPr>
        <w:t>” having the meaning ascribed thereto in Regulation U);</w:t>
      </w:r>
    </w:p>
    <w:p>
      <w:pPr>
        <w:spacing w:after="0" w:line="129" w:lineRule="exact"/>
        <w:rPr>
          <w:rFonts w:ascii="Arial" w:cs="Arial" w:eastAsia="Arial" w:hAnsi="Arial"/>
          <w:sz w:val="20"/>
          <w:szCs w:val="20"/>
          <w:color w:val="auto"/>
        </w:rPr>
      </w:pPr>
    </w:p>
    <w:p>
      <w:pPr>
        <w:ind w:firstLine="1935"/>
        <w:spacing w:after="0" w:line="244" w:lineRule="auto"/>
        <w:tabs>
          <w:tab w:leader="none" w:pos="2464" w:val="left"/>
        </w:tabs>
        <w:numPr>
          <w:ilvl w:val="1"/>
          <w:numId w:val="193"/>
        </w:numPr>
        <w:rPr>
          <w:rFonts w:ascii="Arial" w:cs="Arial" w:eastAsia="Arial" w:hAnsi="Arial"/>
          <w:sz w:val="21"/>
          <w:szCs w:val="21"/>
          <w:color w:val="auto"/>
        </w:rPr>
      </w:pPr>
      <w:r>
        <w:rPr>
          <w:rFonts w:ascii="Arial" w:cs="Arial" w:eastAsia="Arial" w:hAnsi="Arial"/>
          <w:sz w:val="21"/>
          <w:szCs w:val="21"/>
          <w:color w:val="auto"/>
        </w:rPr>
        <w:t>the Loan Documents do not restrict, and shall be deemed not to restrict, in any way, the right or ability of any Loan Party to sell, pledge or otherwise dispose of any margin stock owned by such Loan Party;</w:t>
      </w:r>
    </w:p>
    <w:p>
      <w:pPr>
        <w:spacing w:after="0" w:line="151" w:lineRule="exact"/>
        <w:rPr>
          <w:rFonts w:ascii="Arial" w:cs="Arial" w:eastAsia="Arial" w:hAnsi="Arial"/>
          <w:sz w:val="21"/>
          <w:szCs w:val="21"/>
          <w:color w:val="auto"/>
        </w:rPr>
      </w:pPr>
    </w:p>
    <w:p>
      <w:pPr>
        <w:ind w:firstLine="1935"/>
        <w:spacing w:after="0" w:line="295" w:lineRule="auto"/>
        <w:tabs>
          <w:tab w:leader="none" w:pos="2461" w:val="left"/>
        </w:tabs>
        <w:numPr>
          <w:ilvl w:val="1"/>
          <w:numId w:val="193"/>
        </w:numPr>
        <w:rPr>
          <w:rFonts w:ascii="Arial" w:cs="Arial" w:eastAsia="Arial" w:hAnsi="Arial"/>
          <w:sz w:val="19"/>
          <w:szCs w:val="19"/>
          <w:color w:val="auto"/>
        </w:rPr>
      </w:pPr>
      <w:r>
        <w:rPr>
          <w:rFonts w:ascii="Arial" w:cs="Arial" w:eastAsia="Arial" w:hAnsi="Arial"/>
          <w:sz w:val="19"/>
          <w:szCs w:val="19"/>
          <w:color w:val="auto"/>
        </w:rPr>
        <w:t>the sale, pledge or other disposition by a Loan Party of margin stock does not and shall not directly or indirectly cause, trigger, give rise to or create a right, option or power to cause or trigger an acceleration of the Indebtedness;</w:t>
      </w:r>
    </w:p>
    <w:p>
      <w:pPr>
        <w:spacing w:after="0" w:line="105" w:lineRule="exact"/>
        <w:rPr>
          <w:rFonts w:ascii="Arial" w:cs="Arial" w:eastAsia="Arial" w:hAnsi="Arial"/>
          <w:sz w:val="19"/>
          <w:szCs w:val="19"/>
          <w:color w:val="auto"/>
        </w:rPr>
      </w:pPr>
    </w:p>
    <w:p>
      <w:pPr>
        <w:jc w:val="both"/>
        <w:ind w:firstLine="1935"/>
        <w:spacing w:after="0" w:line="232" w:lineRule="auto"/>
        <w:tabs>
          <w:tab w:leader="none" w:pos="2609" w:val="left"/>
        </w:tabs>
        <w:numPr>
          <w:ilvl w:val="1"/>
          <w:numId w:val="193"/>
        </w:numPr>
        <w:rPr>
          <w:rFonts w:ascii="Arial" w:cs="Arial" w:eastAsia="Arial" w:hAnsi="Arial"/>
          <w:sz w:val="21"/>
          <w:szCs w:val="21"/>
          <w:color w:val="auto"/>
        </w:rPr>
      </w:pPr>
      <w:r>
        <w:rPr>
          <w:rFonts w:ascii="Arial" w:cs="Arial" w:eastAsia="Arial" w:hAnsi="Arial"/>
          <w:sz w:val="21"/>
          <w:szCs w:val="21"/>
          <w:color w:val="auto"/>
        </w:rPr>
        <w:t>the negative covenants set forth in this Agreement and the other Loan Documents, including Section 9.03, Section 9.04, Section 9.05, Section 9.12, Section 9.14 and Section 9.16 of this Agreement, do not and shall not apply to margin stock; and</w:t>
      </w:r>
    </w:p>
    <w:p>
      <w:pPr>
        <w:spacing w:after="0" w:line="156" w:lineRule="exact"/>
        <w:rPr>
          <w:rFonts w:ascii="Arial" w:cs="Arial" w:eastAsia="Arial" w:hAnsi="Arial"/>
          <w:sz w:val="21"/>
          <w:szCs w:val="21"/>
          <w:color w:val="auto"/>
        </w:rPr>
      </w:pPr>
    </w:p>
    <w:p>
      <w:pPr>
        <w:ind w:firstLine="1935"/>
        <w:spacing w:after="0" w:line="268" w:lineRule="auto"/>
        <w:tabs>
          <w:tab w:leader="none" w:pos="2543" w:val="left"/>
        </w:tabs>
        <w:numPr>
          <w:ilvl w:val="1"/>
          <w:numId w:val="193"/>
        </w:numPr>
        <w:rPr>
          <w:rFonts w:ascii="Arial" w:cs="Arial" w:eastAsia="Arial" w:hAnsi="Arial"/>
          <w:sz w:val="20"/>
          <w:szCs w:val="20"/>
          <w:color w:val="auto"/>
        </w:rPr>
      </w:pPr>
      <w:r>
        <w:rPr>
          <w:rFonts w:ascii="Arial" w:cs="Arial" w:eastAsia="Arial" w:hAnsi="Arial"/>
          <w:sz w:val="20"/>
          <w:szCs w:val="20"/>
          <w:color w:val="auto"/>
        </w:rPr>
        <w:t>the Events of Default and any other remedial provisions set forth in this Agreement and the other Loan Documents, including Section 10.01 of this Agreement, do not and shall not apply with respect to margin stock; and</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in each case, to the extent necessary, this Agreement and the other Loan Documents are hereby deemed to be amended and modified to implement the intent of this Section 12.18(b).</w:t>
      </w:r>
    </w:p>
    <w:p>
      <w:pPr>
        <w:spacing w:after="0" w:line="152" w:lineRule="exact"/>
        <w:rPr>
          <w:sz w:val="20"/>
          <w:szCs w:val="20"/>
          <w:color w:val="auto"/>
        </w:rPr>
      </w:pPr>
    </w:p>
    <w:p>
      <w:pPr>
        <w:jc w:val="both"/>
        <w:ind w:firstLine="1293"/>
        <w:spacing w:after="0" w:line="227" w:lineRule="auto"/>
        <w:tabs>
          <w:tab w:leader="none" w:pos="1819" w:val="left"/>
        </w:tabs>
        <w:numPr>
          <w:ilvl w:val="0"/>
          <w:numId w:val="194"/>
        </w:numPr>
        <w:rPr>
          <w:rFonts w:ascii="Arial" w:cs="Arial" w:eastAsia="Arial" w:hAnsi="Arial"/>
          <w:sz w:val="21"/>
          <w:szCs w:val="21"/>
          <w:color w:val="auto"/>
        </w:rPr>
      </w:pPr>
      <w:r>
        <w:rPr>
          <w:rFonts w:ascii="Arial" w:cs="Arial" w:eastAsia="Arial" w:hAnsi="Arial"/>
          <w:sz w:val="21"/>
          <w:szCs w:val="21"/>
          <w:color w:val="auto"/>
        </w:rPr>
        <w:t>At any time during which the Borrower directly or indirectly through the other Loan Parties holds margin stock with an aggregate value equal to or greater than 20% of the value of all assets of the Loan Parties directly or indirectly securing the Loans and other extensions of credit provided for under this Agreement, the Borrower shall, prior to each purchase by it or any other Loan Party of margin stock thereafter, deliver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112</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44" w:name="page245"/>
    <w:bookmarkEnd w:id="244"/>
    <w:p>
      <w:pPr>
        <w:jc w:val="both"/>
        <w:spacing w:after="0" w:line="247" w:lineRule="auto"/>
        <w:rPr>
          <w:sz w:val="20"/>
          <w:szCs w:val="20"/>
          <w:color w:val="auto"/>
        </w:rPr>
      </w:pPr>
      <w:r>
        <w:rPr>
          <w:rFonts w:ascii="Arial" w:cs="Arial" w:eastAsia="Arial" w:hAnsi="Arial"/>
          <w:sz w:val="19"/>
          <w:szCs w:val="19"/>
          <w:color w:val="auto"/>
        </w:rPr>
        <w:t>Agent an officer’s certificate certifying as to the value of all margin stock and the value of all other assets of the Loan Parties. The Borrower covenants and agrees that it will not, and will not permit any other Loan Party to, purchase margin stock if, after giving effect to such purchase, the value of all margin stock held by the Loan Parties would be equal to or greater than 25% of the value of all assets of the Loan Parties directly or indirectly securing the Loans and other extensions of credit provided for under this Agreement. For purposes of this Section 12.18(c) and Section 6.02(e) and Section 8.01(c) above, “</w:t>
      </w:r>
      <w:r>
        <w:rPr>
          <w:rFonts w:ascii="Arial" w:cs="Arial" w:eastAsia="Arial" w:hAnsi="Arial"/>
          <w:sz w:val="19"/>
          <w:szCs w:val="19"/>
          <w:u w:val="single" w:color="auto"/>
          <w:color w:val="auto"/>
        </w:rPr>
        <w:t>value</w:t>
      </w:r>
      <w:r>
        <w:rPr>
          <w:rFonts w:ascii="Arial" w:cs="Arial" w:eastAsia="Arial" w:hAnsi="Arial"/>
          <w:sz w:val="19"/>
          <w:szCs w:val="19"/>
          <w:color w:val="auto"/>
        </w:rPr>
        <w:t>” means value determined by a reasonable method within the meaning of clause (2)(i) of the definition of the term “</w:t>
      </w:r>
      <w:r>
        <w:rPr>
          <w:rFonts w:ascii="Arial" w:cs="Arial" w:eastAsia="Arial" w:hAnsi="Arial"/>
          <w:sz w:val="19"/>
          <w:szCs w:val="19"/>
          <w:u w:val="single" w:color="auto"/>
          <w:color w:val="auto"/>
        </w:rPr>
        <w:t>indirectly secured</w:t>
      </w:r>
      <w:r>
        <w:rPr>
          <w:rFonts w:ascii="Arial" w:cs="Arial" w:eastAsia="Arial" w:hAnsi="Arial"/>
          <w:sz w:val="19"/>
          <w:szCs w:val="19"/>
          <w:color w:val="auto"/>
        </w:rPr>
        <w:t>” in Regulation U.</w:t>
      </w:r>
    </w:p>
    <w:p>
      <w:pPr>
        <w:spacing w:after="0" w:line="150" w:lineRule="exact"/>
        <w:rPr>
          <w:sz w:val="20"/>
          <w:szCs w:val="20"/>
          <w:color w:val="auto"/>
        </w:rPr>
      </w:pPr>
    </w:p>
    <w:p>
      <w:pPr>
        <w:jc w:val="both"/>
        <w:ind w:firstLine="1293"/>
        <w:spacing w:after="0" w:line="243" w:lineRule="auto"/>
        <w:tabs>
          <w:tab w:leader="none" w:pos="1751" w:val="left"/>
        </w:tabs>
        <w:numPr>
          <w:ilvl w:val="1"/>
          <w:numId w:val="195"/>
        </w:numPr>
        <w:rPr>
          <w:rFonts w:ascii="Arial" w:cs="Arial" w:eastAsia="Arial" w:hAnsi="Arial"/>
          <w:sz w:val="19"/>
          <w:szCs w:val="19"/>
          <w:color w:val="auto"/>
        </w:rPr>
      </w:pPr>
      <w:r>
        <w:rPr>
          <w:rFonts w:ascii="Arial" w:cs="Arial" w:eastAsia="Arial" w:hAnsi="Arial"/>
          <w:sz w:val="19"/>
          <w:szCs w:val="19"/>
          <w:color w:val="auto"/>
        </w:rPr>
        <w:t>The Agents and the Lenders hereby acknowledge and agree that (i) each determination of the amount of credit that may be granted to the Loan Parties, including each determination of the Borrowing Base under this Agreement, shall be made, in good faith, without relying upon any margin stock owned by a Loan Party or any income or other benefit derived or anticipated to be derived from such margin stock, whether as direct or indirect collateral, as other credit support, or otherwise, and (ii) each extension of credit, the maintenance of credit, and each other decision under or in connection with this Agreement and the other Loan Documents will be made, in good faith, without relying upon any margin stock owned or to be owned (including as a result of the use of proceeds of any such extension of credit) by a Loan Party or any income or other benefit derived or anticipated to be derived from such margin stock, whether as direct or indirect collateral, as other credit support, or otherwise.</w:t>
      </w:r>
    </w:p>
    <w:p>
      <w:pPr>
        <w:spacing w:after="0" w:line="158" w:lineRule="exact"/>
        <w:rPr>
          <w:rFonts w:ascii="Arial" w:cs="Arial" w:eastAsia="Arial" w:hAnsi="Arial"/>
          <w:sz w:val="19"/>
          <w:szCs w:val="19"/>
          <w:color w:val="auto"/>
        </w:rPr>
      </w:pPr>
    </w:p>
    <w:p>
      <w:pPr>
        <w:jc w:val="both"/>
        <w:ind w:firstLine="1293"/>
        <w:spacing w:after="0" w:line="241" w:lineRule="auto"/>
        <w:tabs>
          <w:tab w:leader="none" w:pos="1748" w:val="left"/>
        </w:tabs>
        <w:numPr>
          <w:ilvl w:val="1"/>
          <w:numId w:val="195"/>
        </w:numPr>
        <w:rPr>
          <w:rFonts w:ascii="Arial" w:cs="Arial" w:eastAsia="Arial" w:hAnsi="Arial"/>
          <w:sz w:val="19"/>
          <w:szCs w:val="19"/>
          <w:color w:val="auto"/>
        </w:rPr>
      </w:pPr>
      <w:r>
        <w:rPr>
          <w:rFonts w:ascii="Arial" w:cs="Arial" w:eastAsia="Arial" w:hAnsi="Arial"/>
          <w:sz w:val="19"/>
          <w:szCs w:val="19"/>
          <w:color w:val="auto"/>
        </w:rPr>
        <w:t>In the event that there shall occur after the date of this Agreement (i) any change in Regulation U or any other law, treaty, rule, regulation or other Governmental Requirement relating to extensions of credit in connection with margin stock or other securities (each, a “</w:t>
      </w:r>
      <w:r>
        <w:rPr>
          <w:rFonts w:ascii="Arial" w:cs="Arial" w:eastAsia="Arial" w:hAnsi="Arial"/>
          <w:sz w:val="19"/>
          <w:szCs w:val="19"/>
          <w:u w:val="single" w:color="auto"/>
          <w:color w:val="auto"/>
        </w:rPr>
        <w:t>Margin Rule</w:t>
      </w:r>
      <w:r>
        <w:rPr>
          <w:rFonts w:ascii="Arial" w:cs="Arial" w:eastAsia="Arial" w:hAnsi="Arial"/>
          <w:sz w:val="19"/>
          <w:szCs w:val="19"/>
          <w:color w:val="auto"/>
        </w:rPr>
        <w:t>”), or any change in the interpretation or application thereof by any Governmental Authority,</w:t>
      </w:r>
    </w:p>
    <w:p>
      <w:pPr>
        <w:spacing w:after="0" w:line="2" w:lineRule="exact"/>
        <w:rPr>
          <w:rFonts w:ascii="Arial" w:cs="Arial" w:eastAsia="Arial" w:hAnsi="Arial"/>
          <w:sz w:val="19"/>
          <w:szCs w:val="19"/>
          <w:color w:val="auto"/>
        </w:rPr>
      </w:pPr>
    </w:p>
    <w:p>
      <w:pPr>
        <w:jc w:val="both"/>
        <w:ind w:firstLine="7"/>
        <w:spacing w:after="0" w:line="234" w:lineRule="auto"/>
        <w:tabs>
          <w:tab w:leader="none" w:pos="32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adoption of any Margin Rule, or (iii) the issuance of any request, guideline or directive (whether or not having the force of law) of any Governmental Authority that is directly or indirectly applicable to any Lender, the Issuing Bank, any lending office of a Lender or any Lender’s or the Issuing Bank’s holding company, in respect of a Margin Rule, then this Agreement and the other Loan Documents shall be deemed to be amended and modified to implement the intent of this Section 12.18.</w:t>
      </w:r>
    </w:p>
    <w:p>
      <w:pPr>
        <w:spacing w:after="0" w:line="156" w:lineRule="exact"/>
        <w:rPr>
          <w:sz w:val="20"/>
          <w:szCs w:val="20"/>
          <w:color w:val="auto"/>
        </w:rPr>
      </w:pPr>
    </w:p>
    <w:p>
      <w:pPr>
        <w:jc w:val="both"/>
        <w:ind w:firstLine="643"/>
        <w:spacing w:after="0" w:line="224" w:lineRule="auto"/>
        <w:rPr>
          <w:sz w:val="20"/>
          <w:szCs w:val="20"/>
          <w:color w:val="auto"/>
        </w:rPr>
      </w:pPr>
      <w:r>
        <w:rPr>
          <w:rFonts w:ascii="Arial" w:cs="Arial" w:eastAsia="Arial" w:hAnsi="Arial"/>
          <w:sz w:val="21"/>
          <w:szCs w:val="21"/>
          <w:color w:val="auto"/>
        </w:rPr>
        <w:t xml:space="preserve">Section 12.19 </w:t>
      </w:r>
      <w:r>
        <w:rPr>
          <w:rFonts w:ascii="Arial" w:cs="Arial" w:eastAsia="Arial" w:hAnsi="Arial"/>
          <w:sz w:val="21"/>
          <w:szCs w:val="21"/>
          <w:u w:val="single" w:color="auto"/>
          <w:color w:val="auto"/>
        </w:rPr>
        <w:t>Acknowledgement and Consent to Bail-In of Affected Financial Institutions.</w:t>
      </w:r>
      <w:r>
        <w:rPr>
          <w:rFonts w:ascii="Arial" w:cs="Arial" w:eastAsia="Arial" w:hAnsi="Arial"/>
          <w:sz w:val="21"/>
          <w:szCs w:val="21"/>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8" w:lineRule="exact"/>
        <w:rPr>
          <w:sz w:val="20"/>
          <w:szCs w:val="20"/>
          <w:color w:val="auto"/>
        </w:rPr>
      </w:pPr>
    </w:p>
    <w:p>
      <w:pPr>
        <w:ind w:firstLine="1293"/>
        <w:spacing w:after="0" w:line="268" w:lineRule="auto"/>
        <w:tabs>
          <w:tab w:leader="none" w:pos="1737"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29" w:lineRule="exact"/>
        <w:rPr>
          <w:rFonts w:ascii="Arial" w:cs="Arial" w:eastAsia="Arial" w:hAnsi="Arial"/>
          <w:sz w:val="20"/>
          <w:szCs w:val="20"/>
          <w:color w:val="auto"/>
        </w:rPr>
      </w:pPr>
    </w:p>
    <w:p>
      <w:pPr>
        <w:ind w:left="1760" w:hanging="467"/>
        <w:spacing w:after="0"/>
        <w:tabs>
          <w:tab w:leader="none" w:pos="176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if applicable:</w:t>
      </w:r>
    </w:p>
    <w:p>
      <w:pPr>
        <w:spacing w:after="0" w:line="186" w:lineRule="exact"/>
        <w:rPr>
          <w:rFonts w:ascii="Arial" w:cs="Arial" w:eastAsia="Arial" w:hAnsi="Arial"/>
          <w:sz w:val="21"/>
          <w:szCs w:val="21"/>
          <w:color w:val="auto"/>
        </w:rPr>
      </w:pPr>
    </w:p>
    <w:p>
      <w:pPr>
        <w:ind w:left="2360" w:hanging="425"/>
        <w:spacing w:after="0"/>
        <w:tabs>
          <w:tab w:leader="none" w:pos="2360" w:val="left"/>
        </w:tabs>
        <w:numPr>
          <w:ilvl w:val="1"/>
          <w:numId w:val="197"/>
        </w:numPr>
        <w:rPr>
          <w:rFonts w:ascii="Arial" w:cs="Arial" w:eastAsia="Arial" w:hAnsi="Arial"/>
          <w:sz w:val="21"/>
          <w:szCs w:val="21"/>
          <w:color w:val="auto"/>
        </w:rPr>
      </w:pPr>
      <w:r>
        <w:rPr>
          <w:rFonts w:ascii="Arial" w:cs="Arial" w:eastAsia="Arial" w:hAnsi="Arial"/>
          <w:sz w:val="21"/>
          <w:szCs w:val="21"/>
          <w:color w:val="auto"/>
        </w:rPr>
        <w:t>a reduction in full or in part or cancellation of any such liability;</w:t>
      </w:r>
    </w:p>
    <w:p>
      <w:pPr>
        <w:spacing w:after="0" w:line="186" w:lineRule="exact"/>
        <w:rPr>
          <w:rFonts w:ascii="Arial" w:cs="Arial" w:eastAsia="Arial" w:hAnsi="Arial"/>
          <w:sz w:val="21"/>
          <w:szCs w:val="21"/>
          <w:color w:val="auto"/>
        </w:rPr>
      </w:pPr>
    </w:p>
    <w:p>
      <w:pPr>
        <w:jc w:val="both"/>
        <w:ind w:firstLine="1935"/>
        <w:spacing w:after="0" w:line="232" w:lineRule="auto"/>
        <w:tabs>
          <w:tab w:leader="none" w:pos="2419" w:val="left"/>
        </w:tabs>
        <w:numPr>
          <w:ilvl w:val="1"/>
          <w:numId w:val="197"/>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113</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45" w:name="page246"/>
    <w:bookmarkEnd w:id="245"/>
    <w:p>
      <w:pPr>
        <w:spacing w:after="0" w:line="244" w:lineRule="auto"/>
        <w:rPr>
          <w:sz w:val="20"/>
          <w:szCs w:val="20"/>
          <w:color w:val="auto"/>
        </w:rPr>
      </w:pPr>
      <w:r>
        <w:rPr>
          <w:rFonts w:ascii="Arial" w:cs="Arial" w:eastAsia="Arial" w:hAnsi="Arial"/>
          <w:sz w:val="21"/>
          <w:szCs w:val="21"/>
          <w:color w:val="auto"/>
        </w:rPr>
        <w:t>other instruments of ownership will be accepted by it in lieu of any rights with respect to any such liability under this Agreement or any other Loan Document; or</w:t>
      </w:r>
    </w:p>
    <w:p>
      <w:pPr>
        <w:spacing w:after="0" w:line="152" w:lineRule="exact"/>
        <w:rPr>
          <w:sz w:val="20"/>
          <w:szCs w:val="20"/>
          <w:color w:val="auto"/>
        </w:rPr>
      </w:pPr>
    </w:p>
    <w:p>
      <w:pPr>
        <w:ind w:right="20" w:firstLine="1935"/>
        <w:spacing w:after="0" w:line="244" w:lineRule="auto"/>
        <w:tabs>
          <w:tab w:leader="none" w:pos="2571"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the variation of the terms of such liability in connection with the exercise of the write-down and conversion powers of the applicable Resolution Authority.</w:t>
      </w:r>
    </w:p>
    <w:p>
      <w:pPr>
        <w:spacing w:after="0" w:line="152" w:lineRule="exact"/>
        <w:rPr>
          <w:sz w:val="20"/>
          <w:szCs w:val="20"/>
          <w:color w:val="auto"/>
        </w:rPr>
      </w:pPr>
    </w:p>
    <w:p>
      <w:pPr>
        <w:jc w:val="both"/>
        <w:ind w:firstLine="643"/>
        <w:spacing w:after="0" w:line="231" w:lineRule="auto"/>
        <w:rPr>
          <w:sz w:val="20"/>
          <w:szCs w:val="20"/>
          <w:color w:val="auto"/>
        </w:rPr>
      </w:pPr>
      <w:r>
        <w:rPr>
          <w:rFonts w:ascii="Arial" w:cs="Arial" w:eastAsia="Arial" w:hAnsi="Arial"/>
          <w:sz w:val="20"/>
          <w:szCs w:val="20"/>
          <w:color w:val="auto"/>
        </w:rPr>
        <w:t xml:space="preserve">Section 12.20 </w:t>
      </w:r>
      <w:r>
        <w:rPr>
          <w:rFonts w:ascii="Arial" w:cs="Arial" w:eastAsia="Arial" w:hAnsi="Arial"/>
          <w:sz w:val="20"/>
          <w:szCs w:val="20"/>
          <w:u w:val="single" w:color="auto"/>
          <w:color w:val="auto"/>
        </w:rPr>
        <w:t>Acknowledgement Regarding Any Supported QFC’s.</w:t>
      </w:r>
      <w:r>
        <w:rPr>
          <w:rFonts w:ascii="Arial" w:cs="Arial" w:eastAsia="Arial" w:hAnsi="Arial"/>
          <w:sz w:val="20"/>
          <w:szCs w:val="20"/>
          <w:color w:val="auto"/>
        </w:rPr>
        <w:t xml:space="preserve"> To the extent that the Loan Documents provide support, through a guarantee or otherwise, for any Swap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7" w:lineRule="exact"/>
        <w:rPr>
          <w:sz w:val="20"/>
          <w:szCs w:val="20"/>
          <w:color w:val="auto"/>
        </w:rPr>
      </w:pPr>
    </w:p>
    <w:p>
      <w:pPr>
        <w:jc w:val="both"/>
        <w:ind w:firstLine="1293"/>
        <w:spacing w:after="0" w:line="228" w:lineRule="auto"/>
        <w:tabs>
          <w:tab w:leader="none" w:pos="1743" w:val="left"/>
        </w:tabs>
        <w:numPr>
          <w:ilvl w:val="0"/>
          <w:numId w:val="199"/>
        </w:numPr>
        <w:rPr>
          <w:rFonts w:ascii="Arial" w:cs="Arial" w:eastAsia="Arial" w:hAnsi="Arial"/>
          <w:sz w:val="20"/>
          <w:szCs w:val="20"/>
          <w:color w:val="auto"/>
        </w:rPr>
      </w:pPr>
      <w:r>
        <w:rPr>
          <w:rFonts w:ascii="Arial" w:cs="Arial" w:eastAsia="Arial" w:hAnsi="Arial"/>
          <w:sz w:val="20"/>
          <w:szCs w:val="20"/>
          <w:color w:val="auto"/>
        </w:rPr>
        <w:t>In the event a Covered Entity that is party to a Supported QFC (each, a “</w:t>
      </w:r>
      <w:r>
        <w:rPr>
          <w:rFonts w:ascii="Arial" w:cs="Arial" w:eastAsia="Arial" w:hAnsi="Arial"/>
          <w:sz w:val="20"/>
          <w:szCs w:val="20"/>
          <w:u w:val="single" w:color="auto"/>
          <w:color w:val="auto"/>
        </w:rPr>
        <w:t>Covered Party</w:t>
      </w:r>
      <w:r>
        <w:rPr>
          <w:rFonts w:ascii="Arial" w:cs="Arial" w:eastAsia="Arial" w:hAnsi="Arial"/>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9" w:lineRule="exact"/>
        <w:rPr>
          <w:rFonts w:ascii="Arial" w:cs="Arial" w:eastAsia="Arial" w:hAnsi="Arial"/>
          <w:sz w:val="20"/>
          <w:szCs w:val="20"/>
          <w:color w:val="auto"/>
        </w:rPr>
      </w:pPr>
    </w:p>
    <w:p>
      <w:pPr>
        <w:ind w:left="1740" w:hanging="447"/>
        <w:spacing w:after="0"/>
        <w:tabs>
          <w:tab w:leader="none" w:pos="1740" w:val="left"/>
        </w:tabs>
        <w:numPr>
          <w:ilvl w:val="0"/>
          <w:numId w:val="199"/>
        </w:numPr>
        <w:rPr>
          <w:rFonts w:ascii="Arial" w:cs="Arial" w:eastAsia="Arial" w:hAnsi="Arial"/>
          <w:sz w:val="21"/>
          <w:szCs w:val="21"/>
          <w:color w:val="auto"/>
        </w:rPr>
      </w:pPr>
      <w:r>
        <w:rPr>
          <w:rFonts w:ascii="Arial" w:cs="Arial" w:eastAsia="Arial" w:hAnsi="Arial"/>
          <w:sz w:val="21"/>
          <w:szCs w:val="21"/>
          <w:color w:val="auto"/>
        </w:rPr>
        <w:t>As used in this Section 12.20, the following terms have the following meanings:</w:t>
      </w:r>
    </w:p>
    <w:p>
      <w:pPr>
        <w:spacing w:after="0" w:line="186" w:lineRule="exact"/>
        <w:rPr>
          <w:rFonts w:ascii="Arial" w:cs="Arial" w:eastAsia="Arial" w:hAnsi="Arial"/>
          <w:sz w:val="21"/>
          <w:szCs w:val="21"/>
          <w:color w:val="auto"/>
        </w:rPr>
      </w:pPr>
    </w:p>
    <w:p>
      <w:pPr>
        <w:ind w:firstLine="1935"/>
        <w:spacing w:after="0" w:line="244" w:lineRule="auto"/>
        <w:tabs>
          <w:tab w:leader="none" w:pos="2385" w:val="left"/>
        </w:tabs>
        <w:numPr>
          <w:ilvl w:val="1"/>
          <w:numId w:val="19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BHC Act Affiliate</w:t>
      </w:r>
      <w:r>
        <w:rPr>
          <w:rFonts w:ascii="Arial" w:cs="Arial" w:eastAsia="Arial" w:hAnsi="Arial"/>
          <w:sz w:val="21"/>
          <w:szCs w:val="21"/>
          <w:color w:val="auto"/>
        </w:rPr>
        <w:t>” of a party means an “</w:t>
      </w:r>
      <w:r>
        <w:rPr>
          <w:rFonts w:ascii="Arial" w:cs="Arial" w:eastAsia="Arial" w:hAnsi="Arial"/>
          <w:sz w:val="21"/>
          <w:szCs w:val="21"/>
          <w:u w:val="single" w:color="auto"/>
          <w:color w:val="auto"/>
        </w:rPr>
        <w:t>affiliate</w:t>
      </w:r>
      <w:r>
        <w:rPr>
          <w:rFonts w:ascii="Arial" w:cs="Arial" w:eastAsia="Arial" w:hAnsi="Arial"/>
          <w:sz w:val="21"/>
          <w:szCs w:val="21"/>
          <w:color w:val="auto"/>
        </w:rPr>
        <w:t>” (as such term is defined under, and interpreted in accordance with, 12 U.S.C. 1841(k)) of such party.</w:t>
      </w:r>
    </w:p>
    <w:p>
      <w:pPr>
        <w:spacing w:after="0" w:line="151" w:lineRule="exact"/>
        <w:rPr>
          <w:rFonts w:ascii="Arial" w:cs="Arial" w:eastAsia="Arial" w:hAnsi="Arial"/>
          <w:sz w:val="21"/>
          <w:szCs w:val="21"/>
          <w:color w:val="auto"/>
        </w:rPr>
      </w:pPr>
    </w:p>
    <w:p>
      <w:pPr>
        <w:jc w:val="both"/>
        <w:ind w:firstLine="1935"/>
        <w:spacing w:after="0" w:line="227" w:lineRule="auto"/>
        <w:tabs>
          <w:tab w:leader="none" w:pos="2484" w:val="left"/>
        </w:tabs>
        <w:numPr>
          <w:ilvl w:val="1"/>
          <w:numId w:val="19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Entity</w:t>
      </w:r>
      <w:r>
        <w:rPr>
          <w:rFonts w:ascii="Arial" w:cs="Arial" w:eastAsia="Arial" w:hAnsi="Arial"/>
          <w:sz w:val="21"/>
          <w:szCs w:val="21"/>
          <w:color w:val="auto"/>
        </w:rPr>
        <w:t>” means any of the following: (i) a “</w:t>
      </w:r>
      <w:r>
        <w:rPr>
          <w:rFonts w:ascii="Arial" w:cs="Arial" w:eastAsia="Arial" w:hAnsi="Arial"/>
          <w:sz w:val="21"/>
          <w:szCs w:val="21"/>
          <w:u w:val="single" w:color="auto"/>
          <w:color w:val="auto"/>
        </w:rPr>
        <w:t>covered entity</w:t>
      </w:r>
      <w:r>
        <w:rPr>
          <w:rFonts w:ascii="Arial" w:cs="Arial" w:eastAsia="Arial" w:hAnsi="Arial"/>
          <w:sz w:val="21"/>
          <w:szCs w:val="21"/>
          <w:color w:val="auto"/>
        </w:rPr>
        <w:t>” as that term is defined in, and interpreted in accordance with, 12 C.F.R. § 252.82(b); (ii) a “</w:t>
      </w:r>
      <w:r>
        <w:rPr>
          <w:rFonts w:ascii="Arial" w:cs="Arial" w:eastAsia="Arial" w:hAnsi="Arial"/>
          <w:sz w:val="21"/>
          <w:szCs w:val="21"/>
          <w:u w:val="single" w:color="auto"/>
          <w:color w:val="auto"/>
        </w:rPr>
        <w:t>covered bank</w:t>
      </w:r>
      <w:r>
        <w:rPr>
          <w:rFonts w:ascii="Arial" w:cs="Arial" w:eastAsia="Arial" w:hAnsi="Arial"/>
          <w:sz w:val="21"/>
          <w:szCs w:val="21"/>
          <w:color w:val="auto"/>
        </w:rPr>
        <w:t>” as that term is defined in, and interpreted in accordance with, 12 C.F.R. § 47.3(b); or (iii) a “</w:t>
      </w:r>
      <w:r>
        <w:rPr>
          <w:rFonts w:ascii="Arial" w:cs="Arial" w:eastAsia="Arial" w:hAnsi="Arial"/>
          <w:sz w:val="21"/>
          <w:szCs w:val="21"/>
          <w:u w:val="single" w:color="auto"/>
          <w:color w:val="auto"/>
        </w:rPr>
        <w:t>covered FSI</w:t>
      </w:r>
      <w:r>
        <w:rPr>
          <w:rFonts w:ascii="Arial" w:cs="Arial" w:eastAsia="Arial" w:hAnsi="Arial"/>
          <w:sz w:val="21"/>
          <w:szCs w:val="21"/>
          <w:color w:val="auto"/>
        </w:rPr>
        <w:t>” as that term is defined in, and interpreted in accordance with, 12 C.F.R. § 382.2(b).</w:t>
      </w:r>
    </w:p>
    <w:p>
      <w:pPr>
        <w:spacing w:after="0" w:line="157" w:lineRule="exact"/>
        <w:rPr>
          <w:rFonts w:ascii="Arial" w:cs="Arial" w:eastAsia="Arial" w:hAnsi="Arial"/>
          <w:sz w:val="21"/>
          <w:szCs w:val="21"/>
          <w:color w:val="auto"/>
        </w:rPr>
      </w:pPr>
    </w:p>
    <w:p>
      <w:pPr>
        <w:ind w:firstLine="1935"/>
        <w:spacing w:after="0" w:line="244" w:lineRule="auto"/>
        <w:tabs>
          <w:tab w:leader="none" w:pos="2477" w:val="left"/>
        </w:tabs>
        <w:numPr>
          <w:ilvl w:val="1"/>
          <w:numId w:val="19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 Right</w:t>
      </w:r>
      <w:r>
        <w:rPr>
          <w:rFonts w:ascii="Arial" w:cs="Arial" w:eastAsia="Arial" w:hAnsi="Arial"/>
          <w:sz w:val="21"/>
          <w:szCs w:val="21"/>
          <w:color w:val="auto"/>
        </w:rPr>
        <w:t>” has the meaning assigned to that term in, and shall be interpreted in accordance with, 12 C.F.R. §§ 252.81, 47.2 or 382.1, as applicable.</w:t>
      </w:r>
    </w:p>
    <w:p>
      <w:pPr>
        <w:spacing w:after="0" w:line="151" w:lineRule="exact"/>
        <w:rPr>
          <w:rFonts w:ascii="Arial" w:cs="Arial" w:eastAsia="Arial" w:hAnsi="Arial"/>
          <w:sz w:val="21"/>
          <w:szCs w:val="21"/>
          <w:color w:val="auto"/>
        </w:rPr>
      </w:pPr>
    </w:p>
    <w:p>
      <w:pPr>
        <w:ind w:firstLine="1935"/>
        <w:spacing w:after="0" w:line="244" w:lineRule="auto"/>
        <w:tabs>
          <w:tab w:leader="none" w:pos="2465" w:val="left"/>
        </w:tabs>
        <w:numPr>
          <w:ilvl w:val="1"/>
          <w:numId w:val="19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QFC</w:t>
      </w:r>
      <w:r>
        <w:rPr>
          <w:rFonts w:ascii="Arial" w:cs="Arial" w:eastAsia="Arial" w:hAnsi="Arial"/>
          <w:sz w:val="21"/>
          <w:szCs w:val="21"/>
          <w:color w:val="auto"/>
        </w:rPr>
        <w:t>” has the meaning assigned to the term “</w:t>
      </w:r>
      <w:r>
        <w:rPr>
          <w:rFonts w:ascii="Arial" w:cs="Arial" w:eastAsia="Arial" w:hAnsi="Arial"/>
          <w:sz w:val="21"/>
          <w:szCs w:val="21"/>
          <w:u w:val="single" w:color="auto"/>
          <w:color w:val="auto"/>
        </w:rPr>
        <w:t>qualified financial contract</w:t>
      </w:r>
      <w:r>
        <w:rPr>
          <w:rFonts w:ascii="Arial" w:cs="Arial" w:eastAsia="Arial" w:hAnsi="Arial"/>
          <w:sz w:val="21"/>
          <w:szCs w:val="21"/>
          <w:color w:val="auto"/>
        </w:rPr>
        <w: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114</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46" w:name="page247"/>
    <w:bookmarkEnd w:id="246"/>
    <w:p>
      <w:pPr>
        <w:ind w:left="640"/>
        <w:spacing w:after="0"/>
        <w:tabs>
          <w:tab w:leader="none" w:pos="2020" w:val="left"/>
        </w:tabs>
        <w:rPr>
          <w:sz w:val="20"/>
          <w:szCs w:val="20"/>
          <w:color w:val="auto"/>
        </w:rPr>
      </w:pPr>
      <w:r>
        <w:rPr>
          <w:rFonts w:ascii="Arial" w:cs="Arial" w:eastAsia="Arial" w:hAnsi="Arial"/>
          <w:sz w:val="21"/>
          <w:szCs w:val="21"/>
          <w:color w:val="auto"/>
        </w:rPr>
        <w:t>Section 12.21</w:t>
      </w:r>
      <w:r>
        <w:rPr>
          <w:sz w:val="20"/>
          <w:szCs w:val="20"/>
          <w:color w:val="auto"/>
        </w:rPr>
        <w:tab/>
      </w:r>
      <w:r>
        <w:rPr>
          <w:rFonts w:ascii="Arial" w:cs="Arial" w:eastAsia="Arial" w:hAnsi="Arial"/>
          <w:sz w:val="19"/>
          <w:szCs w:val="19"/>
          <w:u w:val="single" w:color="auto"/>
          <w:color w:val="auto"/>
        </w:rPr>
        <w:t>Certain ERISA Matters</w:t>
      </w:r>
      <w:r>
        <w:rPr>
          <w:rFonts w:ascii="Arial" w:cs="Arial" w:eastAsia="Arial" w:hAnsi="Arial"/>
          <w:sz w:val="19"/>
          <w:szCs w:val="19"/>
          <w:color w:val="auto"/>
        </w:rPr>
        <w:t>.</w:t>
      </w:r>
    </w:p>
    <w:p>
      <w:pPr>
        <w:spacing w:after="0" w:line="187" w:lineRule="exact"/>
        <w:rPr>
          <w:sz w:val="20"/>
          <w:szCs w:val="20"/>
          <w:color w:val="auto"/>
        </w:rPr>
      </w:pPr>
    </w:p>
    <w:p>
      <w:pPr>
        <w:jc w:val="both"/>
        <w:ind w:firstLine="1293"/>
        <w:spacing w:after="0" w:line="238" w:lineRule="auto"/>
        <w:tabs>
          <w:tab w:leader="none" w:pos="1756" w:val="left"/>
        </w:tabs>
        <w:numPr>
          <w:ilvl w:val="0"/>
          <w:numId w:val="200"/>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other Agents and their respective Affiliates, and not, for the avoidance of doubt, to or for the benefit of the Borrower or any Guarantor, that at least one of the following is and will be true:</w:t>
      </w:r>
    </w:p>
    <w:p>
      <w:pPr>
        <w:spacing w:after="0" w:line="158" w:lineRule="exact"/>
        <w:rPr>
          <w:rFonts w:ascii="Arial" w:cs="Arial" w:eastAsia="Arial" w:hAnsi="Arial"/>
          <w:sz w:val="20"/>
          <w:szCs w:val="20"/>
          <w:color w:val="auto"/>
        </w:rPr>
      </w:pPr>
    </w:p>
    <w:p>
      <w:pPr>
        <w:ind w:firstLine="1935"/>
        <w:spacing w:after="0" w:line="268" w:lineRule="auto"/>
        <w:tabs>
          <w:tab w:leader="none" w:pos="2403" w:val="left"/>
        </w:tabs>
        <w:numPr>
          <w:ilvl w:val="1"/>
          <w:numId w:val="200"/>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29 CFR § 2510.3-101, as modified by Section 3(42) of ERISA) of one or more Benefit Plans in connection with the Loans, the Letters of Credit or the Commitments;</w:t>
      </w:r>
    </w:p>
    <w:p>
      <w:pPr>
        <w:spacing w:after="0" w:line="129" w:lineRule="exact"/>
        <w:rPr>
          <w:rFonts w:ascii="Arial" w:cs="Arial" w:eastAsia="Arial" w:hAnsi="Arial"/>
          <w:sz w:val="20"/>
          <w:szCs w:val="20"/>
          <w:color w:val="auto"/>
        </w:rPr>
      </w:pPr>
    </w:p>
    <w:p>
      <w:pPr>
        <w:jc w:val="both"/>
        <w:ind w:firstLine="1935"/>
        <w:spacing w:after="0" w:line="221" w:lineRule="auto"/>
        <w:tabs>
          <w:tab w:leader="none" w:pos="2470" w:val="left"/>
        </w:tabs>
        <w:numPr>
          <w:ilvl w:val="1"/>
          <w:numId w:val="200"/>
        </w:numPr>
        <w:rPr>
          <w:rFonts w:ascii="Arial" w:cs="Arial" w:eastAsia="Arial" w:hAnsi="Arial"/>
          <w:sz w:val="21"/>
          <w:szCs w:val="21"/>
          <w:color w:val="auto"/>
        </w:rPr>
      </w:pPr>
      <w:r>
        <w:rPr>
          <w:rFonts w:ascii="Arial" w:cs="Arial" w:eastAsia="Arial" w:hAnsi="Arial"/>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7" w:lineRule="exact"/>
        <w:rPr>
          <w:rFonts w:ascii="Arial" w:cs="Arial" w:eastAsia="Arial" w:hAnsi="Arial"/>
          <w:sz w:val="21"/>
          <w:szCs w:val="21"/>
          <w:color w:val="auto"/>
        </w:rPr>
      </w:pPr>
    </w:p>
    <w:p>
      <w:pPr>
        <w:jc w:val="both"/>
        <w:ind w:firstLine="1935"/>
        <w:spacing w:after="0" w:line="220" w:lineRule="auto"/>
        <w:tabs>
          <w:tab w:leader="none" w:pos="2471" w:val="left"/>
        </w:tabs>
        <w:numPr>
          <w:ilvl w:val="1"/>
          <w:numId w:val="200"/>
        </w:numPr>
        <w:rPr>
          <w:rFonts w:ascii="Arial" w:cs="Arial" w:eastAsia="Arial" w:hAnsi="Arial"/>
          <w:sz w:val="21"/>
          <w:szCs w:val="21"/>
          <w:color w:val="auto"/>
        </w:rPr>
      </w:pPr>
      <w:r>
        <w:rPr>
          <w:rFonts w:ascii="Arial" w:cs="Arial" w:eastAsia="Arial" w:hAnsi="Arial"/>
          <w:sz w:val="21"/>
          <w:szCs w:val="21"/>
          <w:color w:val="auto"/>
        </w:rPr>
        <w:t>(A) such Lender is an investment fund managed by a “</w:t>
      </w:r>
      <w:r>
        <w:rPr>
          <w:rFonts w:ascii="Arial" w:cs="Arial" w:eastAsia="Arial" w:hAnsi="Arial"/>
          <w:sz w:val="21"/>
          <w:szCs w:val="21"/>
          <w:u w:val="single" w:color="auto"/>
          <w:color w:val="auto"/>
        </w:rPr>
        <w:t>Qualified Professional Asset Manager</w:t>
      </w:r>
      <w:r>
        <w:rPr>
          <w:rFonts w:ascii="Arial" w:cs="Arial" w:eastAsia="Arial" w:hAnsi="Arial"/>
          <w:sz w:val="21"/>
          <w:szCs w:val="21"/>
          <w:color w:val="auto"/>
        </w:rPr>
        <w:t>”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7" w:lineRule="exact"/>
        <w:rPr>
          <w:rFonts w:ascii="Arial" w:cs="Arial" w:eastAsia="Arial" w:hAnsi="Arial"/>
          <w:sz w:val="21"/>
          <w:szCs w:val="21"/>
          <w:color w:val="auto"/>
        </w:rPr>
      </w:pPr>
    </w:p>
    <w:p>
      <w:pPr>
        <w:ind w:firstLine="1935"/>
        <w:spacing w:after="0" w:line="244" w:lineRule="auto"/>
        <w:tabs>
          <w:tab w:leader="none" w:pos="2700" w:val="left"/>
        </w:tabs>
        <w:numPr>
          <w:ilvl w:val="1"/>
          <w:numId w:val="200"/>
        </w:numPr>
        <w:rPr>
          <w:rFonts w:ascii="Arial" w:cs="Arial" w:eastAsia="Arial" w:hAnsi="Arial"/>
          <w:sz w:val="21"/>
          <w:szCs w:val="21"/>
          <w:color w:val="auto"/>
        </w:rPr>
      </w:pPr>
      <w:r>
        <w:rPr>
          <w:rFonts w:ascii="Arial" w:cs="Arial" w:eastAsia="Arial" w:hAnsi="Arial"/>
          <w:sz w:val="21"/>
          <w:szCs w:val="21"/>
          <w:color w:val="auto"/>
        </w:rPr>
        <w:t>such other representation, warranty and covenant as may be agreed in writing between the Administrative Agent, in its sole discretion, and such Lender.</w:t>
      </w:r>
    </w:p>
    <w:p>
      <w:pPr>
        <w:spacing w:after="0" w:line="151" w:lineRule="exact"/>
        <w:rPr>
          <w:rFonts w:ascii="Arial" w:cs="Arial" w:eastAsia="Arial" w:hAnsi="Arial"/>
          <w:sz w:val="21"/>
          <w:szCs w:val="21"/>
          <w:color w:val="auto"/>
        </w:rPr>
      </w:pPr>
    </w:p>
    <w:p>
      <w:pPr>
        <w:jc w:val="both"/>
        <w:ind w:firstLine="1293"/>
        <w:spacing w:after="0" w:line="229" w:lineRule="auto"/>
        <w:tabs>
          <w:tab w:leader="none" w:pos="1805"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other Agents and their respective Affiliates, and not, for the avoidance of doubt, to or for the benefit of the Borrower or any Guarantor, that none of the Administrative Agent, the other Agents nor any of their respective Affiliates is a fiduciary with respect to the assets of such Lender involved in such Lender’s entrance into, participation in, or administration and performance of the Loans, the Letters of Credit, the Commitments, and this Agreement (including in connection with the reservation or exercise of any rights by the Administrative Agent under this Agreement, any other Loan Document or any documents related hereto or thereto).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115</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40"/>
          </w:cols>
          <w:pgMar w:left="320" w:top="1390" w:right="339" w:bottom="1440" w:gutter="0" w:footer="0" w:header="0"/>
        </w:sectPr>
      </w:pPr>
    </w:p>
    <w:bookmarkStart w:id="247" w:name="page248"/>
    <w:bookmarkEnd w:id="247"/>
    <w:p>
      <w:pPr>
        <w:jc w:val="right"/>
        <w:ind w:right="273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Signature Pages Intentionally Omitted</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SIGNATURE PAGE</w:t>
      </w:r>
    </w:p>
    <w:p>
      <w:pPr>
        <w:jc w:val="center"/>
        <w:ind w:right="-1120"/>
        <w:spacing w:after="0" w:line="220" w:lineRule="auto"/>
        <w:rPr>
          <w:sz w:val="20"/>
          <w:szCs w:val="20"/>
          <w:color w:val="auto"/>
        </w:rPr>
      </w:pPr>
      <w:r>
        <w:rPr>
          <w:rFonts w:ascii="Arial" w:cs="Arial" w:eastAsia="Arial" w:hAnsi="Arial"/>
          <w:sz w:val="21"/>
          <w:szCs w:val="21"/>
          <w:color w:val="auto"/>
        </w:rPr>
        <w:t>CREDIT AGREEMENT</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0139"/>
          </w:cols>
          <w:pgMar w:left="320" w:top="1390" w:right="1440" w:bottom="1440" w:gutter="0" w:footer="0" w:header="0"/>
        </w:sectPr>
      </w:pPr>
    </w:p>
    <w:bookmarkStart w:id="248" w:name="page249"/>
    <w:bookmarkEnd w:id="248"/>
    <w:p>
      <w:pPr>
        <w:jc w:val="center"/>
        <w:ind w:right="20"/>
        <w:spacing w:after="0"/>
        <w:rPr>
          <w:sz w:val="20"/>
          <w:szCs w:val="20"/>
          <w:color w:val="auto"/>
        </w:rPr>
      </w:pPr>
      <w:r>
        <w:rPr>
          <w:rFonts w:ascii="Arial" w:cs="Arial" w:eastAsia="Arial" w:hAnsi="Arial"/>
          <w:sz w:val="21"/>
          <w:szCs w:val="21"/>
          <w:b w:val="1"/>
          <w:bCs w:val="1"/>
          <w:color w:val="auto"/>
        </w:rPr>
        <w:t>ANNEX I</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LIST OF MAXIMUM CREDIT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274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21"/>
                <w:szCs w:val="21"/>
                <w:b w:val="1"/>
                <w:bCs w:val="1"/>
                <w:color w:val="auto"/>
              </w:rPr>
              <w:t>Name of Lender</w:t>
            </w:r>
          </w:p>
        </w:tc>
        <w:tc>
          <w:tcPr>
            <w:tcW w:w="26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21"/>
                <w:szCs w:val="21"/>
                <w:b w:val="1"/>
                <w:bCs w:val="1"/>
                <w:color w:val="auto"/>
              </w:rPr>
              <w:t>Applicable Percentage</w:t>
            </w:r>
          </w:p>
        </w:tc>
        <w:tc>
          <w:tcPr>
            <w:tcW w:w="328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21"/>
                <w:szCs w:val="21"/>
                <w:b w:val="1"/>
                <w:bCs w:val="1"/>
                <w:color w:val="auto"/>
              </w:rPr>
              <w:t>Maximum Credit Amount</w:t>
            </w:r>
          </w:p>
        </w:tc>
        <w:tc>
          <w:tcPr>
            <w:tcW w:w="258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21"/>
                <w:szCs w:val="21"/>
                <w:b w:val="1"/>
                <w:bCs w:val="1"/>
                <w:color w:val="auto"/>
              </w:rPr>
              <w:t>Elected Commitment</w:t>
            </w:r>
          </w:p>
        </w:tc>
        <w:tc>
          <w:tcPr>
            <w:tcW w:w="0" w:type="dxa"/>
            <w:vAlign w:val="bottom"/>
          </w:tcPr>
          <w:p>
            <w:pPr>
              <w:spacing w:after="0"/>
              <w:rPr>
                <w:sz w:val="1"/>
                <w:szCs w:val="1"/>
                <w:color w:val="auto"/>
              </w:rPr>
            </w:pPr>
          </w:p>
        </w:tc>
      </w:tr>
      <w:tr>
        <w:trPr>
          <w:trHeight w:val="200"/>
        </w:trPr>
        <w:tc>
          <w:tcPr>
            <w:tcW w:w="2740" w:type="dxa"/>
            <w:vAlign w:val="bottom"/>
            <w:tcBorders>
              <w:left w:val="single" w:sz="8" w:color="auto"/>
              <w:right w:val="single" w:sz="8" w:color="auto"/>
            </w:tcBorders>
          </w:tcPr>
          <w:p>
            <w:pPr>
              <w:ind w:left="80"/>
              <w:spacing w:after="0" w:line="200" w:lineRule="exact"/>
              <w:rPr>
                <w:sz w:val="20"/>
                <w:szCs w:val="20"/>
                <w:color w:val="auto"/>
              </w:rPr>
            </w:pPr>
            <w:r>
              <w:rPr>
                <w:rFonts w:ascii="Arial" w:cs="Arial" w:eastAsia="Arial" w:hAnsi="Arial"/>
                <w:sz w:val="21"/>
                <w:szCs w:val="21"/>
                <w:color w:val="auto"/>
              </w:rPr>
              <w:t>Wells Fargo Bank, National</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12.400000000%</w:t>
            </w:r>
          </w:p>
        </w:tc>
        <w:tc>
          <w:tcPr>
            <w:tcW w:w="3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$248,000,000.00</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$62,000,000.00</w:t>
            </w:r>
          </w:p>
        </w:tc>
        <w:tc>
          <w:tcPr>
            <w:tcW w:w="0" w:type="dxa"/>
            <w:vAlign w:val="bottom"/>
          </w:tcPr>
          <w:p>
            <w:pPr>
              <w:spacing w:after="0"/>
              <w:rPr>
                <w:sz w:val="1"/>
                <w:szCs w:val="1"/>
                <w:color w:val="auto"/>
              </w:rPr>
            </w:pPr>
          </w:p>
        </w:tc>
      </w:tr>
      <w:tr>
        <w:trPr>
          <w:trHeight w:val="166"/>
        </w:trPr>
        <w:tc>
          <w:tcPr>
            <w:tcW w:w="27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1"/>
                <w:szCs w:val="21"/>
                <w:color w:val="auto"/>
              </w:rPr>
              <w:t>Association</w:t>
            </w:r>
          </w:p>
        </w:tc>
        <w:tc>
          <w:tcPr>
            <w:tcW w:w="2660" w:type="dxa"/>
            <w:vAlign w:val="bottom"/>
            <w:tcBorders>
              <w:right w:val="single" w:sz="8" w:color="auto"/>
            </w:tcBorders>
            <w:vMerge w:val="continue"/>
          </w:tcPr>
          <w:p>
            <w:pPr>
              <w:spacing w:after="0"/>
              <w:rPr>
                <w:sz w:val="14"/>
                <w:szCs w:val="14"/>
                <w:color w:val="auto"/>
              </w:rPr>
            </w:pPr>
          </w:p>
        </w:tc>
        <w:tc>
          <w:tcPr>
            <w:tcW w:w="3280" w:type="dxa"/>
            <w:vAlign w:val="bottom"/>
            <w:tcBorders>
              <w:right w:val="single" w:sz="8" w:color="auto"/>
            </w:tcBorders>
            <w:vMerge w:val="continue"/>
          </w:tcPr>
          <w:p>
            <w:pPr>
              <w:spacing w:after="0"/>
              <w:rPr>
                <w:sz w:val="14"/>
                <w:szCs w:val="14"/>
                <w:color w:val="auto"/>
              </w:rPr>
            </w:pPr>
          </w:p>
        </w:tc>
        <w:tc>
          <w:tcPr>
            <w:tcW w:w="25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328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740" w:type="dxa"/>
            <w:vAlign w:val="bottom"/>
            <w:tcBorders>
              <w:left w:val="single" w:sz="8" w:color="auto"/>
              <w:right w:val="single" w:sz="8" w:color="auto"/>
            </w:tcBorders>
          </w:tcPr>
          <w:p>
            <w:pPr>
              <w:ind w:left="80"/>
              <w:spacing w:after="0" w:line="201" w:lineRule="exact"/>
              <w:rPr>
                <w:sz w:val="20"/>
                <w:szCs w:val="20"/>
                <w:color w:val="auto"/>
              </w:rPr>
            </w:pPr>
            <w:r>
              <w:rPr>
                <w:rFonts w:ascii="Arial" w:cs="Arial" w:eastAsia="Arial" w:hAnsi="Arial"/>
                <w:sz w:val="21"/>
                <w:szCs w:val="21"/>
                <w:color w:val="auto"/>
              </w:rPr>
              <w:t>PNC Bank, National</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9.000000000%</w:t>
            </w:r>
          </w:p>
        </w:tc>
        <w:tc>
          <w:tcPr>
            <w:tcW w:w="3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$180,000,000.00</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$45,000,000.00</w:t>
            </w:r>
          </w:p>
        </w:tc>
        <w:tc>
          <w:tcPr>
            <w:tcW w:w="0" w:type="dxa"/>
            <w:vAlign w:val="bottom"/>
          </w:tcPr>
          <w:p>
            <w:pPr>
              <w:spacing w:after="0"/>
              <w:rPr>
                <w:sz w:val="1"/>
                <w:szCs w:val="1"/>
                <w:color w:val="auto"/>
              </w:rPr>
            </w:pPr>
          </w:p>
        </w:tc>
      </w:tr>
      <w:tr>
        <w:trPr>
          <w:trHeight w:val="166"/>
        </w:trPr>
        <w:tc>
          <w:tcPr>
            <w:tcW w:w="27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1"/>
                <w:szCs w:val="21"/>
                <w:color w:val="auto"/>
              </w:rPr>
              <w:t>Association</w:t>
            </w:r>
          </w:p>
        </w:tc>
        <w:tc>
          <w:tcPr>
            <w:tcW w:w="2660" w:type="dxa"/>
            <w:vAlign w:val="bottom"/>
            <w:tcBorders>
              <w:right w:val="single" w:sz="8" w:color="auto"/>
            </w:tcBorders>
            <w:vMerge w:val="continue"/>
          </w:tcPr>
          <w:p>
            <w:pPr>
              <w:spacing w:after="0"/>
              <w:rPr>
                <w:sz w:val="14"/>
                <w:szCs w:val="14"/>
                <w:color w:val="auto"/>
              </w:rPr>
            </w:pPr>
          </w:p>
        </w:tc>
        <w:tc>
          <w:tcPr>
            <w:tcW w:w="3280" w:type="dxa"/>
            <w:vAlign w:val="bottom"/>
            <w:tcBorders>
              <w:right w:val="single" w:sz="8" w:color="auto"/>
            </w:tcBorders>
            <w:vMerge w:val="continue"/>
          </w:tcPr>
          <w:p>
            <w:pPr>
              <w:spacing w:after="0"/>
              <w:rPr>
                <w:sz w:val="14"/>
                <w:szCs w:val="14"/>
                <w:color w:val="auto"/>
              </w:rPr>
            </w:pPr>
          </w:p>
        </w:tc>
        <w:tc>
          <w:tcPr>
            <w:tcW w:w="25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328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Truist Bank</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9.000000000%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$180,000,000.00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$45,000,000.00</w:t>
            </w:r>
          </w:p>
        </w:tc>
        <w:tc>
          <w:tcPr>
            <w:tcW w:w="0" w:type="dxa"/>
            <w:vAlign w:val="bottom"/>
          </w:tcPr>
          <w:p>
            <w:pPr>
              <w:spacing w:after="0"/>
              <w:rPr>
                <w:sz w:val="1"/>
                <w:szCs w:val="1"/>
                <w:color w:val="auto"/>
              </w:rPr>
            </w:pPr>
          </w:p>
        </w:tc>
      </w:tr>
      <w:tr>
        <w:trPr>
          <w:trHeight w:val="261"/>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Bank of America, N.A.</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7.200000000%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$144,000,000.00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$36,000,000.00</w:t>
            </w:r>
          </w:p>
        </w:tc>
        <w:tc>
          <w:tcPr>
            <w:tcW w:w="0" w:type="dxa"/>
            <w:vAlign w:val="bottom"/>
          </w:tcPr>
          <w:p>
            <w:pPr>
              <w:spacing w:after="0"/>
              <w:rPr>
                <w:sz w:val="1"/>
                <w:szCs w:val="1"/>
                <w:color w:val="auto"/>
              </w:rPr>
            </w:pPr>
          </w:p>
        </w:tc>
      </w:tr>
      <w:tr>
        <w:trPr>
          <w:trHeight w:val="200"/>
        </w:trPr>
        <w:tc>
          <w:tcPr>
            <w:tcW w:w="2740" w:type="dxa"/>
            <w:vAlign w:val="bottom"/>
            <w:tcBorders>
              <w:left w:val="single" w:sz="8" w:color="auto"/>
              <w:right w:val="single" w:sz="8" w:color="auto"/>
            </w:tcBorders>
          </w:tcPr>
          <w:p>
            <w:pPr>
              <w:ind w:left="80"/>
              <w:spacing w:after="0" w:line="200" w:lineRule="exact"/>
              <w:rPr>
                <w:sz w:val="20"/>
                <w:szCs w:val="20"/>
                <w:color w:val="auto"/>
              </w:rPr>
            </w:pPr>
            <w:r>
              <w:rPr>
                <w:rFonts w:ascii="Arial" w:cs="Arial" w:eastAsia="Arial" w:hAnsi="Arial"/>
                <w:sz w:val="21"/>
                <w:szCs w:val="21"/>
                <w:color w:val="auto"/>
              </w:rPr>
              <w:t>Capital One, National</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7.200000000%</w:t>
            </w:r>
          </w:p>
        </w:tc>
        <w:tc>
          <w:tcPr>
            <w:tcW w:w="3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$144,000,000.00</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$36,000,000.00</w:t>
            </w:r>
          </w:p>
        </w:tc>
        <w:tc>
          <w:tcPr>
            <w:tcW w:w="0" w:type="dxa"/>
            <w:vAlign w:val="bottom"/>
          </w:tcPr>
          <w:p>
            <w:pPr>
              <w:spacing w:after="0"/>
              <w:rPr>
                <w:sz w:val="1"/>
                <w:szCs w:val="1"/>
                <w:color w:val="auto"/>
              </w:rPr>
            </w:pPr>
          </w:p>
        </w:tc>
      </w:tr>
      <w:tr>
        <w:trPr>
          <w:trHeight w:val="166"/>
        </w:trPr>
        <w:tc>
          <w:tcPr>
            <w:tcW w:w="27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1"/>
                <w:szCs w:val="21"/>
                <w:color w:val="auto"/>
              </w:rPr>
              <w:t>Association</w:t>
            </w:r>
          </w:p>
        </w:tc>
        <w:tc>
          <w:tcPr>
            <w:tcW w:w="2660" w:type="dxa"/>
            <w:vAlign w:val="bottom"/>
            <w:tcBorders>
              <w:right w:val="single" w:sz="8" w:color="auto"/>
            </w:tcBorders>
            <w:vMerge w:val="continue"/>
          </w:tcPr>
          <w:p>
            <w:pPr>
              <w:spacing w:after="0"/>
              <w:rPr>
                <w:sz w:val="14"/>
                <w:szCs w:val="14"/>
                <w:color w:val="auto"/>
              </w:rPr>
            </w:pPr>
          </w:p>
        </w:tc>
        <w:tc>
          <w:tcPr>
            <w:tcW w:w="3280" w:type="dxa"/>
            <w:vAlign w:val="bottom"/>
            <w:tcBorders>
              <w:right w:val="single" w:sz="8" w:color="auto"/>
            </w:tcBorders>
            <w:vMerge w:val="continue"/>
          </w:tcPr>
          <w:p>
            <w:pPr>
              <w:spacing w:after="0"/>
              <w:rPr>
                <w:sz w:val="14"/>
                <w:szCs w:val="14"/>
                <w:color w:val="auto"/>
              </w:rPr>
            </w:pPr>
          </w:p>
        </w:tc>
        <w:tc>
          <w:tcPr>
            <w:tcW w:w="25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328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Citibank, N.A.</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7.200000000%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$144,000,000.00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$36,000,000.00</w:t>
            </w:r>
          </w:p>
        </w:tc>
        <w:tc>
          <w:tcPr>
            <w:tcW w:w="0" w:type="dxa"/>
            <w:vAlign w:val="bottom"/>
          </w:tcPr>
          <w:p>
            <w:pPr>
              <w:spacing w:after="0"/>
              <w:rPr>
                <w:sz w:val="1"/>
                <w:szCs w:val="1"/>
                <w:color w:val="auto"/>
              </w:rPr>
            </w:pPr>
          </w:p>
        </w:tc>
      </w:tr>
      <w:tr>
        <w:trPr>
          <w:trHeight w:val="200"/>
        </w:trPr>
        <w:tc>
          <w:tcPr>
            <w:tcW w:w="2740" w:type="dxa"/>
            <w:vAlign w:val="bottom"/>
            <w:tcBorders>
              <w:left w:val="single" w:sz="8" w:color="auto"/>
              <w:right w:val="single" w:sz="8" w:color="auto"/>
            </w:tcBorders>
          </w:tcPr>
          <w:p>
            <w:pPr>
              <w:ind w:left="80"/>
              <w:spacing w:after="0" w:line="200" w:lineRule="exact"/>
              <w:rPr>
                <w:sz w:val="20"/>
                <w:szCs w:val="20"/>
                <w:color w:val="auto"/>
              </w:rPr>
            </w:pPr>
            <w:r>
              <w:rPr>
                <w:rFonts w:ascii="Arial" w:cs="Arial" w:eastAsia="Arial" w:hAnsi="Arial"/>
                <w:sz w:val="21"/>
                <w:szCs w:val="21"/>
                <w:color w:val="auto"/>
              </w:rPr>
              <w:t>Credit Suisse AG, Cayman</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7.200000000%</w:t>
            </w:r>
          </w:p>
        </w:tc>
        <w:tc>
          <w:tcPr>
            <w:tcW w:w="3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$144,000,000.00</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$36,000,000.00</w:t>
            </w:r>
          </w:p>
        </w:tc>
        <w:tc>
          <w:tcPr>
            <w:tcW w:w="0" w:type="dxa"/>
            <w:vAlign w:val="bottom"/>
          </w:tcPr>
          <w:p>
            <w:pPr>
              <w:spacing w:after="0"/>
              <w:rPr>
                <w:sz w:val="1"/>
                <w:szCs w:val="1"/>
                <w:color w:val="auto"/>
              </w:rPr>
            </w:pPr>
          </w:p>
        </w:tc>
      </w:tr>
      <w:tr>
        <w:trPr>
          <w:trHeight w:val="166"/>
        </w:trPr>
        <w:tc>
          <w:tcPr>
            <w:tcW w:w="27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1"/>
                <w:szCs w:val="21"/>
                <w:color w:val="auto"/>
              </w:rPr>
              <w:t>Islands Branch</w:t>
            </w:r>
          </w:p>
        </w:tc>
        <w:tc>
          <w:tcPr>
            <w:tcW w:w="2660" w:type="dxa"/>
            <w:vAlign w:val="bottom"/>
            <w:tcBorders>
              <w:right w:val="single" w:sz="8" w:color="auto"/>
            </w:tcBorders>
            <w:vMerge w:val="continue"/>
          </w:tcPr>
          <w:p>
            <w:pPr>
              <w:spacing w:after="0"/>
              <w:rPr>
                <w:sz w:val="14"/>
                <w:szCs w:val="14"/>
                <w:color w:val="auto"/>
              </w:rPr>
            </w:pPr>
          </w:p>
        </w:tc>
        <w:tc>
          <w:tcPr>
            <w:tcW w:w="3280" w:type="dxa"/>
            <w:vAlign w:val="bottom"/>
            <w:tcBorders>
              <w:right w:val="single" w:sz="8" w:color="auto"/>
            </w:tcBorders>
            <w:vMerge w:val="continue"/>
          </w:tcPr>
          <w:p>
            <w:pPr>
              <w:spacing w:after="0"/>
              <w:rPr>
                <w:sz w:val="14"/>
                <w:szCs w:val="14"/>
                <w:color w:val="auto"/>
              </w:rPr>
            </w:pPr>
          </w:p>
        </w:tc>
        <w:tc>
          <w:tcPr>
            <w:tcW w:w="25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328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Goldman Sachs Bank USA</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7.200000000%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$144,000,000.00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$36,000,000.00</w:t>
            </w:r>
          </w:p>
        </w:tc>
        <w:tc>
          <w:tcPr>
            <w:tcW w:w="0" w:type="dxa"/>
            <w:vAlign w:val="bottom"/>
          </w:tcPr>
          <w:p>
            <w:pPr>
              <w:spacing w:after="0"/>
              <w:rPr>
                <w:sz w:val="1"/>
                <w:szCs w:val="1"/>
                <w:color w:val="auto"/>
              </w:rPr>
            </w:pPr>
          </w:p>
        </w:tc>
      </w:tr>
      <w:tr>
        <w:trPr>
          <w:trHeight w:val="261"/>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w w:val="97"/>
              </w:rPr>
              <w:t>JPMorgan Chase Bank, N.A.</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7.200000000%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$144,000,000.00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$36,000,000.00</w:t>
            </w:r>
          </w:p>
        </w:tc>
        <w:tc>
          <w:tcPr>
            <w:tcW w:w="0" w:type="dxa"/>
            <w:vAlign w:val="bottom"/>
          </w:tcPr>
          <w:p>
            <w:pPr>
              <w:spacing w:after="0"/>
              <w:rPr>
                <w:sz w:val="1"/>
                <w:szCs w:val="1"/>
                <w:color w:val="auto"/>
              </w:rPr>
            </w:pPr>
          </w:p>
        </w:tc>
      </w:tr>
      <w:tr>
        <w:trPr>
          <w:trHeight w:val="200"/>
        </w:trPr>
        <w:tc>
          <w:tcPr>
            <w:tcW w:w="2740" w:type="dxa"/>
            <w:vAlign w:val="bottom"/>
            <w:tcBorders>
              <w:left w:val="single" w:sz="8" w:color="auto"/>
              <w:right w:val="single" w:sz="8" w:color="auto"/>
            </w:tcBorders>
          </w:tcPr>
          <w:p>
            <w:pPr>
              <w:ind w:left="80"/>
              <w:spacing w:after="0" w:line="200" w:lineRule="exact"/>
              <w:rPr>
                <w:sz w:val="20"/>
                <w:szCs w:val="20"/>
                <w:color w:val="auto"/>
              </w:rPr>
            </w:pPr>
            <w:r>
              <w:rPr>
                <w:rFonts w:ascii="Arial" w:cs="Arial" w:eastAsia="Arial" w:hAnsi="Arial"/>
                <w:sz w:val="21"/>
                <w:szCs w:val="21"/>
                <w:color w:val="auto"/>
              </w:rPr>
              <w:t>The Bank of Nova Scotia,</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7.200000000%</w:t>
            </w:r>
          </w:p>
        </w:tc>
        <w:tc>
          <w:tcPr>
            <w:tcW w:w="3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$144,000,000.00</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$36,000,000.00</w:t>
            </w:r>
          </w:p>
        </w:tc>
        <w:tc>
          <w:tcPr>
            <w:tcW w:w="0" w:type="dxa"/>
            <w:vAlign w:val="bottom"/>
          </w:tcPr>
          <w:p>
            <w:pPr>
              <w:spacing w:after="0"/>
              <w:rPr>
                <w:sz w:val="1"/>
                <w:szCs w:val="1"/>
                <w:color w:val="auto"/>
              </w:rPr>
            </w:pPr>
          </w:p>
        </w:tc>
      </w:tr>
      <w:tr>
        <w:trPr>
          <w:trHeight w:val="166"/>
        </w:trPr>
        <w:tc>
          <w:tcPr>
            <w:tcW w:w="27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1"/>
                <w:szCs w:val="21"/>
                <w:color w:val="auto"/>
              </w:rPr>
              <w:t>Houston Branch</w:t>
            </w:r>
          </w:p>
        </w:tc>
        <w:tc>
          <w:tcPr>
            <w:tcW w:w="2660" w:type="dxa"/>
            <w:vAlign w:val="bottom"/>
            <w:tcBorders>
              <w:right w:val="single" w:sz="8" w:color="auto"/>
            </w:tcBorders>
            <w:vMerge w:val="continue"/>
          </w:tcPr>
          <w:p>
            <w:pPr>
              <w:spacing w:after="0"/>
              <w:rPr>
                <w:sz w:val="14"/>
                <w:szCs w:val="14"/>
                <w:color w:val="auto"/>
              </w:rPr>
            </w:pPr>
          </w:p>
        </w:tc>
        <w:tc>
          <w:tcPr>
            <w:tcW w:w="3280" w:type="dxa"/>
            <w:vAlign w:val="bottom"/>
            <w:tcBorders>
              <w:right w:val="single" w:sz="8" w:color="auto"/>
            </w:tcBorders>
            <w:vMerge w:val="continue"/>
          </w:tcPr>
          <w:p>
            <w:pPr>
              <w:spacing w:after="0"/>
              <w:rPr>
                <w:sz w:val="14"/>
                <w:szCs w:val="14"/>
                <w:color w:val="auto"/>
              </w:rPr>
            </w:pPr>
          </w:p>
        </w:tc>
        <w:tc>
          <w:tcPr>
            <w:tcW w:w="25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328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Barclays Bank PLC</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7.200000000%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$144,000,000.00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$36,000,000.00</w:t>
            </w:r>
          </w:p>
        </w:tc>
        <w:tc>
          <w:tcPr>
            <w:tcW w:w="0" w:type="dxa"/>
            <w:vAlign w:val="bottom"/>
          </w:tcPr>
          <w:p>
            <w:pPr>
              <w:spacing w:after="0"/>
              <w:rPr>
                <w:sz w:val="1"/>
                <w:szCs w:val="1"/>
                <w:color w:val="auto"/>
              </w:rPr>
            </w:pPr>
          </w:p>
        </w:tc>
      </w:tr>
      <w:tr>
        <w:trPr>
          <w:trHeight w:val="200"/>
        </w:trPr>
        <w:tc>
          <w:tcPr>
            <w:tcW w:w="2740" w:type="dxa"/>
            <w:vAlign w:val="bottom"/>
            <w:tcBorders>
              <w:left w:val="single" w:sz="8" w:color="auto"/>
              <w:right w:val="single" w:sz="8" w:color="auto"/>
            </w:tcBorders>
          </w:tcPr>
          <w:p>
            <w:pPr>
              <w:ind w:left="80"/>
              <w:spacing w:after="0" w:line="200" w:lineRule="exact"/>
              <w:rPr>
                <w:sz w:val="20"/>
                <w:szCs w:val="20"/>
                <w:color w:val="auto"/>
              </w:rPr>
            </w:pPr>
            <w:r>
              <w:rPr>
                <w:rFonts w:ascii="Arial" w:cs="Arial" w:eastAsia="Arial" w:hAnsi="Arial"/>
                <w:sz w:val="21"/>
                <w:szCs w:val="21"/>
                <w:color w:val="auto"/>
              </w:rPr>
              <w:t>BOKF, N.A. dba Bank of</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6.000000000%</w:t>
            </w:r>
          </w:p>
        </w:tc>
        <w:tc>
          <w:tcPr>
            <w:tcW w:w="3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$120,000,000.00</w:t>
            </w: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1"/>
              </w:rPr>
              <w:t>$30,000,000.00</w:t>
            </w:r>
          </w:p>
        </w:tc>
        <w:tc>
          <w:tcPr>
            <w:tcW w:w="0" w:type="dxa"/>
            <w:vAlign w:val="bottom"/>
          </w:tcPr>
          <w:p>
            <w:pPr>
              <w:spacing w:after="0"/>
              <w:rPr>
                <w:sz w:val="1"/>
                <w:szCs w:val="1"/>
                <w:color w:val="auto"/>
              </w:rPr>
            </w:pPr>
          </w:p>
        </w:tc>
      </w:tr>
      <w:tr>
        <w:trPr>
          <w:trHeight w:val="166"/>
        </w:trPr>
        <w:tc>
          <w:tcPr>
            <w:tcW w:w="27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1"/>
                <w:szCs w:val="21"/>
                <w:color w:val="auto"/>
              </w:rPr>
              <w:t>Oklahoma</w:t>
            </w:r>
          </w:p>
        </w:tc>
        <w:tc>
          <w:tcPr>
            <w:tcW w:w="2660" w:type="dxa"/>
            <w:vAlign w:val="bottom"/>
            <w:tcBorders>
              <w:right w:val="single" w:sz="8" w:color="auto"/>
            </w:tcBorders>
            <w:vMerge w:val="continue"/>
          </w:tcPr>
          <w:p>
            <w:pPr>
              <w:spacing w:after="0"/>
              <w:rPr>
                <w:sz w:val="14"/>
                <w:szCs w:val="14"/>
                <w:color w:val="auto"/>
              </w:rPr>
            </w:pPr>
          </w:p>
        </w:tc>
        <w:tc>
          <w:tcPr>
            <w:tcW w:w="3280" w:type="dxa"/>
            <w:vAlign w:val="bottom"/>
            <w:tcBorders>
              <w:right w:val="single" w:sz="8" w:color="auto"/>
            </w:tcBorders>
            <w:vMerge w:val="continue"/>
          </w:tcPr>
          <w:p>
            <w:pPr>
              <w:spacing w:after="0"/>
              <w:rPr>
                <w:sz w:val="14"/>
                <w:szCs w:val="14"/>
                <w:color w:val="auto"/>
              </w:rPr>
            </w:pPr>
          </w:p>
        </w:tc>
        <w:tc>
          <w:tcPr>
            <w:tcW w:w="25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328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Comerica Bank</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6.000000000%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$120,000,000.00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1"/>
              </w:rPr>
              <w:t>$30,000,000.00</w:t>
            </w:r>
          </w:p>
        </w:tc>
        <w:tc>
          <w:tcPr>
            <w:tcW w:w="0" w:type="dxa"/>
            <w:vAlign w:val="bottom"/>
          </w:tcPr>
          <w:p>
            <w:pPr>
              <w:spacing w:after="0"/>
              <w:rPr>
                <w:sz w:val="1"/>
                <w:szCs w:val="1"/>
                <w:color w:val="auto"/>
              </w:rPr>
            </w:pPr>
          </w:p>
        </w:tc>
      </w:tr>
      <w:tr>
        <w:trPr>
          <w:trHeight w:val="261"/>
        </w:trPr>
        <w:tc>
          <w:tcPr>
            <w:tcW w:w="2740" w:type="dxa"/>
            <w:vAlign w:val="bottom"/>
            <w:tcBorders>
              <w:left w:val="single" w:sz="8" w:color="auto"/>
              <w:bottom w:val="single" w:sz="8" w:color="auto"/>
              <w:right w:val="single" w:sz="8" w:color="auto"/>
            </w:tcBorders>
          </w:tcPr>
          <w:p>
            <w:pPr>
              <w:ind w:left="1140"/>
              <w:spacing w:after="0"/>
              <w:rPr>
                <w:sz w:val="20"/>
                <w:szCs w:val="20"/>
                <w:color w:val="auto"/>
              </w:rPr>
            </w:pPr>
            <w:r>
              <w:rPr>
                <w:rFonts w:ascii="Arial" w:cs="Arial" w:eastAsia="Arial" w:hAnsi="Arial"/>
                <w:sz w:val="21"/>
                <w:szCs w:val="21"/>
                <w:b w:val="1"/>
                <w:bCs w:val="1"/>
                <w:color w:val="auto"/>
              </w:rPr>
              <w:t>Total</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6"/>
              </w:rPr>
              <w:t>100.00%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$2,000,000,000.00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$500,000,000.00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ANNEX I</w:t>
      </w:r>
    </w:p>
    <w:p>
      <w:pPr>
        <w:spacing w:after="0"/>
        <w:rPr>
          <w:sz w:val="20"/>
          <w:szCs w:val="20"/>
          <w:color w:val="auto"/>
        </w:rPr>
      </w:pPr>
      <w:r>
        <w:rPr>
          <w:rFonts w:ascii="Arial" w:cs="Arial" w:eastAsia="Arial" w:hAnsi="Arial"/>
          <w:sz w:val="16"/>
          <w:szCs w:val="16"/>
          <w:color w:val="auto"/>
        </w:rPr>
        <w:t>US 9364157v.4 WEL554/78009</w:t>
      </w:r>
    </w:p>
    <w:p>
      <w:pPr>
        <w:sectPr>
          <w:pgSz w:w="11900" w:h="16838" w:orient="portrait"/>
          <w:cols w:equalWidth="0" w:num="1">
            <w:col w:w="11260"/>
          </w:cols>
          <w:pgMar w:left="320" w:top="1384" w:right="31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14"/>
        </w:trPr>
        <w:tc>
          <w:tcPr>
            <w:tcW w:w="3300" w:type="dxa"/>
            <w:vAlign w:val="bottom"/>
          </w:tcPr>
          <w:p>
            <w:pPr>
              <w:spacing w:after="0"/>
              <w:rPr>
                <w:sz w:val="18"/>
                <w:szCs w:val="18"/>
                <w:color w:val="auto"/>
              </w:rPr>
            </w:pPr>
          </w:p>
        </w:tc>
        <w:tc>
          <w:tcPr>
            <w:tcW w:w="7940" w:type="dxa"/>
            <w:vAlign w:val="bottom"/>
            <w:gridSpan w:val="2"/>
          </w:tcPr>
          <w:p>
            <w:pPr>
              <w:ind w:left="7020"/>
              <w:spacing w:after="0"/>
              <w:rPr>
                <w:sz w:val="20"/>
                <w:szCs w:val="20"/>
                <w:color w:val="auto"/>
              </w:rPr>
            </w:pPr>
            <w:r>
              <w:rPr>
                <w:rFonts w:ascii="Arial" w:cs="Arial" w:eastAsia="Arial" w:hAnsi="Arial"/>
                <w:sz w:val="18"/>
                <w:szCs w:val="18"/>
                <w:b w:val="1"/>
                <w:bCs w:val="1"/>
                <w:color w:val="auto"/>
                <w:w w:val="89"/>
              </w:rPr>
              <w:t>Exhibit 21.1</w:t>
            </w:r>
          </w:p>
        </w:tc>
      </w:tr>
      <w:tr>
        <w:trPr>
          <w:trHeight w:val="214"/>
        </w:trPr>
        <w:tc>
          <w:tcPr>
            <w:tcW w:w="3300" w:type="dxa"/>
            <w:vAlign w:val="bottom"/>
          </w:tcPr>
          <w:p>
            <w:pPr>
              <w:spacing w:after="0"/>
              <w:rPr>
                <w:sz w:val="18"/>
                <w:szCs w:val="18"/>
                <w:color w:val="auto"/>
              </w:rPr>
            </w:pPr>
          </w:p>
        </w:tc>
        <w:tc>
          <w:tcPr>
            <w:tcW w:w="7940" w:type="dxa"/>
            <w:vAlign w:val="bottom"/>
            <w:gridSpan w:val="2"/>
          </w:tcPr>
          <w:p>
            <w:pPr>
              <w:ind w:left="1320"/>
              <w:spacing w:after="0"/>
              <w:rPr>
                <w:sz w:val="20"/>
                <w:szCs w:val="20"/>
                <w:color w:val="auto"/>
              </w:rPr>
            </w:pPr>
            <w:r>
              <w:rPr>
                <w:rFonts w:ascii="Arial" w:cs="Arial" w:eastAsia="Arial" w:hAnsi="Arial"/>
                <w:sz w:val="18"/>
                <w:szCs w:val="18"/>
                <w:b w:val="1"/>
                <w:bCs w:val="1"/>
                <w:color w:val="auto"/>
              </w:rPr>
              <w:t>Viper Energy Partners LP</w:t>
            </w:r>
          </w:p>
        </w:tc>
      </w:tr>
      <w:tr>
        <w:trPr>
          <w:trHeight w:val="231"/>
        </w:trPr>
        <w:tc>
          <w:tcPr>
            <w:tcW w:w="3300" w:type="dxa"/>
            <w:vAlign w:val="bottom"/>
          </w:tcPr>
          <w:p>
            <w:pPr>
              <w:spacing w:after="0"/>
              <w:rPr>
                <w:sz w:val="20"/>
                <w:szCs w:val="20"/>
                <w:color w:val="auto"/>
              </w:rPr>
            </w:pPr>
          </w:p>
        </w:tc>
        <w:tc>
          <w:tcPr>
            <w:tcW w:w="7940" w:type="dxa"/>
            <w:vAlign w:val="bottom"/>
            <w:gridSpan w:val="2"/>
          </w:tcPr>
          <w:p>
            <w:pPr>
              <w:ind w:left="1340"/>
              <w:spacing w:after="0"/>
              <w:rPr>
                <w:sz w:val="20"/>
                <w:szCs w:val="20"/>
                <w:color w:val="auto"/>
              </w:rPr>
            </w:pPr>
            <w:r>
              <w:rPr>
                <w:rFonts w:ascii="Arial" w:cs="Arial" w:eastAsia="Arial" w:hAnsi="Arial"/>
                <w:sz w:val="18"/>
                <w:szCs w:val="18"/>
                <w:b w:val="1"/>
                <w:bCs w:val="1"/>
                <w:color w:val="auto"/>
              </w:rPr>
              <w:t>Subsidiaries of Registrant</w:t>
            </w:r>
          </w:p>
        </w:tc>
      </w:tr>
      <w:tr>
        <w:trPr>
          <w:trHeight w:val="122"/>
        </w:trPr>
        <w:tc>
          <w:tcPr>
            <w:tcW w:w="3300" w:type="dxa"/>
            <w:vAlign w:val="bottom"/>
          </w:tcPr>
          <w:p>
            <w:pPr>
              <w:spacing w:after="0"/>
              <w:rPr>
                <w:sz w:val="10"/>
                <w:szCs w:val="10"/>
                <w:color w:val="auto"/>
              </w:rPr>
            </w:pPr>
          </w:p>
        </w:tc>
        <w:tc>
          <w:tcPr>
            <w:tcW w:w="7940" w:type="dxa"/>
            <w:vAlign w:val="bottom"/>
            <w:gridSpan w:val="2"/>
          </w:tcPr>
          <w:p>
            <w:pPr>
              <w:spacing w:after="0"/>
              <w:rPr>
                <w:sz w:val="10"/>
                <w:szCs w:val="10"/>
                <w:color w:val="auto"/>
              </w:rPr>
            </w:pPr>
          </w:p>
        </w:tc>
      </w:tr>
      <w:tr>
        <w:trPr>
          <w:trHeight w:val="221"/>
        </w:trPr>
        <w:tc>
          <w:tcPr>
            <w:tcW w:w="3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7900" w:type="dxa"/>
            <w:vAlign w:val="bottom"/>
            <w:tcBorders>
              <w:top w:val="single" w:sz="8" w:color="auto"/>
              <w:bottom w:val="single" w:sz="8" w:color="auto"/>
            </w:tcBorders>
          </w:tcPr>
          <w:p>
            <w:pPr>
              <w:jc w:val="center"/>
              <w:ind w:left="5151"/>
              <w:spacing w:after="0"/>
              <w:rPr>
                <w:sz w:val="20"/>
                <w:szCs w:val="20"/>
                <w:color w:val="auto"/>
              </w:rPr>
            </w:pPr>
            <w:r>
              <w:rPr>
                <w:rFonts w:ascii="Arial" w:cs="Arial" w:eastAsia="Arial" w:hAnsi="Arial"/>
                <w:sz w:val="18"/>
                <w:szCs w:val="18"/>
                <w:b w:val="1"/>
                <w:bCs w:val="1"/>
                <w:color w:val="auto"/>
                <w:w w:val="90"/>
              </w:rPr>
              <w:t>Jurisdiction of Incorporation</w:t>
            </w:r>
          </w:p>
        </w:tc>
        <w:tc>
          <w:tcPr>
            <w:tcW w:w="40" w:type="dxa"/>
            <w:vAlign w:val="bottom"/>
          </w:tcPr>
          <w:p>
            <w:pPr>
              <w:spacing w:after="0"/>
              <w:rPr>
                <w:sz w:val="19"/>
                <w:szCs w:val="19"/>
                <w:color w:val="auto"/>
              </w:rPr>
            </w:pPr>
          </w:p>
        </w:tc>
      </w:tr>
      <w:tr>
        <w:trPr>
          <w:trHeight w:val="221"/>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Viper Energy Partners LLC</w:t>
            </w:r>
          </w:p>
        </w:tc>
        <w:tc>
          <w:tcPr>
            <w:tcW w:w="7900" w:type="dxa"/>
            <w:vAlign w:val="bottom"/>
            <w:shd w:val="clear" w:color="auto" w:fill="CCEEFF"/>
          </w:tcPr>
          <w:p>
            <w:pPr>
              <w:jc w:val="center"/>
              <w:ind w:left="5171"/>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bl>
    <w:p>
      <w:pPr>
        <w:sectPr>
          <w:pgSz w:w="11900" w:h="16838" w:orient="portrait"/>
          <w:cols w:equalWidth="0" w:num="1">
            <w:col w:w="11240"/>
          </w:cols>
          <w:pgMar w:left="320" w:top="884"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23.1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1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have issued our reports dated February 23, 2023, with respect to the consolidated financial statements and internal control over financial reporting included in the Annual Report of Viper Energy Partners LP on Form 10-K for the year ended December 31, 2022. We consent to the incorporation by reference of said reports in the Registration Statements of Viper Energy Partners LP on Form S-3 ASR (File No. 333-260335) and Form S-8 (File No. 333-196971).</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Oklahoma City, Oklahoma</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February 23, 2023</w:t>
      </w:r>
    </w:p>
    <w:p>
      <w:pPr>
        <w:sectPr>
          <w:pgSz w:w="11900" w:h="16838" w:orient="portrait"/>
          <w:cols w:equalWidth="0" w:num="1">
            <w:col w:w="11240"/>
          </w:cols>
          <w:pgMar w:left="320" w:top="884"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23.2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RYDER SCOTT COMPANY, L.P.</w:t>
      </w:r>
    </w:p>
    <w:p>
      <w:pPr>
        <w:spacing w:after="0" w:line="288" w:lineRule="exact"/>
        <w:rPr>
          <w:sz w:val="20"/>
          <w:szCs w:val="20"/>
          <w:color w:val="auto"/>
        </w:rPr>
      </w:pPr>
    </w:p>
    <w:p>
      <w:pPr>
        <w:jc w:val="both"/>
        <w:ind w:firstLine="643"/>
        <w:spacing w:after="0" w:line="253" w:lineRule="auto"/>
        <w:rPr>
          <w:sz w:val="20"/>
          <w:szCs w:val="20"/>
          <w:color w:val="auto"/>
        </w:rPr>
      </w:pPr>
      <w:r>
        <w:rPr>
          <w:rFonts w:ascii="Arial" w:cs="Arial" w:eastAsia="Arial" w:hAnsi="Arial"/>
          <w:sz w:val="18"/>
          <w:szCs w:val="18"/>
          <w:color w:val="auto"/>
        </w:rPr>
        <w:t>We have issued our summary report dated January 5, 2023 on the audit of estimated quantities of proved reserves, future production and income attributable to certain royalty interests of Viper Energy Partners LP (“Viper”), a subsidiary of Diamondback Energy, Inc., as of December 31, 2022. As independent oil and gas consultants, we hereby consent to the inclusion of our report and the information contained therein and information from our prior reserve reports referenced in this Annual Report on Form 10-K of Viper (this “Annual Report”) and to all references to our firm in this Annual Report. We hereby also consent to the incorporation by reference of such reports and the information contained therein in the Registration Statements of Viper on Form S-3 ASR (File No. 333-260335) and Form S-8 (File No. 333-196971).</w:t>
      </w:r>
    </w:p>
    <w:p>
      <w:pPr>
        <w:spacing w:after="0" w:line="11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13970</wp:posOffset>
            </wp:positionV>
            <wp:extent cx="30099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3009900" cy="8255"/>
                    </a:xfrm>
                    <a:prstGeom prst="rect">
                      <a:avLst/>
                    </a:prstGeom>
                    <a:noFill/>
                  </pic:spPr>
                </pic:pic>
              </a:graphicData>
            </a:graphic>
          </wp:anchor>
        </w:drawing>
      </w:r>
    </w:p>
    <w:p>
      <w:pPr>
        <w:spacing w:after="0" w:line="50"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RYDER SCOTT COMPANY, L.P.</w:t>
      </w:r>
    </w:p>
    <w:p>
      <w:pPr>
        <w:spacing w:after="0" w:line="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TBPELS Firm Registration No. F-1580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ectPr>
          <w:pgSz w:w="11900" w:h="16838" w:orient="portrait"/>
          <w:cols w:equalWidth="0" w:num="1">
            <w:col w:w="11240"/>
          </w:cols>
          <w:pgMar w:left="320" w:top="938" w:right="3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31.1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1" w:lineRule="exact"/>
        <w:rPr>
          <w:sz w:val="20"/>
          <w:szCs w:val="20"/>
          <w:color w:val="auto"/>
        </w:rPr>
      </w:pPr>
    </w:p>
    <w:p>
      <w:pPr>
        <w:ind w:left="360" w:hanging="313"/>
        <w:spacing w:after="0"/>
        <w:tabs>
          <w:tab w:leader="none" w:pos="3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Viper Energy Partners LP (the “registrant”).</w:t>
      </w:r>
    </w:p>
    <w:p>
      <w:pPr>
        <w:spacing w:after="0" w:line="87" w:lineRule="exact"/>
        <w:rPr>
          <w:rFonts w:ascii="Arial" w:cs="Arial" w:eastAsia="Arial" w:hAnsi="Arial"/>
          <w:sz w:val="18"/>
          <w:szCs w:val="18"/>
          <w:color w:val="auto"/>
        </w:rPr>
      </w:pPr>
    </w:p>
    <w:p>
      <w:pPr>
        <w:jc w:val="both"/>
        <w:ind w:left="440" w:hanging="393"/>
        <w:spacing w:after="0" w:line="260" w:lineRule="auto"/>
        <w:tabs>
          <w:tab w:leader="none" w:pos="41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8"/>
          <w:szCs w:val="18"/>
          <w:color w:val="auto"/>
        </w:rPr>
      </w:pPr>
    </w:p>
    <w:p>
      <w:pPr>
        <w:ind w:left="440" w:hanging="393"/>
        <w:spacing w:after="0" w:line="271" w:lineRule="auto"/>
        <w:tabs>
          <w:tab w:leader="none" w:pos="42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8"/>
          <w:szCs w:val="18"/>
          <w:color w:val="auto"/>
        </w:rPr>
      </w:pPr>
    </w:p>
    <w:p>
      <w:pPr>
        <w:jc w:val="both"/>
        <w:ind w:left="440" w:hanging="393"/>
        <w:spacing w:after="0" w:line="260" w:lineRule="auto"/>
        <w:tabs>
          <w:tab w:leader="none" w:pos="46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50" w:lineRule="exact"/>
        <w:rPr>
          <w:rFonts w:ascii="Arial" w:cs="Arial" w:eastAsia="Arial" w:hAnsi="Arial"/>
          <w:sz w:val="18"/>
          <w:szCs w:val="18"/>
          <w:color w:val="auto"/>
        </w:rPr>
      </w:pPr>
    </w:p>
    <w:p>
      <w:pPr>
        <w:jc w:val="both"/>
        <w:ind w:left="900" w:hanging="411"/>
        <w:spacing w:after="0" w:line="260" w:lineRule="auto"/>
        <w:tabs>
          <w:tab w:leader="none" w:pos="89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8"/>
          <w:szCs w:val="18"/>
          <w:color w:val="auto"/>
        </w:rPr>
      </w:pPr>
    </w:p>
    <w:p>
      <w:pPr>
        <w:jc w:val="both"/>
        <w:ind w:left="900" w:hanging="411"/>
        <w:spacing w:after="0" w:line="260" w:lineRule="auto"/>
        <w:tabs>
          <w:tab w:leader="none" w:pos="89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8"/>
          <w:szCs w:val="18"/>
          <w:color w:val="auto"/>
        </w:rPr>
      </w:pPr>
    </w:p>
    <w:p>
      <w:pPr>
        <w:ind w:left="900" w:hanging="411"/>
        <w:spacing w:after="0" w:line="301" w:lineRule="auto"/>
        <w:tabs>
          <w:tab w:leader="none" w:pos="897" w:val="left"/>
        </w:tabs>
        <w:numPr>
          <w:ilvl w:val="1"/>
          <w:numId w:val="20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Arial" w:cs="Arial" w:eastAsia="Arial" w:hAnsi="Arial"/>
          <w:sz w:val="17"/>
          <w:szCs w:val="17"/>
          <w:color w:val="auto"/>
        </w:rPr>
      </w:pPr>
    </w:p>
    <w:p>
      <w:pPr>
        <w:jc w:val="both"/>
        <w:ind w:left="900" w:hanging="411"/>
        <w:spacing w:after="0" w:line="260" w:lineRule="auto"/>
        <w:tabs>
          <w:tab w:leader="none" w:pos="89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8"/>
          <w:szCs w:val="18"/>
          <w:color w:val="auto"/>
        </w:rPr>
      </w:pPr>
    </w:p>
    <w:p>
      <w:pPr>
        <w:ind w:left="440" w:hanging="393"/>
        <w:spacing w:after="0" w:line="301" w:lineRule="auto"/>
        <w:tabs>
          <w:tab w:leader="none" w:pos="407"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7"/>
          <w:szCs w:val="17"/>
          <w:color w:val="auto"/>
        </w:rPr>
      </w:pPr>
    </w:p>
    <w:p>
      <w:pPr>
        <w:ind w:left="900" w:hanging="411"/>
        <w:spacing w:after="0" w:line="271" w:lineRule="auto"/>
        <w:tabs>
          <w:tab w:leader="none" w:pos="89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8"/>
          <w:szCs w:val="18"/>
          <w:color w:val="auto"/>
        </w:rPr>
      </w:pPr>
    </w:p>
    <w:p>
      <w:pPr>
        <w:ind w:left="900" w:hanging="411"/>
        <w:spacing w:after="0" w:line="271" w:lineRule="auto"/>
        <w:tabs>
          <w:tab w:leader="none" w:pos="89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60"/>
              <w:spacing w:after="0"/>
              <w:rPr>
                <w:sz w:val="20"/>
                <w:szCs w:val="20"/>
                <w:color w:val="auto"/>
              </w:rPr>
            </w:pPr>
            <w:r>
              <w:rPr>
                <w:rFonts w:ascii="Arial" w:cs="Arial" w:eastAsia="Arial" w:hAnsi="Arial"/>
                <w:sz w:val="18"/>
                <w:szCs w:val="18"/>
                <w:color w:val="auto"/>
              </w:rPr>
              <w:t>February 23, 2023</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1"/>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7"/>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84"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31.2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1" w:lineRule="exact"/>
        <w:rPr>
          <w:sz w:val="20"/>
          <w:szCs w:val="20"/>
          <w:color w:val="auto"/>
        </w:rPr>
      </w:pPr>
    </w:p>
    <w:p>
      <w:pPr>
        <w:ind w:left="360" w:hanging="313"/>
        <w:spacing w:after="0"/>
        <w:tabs>
          <w:tab w:leader="none" w:pos="3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Viper Energy Partners LP (the “registrant”).</w:t>
      </w:r>
    </w:p>
    <w:p>
      <w:pPr>
        <w:spacing w:after="0" w:line="87" w:lineRule="exact"/>
        <w:rPr>
          <w:rFonts w:ascii="Arial" w:cs="Arial" w:eastAsia="Arial" w:hAnsi="Arial"/>
          <w:sz w:val="18"/>
          <w:szCs w:val="18"/>
          <w:color w:val="auto"/>
        </w:rPr>
      </w:pPr>
    </w:p>
    <w:p>
      <w:pPr>
        <w:jc w:val="both"/>
        <w:ind w:left="440" w:hanging="393"/>
        <w:spacing w:after="0" w:line="260" w:lineRule="auto"/>
        <w:tabs>
          <w:tab w:leader="none" w:pos="41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Arial" w:cs="Arial" w:eastAsia="Arial" w:hAnsi="Arial"/>
          <w:sz w:val="18"/>
          <w:szCs w:val="18"/>
          <w:color w:val="auto"/>
        </w:rPr>
      </w:pPr>
    </w:p>
    <w:p>
      <w:pPr>
        <w:ind w:left="440" w:hanging="393"/>
        <w:spacing w:after="0" w:line="271" w:lineRule="auto"/>
        <w:tabs>
          <w:tab w:leader="none" w:pos="42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8"/>
          <w:szCs w:val="18"/>
          <w:color w:val="auto"/>
        </w:rPr>
      </w:pPr>
    </w:p>
    <w:p>
      <w:pPr>
        <w:jc w:val="both"/>
        <w:ind w:left="440" w:hanging="393"/>
        <w:spacing w:after="0" w:line="260" w:lineRule="auto"/>
        <w:tabs>
          <w:tab w:leader="none" w:pos="46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50" w:lineRule="exact"/>
        <w:rPr>
          <w:rFonts w:ascii="Arial" w:cs="Arial" w:eastAsia="Arial" w:hAnsi="Arial"/>
          <w:sz w:val="18"/>
          <w:szCs w:val="18"/>
          <w:color w:val="auto"/>
        </w:rPr>
      </w:pPr>
    </w:p>
    <w:p>
      <w:pPr>
        <w:jc w:val="both"/>
        <w:ind w:left="900" w:hanging="411"/>
        <w:spacing w:after="0" w:line="260" w:lineRule="auto"/>
        <w:tabs>
          <w:tab w:leader="none" w:pos="897"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8"/>
          <w:szCs w:val="18"/>
          <w:color w:val="auto"/>
        </w:rPr>
      </w:pPr>
    </w:p>
    <w:p>
      <w:pPr>
        <w:jc w:val="both"/>
        <w:ind w:left="900" w:hanging="411"/>
        <w:spacing w:after="0" w:line="260" w:lineRule="auto"/>
        <w:tabs>
          <w:tab w:leader="none" w:pos="89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8"/>
          <w:szCs w:val="18"/>
          <w:color w:val="auto"/>
        </w:rPr>
      </w:pPr>
    </w:p>
    <w:p>
      <w:pPr>
        <w:ind w:left="900" w:hanging="411"/>
        <w:spacing w:after="0" w:line="301" w:lineRule="auto"/>
        <w:tabs>
          <w:tab w:leader="none" w:pos="897" w:val="left"/>
        </w:tabs>
        <w:numPr>
          <w:ilvl w:val="1"/>
          <w:numId w:val="2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Arial" w:cs="Arial" w:eastAsia="Arial" w:hAnsi="Arial"/>
          <w:sz w:val="17"/>
          <w:szCs w:val="17"/>
          <w:color w:val="auto"/>
        </w:rPr>
      </w:pPr>
    </w:p>
    <w:p>
      <w:pPr>
        <w:jc w:val="both"/>
        <w:ind w:left="900" w:hanging="411"/>
        <w:spacing w:after="0" w:line="260" w:lineRule="auto"/>
        <w:tabs>
          <w:tab w:leader="none" w:pos="89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8"/>
          <w:szCs w:val="18"/>
          <w:color w:val="auto"/>
        </w:rPr>
      </w:pPr>
    </w:p>
    <w:p>
      <w:pPr>
        <w:ind w:left="440" w:hanging="393"/>
        <w:spacing w:after="0" w:line="301" w:lineRule="auto"/>
        <w:tabs>
          <w:tab w:leader="none" w:pos="40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7"/>
          <w:szCs w:val="17"/>
          <w:color w:val="auto"/>
        </w:rPr>
      </w:pPr>
    </w:p>
    <w:p>
      <w:pPr>
        <w:ind w:left="900" w:hanging="411"/>
        <w:spacing w:after="0" w:line="271" w:lineRule="auto"/>
        <w:tabs>
          <w:tab w:leader="none" w:pos="89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8"/>
          <w:szCs w:val="18"/>
          <w:color w:val="auto"/>
        </w:rPr>
      </w:pPr>
    </w:p>
    <w:p>
      <w:pPr>
        <w:ind w:left="900" w:hanging="411"/>
        <w:spacing w:after="0" w:line="271" w:lineRule="auto"/>
        <w:tabs>
          <w:tab w:leader="none" w:pos="89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60"/>
              <w:spacing w:after="0"/>
              <w:rPr>
                <w:sz w:val="20"/>
                <w:szCs w:val="20"/>
                <w:color w:val="auto"/>
              </w:rPr>
            </w:pPr>
            <w:r>
              <w:rPr>
                <w:rFonts w:ascii="Arial" w:cs="Arial" w:eastAsia="Arial" w:hAnsi="Arial"/>
                <w:sz w:val="18"/>
                <w:szCs w:val="18"/>
                <w:color w:val="auto"/>
              </w:rPr>
              <w:t>February 23, 2023</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1"/>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27"/>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85"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2" w:lineRule="exact"/>
        <w:rPr>
          <w:sz w:val="20"/>
          <w:szCs w:val="20"/>
          <w:color w:val="auto"/>
        </w:rPr>
      </w:pPr>
    </w:p>
    <w:p>
      <w:pPr>
        <w:jc w:val="both"/>
        <w:ind w:firstLine="442"/>
        <w:spacing w:after="0" w:line="256" w:lineRule="auto"/>
        <w:rPr>
          <w:sz w:val="20"/>
          <w:szCs w:val="20"/>
          <w:color w:val="auto"/>
        </w:rPr>
      </w:pPr>
      <w:r>
        <w:rPr>
          <w:rFonts w:ascii="Arial" w:cs="Arial" w:eastAsia="Arial" w:hAnsi="Arial"/>
          <w:sz w:val="18"/>
          <w:szCs w:val="18"/>
          <w:color w:val="auto"/>
        </w:rPr>
        <w:t>In connection with the Annual Report on Form 10-K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60"/>
              <w:spacing w:after="0"/>
              <w:rPr>
                <w:sz w:val="20"/>
                <w:szCs w:val="20"/>
                <w:color w:val="auto"/>
              </w:rPr>
            </w:pPr>
            <w:r>
              <w:rPr>
                <w:rFonts w:ascii="Arial" w:cs="Arial" w:eastAsia="Arial" w:hAnsi="Arial"/>
                <w:sz w:val="18"/>
                <w:szCs w:val="18"/>
                <w:color w:val="auto"/>
              </w:rPr>
              <w:t>February 23, 2023</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1"/>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7"/>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r>
        <w:trPr>
          <w:trHeight w:val="48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60"/>
              <w:spacing w:after="0"/>
              <w:rPr>
                <w:sz w:val="20"/>
                <w:szCs w:val="20"/>
                <w:color w:val="auto"/>
              </w:rPr>
            </w:pPr>
            <w:r>
              <w:rPr>
                <w:rFonts w:ascii="Arial" w:cs="Arial" w:eastAsia="Arial" w:hAnsi="Arial"/>
                <w:sz w:val="18"/>
                <w:szCs w:val="18"/>
                <w:color w:val="auto"/>
              </w:rPr>
              <w:t>February 23, 2023</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1"/>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27"/>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28"/>
        </w:trPr>
        <w:tc>
          <w:tcPr>
            <w:tcW w:w="5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85"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VIPER ENERGY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Estimated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Future Reserves and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Attributable to Certain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240"/>
        </w:trPr>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Marsha E. Wellmann</w:t>
            </w:r>
          </w:p>
        </w:tc>
        <w:tc>
          <w:tcPr>
            <w:tcW w:w="400" w:type="dxa"/>
            <w:vAlign w:val="bottom"/>
          </w:tcPr>
          <w:p>
            <w:pPr>
              <w:spacing w:after="0"/>
              <w:rPr>
                <w:sz w:val="20"/>
                <w:szCs w:val="20"/>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Raza Rizvi</w:t>
            </w:r>
          </w:p>
        </w:tc>
      </w:tr>
      <w:tr>
        <w:trPr>
          <w:trHeight w:val="243"/>
        </w:trPr>
        <w:tc>
          <w:tcPr>
            <w:tcW w:w="5500" w:type="dxa"/>
            <w:vAlign w:val="bottom"/>
            <w:gridSpan w:val="2"/>
          </w:tcPr>
          <w:p>
            <w:pPr>
              <w:jc w:val="center"/>
              <w:ind w:right="380"/>
              <w:spacing w:after="0"/>
              <w:rPr>
                <w:sz w:val="20"/>
                <w:szCs w:val="20"/>
                <w:color w:val="auto"/>
              </w:rPr>
            </w:pPr>
            <w:r>
              <w:rPr>
                <w:rFonts w:ascii="Arial" w:cs="Arial" w:eastAsia="Arial" w:hAnsi="Arial"/>
                <w:sz w:val="20"/>
                <w:szCs w:val="20"/>
                <w:color w:val="auto"/>
                <w:w w:val="97"/>
              </w:rPr>
              <w:t>Marsha E. Wellmann, P.E.</w:t>
            </w:r>
          </w:p>
        </w:tc>
        <w:tc>
          <w:tcPr>
            <w:tcW w:w="4920" w:type="dxa"/>
            <w:vAlign w:val="bottom"/>
          </w:tcPr>
          <w:p>
            <w:pPr>
              <w:jc w:val="center"/>
              <w:spacing w:after="0"/>
              <w:rPr>
                <w:sz w:val="20"/>
                <w:szCs w:val="20"/>
                <w:color w:val="auto"/>
              </w:rPr>
            </w:pPr>
            <w:r>
              <w:rPr>
                <w:rFonts w:ascii="Arial" w:cs="Arial" w:eastAsia="Arial" w:hAnsi="Arial"/>
                <w:sz w:val="20"/>
                <w:szCs w:val="20"/>
                <w:color w:val="auto"/>
                <w:w w:val="98"/>
              </w:rPr>
              <w:t>Raza Rizvi</w:t>
            </w:r>
          </w:p>
        </w:tc>
      </w:tr>
      <w:tr>
        <w:trPr>
          <w:trHeight w:val="254"/>
        </w:trPr>
        <w:tc>
          <w:tcPr>
            <w:tcW w:w="5500" w:type="dxa"/>
            <w:vAlign w:val="bottom"/>
            <w:gridSpan w:val="2"/>
          </w:tcPr>
          <w:p>
            <w:pPr>
              <w:jc w:val="center"/>
              <w:ind w:right="380"/>
              <w:spacing w:after="0"/>
              <w:rPr>
                <w:sz w:val="20"/>
                <w:szCs w:val="20"/>
                <w:color w:val="auto"/>
              </w:rPr>
            </w:pPr>
            <w:r>
              <w:rPr>
                <w:rFonts w:ascii="Arial" w:cs="Arial" w:eastAsia="Arial" w:hAnsi="Arial"/>
                <w:sz w:val="20"/>
                <w:szCs w:val="20"/>
                <w:color w:val="auto"/>
                <w:w w:val="98"/>
              </w:rPr>
              <w:t>TBPELS License No. 116149</w:t>
            </w:r>
          </w:p>
        </w:tc>
        <w:tc>
          <w:tcPr>
            <w:tcW w:w="4920" w:type="dxa"/>
            <w:vAlign w:val="bottom"/>
          </w:tcPr>
          <w:p>
            <w:pPr>
              <w:jc w:val="center"/>
              <w:spacing w:after="0"/>
              <w:rPr>
                <w:sz w:val="20"/>
                <w:szCs w:val="20"/>
                <w:color w:val="auto"/>
              </w:rPr>
            </w:pPr>
            <w:r>
              <w:rPr>
                <w:rFonts w:ascii="Arial" w:cs="Arial" w:eastAsia="Arial" w:hAnsi="Arial"/>
                <w:sz w:val="20"/>
                <w:szCs w:val="20"/>
                <w:color w:val="auto"/>
                <w:w w:val="98"/>
              </w:rPr>
              <w:t>Senior Petroleum Engineer</w:t>
            </w:r>
          </w:p>
        </w:tc>
      </w:tr>
    </w:tbl>
    <w:p>
      <w:pPr>
        <w:spacing w:after="0" w:line="19"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Senior Vice President</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[SEAL]</w:t>
      </w:r>
    </w:p>
    <w:p>
      <w:pPr>
        <w:jc w:val="center"/>
        <w:spacing w:after="0" w:line="195" w:lineRule="auto"/>
        <w:rPr>
          <w:sz w:val="20"/>
          <w:szCs w:val="20"/>
          <w:color w:val="auto"/>
        </w:rPr>
      </w:pPr>
      <w:r>
        <w:rPr>
          <w:rFonts w:ascii="Arial" w:cs="Arial" w:eastAsia="Arial" w:hAnsi="Arial"/>
          <w:sz w:val="20"/>
          <w:szCs w:val="20"/>
          <w:b w:val="1"/>
          <w:bCs w:val="1"/>
          <w:color w:val="auto"/>
        </w:rPr>
        <w:t>RYDER SCOTT COMPANY, L.P.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TBPELS Firm Registration No. F-1580</w:t>
      </w:r>
    </w:p>
    <w:p>
      <w:pPr>
        <w:sectPr>
          <w:pgSz w:w="11900" w:h="16838" w:orient="portrait"/>
          <w:cols w:equalWidth="0" w:num="1">
            <w:col w:w="11240"/>
          </w:cols>
          <w:pgMar w:left="320" w:top="6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670" w:right="339" w:bottom="1440" w:gutter="0" w:footer="0" w:header="0"/>
          <w:type w:val="continuous"/>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1007110</wp:posOffset>
            </wp:positionV>
            <wp:extent cx="2091690" cy="509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2091690" cy="50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880" w:type="dxa"/>
            <w:vAlign w:val="bottom"/>
          </w:tcPr>
          <w:p>
            <w:pPr>
              <w:spacing w:after="0"/>
              <w:rPr>
                <w:sz w:val="20"/>
                <w:szCs w:val="20"/>
                <w:color w:val="auto"/>
              </w:rPr>
            </w:pPr>
            <w:r>
              <w:rPr>
                <w:rFonts w:ascii="Arial" w:cs="Arial" w:eastAsia="Arial" w:hAnsi="Arial"/>
                <w:sz w:val="13"/>
                <w:szCs w:val="13"/>
                <w:color w:val="auto"/>
              </w:rPr>
              <w:t>TBPELS REGISTERED ENGINEERING FIRM F-1580</w:t>
            </w:r>
          </w:p>
        </w:tc>
        <w:tc>
          <w:tcPr>
            <w:tcW w:w="416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Arial" w:cs="Arial" w:eastAsia="Arial" w:hAnsi="Arial"/>
                <w:sz w:val="13"/>
                <w:szCs w:val="13"/>
                <w:color w:val="auto"/>
              </w:rPr>
              <w:t>FAX (713)</w:t>
            </w:r>
          </w:p>
        </w:tc>
        <w:tc>
          <w:tcPr>
            <w:tcW w:w="520" w:type="dxa"/>
            <w:vAlign w:val="bottom"/>
          </w:tcPr>
          <w:p>
            <w:pPr>
              <w:jc w:val="right"/>
              <w:spacing w:after="0"/>
              <w:rPr>
                <w:sz w:val="20"/>
                <w:szCs w:val="20"/>
                <w:color w:val="auto"/>
              </w:rPr>
            </w:pPr>
            <w:r>
              <w:rPr>
                <w:rFonts w:ascii="Arial" w:cs="Arial" w:eastAsia="Arial" w:hAnsi="Arial"/>
                <w:sz w:val="13"/>
                <w:szCs w:val="13"/>
                <w:color w:val="auto"/>
                <w:w w:val="90"/>
              </w:rPr>
              <w:t>651-0849</w:t>
            </w:r>
          </w:p>
        </w:tc>
      </w:tr>
      <w:tr>
        <w:trPr>
          <w:trHeight w:val="187"/>
        </w:trPr>
        <w:tc>
          <w:tcPr>
            <w:tcW w:w="3880" w:type="dxa"/>
            <w:vAlign w:val="bottom"/>
          </w:tcPr>
          <w:p>
            <w:pPr>
              <w:spacing w:after="0"/>
              <w:rPr>
                <w:sz w:val="20"/>
                <w:szCs w:val="20"/>
                <w:color w:val="auto"/>
              </w:rPr>
            </w:pPr>
            <w:r>
              <w:rPr>
                <w:rFonts w:ascii="Arial" w:cs="Arial" w:eastAsia="Arial" w:hAnsi="Arial"/>
                <w:sz w:val="13"/>
                <w:szCs w:val="13"/>
                <w:color w:val="auto"/>
              </w:rPr>
              <w:t>1100 LOUISIANA SUITE 4600</w:t>
            </w:r>
          </w:p>
        </w:tc>
        <w:tc>
          <w:tcPr>
            <w:tcW w:w="4160" w:type="dxa"/>
            <w:vAlign w:val="bottom"/>
          </w:tcPr>
          <w:p>
            <w:pPr>
              <w:ind w:left="800"/>
              <w:spacing w:after="0"/>
              <w:rPr>
                <w:sz w:val="20"/>
                <w:szCs w:val="20"/>
                <w:color w:val="auto"/>
              </w:rPr>
            </w:pPr>
            <w:r>
              <w:rPr>
                <w:rFonts w:ascii="Arial" w:cs="Arial" w:eastAsia="Arial" w:hAnsi="Arial"/>
                <w:sz w:val="13"/>
                <w:szCs w:val="13"/>
                <w:color w:val="auto"/>
              </w:rPr>
              <w:t>HOUSTON, TEXAS 77002-5294</w:t>
            </w:r>
          </w:p>
        </w:tc>
        <w:tc>
          <w:tcPr>
            <w:tcW w:w="2640" w:type="dxa"/>
            <w:vAlign w:val="bottom"/>
          </w:tcPr>
          <w:p>
            <w:pPr>
              <w:jc w:val="right"/>
              <w:spacing w:after="0"/>
              <w:rPr>
                <w:sz w:val="20"/>
                <w:szCs w:val="20"/>
                <w:color w:val="auto"/>
              </w:rPr>
            </w:pPr>
            <w:r>
              <w:rPr>
                <w:rFonts w:ascii="Arial" w:cs="Arial" w:eastAsia="Arial" w:hAnsi="Arial"/>
                <w:sz w:val="13"/>
                <w:szCs w:val="13"/>
                <w:color w:val="auto"/>
              </w:rPr>
              <w:t>TELEPHONE (713)</w:t>
            </w:r>
          </w:p>
        </w:tc>
        <w:tc>
          <w:tcPr>
            <w:tcW w:w="520" w:type="dxa"/>
            <w:vAlign w:val="bottom"/>
          </w:tcPr>
          <w:p>
            <w:pPr>
              <w:jc w:val="right"/>
              <w:spacing w:after="0"/>
              <w:rPr>
                <w:sz w:val="20"/>
                <w:szCs w:val="20"/>
                <w:color w:val="auto"/>
              </w:rPr>
            </w:pPr>
            <w:r>
              <w:rPr>
                <w:rFonts w:ascii="Arial" w:cs="Arial" w:eastAsia="Arial" w:hAnsi="Arial"/>
                <w:sz w:val="13"/>
                <w:szCs w:val="13"/>
                <w:color w:val="auto"/>
                <w:w w:val="90"/>
              </w:rPr>
              <w:t>651-9191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January 5, 2023</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Viper Energy Partners, LP</w:t>
      </w:r>
    </w:p>
    <w:p>
      <w:pPr>
        <w:spacing w:after="0" w:line="195" w:lineRule="auto"/>
        <w:rPr>
          <w:sz w:val="20"/>
          <w:szCs w:val="20"/>
          <w:color w:val="auto"/>
        </w:rPr>
      </w:pPr>
      <w:r>
        <w:rPr>
          <w:rFonts w:ascii="Arial" w:cs="Arial" w:eastAsia="Arial" w:hAnsi="Arial"/>
          <w:sz w:val="20"/>
          <w:szCs w:val="20"/>
          <w:color w:val="auto"/>
        </w:rPr>
        <w:t>c/o Diamondback Energy, Inc.</w:t>
      </w:r>
    </w:p>
    <w:p>
      <w:pPr>
        <w:spacing w:after="0" w:line="210" w:lineRule="auto"/>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98" w:lineRule="exact"/>
        <w:rPr>
          <w:sz w:val="20"/>
          <w:szCs w:val="20"/>
          <w:color w:val="auto"/>
        </w:rPr>
      </w:pPr>
    </w:p>
    <w:p>
      <w:pPr>
        <w:ind w:firstLine="643"/>
        <w:spacing w:after="0" w:line="209" w:lineRule="auto"/>
        <w:rPr>
          <w:sz w:val="20"/>
          <w:szCs w:val="20"/>
          <w:color w:val="auto"/>
        </w:rPr>
      </w:pPr>
      <w:r>
        <w:rPr>
          <w:rFonts w:ascii="Arial" w:cs="Arial" w:eastAsia="Arial" w:hAnsi="Arial"/>
          <w:sz w:val="20"/>
          <w:szCs w:val="20"/>
          <w:color w:val="auto"/>
        </w:rPr>
        <w:t>At the request of Diamondback Energy, Inc. (Diamondback), Ryder Scott Company, L.P. (Ryder Scott) has conducted a reserves audit of the estimates of the proved reserves, future production and discounted future net income attributable to Viper</w:t>
      </w:r>
    </w:p>
    <w:p>
      <w:pPr>
        <w:spacing w:after="0" w:line="1" w:lineRule="exact"/>
        <w:rPr>
          <w:sz w:val="20"/>
          <w:szCs w:val="20"/>
          <w:color w:val="auto"/>
        </w:rPr>
      </w:pPr>
    </w:p>
    <w:p>
      <w:pPr>
        <w:spacing w:after="0" w:line="202" w:lineRule="auto"/>
        <w:rPr>
          <w:sz w:val="20"/>
          <w:szCs w:val="20"/>
          <w:color w:val="auto"/>
        </w:rPr>
      </w:pPr>
      <w:r>
        <w:rPr>
          <w:rFonts w:ascii="Arial" w:cs="Arial" w:eastAsia="Arial" w:hAnsi="Arial"/>
          <w:sz w:val="20"/>
          <w:szCs w:val="20"/>
          <w:color w:val="auto"/>
        </w:rPr>
        <w:t>Energy Partners, LP (Viper), a subsidiary of Diamondback Energy, Inc., as of December 31, 2022, and prepared by Diamondback’s engineering and geological staff based on the definitions and disclosure guidelines of the United States</w:t>
      </w:r>
    </w:p>
    <w:p>
      <w:pPr>
        <w:spacing w:after="0" w:line="210" w:lineRule="auto"/>
        <w:rPr>
          <w:sz w:val="20"/>
          <w:szCs w:val="20"/>
          <w:color w:val="auto"/>
        </w:rPr>
      </w:pPr>
      <w:r>
        <w:rPr>
          <w:rFonts w:ascii="Arial" w:cs="Arial" w:eastAsia="Arial" w:hAnsi="Arial"/>
          <w:sz w:val="20"/>
          <w:szCs w:val="20"/>
          <w:color w:val="auto"/>
        </w:rPr>
        <w:t>Securities and Exchange Commission (SEC) contained in Title 17, Code of Federal Regulations, Modernization of Oil and Gas</w:t>
      </w:r>
    </w:p>
    <w:p>
      <w:pPr>
        <w:spacing w:after="0" w:line="1" w:lineRule="exact"/>
        <w:rPr>
          <w:sz w:val="20"/>
          <w:szCs w:val="20"/>
          <w:color w:val="auto"/>
        </w:rPr>
      </w:pPr>
    </w:p>
    <w:p>
      <w:pPr>
        <w:spacing w:after="0" w:line="202" w:lineRule="auto"/>
        <w:rPr>
          <w:sz w:val="20"/>
          <w:szCs w:val="20"/>
          <w:color w:val="auto"/>
        </w:rPr>
      </w:pPr>
      <w:r>
        <w:rPr>
          <w:rFonts w:ascii="Arial" w:cs="Arial" w:eastAsia="Arial" w:hAnsi="Arial"/>
          <w:sz w:val="20"/>
          <w:szCs w:val="20"/>
          <w:color w:val="auto"/>
        </w:rPr>
        <w:t>Reporting, Final Rule released January 14, 2009 in the Federal Register (SEC regulations). Our reserves audit, completed on January 5, 2023 and presented herein, was prepared for public disclosure by Diamondback in filings made with the SEC in</w:t>
      </w:r>
    </w:p>
    <w:p>
      <w:pPr>
        <w:spacing w:after="0" w:line="210" w:lineRule="auto"/>
        <w:rPr>
          <w:sz w:val="20"/>
          <w:szCs w:val="20"/>
          <w:color w:val="auto"/>
        </w:rPr>
      </w:pPr>
      <w:r>
        <w:rPr>
          <w:rFonts w:ascii="Arial" w:cs="Arial" w:eastAsia="Arial" w:hAnsi="Arial"/>
          <w:sz w:val="20"/>
          <w:szCs w:val="20"/>
          <w:color w:val="auto"/>
        </w:rPr>
        <w:t>accordance with the disclosure requirements set forth in the SEC regulations. The estimated reserves and income data shown</w:t>
      </w:r>
    </w:p>
    <w:p>
      <w:pPr>
        <w:spacing w:after="0" w:line="1" w:lineRule="exact"/>
        <w:rPr>
          <w:sz w:val="20"/>
          <w:szCs w:val="20"/>
          <w:color w:val="auto"/>
        </w:rPr>
      </w:pPr>
    </w:p>
    <w:p>
      <w:pPr>
        <w:spacing w:after="0" w:line="213" w:lineRule="auto"/>
        <w:rPr>
          <w:sz w:val="20"/>
          <w:szCs w:val="20"/>
          <w:color w:val="auto"/>
        </w:rPr>
      </w:pPr>
      <w:r>
        <w:rPr>
          <w:rFonts w:ascii="Arial" w:cs="Arial" w:eastAsia="Arial" w:hAnsi="Arial"/>
          <w:sz w:val="19"/>
          <w:szCs w:val="19"/>
          <w:color w:val="auto"/>
        </w:rPr>
        <w:t>herein represent Diamondback’s estimated net reserves and income data attributable to the royalty interests in certain properties owned by Viper and the portion of those reserves and income data reviewed by Ryder Scott, as of December 31, 2022. The</w:t>
      </w:r>
    </w:p>
    <w:p>
      <w:pPr>
        <w:spacing w:after="0"/>
        <w:rPr>
          <w:sz w:val="20"/>
          <w:szCs w:val="20"/>
          <w:color w:val="auto"/>
        </w:rPr>
      </w:pPr>
      <w:r>
        <w:rPr>
          <w:rFonts w:ascii="Arial" w:cs="Arial" w:eastAsia="Arial" w:hAnsi="Arial"/>
          <w:sz w:val="20"/>
          <w:szCs w:val="20"/>
          <w:color w:val="auto"/>
        </w:rPr>
        <w:t>properties in which Viper owns an interest and reviewed by Ryder Scott are located in the states of New Mexico and Texas.</w:t>
      </w:r>
    </w:p>
    <w:p>
      <w:pPr>
        <w:spacing w:after="0" w:line="198" w:lineRule="exact"/>
        <w:rPr>
          <w:sz w:val="20"/>
          <w:szCs w:val="20"/>
          <w:color w:val="auto"/>
        </w:rPr>
      </w:pPr>
    </w:p>
    <w:p>
      <w:pPr>
        <w:ind w:firstLine="643"/>
        <w:spacing w:after="0" w:line="227" w:lineRule="auto"/>
        <w:rPr>
          <w:sz w:val="20"/>
          <w:szCs w:val="20"/>
          <w:color w:val="auto"/>
        </w:rPr>
      </w:pPr>
      <w:r>
        <w:rPr>
          <w:rFonts w:ascii="Arial" w:cs="Arial" w:eastAsia="Arial" w:hAnsi="Arial"/>
          <w:sz w:val="20"/>
          <w:szCs w:val="20"/>
          <w:color w:val="auto"/>
        </w:rPr>
        <w:t>The properties reviewed by Ryder Scott represent 100 percent of Viper’s total net proved liquid hydrocarbon and gas reserves as of December 31, 2022.</w:t>
      </w:r>
    </w:p>
    <w:p>
      <w:pPr>
        <w:spacing w:after="0" w:line="208" w:lineRule="exact"/>
        <w:rPr>
          <w:sz w:val="20"/>
          <w:szCs w:val="20"/>
          <w:color w:val="auto"/>
        </w:rPr>
      </w:pPr>
    </w:p>
    <w:p>
      <w:pPr>
        <w:ind w:firstLine="285"/>
        <w:spacing w:after="0" w:line="213" w:lineRule="auto"/>
        <w:rPr>
          <w:sz w:val="20"/>
          <w:szCs w:val="20"/>
          <w:color w:val="auto"/>
        </w:rPr>
      </w:pPr>
      <w:r>
        <w:rPr>
          <w:rFonts w:ascii="Arial" w:cs="Arial" w:eastAsia="Arial" w:hAnsi="Arial"/>
          <w:sz w:val="19"/>
          <w:szCs w:val="19"/>
          <w:color w:val="auto"/>
        </w:rPr>
        <w:t>As prescribed by the Society of Petroleum Engineers in Paragraph 2.2(f) of the Standards Pertaining to the Estimating and Auditing of Oil and Gas Reserves Information (SPE auditing standards), a reserves audit is defined as “the process of reviewing</w:t>
      </w:r>
    </w:p>
    <w:p>
      <w:pPr>
        <w:spacing w:after="0" w:line="210" w:lineRule="auto"/>
        <w:rPr>
          <w:sz w:val="20"/>
          <w:szCs w:val="20"/>
          <w:color w:val="auto"/>
        </w:rPr>
      </w:pPr>
      <w:r>
        <w:rPr>
          <w:rFonts w:ascii="Arial" w:cs="Arial" w:eastAsia="Arial" w:hAnsi="Arial"/>
          <w:sz w:val="20"/>
          <w:szCs w:val="20"/>
          <w:color w:val="auto"/>
        </w:rPr>
        <w:t>certain of the pertinent facts interpreted and assumptions made that have resulted in an estimate of reserves and/or Reserves</w:t>
      </w:r>
    </w:p>
    <w:p>
      <w:pPr>
        <w:spacing w:after="0" w:line="213" w:lineRule="auto"/>
        <w:rPr>
          <w:sz w:val="20"/>
          <w:szCs w:val="20"/>
          <w:color w:val="auto"/>
        </w:rPr>
      </w:pPr>
      <w:r>
        <w:rPr>
          <w:rFonts w:ascii="Arial" w:cs="Arial" w:eastAsia="Arial" w:hAnsi="Arial"/>
          <w:sz w:val="19"/>
          <w:szCs w:val="19"/>
          <w:color w:val="auto"/>
        </w:rPr>
        <w:t>Information prepared by others and the rendering of an opinion about (1) the appropriateness of the methodologies employed; (2) the adequacy and quality of the data relied upon; (3) the depth and thoroughness of the reserves estimation process; (4) the</w:t>
      </w:r>
    </w:p>
    <w:p>
      <w:pPr>
        <w:spacing w:after="0" w:line="210" w:lineRule="auto"/>
        <w:rPr>
          <w:sz w:val="20"/>
          <w:szCs w:val="20"/>
          <w:color w:val="auto"/>
        </w:rPr>
      </w:pPr>
      <w:r>
        <w:rPr>
          <w:rFonts w:ascii="Arial" w:cs="Arial" w:eastAsia="Arial" w:hAnsi="Arial"/>
          <w:sz w:val="20"/>
          <w:szCs w:val="20"/>
          <w:color w:val="auto"/>
        </w:rPr>
        <w:t>classification of reserves appropriate to the relevant definitions used; and (5) the reasonableness of the estimated reserves</w:t>
      </w:r>
    </w:p>
    <w:p>
      <w:pPr>
        <w:spacing w:after="0" w:line="220" w:lineRule="auto"/>
        <w:rPr>
          <w:sz w:val="20"/>
          <w:szCs w:val="20"/>
          <w:color w:val="auto"/>
        </w:rPr>
      </w:pPr>
      <w:r>
        <w:rPr>
          <w:rFonts w:ascii="Arial" w:cs="Arial" w:eastAsia="Arial" w:hAnsi="Arial"/>
          <w:sz w:val="20"/>
          <w:szCs w:val="20"/>
          <w:color w:val="auto"/>
        </w:rPr>
        <w:t>quantities and/or Reserves Information.” Reserves Information may consist of various estimates pertaining to the extent and value of petroleum properties.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Based on our review, including the data, technical processes and interpretations presented by Diamondback, it is our</w:t>
      </w:r>
    </w:p>
    <w:p>
      <w:pPr>
        <w:spacing w:after="0" w:line="213" w:lineRule="auto"/>
        <w:rPr>
          <w:sz w:val="20"/>
          <w:szCs w:val="20"/>
          <w:color w:val="auto"/>
        </w:rPr>
      </w:pPr>
      <w:r>
        <w:rPr>
          <w:rFonts w:ascii="Arial" w:cs="Arial" w:eastAsia="Arial" w:hAnsi="Arial"/>
          <w:sz w:val="19"/>
          <w:szCs w:val="19"/>
          <w:color w:val="auto"/>
        </w:rPr>
        <w:t>opinion that the overall procedures and methodologies utilized by Diamondback in preparing their estimates of the proved reserves, future production and discounted future net income as of December 31, 2022 comply with the current SEC regulations</w:t>
      </w:r>
    </w:p>
    <w:p>
      <w:pPr>
        <w:spacing w:after="0" w:line="221" w:lineRule="auto"/>
        <w:rPr>
          <w:sz w:val="20"/>
          <w:szCs w:val="20"/>
          <w:color w:val="auto"/>
        </w:rPr>
      </w:pPr>
      <w:r>
        <w:rPr>
          <w:rFonts w:ascii="Arial" w:cs="Arial" w:eastAsia="Arial" w:hAnsi="Arial"/>
          <w:sz w:val="19"/>
          <w:szCs w:val="19"/>
          <w:color w:val="auto"/>
        </w:rPr>
        <w:t>and that the overall proved reserves, future production and discounted future net income for the reviewed properties as estimated</w:t>
      </w:r>
    </w:p>
    <w:p>
      <w:pPr>
        <w:spacing w:after="0" w:line="220" w:lineRule="auto"/>
        <w:rPr>
          <w:sz w:val="20"/>
          <w:szCs w:val="20"/>
          <w:color w:val="auto"/>
        </w:rPr>
      </w:pPr>
      <w:r>
        <w:rPr>
          <w:rFonts w:ascii="Arial" w:cs="Arial" w:eastAsia="Arial" w:hAnsi="Arial"/>
          <w:sz w:val="20"/>
          <w:szCs w:val="20"/>
          <w:color w:val="auto"/>
        </w:rPr>
        <w:t>by Diamondback are, in the aggregate, reasonable within the established audit tolerance guidelines of 10 percent as set forth in the SPE auditing standards.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680" w:type="dxa"/>
        <w:tblCellMar>
          <w:top w:w="0" w:type="dxa"/>
          <w:left w:w="0" w:type="dxa"/>
          <w:bottom w:w="0" w:type="dxa"/>
          <w:right w:w="0" w:type="dxa"/>
        </w:tblCellMar>
      </w:tblPr>
      <w:tr>
        <w:trPr>
          <w:trHeight w:val="149"/>
        </w:trPr>
        <w:tc>
          <w:tcPr>
            <w:tcW w:w="2320" w:type="dxa"/>
            <w:vAlign w:val="bottom"/>
          </w:tcPr>
          <w:p>
            <w:pPr>
              <w:spacing w:after="0"/>
              <w:rPr>
                <w:sz w:val="20"/>
                <w:szCs w:val="20"/>
                <w:color w:val="auto"/>
              </w:rPr>
            </w:pPr>
            <w:r>
              <w:rPr>
                <w:rFonts w:ascii="Arial" w:cs="Arial" w:eastAsia="Arial" w:hAnsi="Arial"/>
                <w:sz w:val="13"/>
                <w:szCs w:val="13"/>
                <w:color w:val="auto"/>
              </w:rPr>
              <w:t>SUITE 2800, 350 7TH AVENUE, S.W.</w:t>
            </w:r>
          </w:p>
        </w:tc>
        <w:tc>
          <w:tcPr>
            <w:tcW w:w="2140" w:type="dxa"/>
            <w:vAlign w:val="bottom"/>
          </w:tcPr>
          <w:p>
            <w:pPr>
              <w:ind w:left="220"/>
              <w:spacing w:after="0"/>
              <w:rPr>
                <w:sz w:val="20"/>
                <w:szCs w:val="20"/>
                <w:color w:val="auto"/>
              </w:rPr>
            </w:pPr>
            <w:r>
              <w:rPr>
                <w:rFonts w:ascii="Arial" w:cs="Arial" w:eastAsia="Arial" w:hAnsi="Arial"/>
                <w:sz w:val="13"/>
                <w:szCs w:val="13"/>
                <w:color w:val="auto"/>
              </w:rPr>
              <w:t>CALGARY, ALBERTA T2P 3N9</w:t>
            </w:r>
          </w:p>
        </w:tc>
        <w:tc>
          <w:tcPr>
            <w:tcW w:w="1440" w:type="dxa"/>
            <w:vAlign w:val="bottom"/>
          </w:tcPr>
          <w:p>
            <w:pPr>
              <w:ind w:left="240"/>
              <w:spacing w:after="0"/>
              <w:rPr>
                <w:sz w:val="20"/>
                <w:szCs w:val="20"/>
                <w:color w:val="auto"/>
              </w:rPr>
            </w:pPr>
            <w:r>
              <w:rPr>
                <w:rFonts w:ascii="Arial" w:cs="Arial" w:eastAsia="Arial" w:hAnsi="Arial"/>
                <w:sz w:val="13"/>
                <w:szCs w:val="13"/>
                <w:color w:val="auto"/>
              </w:rPr>
              <w:t>TEL (403) 262-2799</w:t>
            </w:r>
          </w:p>
        </w:tc>
      </w:tr>
      <w:tr>
        <w:trPr>
          <w:trHeight w:val="161"/>
        </w:trPr>
        <w:tc>
          <w:tcPr>
            <w:tcW w:w="2320" w:type="dxa"/>
            <w:vAlign w:val="bottom"/>
          </w:tcPr>
          <w:p>
            <w:pPr>
              <w:ind w:left="180"/>
              <w:spacing w:after="0"/>
              <w:rPr>
                <w:sz w:val="20"/>
                <w:szCs w:val="20"/>
                <w:color w:val="auto"/>
              </w:rPr>
            </w:pPr>
            <w:r>
              <w:rPr>
                <w:rFonts w:ascii="Arial" w:cs="Arial" w:eastAsia="Arial" w:hAnsi="Arial"/>
                <w:sz w:val="13"/>
                <w:szCs w:val="13"/>
                <w:color w:val="auto"/>
              </w:rPr>
              <w:t>633 17TH STREET, SUITE 1700</w:t>
            </w:r>
          </w:p>
        </w:tc>
        <w:tc>
          <w:tcPr>
            <w:tcW w:w="2140" w:type="dxa"/>
            <w:vAlign w:val="bottom"/>
          </w:tcPr>
          <w:p>
            <w:pPr>
              <w:ind w:left="100"/>
              <w:spacing w:after="0"/>
              <w:rPr>
                <w:sz w:val="20"/>
                <w:szCs w:val="20"/>
                <w:color w:val="auto"/>
              </w:rPr>
            </w:pPr>
            <w:r>
              <w:rPr>
                <w:rFonts w:ascii="Arial" w:cs="Arial" w:eastAsia="Arial" w:hAnsi="Arial"/>
                <w:sz w:val="13"/>
                <w:szCs w:val="13"/>
                <w:color w:val="auto"/>
              </w:rPr>
              <w:t>DENVER, COLORADO 80202</w:t>
            </w:r>
          </w:p>
        </w:tc>
        <w:tc>
          <w:tcPr>
            <w:tcW w:w="1440" w:type="dxa"/>
            <w:vAlign w:val="bottom"/>
          </w:tcPr>
          <w:p>
            <w:pPr>
              <w:ind w:left="60"/>
              <w:spacing w:after="0"/>
              <w:rPr>
                <w:sz w:val="20"/>
                <w:szCs w:val="20"/>
                <w:color w:val="auto"/>
              </w:rPr>
            </w:pPr>
            <w:r>
              <w:rPr>
                <w:rFonts w:ascii="Arial" w:cs="Arial" w:eastAsia="Arial" w:hAnsi="Arial"/>
                <w:sz w:val="13"/>
                <w:szCs w:val="13"/>
                <w:color w:val="auto"/>
              </w:rPr>
              <w:t>TEL (303) 339-8110</w:t>
            </w:r>
          </w:p>
        </w:tc>
      </w:tr>
    </w:tbl>
    <w:p>
      <w:pPr>
        <w:sectPr>
          <w:pgSz w:w="11900" w:h="16838" w:orient="portrait"/>
          <w:cols w:equalWidth="0" w:num="1">
            <w:col w:w="11240"/>
          </w:cols>
          <w:pgMar w:left="320" w:top="1440" w:right="339" w:bottom="1440" w:gutter="0" w:footer="0" w:header="0"/>
        </w:sectPr>
      </w:pPr>
    </w:p>
    <w:bookmarkStart w:id="257" w:name="page258"/>
    <w:bookmarkEnd w:id="257"/>
    <w:p>
      <w:pPr>
        <w:spacing w:after="0"/>
        <w:rPr>
          <w:sz w:val="20"/>
          <w:szCs w:val="20"/>
          <w:color w:val="auto"/>
        </w:rPr>
      </w:pPr>
      <w:r>
        <w:rPr>
          <w:rFonts w:ascii="Arial" w:cs="Arial" w:eastAsia="Arial" w:hAnsi="Arial"/>
          <w:sz w:val="20"/>
          <w:szCs w:val="20"/>
          <w:color w:val="auto"/>
        </w:rPr>
        <w:t>Diamondback Energy, Inc. (FANG)</w:t>
      </w:r>
    </w:p>
    <w:p>
      <w:pPr>
        <w:spacing w:after="0" w:line="209" w:lineRule="auto"/>
        <w:rPr>
          <w:sz w:val="20"/>
          <w:szCs w:val="20"/>
          <w:color w:val="auto"/>
        </w:rPr>
      </w:pPr>
      <w:r>
        <w:rPr>
          <w:rFonts w:ascii="Arial" w:cs="Arial" w:eastAsia="Arial" w:hAnsi="Arial"/>
          <w:sz w:val="20"/>
          <w:szCs w:val="20"/>
          <w:color w:val="auto"/>
        </w:rPr>
        <w:t>January 5, 2023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estimated reserves and future net income amounts presented in this report are related to hydrocarbon prices.</w:t>
      </w:r>
    </w:p>
    <w:p>
      <w:pPr>
        <w:ind w:right="20"/>
        <w:spacing w:after="0" w:line="202" w:lineRule="auto"/>
        <w:rPr>
          <w:sz w:val="20"/>
          <w:szCs w:val="20"/>
          <w:color w:val="auto"/>
        </w:rPr>
      </w:pPr>
      <w:r>
        <w:rPr>
          <w:rFonts w:ascii="Arial" w:cs="Arial" w:eastAsia="Arial" w:hAnsi="Arial"/>
          <w:sz w:val="20"/>
          <w:szCs w:val="20"/>
          <w:color w:val="auto"/>
        </w:rPr>
        <w:t>Diamondback has informed us that in the preparation of their reserves and income projections, as of December 31, 2022, they used average prices during the 12-month period prior to the “as of date” of this report, determined as the unweighted arithmetic</w:t>
      </w:r>
    </w:p>
    <w:p>
      <w:pPr>
        <w:spacing w:after="0" w:line="210" w:lineRule="auto"/>
        <w:rPr>
          <w:sz w:val="20"/>
          <w:szCs w:val="20"/>
          <w:color w:val="auto"/>
        </w:rPr>
      </w:pPr>
      <w:r>
        <w:rPr>
          <w:rFonts w:ascii="Arial" w:cs="Arial" w:eastAsia="Arial" w:hAnsi="Arial"/>
          <w:sz w:val="20"/>
          <w:szCs w:val="20"/>
          <w:color w:val="auto"/>
        </w:rPr>
        <w:t>averages of the prices in effect on the first-day-of-the-month for each month within such period, unless prices were defined by</w:t>
      </w:r>
    </w:p>
    <w:p>
      <w:pPr>
        <w:spacing w:after="0" w:line="1" w:lineRule="exact"/>
        <w:rPr>
          <w:sz w:val="20"/>
          <w:szCs w:val="20"/>
          <w:color w:val="auto"/>
        </w:rPr>
      </w:pPr>
    </w:p>
    <w:p>
      <w:pPr>
        <w:spacing w:after="0" w:line="202" w:lineRule="auto"/>
        <w:rPr>
          <w:sz w:val="20"/>
          <w:szCs w:val="20"/>
          <w:color w:val="auto"/>
        </w:rPr>
      </w:pPr>
      <w:r>
        <w:rPr>
          <w:rFonts w:ascii="Arial" w:cs="Arial" w:eastAsia="Arial" w:hAnsi="Arial"/>
          <w:sz w:val="20"/>
          <w:szCs w:val="20"/>
          <w:color w:val="auto"/>
        </w:rPr>
        <w:t>contractual arrangements, as required by the SEC regulations. Actual future prices may vary considerably from the prices required by SEC regulations. The reserves volumes and the income attributable thereto have a direct relationship to the</w:t>
      </w:r>
    </w:p>
    <w:p>
      <w:pPr>
        <w:spacing w:after="0" w:line="221" w:lineRule="auto"/>
        <w:rPr>
          <w:sz w:val="20"/>
          <w:szCs w:val="20"/>
          <w:color w:val="auto"/>
        </w:rPr>
      </w:pPr>
      <w:r>
        <w:rPr>
          <w:rFonts w:ascii="Arial" w:cs="Arial" w:eastAsia="Arial" w:hAnsi="Arial"/>
          <w:sz w:val="19"/>
          <w:szCs w:val="19"/>
          <w:color w:val="auto"/>
        </w:rPr>
        <w:t>hydrocarbon prices actually received; therefore, volumes of reserves actually recovered and amounts of income actually received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may differ significantly from the estimated quantities presented in this report. The net reserves and net income data as estimated by Diamondback attributable to Viper's interest in properties that we reviewed are summarized below: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 PARAMETERS</w:t>
      </w:r>
    </w:p>
    <w:p>
      <w:pPr>
        <w:jc w:val="center"/>
        <w:spacing w:after="0" w:line="203" w:lineRule="auto"/>
        <w:rPr>
          <w:sz w:val="20"/>
          <w:szCs w:val="20"/>
          <w:color w:val="auto"/>
        </w:rPr>
      </w:pPr>
      <w:r>
        <w:rPr>
          <w:rFonts w:ascii="Arial" w:cs="Arial" w:eastAsia="Arial" w:hAnsi="Arial"/>
          <w:sz w:val="20"/>
          <w:szCs w:val="20"/>
          <w:color w:val="auto"/>
        </w:rPr>
        <w:t>Estimated Net Reserves and Income Data</w:t>
      </w:r>
    </w:p>
    <w:p>
      <w:pPr>
        <w:jc w:val="center"/>
        <w:spacing w:after="0" w:line="198" w:lineRule="auto"/>
        <w:rPr>
          <w:sz w:val="20"/>
          <w:szCs w:val="20"/>
          <w:color w:val="auto"/>
        </w:rPr>
      </w:pPr>
      <w:r>
        <w:rPr>
          <w:rFonts w:ascii="Arial" w:cs="Arial" w:eastAsia="Arial" w:hAnsi="Arial"/>
          <w:sz w:val="19"/>
          <w:szCs w:val="19"/>
          <w:color w:val="auto"/>
        </w:rPr>
        <w:t>Certain Royalty Interests of</w:t>
      </w:r>
    </w:p>
    <w:p>
      <w:pPr>
        <w:ind w:left="4480"/>
        <w:spacing w:after="0"/>
        <w:rPr>
          <w:sz w:val="20"/>
          <w:szCs w:val="20"/>
          <w:color w:val="auto"/>
        </w:rPr>
      </w:pPr>
      <w:r>
        <w:rPr>
          <w:rFonts w:ascii="Arial" w:cs="Arial" w:eastAsia="Arial" w:hAnsi="Arial"/>
          <w:sz w:val="20"/>
          <w:szCs w:val="20"/>
          <w:color w:val="auto"/>
        </w:rPr>
        <w:t>Viper Energy Partners, LP</w:t>
      </w:r>
    </w:p>
    <w:p>
      <w:pPr>
        <w:spacing w:after="0" w:line="24"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9525</wp:posOffset>
            </wp:positionV>
            <wp:extent cx="46678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4667885" cy="8255"/>
                    </a:xfrm>
                    <a:prstGeom prst="rect">
                      <a:avLst/>
                    </a:prstGeom>
                    <a:noFill/>
                  </pic:spPr>
                </pic:pic>
              </a:graphicData>
            </a:graphic>
          </wp:anchor>
        </w:drawing>
      </w:r>
    </w:p>
    <w:p>
      <w:pPr>
        <w:spacing w:after="0" w:line="382" w:lineRule="exact"/>
        <w:rPr>
          <w:sz w:val="20"/>
          <w:szCs w:val="20"/>
          <w:color w:val="auto"/>
        </w:rPr>
      </w:pPr>
    </w:p>
    <w:tbl>
      <w:tblPr>
        <w:tblLayout w:type="fixed"/>
        <w:tblInd w:w="660"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8"/>
                <w:szCs w:val="18"/>
                <w:color w:val="auto"/>
              </w:rPr>
              <w:t>Proved</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color w:val="auto"/>
                <w:w w:val="97"/>
              </w:rPr>
              <w:t>Developed</w:t>
            </w:r>
          </w:p>
        </w:tc>
        <w:tc>
          <w:tcPr>
            <w:tcW w:w="7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3"/>
          </w:tcPr>
          <w:p>
            <w:pPr>
              <w:jc w:val="right"/>
              <w:ind w:right="6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19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w w:val="98"/>
              </w:rPr>
              <w:t>Audited by Ryder Scott</w:t>
            </w:r>
          </w:p>
        </w:tc>
        <w:tc>
          <w:tcPr>
            <w:tcW w:w="1340" w:type="dxa"/>
            <w:vAlign w:val="bottom"/>
            <w:vMerge w:val="restart"/>
          </w:tcPr>
          <w:p>
            <w:pPr>
              <w:spacing w:after="0"/>
              <w:rPr>
                <w:sz w:val="19"/>
                <w:szCs w:val="19"/>
                <w:color w:val="auto"/>
              </w:rPr>
            </w:pPr>
          </w:p>
        </w:tc>
        <w:tc>
          <w:tcPr>
            <w:tcW w:w="2240" w:type="dxa"/>
            <w:vAlign w:val="bottom"/>
            <w:gridSpan w:val="5"/>
          </w:tcPr>
          <w:p>
            <w:pPr>
              <w:ind w:left="420"/>
              <w:spacing w:after="0"/>
              <w:rPr>
                <w:sz w:val="20"/>
                <w:szCs w:val="20"/>
                <w:color w:val="auto"/>
              </w:rPr>
            </w:pPr>
            <w:r>
              <w:rPr>
                <w:rFonts w:ascii="Arial" w:cs="Arial" w:eastAsia="Arial" w:hAnsi="Arial"/>
                <w:sz w:val="18"/>
                <w:szCs w:val="18"/>
                <w:color w:val="auto"/>
              </w:rPr>
              <w:t>Producing</w:t>
            </w:r>
          </w:p>
        </w:tc>
        <w:tc>
          <w:tcPr>
            <w:tcW w:w="1640" w:type="dxa"/>
            <w:vAlign w:val="bottom"/>
            <w:gridSpan w:val="4"/>
          </w:tcPr>
          <w:p>
            <w:pPr>
              <w:jc w:val="center"/>
              <w:ind w:right="560"/>
              <w:spacing w:after="0"/>
              <w:rPr>
                <w:sz w:val="20"/>
                <w:szCs w:val="20"/>
                <w:color w:val="auto"/>
              </w:rPr>
            </w:pPr>
            <w:r>
              <w:rPr>
                <w:rFonts w:ascii="Arial" w:cs="Arial" w:eastAsia="Arial" w:hAnsi="Arial"/>
                <w:sz w:val="18"/>
                <w:szCs w:val="18"/>
                <w:color w:val="auto"/>
                <w:w w:val="98"/>
              </w:rPr>
              <w:t>Undeveloped</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4"/>
                <w:szCs w:val="14"/>
                <w:color w:val="auto"/>
              </w:rPr>
            </w:pPr>
          </w:p>
        </w:tc>
        <w:tc>
          <w:tcPr>
            <w:tcW w:w="1980" w:type="dxa"/>
            <w:vAlign w:val="bottom"/>
            <w:tcBorders>
              <w:bottom w:val="single" w:sz="8" w:color="auto"/>
            </w:tcBorders>
            <w:gridSpan w:val="3"/>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5"/>
        </w:trPr>
        <w:tc>
          <w:tcPr>
            <w:tcW w:w="4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8"/>
              </w:rPr>
              <w:t>Net Reserves</w:t>
            </w:r>
          </w:p>
        </w:tc>
        <w:tc>
          <w:tcPr>
            <w:tcW w:w="218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60" w:type="dxa"/>
            <w:vAlign w:val="bottom"/>
            <w:gridSpan w:val="5"/>
          </w:tcPr>
          <w:p>
            <w:pPr>
              <w:spacing w:after="0"/>
              <w:rPr>
                <w:sz w:val="20"/>
                <w:szCs w:val="20"/>
                <w:color w:val="auto"/>
              </w:rPr>
            </w:pPr>
            <w:r>
              <w:rPr>
                <w:rFonts w:ascii="Arial" w:cs="Arial" w:eastAsia="Arial" w:hAnsi="Arial"/>
                <w:sz w:val="18"/>
                <w:szCs w:val="18"/>
                <w:color w:val="auto"/>
              </w:rPr>
              <w:t>Oil/Condensate – MBBLS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54,817</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24,187</w:t>
            </w:r>
          </w:p>
        </w:tc>
        <w:tc>
          <w:tcPr>
            <w:tcW w:w="280" w:type="dxa"/>
            <w:vAlign w:val="bottom"/>
          </w:tcPr>
          <w:p>
            <w:pPr>
              <w:spacing w:after="0"/>
              <w:rPr>
                <w:sz w:val="22"/>
                <w:szCs w:val="22"/>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79,004</w:t>
            </w:r>
          </w:p>
        </w:tc>
        <w:tc>
          <w:tcPr>
            <w:tcW w:w="0" w:type="dxa"/>
            <w:vAlign w:val="bottom"/>
          </w:tcPr>
          <w:p>
            <w:pPr>
              <w:spacing w:after="0"/>
              <w:rPr>
                <w:sz w:val="1"/>
                <w:szCs w:val="1"/>
                <w:color w:val="auto"/>
              </w:rPr>
            </w:pPr>
          </w:p>
        </w:tc>
      </w:tr>
      <w:tr>
        <w:trPr>
          <w:trHeight w:val="228"/>
        </w:trPr>
        <w:tc>
          <w:tcPr>
            <w:tcW w:w="3360" w:type="dxa"/>
            <w:vAlign w:val="bottom"/>
            <w:gridSpan w:val="5"/>
          </w:tcPr>
          <w:p>
            <w:pPr>
              <w:spacing w:after="0"/>
              <w:rPr>
                <w:sz w:val="20"/>
                <w:szCs w:val="20"/>
                <w:color w:val="auto"/>
              </w:rPr>
            </w:pPr>
            <w:r>
              <w:rPr>
                <w:rFonts w:ascii="Arial" w:cs="Arial" w:eastAsia="Arial" w:hAnsi="Arial"/>
                <w:sz w:val="18"/>
                <w:szCs w:val="18"/>
                <w:color w:val="auto"/>
              </w:rPr>
              <w:t>Plant Products – MBBLS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25,621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9,281</w:t>
            </w:r>
          </w:p>
        </w:tc>
        <w:tc>
          <w:tcPr>
            <w:tcW w:w="280" w:type="dxa"/>
            <w:vAlign w:val="bottom"/>
          </w:tcPr>
          <w:p>
            <w:pPr>
              <w:spacing w:after="0"/>
              <w:rPr>
                <w:sz w:val="19"/>
                <w:szCs w:val="19"/>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34,902</w:t>
            </w:r>
          </w:p>
        </w:tc>
        <w:tc>
          <w:tcPr>
            <w:tcW w:w="0" w:type="dxa"/>
            <w:vAlign w:val="bottom"/>
          </w:tcPr>
          <w:p>
            <w:pPr>
              <w:spacing w:after="0"/>
              <w:rPr>
                <w:sz w:val="1"/>
                <w:szCs w:val="1"/>
                <w:color w:val="auto"/>
              </w:rPr>
            </w:pPr>
          </w:p>
        </w:tc>
      </w:tr>
      <w:tr>
        <w:trPr>
          <w:trHeight w:val="228"/>
        </w:trPr>
        <w:tc>
          <w:tcPr>
            <w:tcW w:w="3360" w:type="dxa"/>
            <w:vAlign w:val="bottom"/>
            <w:gridSpan w:val="5"/>
          </w:tcPr>
          <w:p>
            <w:pPr>
              <w:spacing w:after="0"/>
              <w:rPr>
                <w:sz w:val="20"/>
                <w:szCs w:val="20"/>
                <w:color w:val="auto"/>
              </w:rPr>
            </w:pPr>
            <w:r>
              <w:rPr>
                <w:rFonts w:ascii="Arial" w:cs="Arial" w:eastAsia="Arial" w:hAnsi="Arial"/>
                <w:sz w:val="18"/>
                <w:szCs w:val="18"/>
                <w:color w:val="auto"/>
              </w:rPr>
              <w:t>Gas – MMCF</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161,119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48,845</w:t>
            </w:r>
          </w:p>
        </w:tc>
        <w:tc>
          <w:tcPr>
            <w:tcW w:w="2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209,964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60" w:type="dxa"/>
            <w:vAlign w:val="bottom"/>
            <w:gridSpan w:val="5"/>
          </w:tcPr>
          <w:p>
            <w:pPr>
              <w:spacing w:after="0"/>
              <w:rPr>
                <w:sz w:val="20"/>
                <w:szCs w:val="20"/>
                <w:color w:val="auto"/>
              </w:rPr>
            </w:pPr>
            <w:r>
              <w:rPr>
                <w:rFonts w:ascii="Arial" w:cs="Arial" w:eastAsia="Arial" w:hAnsi="Arial"/>
                <w:sz w:val="18"/>
                <w:szCs w:val="18"/>
                <w:color w:val="auto"/>
              </w:rPr>
              <w:t>MBOE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107,291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41,609</w:t>
            </w:r>
          </w:p>
        </w:tc>
        <w:tc>
          <w:tcPr>
            <w:tcW w:w="2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148,900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w w:val="97"/>
              </w:rPr>
              <w:t xml:space="preserve">Income Data </w:t>
            </w:r>
            <w:r>
              <w:rPr>
                <w:rFonts w:ascii="Arial" w:cs="Arial" w:eastAsia="Arial" w:hAnsi="Arial"/>
                <w:sz w:val="18"/>
                <w:szCs w:val="18"/>
                <w:b w:val="1"/>
                <w:bCs w:val="1"/>
                <w:i w:val="1"/>
                <w:iCs w:val="1"/>
                <w:u w:val="single" w:color="auto"/>
                <w:color w:val="auto"/>
                <w:w w:val="97"/>
              </w:rPr>
              <w:t>($</w:t>
            </w:r>
            <w:r>
              <w:rPr>
                <w:rFonts w:ascii="Arial" w:cs="Arial" w:eastAsia="Arial" w:hAnsi="Arial"/>
                <w:sz w:val="18"/>
                <w:szCs w:val="18"/>
                <w:b w:val="1"/>
                <w:bCs w:val="1"/>
                <w:i w:val="1"/>
                <w:iCs w:val="1"/>
                <w:color w:val="auto"/>
                <w:w w:val="97"/>
              </w:rPr>
              <w:t>M)</w:t>
            </w:r>
          </w:p>
        </w:tc>
        <w:tc>
          <w:tcPr>
            <w:tcW w:w="18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360" w:type="dxa"/>
            <w:vAlign w:val="bottom"/>
            <w:gridSpan w:val="5"/>
          </w:tcPr>
          <w:p>
            <w:pPr>
              <w:spacing w:after="0"/>
              <w:rPr>
                <w:sz w:val="20"/>
                <w:szCs w:val="20"/>
                <w:color w:val="auto"/>
              </w:rPr>
            </w:pPr>
            <w:r>
              <w:rPr>
                <w:rFonts w:ascii="Arial" w:cs="Arial" w:eastAsia="Arial" w:hAnsi="Arial"/>
                <w:sz w:val="18"/>
                <w:szCs w:val="18"/>
                <w:color w:val="auto"/>
              </w:rPr>
              <w:t>Future Gross Revenue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$6,722,586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$2,808,375</w:t>
            </w:r>
          </w:p>
        </w:tc>
        <w:tc>
          <w:tcPr>
            <w:tcW w:w="28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$9,530,961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360" w:type="dxa"/>
            <w:vAlign w:val="bottom"/>
            <w:gridSpan w:val="5"/>
          </w:tcPr>
          <w:p>
            <w:pPr>
              <w:spacing w:after="0" w:line="189" w:lineRule="exact"/>
              <w:rPr>
                <w:sz w:val="20"/>
                <w:szCs w:val="20"/>
                <w:color w:val="auto"/>
              </w:rPr>
            </w:pPr>
            <w:r>
              <w:rPr>
                <w:rFonts w:ascii="Arial" w:cs="Arial" w:eastAsia="Arial" w:hAnsi="Arial"/>
                <w:sz w:val="18"/>
                <w:szCs w:val="18"/>
                <w:color w:val="auto"/>
              </w:rPr>
              <w:t>Deductions</w:t>
            </w:r>
          </w:p>
        </w:tc>
        <w:tc>
          <w:tcPr>
            <w:tcW w:w="15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131,081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56,167</w:t>
            </w:r>
          </w:p>
        </w:tc>
        <w:tc>
          <w:tcPr>
            <w:tcW w:w="280" w:type="dxa"/>
            <w:vAlign w:val="bottom"/>
          </w:tcPr>
          <w:p>
            <w:pPr>
              <w:spacing w:after="0"/>
              <w:rPr>
                <w:sz w:val="16"/>
                <w:szCs w:val="16"/>
                <w:color w:val="auto"/>
              </w:rPr>
            </w:pPr>
          </w:p>
        </w:tc>
        <w:tc>
          <w:tcPr>
            <w:tcW w:w="16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187,248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360" w:type="dxa"/>
            <w:vAlign w:val="bottom"/>
            <w:gridSpan w:val="5"/>
          </w:tcPr>
          <w:p>
            <w:pPr>
              <w:spacing w:after="0"/>
              <w:rPr>
                <w:sz w:val="20"/>
                <w:szCs w:val="20"/>
                <w:color w:val="auto"/>
              </w:rPr>
            </w:pPr>
            <w:r>
              <w:rPr>
                <w:rFonts w:ascii="Arial" w:cs="Arial" w:eastAsia="Arial" w:hAnsi="Arial"/>
                <w:sz w:val="18"/>
                <w:szCs w:val="18"/>
                <w:color w:val="auto"/>
              </w:rPr>
              <w:t>Future Net Income (FNI)</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$6,591,505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$2,752,208</w:t>
            </w:r>
          </w:p>
        </w:tc>
        <w:tc>
          <w:tcPr>
            <w:tcW w:w="28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$9,343,713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5"/>
        </w:trPr>
        <w:tc>
          <w:tcPr>
            <w:tcW w:w="3360" w:type="dxa"/>
            <w:vAlign w:val="bottom"/>
            <w:gridSpan w:val="5"/>
          </w:tcPr>
          <w:p>
            <w:pPr>
              <w:spacing w:after="0"/>
              <w:rPr>
                <w:sz w:val="20"/>
                <w:szCs w:val="20"/>
                <w:color w:val="auto"/>
              </w:rPr>
            </w:pPr>
            <w:r>
              <w:rPr>
                <w:rFonts w:ascii="Arial" w:cs="Arial" w:eastAsia="Arial" w:hAnsi="Arial"/>
                <w:sz w:val="18"/>
                <w:szCs w:val="18"/>
                <w:color w:val="auto"/>
              </w:rPr>
              <w:t>Discounted FNI @ 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$2,824,350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$1,277,503</w:t>
            </w:r>
          </w:p>
        </w:tc>
        <w:tc>
          <w:tcPr>
            <w:tcW w:w="28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$4,101,853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firstLine="643"/>
        <w:spacing w:after="0" w:line="209" w:lineRule="auto"/>
        <w:rPr>
          <w:sz w:val="20"/>
          <w:szCs w:val="20"/>
          <w:color w:val="auto"/>
        </w:rPr>
      </w:pPr>
      <w:r>
        <w:rPr>
          <w:rFonts w:ascii="Arial" w:cs="Arial" w:eastAsia="Arial" w:hAnsi="Arial"/>
          <w:sz w:val="20"/>
          <w:szCs w:val="20"/>
          <w:color w:val="auto"/>
        </w:rPr>
        <w:t>Liquid hydrocarbons are expressed in standard 42 U.S. gallon barrels and shown herein as thousands of barrels (MBBLS). All gas volumes are reported on an “as sold basis” expressed in millions of cubic feet (MMCF) at the official</w:t>
      </w:r>
    </w:p>
    <w:p>
      <w:pPr>
        <w:spacing w:after="0" w:line="1" w:lineRule="exact"/>
        <w:rPr>
          <w:sz w:val="20"/>
          <w:szCs w:val="20"/>
          <w:color w:val="auto"/>
        </w:rPr>
      </w:pPr>
    </w:p>
    <w:p>
      <w:pPr>
        <w:spacing w:after="0" w:line="213" w:lineRule="auto"/>
        <w:rPr>
          <w:sz w:val="20"/>
          <w:szCs w:val="20"/>
          <w:color w:val="auto"/>
        </w:rPr>
      </w:pPr>
      <w:r>
        <w:rPr>
          <w:rFonts w:ascii="Arial" w:cs="Arial" w:eastAsia="Arial" w:hAnsi="Arial"/>
          <w:sz w:val="19"/>
          <w:szCs w:val="19"/>
          <w:color w:val="auto"/>
        </w:rPr>
        <w:t>temperature and pressure bases of the areas in which the gas reserves are located. The net reserves are also shown herein on an equivalent unit basis wherein natural gas is converted to oil equivalent using a factor of 6,000 cubic feet natural gas per one</w:t>
      </w:r>
    </w:p>
    <w:p>
      <w:pPr>
        <w:spacing w:after="0" w:line="220" w:lineRule="auto"/>
        <w:rPr>
          <w:sz w:val="20"/>
          <w:szCs w:val="20"/>
          <w:color w:val="auto"/>
        </w:rPr>
      </w:pPr>
      <w:r>
        <w:rPr>
          <w:rFonts w:ascii="Arial" w:cs="Arial" w:eastAsia="Arial" w:hAnsi="Arial"/>
          <w:sz w:val="20"/>
          <w:szCs w:val="20"/>
          <w:color w:val="auto"/>
        </w:rPr>
        <w:t>barrel of oil equivalent. MBOE means thousand barrels of oil equivalent. In this report, discounted future net income data are expressed as thousands of U.S. dollars ($M).</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future gross revenue is after the deduction of production taxes. Because the interests evaluated herein are royalty</w:t>
      </w:r>
    </w:p>
    <w:p>
      <w:pPr>
        <w:spacing w:after="0" w:line="213" w:lineRule="auto"/>
        <w:rPr>
          <w:sz w:val="20"/>
          <w:szCs w:val="20"/>
          <w:color w:val="auto"/>
        </w:rPr>
      </w:pPr>
      <w:r>
        <w:rPr>
          <w:rFonts w:ascii="Arial" w:cs="Arial" w:eastAsia="Arial" w:hAnsi="Arial"/>
          <w:sz w:val="19"/>
          <w:szCs w:val="19"/>
          <w:color w:val="auto"/>
        </w:rPr>
        <w:t>interests, the deductions include only ad valorem taxes, while the normal direct costs of operating the wells and development costs are used only to estimate economic lives. The future net income is before the deduction of state and federal income taxes</w:t>
      </w:r>
    </w:p>
    <w:p>
      <w:pPr>
        <w:spacing w:after="0" w:line="227" w:lineRule="auto"/>
        <w:rPr>
          <w:sz w:val="20"/>
          <w:szCs w:val="20"/>
          <w:color w:val="auto"/>
        </w:rPr>
      </w:pPr>
      <w:r>
        <w:rPr>
          <w:rFonts w:ascii="Arial" w:cs="Arial" w:eastAsia="Arial" w:hAnsi="Arial"/>
          <w:sz w:val="20"/>
          <w:szCs w:val="20"/>
          <w:color w:val="auto"/>
        </w:rPr>
        <w:t>and general administrative overhead, and has not been adjusted for outstanding loans that may exist nor does it include any adjustment for cash on hand or undistributed income.</w:t>
      </w:r>
    </w:p>
    <w:p>
      <w:pPr>
        <w:sectPr>
          <w:pgSz w:w="11900" w:h="16838" w:orient="portrait"/>
          <w:cols w:equalWidth="0" w:num="1">
            <w:col w:w="11240"/>
          </w:cols>
          <w:pgMar w:left="320" w:top="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type w:val="continuous"/>
        </w:sectPr>
      </w:pPr>
    </w:p>
    <w:bookmarkStart w:id="258" w:name="page259"/>
    <w:bookmarkEnd w:id="258"/>
    <w:p>
      <w:pPr>
        <w:spacing w:after="0"/>
        <w:rPr>
          <w:sz w:val="20"/>
          <w:szCs w:val="20"/>
          <w:color w:val="auto"/>
        </w:rPr>
      </w:pPr>
      <w:r>
        <w:rPr>
          <w:rFonts w:ascii="Arial" w:cs="Arial" w:eastAsia="Arial" w:hAnsi="Arial"/>
          <w:sz w:val="20"/>
          <w:szCs w:val="20"/>
          <w:color w:val="auto"/>
        </w:rPr>
        <w:t>Diamondback Energy, Inc. (FANG)</w:t>
      </w:r>
    </w:p>
    <w:p>
      <w:pPr>
        <w:spacing w:after="0" w:line="209" w:lineRule="auto"/>
        <w:rPr>
          <w:sz w:val="20"/>
          <w:szCs w:val="20"/>
          <w:color w:val="auto"/>
        </w:rPr>
      </w:pPr>
      <w:r>
        <w:rPr>
          <w:rFonts w:ascii="Arial" w:cs="Arial" w:eastAsia="Arial" w:hAnsi="Arial"/>
          <w:sz w:val="20"/>
          <w:szCs w:val="20"/>
          <w:color w:val="auto"/>
        </w:rPr>
        <w:t>January 5, 2023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36" w:lineRule="exact"/>
        <w:rPr>
          <w:sz w:val="20"/>
          <w:szCs w:val="20"/>
          <w:color w:val="auto"/>
        </w:rPr>
      </w:pPr>
    </w:p>
    <w:p>
      <w:pPr>
        <w:jc w:val="both"/>
        <w:ind w:firstLine="643"/>
        <w:spacing w:after="0" w:line="202" w:lineRule="auto"/>
        <w:rPr>
          <w:sz w:val="20"/>
          <w:szCs w:val="20"/>
          <w:color w:val="auto"/>
        </w:rPr>
      </w:pPr>
      <w:r>
        <w:rPr>
          <w:rFonts w:ascii="Arial" w:cs="Arial" w:eastAsia="Arial" w:hAnsi="Arial"/>
          <w:sz w:val="20"/>
          <w:szCs w:val="20"/>
          <w:color w:val="auto"/>
        </w:rPr>
        <w:t>In our opinion, the proved reserves presented in this report conform to the definition as set forth in the Securities and Exchange Commission’s Regulations Part 210.4-10(a). An abridged version of the SEC reserves definitions from 210.4-10(a)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entitled “PETROLEUM RESERVES DEFINITIONS” is included as an attachment to this report.</w:t>
      </w:r>
    </w:p>
    <w:p>
      <w:pPr>
        <w:spacing w:after="0" w:line="212" w:lineRule="exact"/>
        <w:rPr>
          <w:sz w:val="20"/>
          <w:szCs w:val="20"/>
          <w:color w:val="auto"/>
        </w:rPr>
      </w:pPr>
    </w:p>
    <w:p>
      <w:pPr>
        <w:ind w:firstLine="643"/>
        <w:spacing w:after="0" w:line="220" w:lineRule="auto"/>
        <w:rPr>
          <w:sz w:val="20"/>
          <w:szCs w:val="20"/>
          <w:color w:val="auto"/>
        </w:rPr>
      </w:pPr>
      <w:r>
        <w:rPr>
          <w:rFonts w:ascii="Arial" w:cs="Arial" w:eastAsia="Arial" w:hAnsi="Arial"/>
          <w:sz w:val="20"/>
          <w:szCs w:val="20"/>
          <w:color w:val="auto"/>
        </w:rPr>
        <w:t>The various proved reserves status categories are defined in the attachment entitled “PETROLEUM RESERVES STATUS DEFINITIONS AND GUIDELINES” in this report.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w:t>
      </w:r>
    </w:p>
    <w:p>
      <w:pPr>
        <w:spacing w:after="0" w:line="213" w:lineRule="auto"/>
        <w:rPr>
          <w:sz w:val="20"/>
          <w:szCs w:val="20"/>
          <w:color w:val="auto"/>
        </w:rPr>
      </w:pPr>
      <w:r>
        <w:rPr>
          <w:rFonts w:ascii="Arial" w:cs="Arial" w:eastAsia="Arial" w:hAnsi="Arial"/>
          <w:sz w:val="19"/>
          <w:szCs w:val="19"/>
          <w:color w:val="auto"/>
        </w:rPr>
        <w:t>producible, as of a given date, by application of development projects to known accumulations.” All reserves estimates involve an assessment of the uncertainty relating the likelihood that the actual remaining quantities recovered will be greater or less than the</w:t>
      </w:r>
    </w:p>
    <w:p>
      <w:pPr>
        <w:spacing w:after="0" w:line="221" w:lineRule="auto"/>
        <w:rPr>
          <w:sz w:val="20"/>
          <w:szCs w:val="20"/>
          <w:color w:val="auto"/>
        </w:rPr>
      </w:pPr>
      <w:r>
        <w:rPr>
          <w:rFonts w:ascii="Arial" w:cs="Arial" w:eastAsia="Arial" w:hAnsi="Arial"/>
          <w:sz w:val="19"/>
          <w:szCs w:val="19"/>
          <w:color w:val="auto"/>
        </w:rPr>
        <w:t>estimated quantities determined as of the date the estimate is made. The uncertainty depends primarily on the amount of reliable</w:t>
      </w:r>
    </w:p>
    <w:p>
      <w:pPr>
        <w:spacing w:after="0" w:line="202" w:lineRule="auto"/>
        <w:rPr>
          <w:sz w:val="20"/>
          <w:szCs w:val="20"/>
          <w:color w:val="auto"/>
        </w:rPr>
      </w:pPr>
      <w:r>
        <w:rPr>
          <w:rFonts w:ascii="Arial" w:cs="Arial" w:eastAsia="Arial" w:hAnsi="Arial"/>
          <w:sz w:val="20"/>
          <w:szCs w:val="20"/>
          <w:color w:val="auto"/>
        </w:rPr>
        <w:t>geologic and engineering data available at the time of the estimate and the interpretation of these data. The relative degree of uncertainty may be conveyed by placing reserves into one of two principal categories, either proved or unproved. Unproved</w:t>
      </w:r>
    </w:p>
    <w:p>
      <w:pPr>
        <w:spacing w:after="0" w:line="210" w:lineRule="auto"/>
        <w:rPr>
          <w:sz w:val="20"/>
          <w:szCs w:val="20"/>
          <w:color w:val="auto"/>
        </w:rPr>
      </w:pPr>
      <w:r>
        <w:rPr>
          <w:rFonts w:ascii="Arial" w:cs="Arial" w:eastAsia="Arial" w:hAnsi="Arial"/>
          <w:sz w:val="20"/>
          <w:szCs w:val="20"/>
          <w:color w:val="auto"/>
        </w:rPr>
        <w:t>reserves are less certain to be recovered than proved reserves and may be further sub-categorized as probable and possible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reserves to denote progressively increasing uncertainty in their recoverability. At Diamondback’s request, this report addresses only the proved reserves attributable to the properties reviewed herein.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w:t>
      </w:r>
    </w:p>
    <w:p>
      <w:pPr>
        <w:jc w:val="both"/>
        <w:spacing w:after="0" w:line="202" w:lineRule="auto"/>
        <w:rPr>
          <w:sz w:val="20"/>
          <w:szCs w:val="20"/>
          <w:color w:val="auto"/>
        </w:rPr>
      </w:pPr>
      <w:r>
        <w:rPr>
          <w:rFonts w:ascii="Arial" w:cs="Arial" w:eastAsia="Arial" w:hAnsi="Arial"/>
          <w:sz w:val="20"/>
          <w:szCs w:val="20"/>
          <w:color w:val="auto"/>
        </w:rPr>
        <w:t>can be estimated with reasonable certainty to be economically producible from a given date forward.” The proved reserves included herein were estimated using deterministic methods. The SEC has defined reasonable certainty for proved reserves,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when based on deterministic methods, as a “high degree of confidence that the quantities will be recovered.”</w:t>
      </w:r>
    </w:p>
    <w:p>
      <w:pPr>
        <w:spacing w:after="0" w:line="198" w:lineRule="exact"/>
        <w:rPr>
          <w:sz w:val="20"/>
          <w:szCs w:val="20"/>
          <w:color w:val="auto"/>
        </w:rPr>
      </w:pPr>
    </w:p>
    <w:p>
      <w:pPr>
        <w:ind w:firstLine="643"/>
        <w:spacing w:after="0" w:line="209" w:lineRule="auto"/>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w:t>
      </w:r>
    </w:p>
    <w:p>
      <w:pPr>
        <w:spacing w:after="0" w:line="1" w:lineRule="exact"/>
        <w:rPr>
          <w:sz w:val="20"/>
          <w:szCs w:val="20"/>
          <w:color w:val="auto"/>
        </w:rPr>
      </w:pPr>
    </w:p>
    <w:p>
      <w:pPr>
        <w:jc w:val="both"/>
        <w:spacing w:after="0" w:line="202" w:lineRule="auto"/>
        <w:rPr>
          <w:sz w:val="20"/>
          <w:szCs w:val="20"/>
          <w:color w:val="auto"/>
        </w:rPr>
      </w:pPr>
      <w:r>
        <w:rPr>
          <w:rFonts w:ascii="Arial" w:cs="Arial" w:eastAsia="Arial" w:hAnsi="Arial"/>
          <w:sz w:val="20"/>
          <w:szCs w:val="20"/>
          <w:color w:val="auto"/>
        </w:rPr>
        <w:t>geoscience (geological, geophysical, and geochemical), engineering, and economic data are made to the estimated ultimate recovery (EUR) with time, reasonably certain EUR is much more likely to increase or remain constant than to decrease.”</w:t>
      </w:r>
    </w:p>
    <w:p>
      <w:pPr>
        <w:spacing w:after="0" w:line="210" w:lineRule="auto"/>
        <w:rPr>
          <w:sz w:val="20"/>
          <w:szCs w:val="20"/>
          <w:color w:val="auto"/>
        </w:rPr>
      </w:pPr>
      <w:r>
        <w:rPr>
          <w:rFonts w:ascii="Arial" w:cs="Arial" w:eastAsia="Arial" w:hAnsi="Arial"/>
          <w:sz w:val="20"/>
          <w:szCs w:val="20"/>
          <w:color w:val="auto"/>
        </w:rPr>
        <w:t>Moreover, estimates of proved reserves may be revised as a result of future operations, effects of regulation by governmental</w:t>
      </w:r>
    </w:p>
    <w:p>
      <w:pPr>
        <w:spacing w:after="0" w:line="1" w:lineRule="exact"/>
        <w:rPr>
          <w:sz w:val="20"/>
          <w:szCs w:val="20"/>
          <w:color w:val="auto"/>
        </w:rPr>
      </w:pPr>
    </w:p>
    <w:p>
      <w:pPr>
        <w:spacing w:after="0" w:line="202" w:lineRule="auto"/>
        <w:rPr>
          <w:sz w:val="20"/>
          <w:szCs w:val="20"/>
          <w:color w:val="auto"/>
        </w:rPr>
      </w:pPr>
      <w:r>
        <w:rPr>
          <w:rFonts w:ascii="Arial" w:cs="Arial" w:eastAsia="Arial" w:hAnsi="Arial"/>
          <w:sz w:val="20"/>
          <w:szCs w:val="20"/>
          <w:color w:val="auto"/>
        </w:rPr>
        <w:t>agencies or geopolitical or economic risks. Therefore, the proved reserves included in this report are estimates only and should not be construed as being exact quantities. They may or may not be actually recovered, and if recovered, the revenues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therefrom, and the actual costs related thereto, could be more or less than the estimated amounts.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Data, Methodology, Procedure and Assumptions</w:t>
      </w:r>
    </w:p>
    <w:p>
      <w:pPr>
        <w:spacing w:after="0" w:line="222" w:lineRule="exact"/>
        <w:rPr>
          <w:sz w:val="20"/>
          <w:szCs w:val="20"/>
          <w:color w:val="auto"/>
        </w:rPr>
      </w:pPr>
    </w:p>
    <w:p>
      <w:pPr>
        <w:ind w:firstLine="643"/>
        <w:spacing w:after="0" w:line="209" w:lineRule="auto"/>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w:t>
      </w:r>
    </w:p>
    <w:p>
      <w:pPr>
        <w:spacing w:after="0" w:line="1" w:lineRule="exact"/>
        <w:rPr>
          <w:sz w:val="20"/>
          <w:szCs w:val="20"/>
          <w:color w:val="auto"/>
        </w:rPr>
      </w:pPr>
    </w:p>
    <w:p>
      <w:pPr>
        <w:spacing w:after="0" w:line="213" w:lineRule="auto"/>
        <w:rPr>
          <w:sz w:val="20"/>
          <w:szCs w:val="20"/>
          <w:color w:val="auto"/>
        </w:rPr>
      </w:pPr>
      <w:r>
        <w:rPr>
          <w:rFonts w:ascii="Arial" w:cs="Arial" w:eastAsia="Arial" w:hAnsi="Arial"/>
          <w:sz w:val="19"/>
          <w:szCs w:val="19"/>
          <w:color w:val="auto"/>
        </w:rPr>
        <w:t>those estimated quantities in accordance with the definitions set forth by the Securities and Exchange Commission’s Regulations Part 210.4-10(a). The process of estimating the quantities of recoverable oil and gas reserves relies on the use of certain</w:t>
      </w:r>
    </w:p>
    <w:p>
      <w:pPr>
        <w:spacing w:after="0" w:line="210" w:lineRule="auto"/>
        <w:rPr>
          <w:sz w:val="20"/>
          <w:szCs w:val="20"/>
          <w:color w:val="auto"/>
        </w:rPr>
      </w:pPr>
      <w:r>
        <w:rPr>
          <w:rFonts w:ascii="Arial" w:cs="Arial" w:eastAsia="Arial" w:hAnsi="Arial"/>
          <w:sz w:val="20"/>
          <w:szCs w:val="20"/>
          <w:color w:val="auto"/>
        </w:rPr>
        <w:t>generally accepted analytical procedures. These analytical procedures fall into three broad categories or methods: (1)</w:t>
      </w:r>
    </w:p>
    <w:p>
      <w:pPr>
        <w:spacing w:after="0" w:line="202" w:lineRule="auto"/>
        <w:rPr>
          <w:sz w:val="20"/>
          <w:szCs w:val="20"/>
          <w:color w:val="auto"/>
        </w:rPr>
      </w:pPr>
      <w:r>
        <w:rPr>
          <w:rFonts w:ascii="Arial" w:cs="Arial" w:eastAsia="Arial" w:hAnsi="Arial"/>
          <w:sz w:val="20"/>
          <w:szCs w:val="20"/>
          <w:color w:val="auto"/>
        </w:rPr>
        <w:t>performance-based methods; (2) volumetric-based methods; and (3) analogy. These methods may be used individually or in combination by the reserves evaluator in the process of estimating the quantities of reserves. Reserves evaluators must select</w:t>
      </w:r>
    </w:p>
    <w:p>
      <w:pPr>
        <w:spacing w:after="0" w:line="210" w:lineRule="auto"/>
        <w:rPr>
          <w:sz w:val="20"/>
          <w:szCs w:val="20"/>
          <w:color w:val="auto"/>
        </w:rPr>
      </w:pPr>
      <w:r>
        <w:rPr>
          <w:rFonts w:ascii="Arial" w:cs="Arial" w:eastAsia="Arial" w:hAnsi="Arial"/>
          <w:sz w:val="20"/>
          <w:szCs w:val="20"/>
          <w:color w:val="auto"/>
        </w:rPr>
        <w:t>the method or combination of methods which in their professional judgment is most appropriate given the nature and amount of</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reliable geoscience and engineering data available at the time of the estimate, the established or anticipated performance characteristics of the reservoir being evaluated and the stage of development or producing maturity of the property.</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w:t>
      </w:r>
    </w:p>
    <w:p>
      <w:pPr>
        <w:spacing w:after="0" w:line="220" w:lineRule="auto"/>
        <w:rPr>
          <w:sz w:val="20"/>
          <w:szCs w:val="20"/>
          <w:color w:val="auto"/>
        </w:rPr>
      </w:pPr>
      <w:r>
        <w:rPr>
          <w:rFonts w:ascii="Arial" w:cs="Arial" w:eastAsia="Arial" w:hAnsi="Arial"/>
          <w:sz w:val="20"/>
          <w:szCs w:val="20"/>
          <w:color w:val="auto"/>
        </w:rPr>
        <w:t>data may indicate a range of possible outcomes in an estimate, irrespective of the method selected by the evaluator. When a range in the quantity of reserves is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259" w:name="page260"/>
    <w:bookmarkEnd w:id="259"/>
    <w:p>
      <w:pPr>
        <w:spacing w:after="0"/>
        <w:rPr>
          <w:sz w:val="20"/>
          <w:szCs w:val="20"/>
          <w:color w:val="auto"/>
        </w:rPr>
      </w:pPr>
      <w:r>
        <w:rPr>
          <w:rFonts w:ascii="Arial" w:cs="Arial" w:eastAsia="Arial" w:hAnsi="Arial"/>
          <w:sz w:val="20"/>
          <w:szCs w:val="20"/>
          <w:color w:val="auto"/>
        </w:rPr>
        <w:t>Diamondback Energy, Inc. (FANG)</w:t>
      </w:r>
    </w:p>
    <w:p>
      <w:pPr>
        <w:spacing w:after="0" w:line="209" w:lineRule="auto"/>
        <w:rPr>
          <w:sz w:val="20"/>
          <w:szCs w:val="20"/>
          <w:color w:val="auto"/>
        </w:rPr>
      </w:pPr>
      <w:r>
        <w:rPr>
          <w:rFonts w:ascii="Arial" w:cs="Arial" w:eastAsia="Arial" w:hAnsi="Arial"/>
          <w:sz w:val="20"/>
          <w:szCs w:val="20"/>
          <w:color w:val="auto"/>
        </w:rPr>
        <w:t>January 5, 2023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color w:val="auto"/>
        </w:rPr>
        <w:t>identified, the evaluator must determine the uncertainty associated with the incremental quantities of the reserves. If the reserves</w:t>
      </w:r>
    </w:p>
    <w:p>
      <w:pPr>
        <w:spacing w:after="0" w:line="202" w:lineRule="auto"/>
        <w:rPr>
          <w:sz w:val="20"/>
          <w:szCs w:val="20"/>
          <w:color w:val="auto"/>
        </w:rPr>
      </w:pPr>
      <w:r>
        <w:rPr>
          <w:rFonts w:ascii="Arial" w:cs="Arial" w:eastAsia="Arial" w:hAnsi="Arial"/>
          <w:sz w:val="20"/>
          <w:szCs w:val="20"/>
          <w:color w:val="auto"/>
        </w:rPr>
        <w:t>quantities are estimated using the deterministic incremental approach, the uncertainty for each discrete incremental quantity of the reserves is addressed by the reserves category assigned by the evaluator. Therefore, it is the categorization of reserves</w:t>
      </w:r>
    </w:p>
    <w:p>
      <w:pPr>
        <w:spacing w:after="0" w:line="210" w:lineRule="auto"/>
        <w:rPr>
          <w:sz w:val="20"/>
          <w:szCs w:val="20"/>
          <w:color w:val="auto"/>
        </w:rPr>
      </w:pPr>
      <w:r>
        <w:rPr>
          <w:rFonts w:ascii="Arial" w:cs="Arial" w:eastAsia="Arial" w:hAnsi="Arial"/>
          <w:sz w:val="20"/>
          <w:szCs w:val="20"/>
          <w:color w:val="auto"/>
        </w:rPr>
        <w:t>quantities as proved, probable and/or possible that addresses the inherent uncertainty in the estimated quantities reported. For</w:t>
      </w:r>
    </w:p>
    <w:p>
      <w:pPr>
        <w:spacing w:after="0" w:line="1" w:lineRule="exact"/>
        <w:rPr>
          <w:sz w:val="20"/>
          <w:szCs w:val="20"/>
          <w:color w:val="auto"/>
        </w:rPr>
      </w:pPr>
    </w:p>
    <w:p>
      <w:pPr>
        <w:spacing w:after="0" w:line="213" w:lineRule="auto"/>
        <w:rPr>
          <w:sz w:val="20"/>
          <w:szCs w:val="20"/>
          <w:color w:val="auto"/>
        </w:rPr>
      </w:pPr>
      <w:r>
        <w:rPr>
          <w:rFonts w:ascii="Arial" w:cs="Arial" w:eastAsia="Arial" w:hAnsi="Arial"/>
          <w:sz w:val="19"/>
          <w:szCs w:val="19"/>
          <w:color w:val="auto"/>
        </w:rPr>
        <w:t>proved reserves, uncertainty is defined by the SEC as reasonable certainty wherein the “quantities actually recovered are much more likely to be achieved than not.” The SEC states that “probable reserves are those additional reserves that are less certain to</w:t>
      </w:r>
    </w:p>
    <w:p>
      <w:pPr>
        <w:spacing w:after="0" w:line="210" w:lineRule="auto"/>
        <w:rPr>
          <w:sz w:val="20"/>
          <w:szCs w:val="20"/>
          <w:color w:val="auto"/>
        </w:rPr>
      </w:pPr>
      <w:r>
        <w:rPr>
          <w:rFonts w:ascii="Arial" w:cs="Arial" w:eastAsia="Arial" w:hAnsi="Arial"/>
          <w:sz w:val="20"/>
          <w:szCs w:val="20"/>
          <w:color w:val="auto"/>
        </w:rPr>
        <w:t>be recovered than proved reserves but which, together with proved reserves, are as likely as not to be recovered.” The SEC</w:t>
      </w:r>
    </w:p>
    <w:p>
      <w:pPr>
        <w:spacing w:after="0" w:line="202" w:lineRule="auto"/>
        <w:rPr>
          <w:sz w:val="20"/>
          <w:szCs w:val="20"/>
          <w:color w:val="auto"/>
        </w:rPr>
      </w:pPr>
      <w:r>
        <w:rPr>
          <w:rFonts w:ascii="Arial" w:cs="Arial" w:eastAsia="Arial" w:hAnsi="Arial"/>
          <w:sz w:val="20"/>
          <w:szCs w:val="20"/>
          <w:color w:val="auto"/>
        </w:rPr>
        <w:t>states that “possible reserves are those additional reserves that are less certain to be recovered than probable reserves and the total quantities ultimately recovered from a project have a low probability of exceeding proved plus probable plus possible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reserves.” All quantities of reserves within the same reserves category must meet the SEC definitions as noted above.</w:t>
      </w:r>
    </w:p>
    <w:p>
      <w:pPr>
        <w:spacing w:after="0" w:line="212" w:lineRule="exact"/>
        <w:rPr>
          <w:sz w:val="20"/>
          <w:szCs w:val="20"/>
          <w:color w:val="auto"/>
        </w:rPr>
      </w:pPr>
    </w:p>
    <w:p>
      <w:pPr>
        <w:ind w:firstLine="643"/>
        <w:spacing w:after="0" w:line="202"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categories may also be revised due to other factors such as changes in economic conditions, results of future operations, effects of regulation by governmental agencies or geopolitical or economic risks as previously noted herein.</w:t>
      </w:r>
    </w:p>
    <w:p>
      <w:pPr>
        <w:spacing w:after="0" w:line="194" w:lineRule="exact"/>
        <w:rPr>
          <w:sz w:val="20"/>
          <w:szCs w:val="20"/>
          <w:color w:val="auto"/>
        </w:rPr>
      </w:pPr>
    </w:p>
    <w:p>
      <w:pPr>
        <w:ind w:firstLine="643"/>
        <w:spacing w:after="0" w:line="209" w:lineRule="auto"/>
        <w:rPr>
          <w:sz w:val="20"/>
          <w:szCs w:val="20"/>
          <w:color w:val="auto"/>
        </w:rPr>
      </w:pPr>
      <w:r>
        <w:rPr>
          <w:rFonts w:ascii="Arial" w:cs="Arial" w:eastAsia="Arial" w:hAnsi="Arial"/>
          <w:sz w:val="20"/>
          <w:szCs w:val="20"/>
          <w:color w:val="auto"/>
        </w:rPr>
        <w:t>The reserves prepared by Diamondback for the properties that we reviewed were estimated by performance methods, analogy, or a combination of methods. In general, the reserves attributable to producing wells and/or reservoirs were estimated</w:t>
      </w:r>
    </w:p>
    <w:p>
      <w:pPr>
        <w:spacing w:after="0" w:line="1" w:lineRule="exact"/>
        <w:rPr>
          <w:sz w:val="20"/>
          <w:szCs w:val="20"/>
          <w:color w:val="auto"/>
        </w:rPr>
      </w:pPr>
    </w:p>
    <w:p>
      <w:pPr>
        <w:spacing w:after="0" w:line="213" w:lineRule="auto"/>
        <w:rPr>
          <w:sz w:val="20"/>
          <w:szCs w:val="20"/>
          <w:color w:val="auto"/>
        </w:rPr>
      </w:pPr>
      <w:r>
        <w:rPr>
          <w:rFonts w:ascii="Arial" w:cs="Arial" w:eastAsia="Arial" w:hAnsi="Arial"/>
          <w:sz w:val="19"/>
          <w:szCs w:val="19"/>
          <w:color w:val="auto"/>
        </w:rPr>
        <w:t>by performance methods. These performance methods include, but may not be limited to, decline curve analysis, which utilized extrapolations of historical production and pressure data available through December, 2022 in those cases where such data were</w:t>
      </w:r>
    </w:p>
    <w:p>
      <w:pPr>
        <w:spacing w:after="0" w:line="213" w:lineRule="auto"/>
        <w:rPr>
          <w:sz w:val="20"/>
          <w:szCs w:val="20"/>
          <w:color w:val="auto"/>
        </w:rPr>
      </w:pPr>
      <w:r>
        <w:rPr>
          <w:rFonts w:ascii="Arial" w:cs="Arial" w:eastAsia="Arial" w:hAnsi="Arial"/>
          <w:sz w:val="19"/>
          <w:szCs w:val="19"/>
          <w:color w:val="auto"/>
        </w:rPr>
        <w:t>considered to be definitive. The data used in these analyses were furnished to Ryder Scott by Diamondback or obtained from public data sources and were considered sufficient for the purpose thereof. In certain cases, producing reserves were estimated</w:t>
      </w:r>
    </w:p>
    <w:p>
      <w:pPr>
        <w:spacing w:after="0" w:line="221" w:lineRule="auto"/>
        <w:rPr>
          <w:sz w:val="20"/>
          <w:szCs w:val="20"/>
          <w:color w:val="auto"/>
        </w:rPr>
      </w:pPr>
      <w:r>
        <w:rPr>
          <w:rFonts w:ascii="Arial" w:cs="Arial" w:eastAsia="Arial" w:hAnsi="Arial"/>
          <w:sz w:val="19"/>
          <w:szCs w:val="19"/>
          <w:color w:val="auto"/>
        </w:rPr>
        <w:t>by analogy or a combination of methods. These methods were used where there were inadequate historical performance data to</w:t>
      </w:r>
    </w:p>
    <w:p>
      <w:pPr>
        <w:spacing w:after="0" w:line="220" w:lineRule="auto"/>
        <w:rPr>
          <w:sz w:val="20"/>
          <w:szCs w:val="20"/>
          <w:color w:val="auto"/>
        </w:rPr>
      </w:pPr>
      <w:r>
        <w:rPr>
          <w:rFonts w:ascii="Arial" w:cs="Arial" w:eastAsia="Arial" w:hAnsi="Arial"/>
          <w:sz w:val="20"/>
          <w:szCs w:val="20"/>
          <w:color w:val="auto"/>
        </w:rPr>
        <w:t>establish a definitive trend and where the use of production performance data as a basis for the estimates was considered to be inappropriate.</w:t>
      </w:r>
    </w:p>
    <w:p>
      <w:pPr>
        <w:spacing w:after="0" w:line="208" w:lineRule="exact"/>
        <w:rPr>
          <w:sz w:val="20"/>
          <w:szCs w:val="20"/>
          <w:color w:val="auto"/>
        </w:rPr>
      </w:pPr>
    </w:p>
    <w:p>
      <w:pPr>
        <w:ind w:firstLine="643"/>
        <w:spacing w:after="0" w:line="227" w:lineRule="auto"/>
        <w:rPr>
          <w:sz w:val="20"/>
          <w:szCs w:val="20"/>
          <w:color w:val="auto"/>
        </w:rPr>
      </w:pPr>
      <w:r>
        <w:rPr>
          <w:rFonts w:ascii="Arial" w:cs="Arial" w:eastAsia="Arial" w:hAnsi="Arial"/>
          <w:sz w:val="20"/>
          <w:szCs w:val="20"/>
          <w:color w:val="auto"/>
        </w:rPr>
        <w:t>The reserves prepared by Diamondback attributable to the undeveloped status category that we reviewed were estimated by analogy.</w:t>
      </w:r>
    </w:p>
    <w:p>
      <w:pPr>
        <w:spacing w:after="0" w:line="194" w:lineRule="exact"/>
        <w:rPr>
          <w:sz w:val="20"/>
          <w:szCs w:val="20"/>
          <w:color w:val="auto"/>
        </w:rPr>
      </w:pPr>
    </w:p>
    <w:p>
      <w:pPr>
        <w:ind w:firstLine="643"/>
        <w:spacing w:after="0" w:line="209" w:lineRule="auto"/>
        <w:rPr>
          <w:sz w:val="20"/>
          <w:szCs w:val="20"/>
          <w:color w:val="auto"/>
        </w:rPr>
      </w:pPr>
      <w:r>
        <w:rPr>
          <w:rFonts w:ascii="Arial" w:cs="Arial" w:eastAsia="Arial" w:hAnsi="Arial"/>
          <w:sz w:val="20"/>
          <w:szCs w:val="20"/>
          <w:color w:val="auto"/>
        </w:rPr>
        <w:t>To estimate economically producible proved oil and gas reserves and related future net cash flows, many factors and assumptions are considered including, but not limited to, the use of reservoir parameters derived from geological, geophysical</w:t>
      </w:r>
    </w:p>
    <w:p>
      <w:pPr>
        <w:spacing w:after="0" w:line="1" w:lineRule="exact"/>
        <w:rPr>
          <w:sz w:val="20"/>
          <w:szCs w:val="20"/>
          <w:color w:val="auto"/>
        </w:rPr>
      </w:pPr>
    </w:p>
    <w:p>
      <w:pPr>
        <w:spacing w:after="0" w:line="213" w:lineRule="auto"/>
        <w:rPr>
          <w:sz w:val="20"/>
          <w:szCs w:val="20"/>
          <w:color w:val="auto"/>
        </w:rPr>
      </w:pPr>
      <w:r>
        <w:rPr>
          <w:rFonts w:ascii="Arial" w:cs="Arial" w:eastAsia="Arial" w:hAnsi="Arial"/>
          <w:sz w:val="19"/>
          <w:szCs w:val="19"/>
          <w:color w:val="auto"/>
        </w:rPr>
        <w:t>and engineering data which cannot be measured directly, economic criteria based on current costs and SEC pricing requirements, and forecasts of future production rates. Under the SEC regulations 210.4-10(a)(22)(v) and (26), proved reserves</w:t>
      </w:r>
    </w:p>
    <w:p>
      <w:pPr>
        <w:spacing w:after="0" w:line="221" w:lineRule="auto"/>
        <w:rPr>
          <w:sz w:val="20"/>
          <w:szCs w:val="20"/>
          <w:color w:val="auto"/>
        </w:rPr>
      </w:pPr>
      <w:r>
        <w:rPr>
          <w:rFonts w:ascii="Arial" w:cs="Arial" w:eastAsia="Arial" w:hAnsi="Arial"/>
          <w:sz w:val="19"/>
          <w:szCs w:val="19"/>
          <w:color w:val="auto"/>
        </w:rPr>
        <w:t>must be anticipated to be economically producible from a given date forward based on existing economic conditions including the</w:t>
      </w:r>
    </w:p>
    <w:p>
      <w:pPr>
        <w:spacing w:after="0" w:line="213" w:lineRule="auto"/>
        <w:rPr>
          <w:sz w:val="20"/>
          <w:szCs w:val="20"/>
          <w:color w:val="auto"/>
        </w:rPr>
      </w:pPr>
      <w:r>
        <w:rPr>
          <w:rFonts w:ascii="Arial" w:cs="Arial" w:eastAsia="Arial" w:hAnsi="Arial"/>
          <w:sz w:val="19"/>
          <w:szCs w:val="19"/>
          <w:color w:val="auto"/>
        </w:rPr>
        <w:t>prices and costs at which economic producibility from a reservoir is to be determined. While it may reasonably be anticipated that the future prices received for the sale of production and the operating costs and other costs relating to such production may</w:t>
      </w:r>
    </w:p>
    <w:p>
      <w:pPr>
        <w:spacing w:after="0" w:line="227" w:lineRule="auto"/>
        <w:rPr>
          <w:sz w:val="20"/>
          <w:szCs w:val="20"/>
          <w:color w:val="auto"/>
        </w:rPr>
      </w:pPr>
      <w:r>
        <w:rPr>
          <w:rFonts w:ascii="Arial" w:cs="Arial" w:eastAsia="Arial" w:hAnsi="Arial"/>
          <w:sz w:val="20"/>
          <w:szCs w:val="20"/>
          <w:color w:val="auto"/>
        </w:rPr>
        <w:t>increase or decrease from those under existing economic conditions, such changes were, in accordance with rules adopted by the SEC, omitted from consideration in conducting this review.</w:t>
      </w:r>
    </w:p>
    <w:p>
      <w:pPr>
        <w:spacing w:after="0" w:line="194" w:lineRule="exact"/>
        <w:rPr>
          <w:sz w:val="20"/>
          <w:szCs w:val="20"/>
          <w:color w:val="auto"/>
        </w:rPr>
      </w:pPr>
    </w:p>
    <w:p>
      <w:pPr>
        <w:ind w:firstLine="643"/>
        <w:spacing w:after="0" w:line="209" w:lineRule="auto"/>
        <w:rPr>
          <w:sz w:val="20"/>
          <w:szCs w:val="20"/>
          <w:color w:val="auto"/>
        </w:rPr>
      </w:pPr>
      <w:r>
        <w:rPr>
          <w:rFonts w:ascii="Arial" w:cs="Arial" w:eastAsia="Arial" w:hAnsi="Arial"/>
          <w:sz w:val="20"/>
          <w:szCs w:val="20"/>
          <w:color w:val="auto"/>
        </w:rPr>
        <w:t>As stated previously, proved reserves must be anticipated to be economically producible from a given date forward based on existing economic conditions including the prices and costs at which economic producibility from a reservoir is to be</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determined. To confirm that the proved reserves reviewed by us meet the SEC requirements to be economically producible, we have reviewed certain primary economic data utilized by Diamondback relating to hydrocarbon prices and costs as noted herein.</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hydrocarbon prices furnished by Diamondback for the properties reviewed by us are based on SEC price parameters</w:t>
      </w:r>
    </w:p>
    <w:p>
      <w:pPr>
        <w:spacing w:after="0" w:line="202" w:lineRule="auto"/>
        <w:rPr>
          <w:sz w:val="20"/>
          <w:szCs w:val="20"/>
          <w:color w:val="auto"/>
        </w:rPr>
      </w:pPr>
      <w:r>
        <w:rPr>
          <w:rFonts w:ascii="Arial" w:cs="Arial" w:eastAsia="Arial" w:hAnsi="Arial"/>
          <w:sz w:val="20"/>
          <w:szCs w:val="20"/>
          <w:color w:val="auto"/>
        </w:rPr>
        <w:t>using the average prices during the 12-month period prior to the “as of date” of this report, determined as the unweighted arithmetic averages of the prices in effect on the first-day-of-the-month for each month within such period, unless prices were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defined by contractual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260" w:name="page261"/>
    <w:bookmarkEnd w:id="260"/>
    <w:p>
      <w:pPr>
        <w:spacing w:after="0"/>
        <w:rPr>
          <w:sz w:val="20"/>
          <w:szCs w:val="20"/>
          <w:color w:val="auto"/>
        </w:rPr>
      </w:pPr>
      <w:r>
        <w:rPr>
          <w:rFonts w:ascii="Arial" w:cs="Arial" w:eastAsia="Arial" w:hAnsi="Arial"/>
          <w:sz w:val="20"/>
          <w:szCs w:val="20"/>
          <w:color w:val="auto"/>
        </w:rPr>
        <w:t>Diamondback Energy, Inc. (FANG)</w:t>
      </w:r>
    </w:p>
    <w:p>
      <w:pPr>
        <w:spacing w:after="0" w:line="209" w:lineRule="auto"/>
        <w:rPr>
          <w:sz w:val="20"/>
          <w:szCs w:val="20"/>
          <w:color w:val="auto"/>
        </w:rPr>
      </w:pPr>
      <w:r>
        <w:rPr>
          <w:rFonts w:ascii="Arial" w:cs="Arial" w:eastAsia="Arial" w:hAnsi="Arial"/>
          <w:sz w:val="20"/>
          <w:szCs w:val="20"/>
          <w:color w:val="auto"/>
        </w:rPr>
        <w:t>January 5, 2023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color w:val="auto"/>
        </w:rPr>
        <w:t>arrangements. For hydrocarbon products sold under contract, the contract prices, including fixed and determinable escalations</w:t>
      </w:r>
    </w:p>
    <w:p>
      <w:pPr>
        <w:jc w:val="both"/>
        <w:ind w:right="20"/>
        <w:spacing w:after="0" w:line="220" w:lineRule="auto"/>
        <w:rPr>
          <w:sz w:val="20"/>
          <w:szCs w:val="20"/>
          <w:color w:val="auto"/>
        </w:rPr>
      </w:pPr>
      <w:r>
        <w:rPr>
          <w:rFonts w:ascii="Arial" w:cs="Arial" w:eastAsia="Arial" w:hAnsi="Arial"/>
          <w:sz w:val="20"/>
          <w:szCs w:val="20"/>
          <w:color w:val="auto"/>
        </w:rPr>
        <w:t>exclusive of inflation adjustments, were used until expiration of the contract. Upon contract expiration, the prices were adjusted to the 12-month unweighted arithmetic average as previously described.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initial SEC hydrocarbon benchmark prices in effect on December 31, 2022 for the properties reviewed by us were</w:t>
      </w:r>
    </w:p>
    <w:p>
      <w:pPr>
        <w:jc w:val="both"/>
        <w:ind w:right="20"/>
        <w:spacing w:after="0" w:line="202" w:lineRule="auto"/>
        <w:rPr>
          <w:sz w:val="20"/>
          <w:szCs w:val="20"/>
          <w:color w:val="auto"/>
        </w:rPr>
      </w:pPr>
      <w:r>
        <w:rPr>
          <w:rFonts w:ascii="Arial" w:cs="Arial" w:eastAsia="Arial" w:hAnsi="Arial"/>
          <w:sz w:val="20"/>
          <w:szCs w:val="20"/>
          <w:color w:val="auto"/>
        </w:rPr>
        <w:t>determined using the 12-month average first-day-of-the-month benchmark prices appropriate to the geographic area where the hydrocarbons are sold. These benchmark prices are prior to the adjustments for differentials as described herein. The table</w:t>
      </w:r>
    </w:p>
    <w:p>
      <w:pPr>
        <w:spacing w:after="0" w:line="221" w:lineRule="auto"/>
        <w:rPr>
          <w:sz w:val="20"/>
          <w:szCs w:val="20"/>
          <w:color w:val="auto"/>
        </w:rPr>
      </w:pPr>
      <w:r>
        <w:rPr>
          <w:rFonts w:ascii="Arial" w:cs="Arial" w:eastAsia="Arial" w:hAnsi="Arial"/>
          <w:sz w:val="19"/>
          <w:szCs w:val="19"/>
          <w:color w:val="auto"/>
        </w:rPr>
        <w:t>below summarizes the “benchmark prices” and “price reference” used by Diamondback for the geographic area reviewed by us.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certain geographic areas, the price reference and benchmark prices may be defined by contractual arrangements.</w:t>
      </w:r>
    </w:p>
    <w:p>
      <w:pPr>
        <w:spacing w:after="0" w:line="198" w:lineRule="exact"/>
        <w:rPr>
          <w:sz w:val="20"/>
          <w:szCs w:val="20"/>
          <w:color w:val="auto"/>
        </w:rPr>
      </w:pPr>
    </w:p>
    <w:p>
      <w:pPr>
        <w:jc w:val="both"/>
        <w:ind w:right="20" w:firstLine="643"/>
        <w:spacing w:after="0" w:line="209" w:lineRule="auto"/>
        <w:rPr>
          <w:sz w:val="20"/>
          <w:szCs w:val="20"/>
          <w:color w:val="auto"/>
        </w:rPr>
      </w:pPr>
      <w:r>
        <w:rPr>
          <w:rFonts w:ascii="Arial" w:cs="Arial" w:eastAsia="Arial" w:hAnsi="Arial"/>
          <w:sz w:val="20"/>
          <w:szCs w:val="20"/>
          <w:color w:val="auto"/>
        </w:rPr>
        <w:t>The product prices that were actually used by Diamondback to determine the future gross revenue for each property reviewed by us reflect adjustments to the benchmark prices for gravity, quality, local conditions, and/or distance from market,</w:t>
      </w:r>
    </w:p>
    <w:p>
      <w:pPr>
        <w:spacing w:after="0" w:line="1" w:lineRule="exact"/>
        <w:rPr>
          <w:sz w:val="20"/>
          <w:szCs w:val="20"/>
          <w:color w:val="auto"/>
        </w:rPr>
      </w:pPr>
    </w:p>
    <w:p>
      <w:pPr>
        <w:jc w:val="both"/>
        <w:ind w:right="40"/>
        <w:spacing w:after="0" w:line="220" w:lineRule="auto"/>
        <w:rPr>
          <w:sz w:val="20"/>
          <w:szCs w:val="20"/>
          <w:color w:val="auto"/>
        </w:rPr>
      </w:pPr>
      <w:r>
        <w:rPr>
          <w:rFonts w:ascii="Arial" w:cs="Arial" w:eastAsia="Arial" w:hAnsi="Arial"/>
          <w:sz w:val="20"/>
          <w:szCs w:val="20"/>
          <w:color w:val="auto"/>
        </w:rPr>
        <w:t>referred to herein as “differentials.” The differentials used by Diamondback were accepted as factual data and reviewed by us for their reasonableness; however, we have not conducted an independent verification of the data used by Diamondback.</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table below summarizes Diamondback’s net volume weighted benchmark prices adjusted for differentials for the</w:t>
      </w:r>
    </w:p>
    <w:p>
      <w:pPr>
        <w:jc w:val="both"/>
        <w:ind w:right="20"/>
        <w:spacing w:after="0" w:line="202" w:lineRule="auto"/>
        <w:rPr>
          <w:sz w:val="20"/>
          <w:szCs w:val="20"/>
          <w:color w:val="auto"/>
        </w:rPr>
      </w:pPr>
      <w:r>
        <w:rPr>
          <w:rFonts w:ascii="Arial" w:cs="Arial" w:eastAsia="Arial" w:hAnsi="Arial"/>
          <w:sz w:val="20"/>
          <w:szCs w:val="20"/>
          <w:color w:val="auto"/>
        </w:rPr>
        <w:t>Viper properties reviewed by us and referred to herein as “average realized prices.” The average realized prices shown in the table below were determined from Diamondback’s estimate of the total future gross revenue before production taxes for the</w:t>
      </w:r>
    </w:p>
    <w:p>
      <w:pPr>
        <w:spacing w:after="0" w:line="210" w:lineRule="auto"/>
        <w:rPr>
          <w:sz w:val="20"/>
          <w:szCs w:val="20"/>
          <w:color w:val="auto"/>
        </w:rPr>
      </w:pPr>
      <w:r>
        <w:rPr>
          <w:rFonts w:ascii="Arial" w:cs="Arial" w:eastAsia="Arial" w:hAnsi="Arial"/>
          <w:sz w:val="20"/>
          <w:szCs w:val="20"/>
          <w:color w:val="auto"/>
        </w:rPr>
        <w:t>properties reviewed by us and Diamondback’s estimate of the total net reserves for the properties reviewed by us for the</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geographic area. The data shown in the table below is presented in accordance with SEC disclosure requirements for each of the geographic areas reviewed by us.</w:t>
      </w: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00" w:type="dxa"/>
            <w:vAlign w:val="bottom"/>
            <w:tcBorders>
              <w:top w:val="single" w:sz="8" w:color="auto"/>
              <w:left w:val="single" w:sz="8" w:color="auto"/>
              <w:right w:val="single" w:sz="8" w:color="auto"/>
            </w:tcBorders>
          </w:tcPr>
          <w:p>
            <w:pPr>
              <w:spacing w:after="0"/>
              <w:rPr>
                <w:sz w:val="18"/>
                <w:szCs w:val="18"/>
                <w:color w:val="auto"/>
              </w:rPr>
            </w:pPr>
          </w:p>
        </w:tc>
        <w:tc>
          <w:tcPr>
            <w:tcW w:w="2100" w:type="dxa"/>
            <w:vAlign w:val="bottom"/>
            <w:tcBorders>
              <w:top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tcPr>
          <w:p>
            <w:pPr>
              <w:spacing w:after="0"/>
              <w:rPr>
                <w:sz w:val="18"/>
                <w:szCs w:val="18"/>
                <w:color w:val="auto"/>
              </w:rPr>
            </w:pPr>
          </w:p>
        </w:tc>
        <w:tc>
          <w:tcPr>
            <w:tcW w:w="2100" w:type="dxa"/>
            <w:vAlign w:val="bottom"/>
            <w:tcBorders>
              <w:top w:val="single" w:sz="8" w:color="auto"/>
              <w:right w:val="single" w:sz="8" w:color="auto"/>
            </w:tcBorders>
          </w:tcPr>
          <w:p>
            <w:pPr>
              <w:jc w:val="center"/>
              <w:spacing w:after="0" w:line="210" w:lineRule="exact"/>
              <w:rPr>
                <w:sz w:val="20"/>
                <w:szCs w:val="20"/>
                <w:color w:val="auto"/>
              </w:rPr>
            </w:pPr>
            <w:r>
              <w:rPr>
                <w:rFonts w:ascii="Arial" w:cs="Arial" w:eastAsia="Arial" w:hAnsi="Arial"/>
                <w:sz w:val="20"/>
                <w:szCs w:val="20"/>
                <w:color w:val="auto"/>
                <w:w w:val="99"/>
              </w:rPr>
              <w:t>Average</w:t>
            </w:r>
          </w:p>
        </w:tc>
        <w:tc>
          <w:tcPr>
            <w:tcW w:w="18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7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color w:val="auto"/>
              </w:rPr>
              <w:t>Geographic Area</w:t>
            </w:r>
          </w:p>
        </w:tc>
        <w:tc>
          <w:tcPr>
            <w:tcW w:w="2100" w:type="dxa"/>
            <w:vAlign w:val="bottom"/>
            <w:tcBorders>
              <w:right w:val="single" w:sz="8" w:color="auto"/>
            </w:tcBorders>
            <w:vMerge w:val="restart"/>
          </w:tcPr>
          <w:p>
            <w:pPr>
              <w:ind w:left="700"/>
              <w:spacing w:after="0"/>
              <w:rPr>
                <w:sz w:val="20"/>
                <w:szCs w:val="20"/>
                <w:color w:val="auto"/>
              </w:rPr>
            </w:pPr>
            <w:r>
              <w:rPr>
                <w:rFonts w:ascii="Arial" w:cs="Arial" w:eastAsia="Arial" w:hAnsi="Arial"/>
                <w:sz w:val="20"/>
                <w:szCs w:val="20"/>
                <w:color w:val="auto"/>
              </w:rPr>
              <w:t>Product</w:t>
            </w:r>
          </w:p>
        </w:tc>
        <w:tc>
          <w:tcPr>
            <w:tcW w:w="24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20"/>
                <w:szCs w:val="20"/>
                <w:color w:val="auto"/>
                <w:w w:val="96"/>
              </w:rPr>
              <w:t>Price</w:t>
            </w:r>
          </w:p>
        </w:tc>
        <w:tc>
          <w:tcPr>
            <w:tcW w:w="21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20"/>
                <w:szCs w:val="20"/>
                <w:color w:val="auto"/>
                <w:w w:val="96"/>
              </w:rPr>
              <w:t>Benchmark</w:t>
            </w:r>
          </w:p>
        </w:tc>
        <w:tc>
          <w:tcPr>
            <w:tcW w:w="18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20"/>
                <w:szCs w:val="20"/>
                <w:color w:val="auto"/>
                <w:w w:val="97"/>
              </w:rPr>
              <w:t>Average Realized</w:t>
            </w:r>
          </w:p>
        </w:tc>
        <w:tc>
          <w:tcPr>
            <w:tcW w:w="0" w:type="dxa"/>
            <w:vAlign w:val="bottom"/>
          </w:tcPr>
          <w:p>
            <w:pPr>
              <w:spacing w:after="0"/>
              <w:rPr>
                <w:sz w:val="1"/>
                <w:szCs w:val="1"/>
                <w:color w:val="auto"/>
              </w:rPr>
            </w:pPr>
          </w:p>
        </w:tc>
      </w:tr>
      <w:tr>
        <w:trPr>
          <w:trHeight w:val="240"/>
        </w:trPr>
        <w:tc>
          <w:tcPr>
            <w:tcW w:w="27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Reference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Prices</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Prices</w:t>
            </w:r>
          </w:p>
        </w:tc>
        <w:tc>
          <w:tcPr>
            <w:tcW w:w="0" w:type="dxa"/>
            <w:vAlign w:val="bottom"/>
          </w:tcPr>
          <w:p>
            <w:pPr>
              <w:spacing w:after="0"/>
              <w:rPr>
                <w:sz w:val="1"/>
                <w:szCs w:val="1"/>
                <w:color w:val="auto"/>
              </w:rPr>
            </w:pPr>
          </w:p>
        </w:tc>
      </w:tr>
      <w:tr>
        <w:trPr>
          <w:trHeight w:val="248"/>
        </w:trPr>
        <w:tc>
          <w:tcPr>
            <w:tcW w:w="270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20"/>
                <w:szCs w:val="20"/>
                <w:color w:val="auto"/>
              </w:rPr>
              <w:t>North America</w:t>
            </w:r>
          </w:p>
        </w:tc>
        <w:tc>
          <w:tcPr>
            <w:tcW w:w="2100" w:type="dxa"/>
            <w:vAlign w:val="bottom"/>
            <w:tcBorders>
              <w:bottom w:val="single" w:sz="8" w:color="auto"/>
              <w:right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700" w:type="dxa"/>
            <w:vAlign w:val="bottom"/>
            <w:tcBorders>
              <w:left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Oil/Condensate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WTI Cushing</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$93.67/Bbl</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$95.04/Bbl</w:t>
            </w:r>
          </w:p>
        </w:tc>
        <w:tc>
          <w:tcPr>
            <w:tcW w:w="0" w:type="dxa"/>
            <w:vAlign w:val="bottom"/>
          </w:tcPr>
          <w:p>
            <w:pPr>
              <w:spacing w:after="0"/>
              <w:rPr>
                <w:sz w:val="1"/>
                <w:szCs w:val="1"/>
                <w:color w:val="auto"/>
              </w:rPr>
            </w:pPr>
          </w:p>
        </w:tc>
      </w:tr>
      <w:tr>
        <w:trPr>
          <w:trHeight w:val="250"/>
        </w:trPr>
        <w:tc>
          <w:tcPr>
            <w:tcW w:w="270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20"/>
                <w:szCs w:val="20"/>
                <w:color w:val="auto"/>
              </w:rPr>
              <w:t>United States</w:t>
            </w:r>
          </w:p>
        </w:tc>
        <w:tc>
          <w:tcPr>
            <w:tcW w:w="2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NGLs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WTI Cushing</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$93.67/Bbl</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$38.95/Bbl</w:t>
            </w:r>
          </w:p>
        </w:tc>
        <w:tc>
          <w:tcPr>
            <w:tcW w:w="0" w:type="dxa"/>
            <w:vAlign w:val="bottom"/>
          </w:tcPr>
          <w:p>
            <w:pPr>
              <w:spacing w:after="0"/>
              <w:rPr>
                <w:sz w:val="1"/>
                <w:szCs w:val="1"/>
                <w:color w:val="auto"/>
              </w:rPr>
            </w:pPr>
          </w:p>
        </w:tc>
      </w:tr>
      <w:tr>
        <w:trPr>
          <w:trHeight w:val="248"/>
        </w:trPr>
        <w:tc>
          <w:tcPr>
            <w:tcW w:w="2700" w:type="dxa"/>
            <w:vAlign w:val="bottom"/>
            <w:tcBorders>
              <w:left w:val="single" w:sz="8" w:color="auto"/>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Gas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Henry Hub</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$6.358/MMBTU</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$5.74/Mcf</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right="40" w:firstLine="643"/>
        <w:spacing w:after="0" w:line="257"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Diamondback’s individual property evaluations.</w:t>
      </w:r>
    </w:p>
    <w:p>
      <w:pPr>
        <w:spacing w:after="0" w:line="230" w:lineRule="exact"/>
        <w:rPr>
          <w:sz w:val="20"/>
          <w:szCs w:val="20"/>
          <w:color w:val="auto"/>
        </w:rPr>
      </w:pPr>
    </w:p>
    <w:p>
      <w:pPr>
        <w:jc w:val="both"/>
        <w:ind w:right="20" w:firstLine="643"/>
        <w:spacing w:after="0" w:line="243" w:lineRule="auto"/>
        <w:rPr>
          <w:sz w:val="20"/>
          <w:szCs w:val="20"/>
          <w:color w:val="auto"/>
        </w:rPr>
      </w:pPr>
      <w:r>
        <w:rPr>
          <w:rFonts w:ascii="Arial" w:cs="Arial" w:eastAsia="Arial" w:hAnsi="Arial"/>
          <w:sz w:val="20"/>
          <w:szCs w:val="20"/>
          <w:color w:val="auto"/>
        </w:rPr>
        <w:t>Accumulated gas production imbalances, if any, were not taken into account in the proved gas reserves estimates reviewed. The proved gas volumes presented herein do not include volumes of gas consumed in operations as reserves.</w:t>
      </w:r>
    </w:p>
    <w:p>
      <w:pPr>
        <w:spacing w:after="0" w:line="244" w:lineRule="exact"/>
        <w:rPr>
          <w:sz w:val="20"/>
          <w:szCs w:val="20"/>
          <w:color w:val="auto"/>
        </w:rPr>
      </w:pPr>
    </w:p>
    <w:p>
      <w:pPr>
        <w:jc w:val="both"/>
        <w:ind w:right="20" w:firstLine="643"/>
        <w:spacing w:after="0" w:line="247" w:lineRule="auto"/>
        <w:rPr>
          <w:sz w:val="20"/>
          <w:szCs w:val="20"/>
          <w:color w:val="auto"/>
        </w:rPr>
      </w:pPr>
      <w:r>
        <w:rPr>
          <w:rFonts w:ascii="Arial" w:cs="Arial" w:eastAsia="Arial" w:hAnsi="Arial"/>
          <w:sz w:val="20"/>
          <w:szCs w:val="20"/>
          <w:color w:val="auto"/>
        </w:rPr>
        <w:t>Because Viper is a royalty interest owner, no operating, development, or abandonment costs are shown in the detailed cash flow. However, these costs were incorporated into the economic evaluation to determine the commercially recoverable reserves reported herein.</w:t>
      </w:r>
    </w:p>
    <w:p>
      <w:pPr>
        <w:spacing w:after="0" w:line="241" w:lineRule="exact"/>
        <w:rPr>
          <w:sz w:val="20"/>
          <w:szCs w:val="20"/>
          <w:color w:val="auto"/>
        </w:rPr>
      </w:pPr>
    </w:p>
    <w:p>
      <w:pPr>
        <w:jc w:val="both"/>
        <w:ind w:right="20" w:firstLine="643"/>
        <w:spacing w:after="0" w:line="261" w:lineRule="auto"/>
        <w:rPr>
          <w:sz w:val="20"/>
          <w:szCs w:val="20"/>
          <w:color w:val="auto"/>
        </w:rPr>
      </w:pPr>
      <w:r>
        <w:rPr>
          <w:rFonts w:ascii="Arial" w:cs="Arial" w:eastAsia="Arial" w:hAnsi="Arial"/>
          <w:sz w:val="19"/>
          <w:szCs w:val="19"/>
          <w:color w:val="auto"/>
        </w:rPr>
        <w:t>Operating costs furnished by Diamondback are based on the operating expense reports of Diamondback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60"/>
          </w:cols>
          <w:pgMar w:left="320" w:top="93" w:right="319" w:bottom="1440" w:gutter="0" w:footer="0" w:header="0"/>
        </w:sectPr>
      </w:pPr>
    </w:p>
    <w:bookmarkStart w:id="261" w:name="page262"/>
    <w:bookmarkEnd w:id="261"/>
    <w:p>
      <w:pPr>
        <w:spacing w:after="0"/>
        <w:rPr>
          <w:sz w:val="20"/>
          <w:szCs w:val="20"/>
          <w:color w:val="auto"/>
        </w:rPr>
      </w:pPr>
      <w:r>
        <w:rPr>
          <w:rFonts w:ascii="Arial" w:cs="Arial" w:eastAsia="Arial" w:hAnsi="Arial"/>
          <w:sz w:val="20"/>
          <w:szCs w:val="20"/>
          <w:color w:val="auto"/>
        </w:rPr>
        <w:t>Diamondback Energy, Inc. (FANG)</w:t>
      </w:r>
    </w:p>
    <w:p>
      <w:pPr>
        <w:spacing w:after="0" w:line="209" w:lineRule="auto"/>
        <w:rPr>
          <w:sz w:val="20"/>
          <w:szCs w:val="20"/>
          <w:color w:val="auto"/>
        </w:rPr>
      </w:pPr>
      <w:r>
        <w:rPr>
          <w:rFonts w:ascii="Arial" w:cs="Arial" w:eastAsia="Arial" w:hAnsi="Arial"/>
          <w:sz w:val="20"/>
          <w:szCs w:val="20"/>
          <w:color w:val="auto"/>
        </w:rPr>
        <w:t>January 5, 2023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properties include the COPAS overhead costs that are allocated directly to the leases and wells under terms of operating agreements</w:t>
      </w:r>
      <w:r>
        <w:rPr>
          <w:rFonts w:ascii="Arial" w:cs="Arial" w:eastAsia="Arial" w:hAnsi="Arial"/>
          <w:sz w:val="20"/>
          <w:szCs w:val="20"/>
          <w:b w:val="1"/>
          <w:bCs w:val="1"/>
          <w:color w:val="auto"/>
        </w:rPr>
        <w:t>.</w:t>
      </w:r>
      <w:r>
        <w:rPr>
          <w:rFonts w:ascii="Arial" w:cs="Arial" w:eastAsia="Arial" w:hAnsi="Arial"/>
          <w:sz w:val="20"/>
          <w:szCs w:val="20"/>
          <w:color w:val="auto"/>
        </w:rPr>
        <w:t xml:space="preserve"> The operating costs furnished by Diamondback were accepted as factual data and reviewed by us for their reasonableness; however, we have not conducted an independent verification of the data used by Diamondback. No deduction was made for loan repayments, interest expenses, or exploration and development prepayments that were not charged directly to the leases or wells.</w:t>
      </w:r>
    </w:p>
    <w:p>
      <w:pPr>
        <w:spacing w:after="0" w:line="241"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20"/>
          <w:szCs w:val="20"/>
          <w:color w:val="auto"/>
        </w:rPr>
        <w:t>Development costs furnished by Diamondback are based on authorizations for expenditure for the proposed work or actual costs for similar projects. The development costs furnished by Diamondback were accepted as factual data and reviewed by us for their reasonableness; however, we have not conducted an independent verification of the data used by Diamondback. The estimated net cost of abandonment after salvage was included by Diamondback for properties where abandonment costs net of salvage were material. Diamondback’s estimates of the net abandonment costs were accepted without independent verification.</w:t>
      </w:r>
    </w:p>
    <w:p>
      <w:pPr>
        <w:spacing w:after="0" w:line="240" w:lineRule="exact"/>
        <w:rPr>
          <w:sz w:val="20"/>
          <w:szCs w:val="20"/>
          <w:color w:val="auto"/>
        </w:rPr>
      </w:pPr>
    </w:p>
    <w:p>
      <w:pPr>
        <w:jc w:val="both"/>
        <w:ind w:firstLine="643"/>
        <w:spacing w:after="0" w:line="245" w:lineRule="auto"/>
        <w:rPr>
          <w:sz w:val="20"/>
          <w:szCs w:val="20"/>
          <w:color w:val="auto"/>
        </w:rPr>
      </w:pPr>
      <w:r>
        <w:rPr>
          <w:rFonts w:ascii="Arial" w:cs="Arial" w:eastAsia="Arial" w:hAnsi="Arial"/>
          <w:sz w:val="20"/>
          <w:szCs w:val="20"/>
          <w:color w:val="auto"/>
        </w:rPr>
        <w:t>The proved undeveloped reserves for the properties reviewed by us have been incorporated herein in accordance with Diamondback’s plans to develop these reserves as of December 31, 2022. The implementation of Diamondback’s development plans as presented to us is subject to the approval process adopted by Diamondback’s management. As the result of our inquiries during the course of our review, Diamondback has informed us that the development activities for the properties reviewed by us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2022, such changes were, in accordance with rules adopted by the SEC, omitted from consideration in making this evaluation.</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Current costs used by Diamondback were held constant throughout the life of the properties.</w:t>
      </w:r>
    </w:p>
    <w:p>
      <w:pPr>
        <w:spacing w:after="0" w:line="239" w:lineRule="exact"/>
        <w:rPr>
          <w:sz w:val="20"/>
          <w:szCs w:val="20"/>
          <w:color w:val="auto"/>
        </w:rPr>
      </w:pPr>
    </w:p>
    <w:p>
      <w:pPr>
        <w:jc w:val="both"/>
        <w:ind w:firstLine="643"/>
        <w:spacing w:after="0" w:line="248" w:lineRule="auto"/>
        <w:rPr>
          <w:sz w:val="20"/>
          <w:szCs w:val="20"/>
          <w:color w:val="auto"/>
        </w:rPr>
      </w:pPr>
      <w:r>
        <w:rPr>
          <w:rFonts w:ascii="Arial" w:cs="Arial" w:eastAsia="Arial" w:hAnsi="Arial"/>
          <w:sz w:val="20"/>
          <w:szCs w:val="20"/>
          <w:color w:val="auto"/>
        </w:rPr>
        <w:t>Diamondback’s forecasts of future production rates are based on historical performance from wells currently on production. If no production decline trend has been established, future production rates were based on analog well performance and type-curves where appropriate. An estimated rate of decline was then applied until depletion of the reserves. If a decline trend has been established, this trend was used as the basis for estimating future production rates.</w:t>
      </w:r>
    </w:p>
    <w:p>
      <w:pPr>
        <w:spacing w:after="0" w:line="241"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20"/>
          <w:szCs w:val="20"/>
          <w:color w:val="auto"/>
        </w:rPr>
        <w:t>Test data and other related information were used by Diamondback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Diamondback’s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27" w:lineRule="exact"/>
        <w:rPr>
          <w:sz w:val="20"/>
          <w:szCs w:val="20"/>
          <w:color w:val="auto"/>
        </w:rPr>
      </w:pPr>
    </w:p>
    <w:p>
      <w:pPr>
        <w:jc w:val="both"/>
        <w:ind w:firstLine="643"/>
        <w:spacing w:after="0" w:line="257"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4" w:right="339" w:bottom="1440" w:gutter="0" w:footer="0" w:header="0"/>
        </w:sectPr>
      </w:pPr>
    </w:p>
    <w:bookmarkStart w:id="262" w:name="page263"/>
    <w:bookmarkEnd w:id="262"/>
    <w:p>
      <w:pPr>
        <w:spacing w:after="0"/>
        <w:rPr>
          <w:sz w:val="20"/>
          <w:szCs w:val="20"/>
          <w:color w:val="auto"/>
        </w:rPr>
      </w:pPr>
      <w:r>
        <w:rPr>
          <w:rFonts w:ascii="Arial" w:cs="Arial" w:eastAsia="Arial" w:hAnsi="Arial"/>
          <w:sz w:val="20"/>
          <w:szCs w:val="20"/>
          <w:color w:val="auto"/>
        </w:rPr>
        <w:t>Diamondback Energy, Inc. (FANG)</w:t>
      </w:r>
    </w:p>
    <w:p>
      <w:pPr>
        <w:spacing w:after="0" w:line="209" w:lineRule="auto"/>
        <w:rPr>
          <w:sz w:val="20"/>
          <w:szCs w:val="20"/>
          <w:color w:val="auto"/>
        </w:rPr>
      </w:pPr>
      <w:r>
        <w:rPr>
          <w:rFonts w:ascii="Arial" w:cs="Arial" w:eastAsia="Arial" w:hAnsi="Arial"/>
          <w:sz w:val="20"/>
          <w:szCs w:val="20"/>
          <w:color w:val="auto"/>
        </w:rPr>
        <w:t>January 5, 2023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to, reservoir performance, operating conditions related to surface facilities, compression and artificial lift, pipeline capacity and/or operating conditions, producing market demand and/or allowables or other constraints set by regulatory bodies.</w:t>
      </w:r>
    </w:p>
    <w:p>
      <w:pPr>
        <w:spacing w:after="0" w:line="217"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40" w:lineRule="exact"/>
        <w:rPr>
          <w:sz w:val="20"/>
          <w:szCs w:val="20"/>
          <w:color w:val="auto"/>
        </w:rPr>
      </w:pPr>
    </w:p>
    <w:p>
      <w:pPr>
        <w:jc w:val="both"/>
        <w:ind w:firstLine="643"/>
        <w:spacing w:after="0" w:line="248" w:lineRule="auto"/>
        <w:rPr>
          <w:sz w:val="20"/>
          <w:szCs w:val="20"/>
          <w:color w:val="auto"/>
        </w:rPr>
      </w:pPr>
      <w:r>
        <w:rPr>
          <w:rFonts w:ascii="Arial" w:cs="Arial" w:eastAsia="Arial" w:hAnsi="Arial"/>
          <w:sz w:val="20"/>
          <w:szCs w:val="20"/>
          <w:color w:val="auto"/>
        </w:rPr>
        <w:t>The estimates of proved reserves presented herein were based upon a review of the properties in which Viper owns an interest; however, we have not made any field examination of the properties. No consideration was given in this report to potential environmental liabilities that may exist nor were any costs included by Diamondback for potential liabilities to restore and clean up damages, if any, caused by past operating practices.</w:t>
      </w:r>
    </w:p>
    <w:p>
      <w:pPr>
        <w:spacing w:after="0" w:line="228" w:lineRule="exact"/>
        <w:rPr>
          <w:sz w:val="20"/>
          <w:szCs w:val="20"/>
          <w:color w:val="auto"/>
        </w:rPr>
      </w:pPr>
    </w:p>
    <w:p>
      <w:pPr>
        <w:jc w:val="both"/>
        <w:ind w:firstLine="643"/>
        <w:spacing w:after="0" w:line="248" w:lineRule="auto"/>
        <w:rPr>
          <w:sz w:val="20"/>
          <w:szCs w:val="20"/>
          <w:color w:val="auto"/>
        </w:rPr>
      </w:pPr>
      <w:r>
        <w:rPr>
          <w:rFonts w:ascii="Arial" w:cs="Arial" w:eastAsia="Arial" w:hAnsi="Arial"/>
          <w:sz w:val="20"/>
          <w:szCs w:val="20"/>
          <w:color w:val="auto"/>
        </w:rPr>
        <w:t>Certain technical personnel of Diamondback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spacing w:after="0" w:line="241" w:lineRule="exact"/>
        <w:rPr>
          <w:sz w:val="20"/>
          <w:szCs w:val="20"/>
          <w:color w:val="auto"/>
        </w:rPr>
      </w:pPr>
    </w:p>
    <w:p>
      <w:pPr>
        <w:jc w:val="both"/>
        <w:ind w:firstLine="643"/>
        <w:spacing w:after="0" w:line="246" w:lineRule="auto"/>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performing our audit of Diamondback’s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development costs, development plans, abandonment costs after salvage,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furnished to us by Diamondback to be appropriate and sufficient for the purpose of our review of Diamondback’s estimates of reserves and future net income. In summary, we consider the assumptions, data, methods and analytical procedures used by Diamondback and as reviewed by us appropriate for the purpose hereof, and we have used all such methods and procedures that we consider necessary and appropriate under the circumstances to render the conclusions set forth herein.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Opinion</w:t>
      </w:r>
    </w:p>
    <w:p>
      <w:pPr>
        <w:spacing w:after="0" w:line="276"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20"/>
          <w:szCs w:val="20"/>
          <w:color w:val="auto"/>
        </w:rPr>
        <w:t>Based on our review, including the data, technical processes and interpretations presented by Diamondback, it is our opinion that the overall procedures and methodologies utilized by Diamondback in preparing estimates of Viper’s proved reserves, future production and discounted future net income as of December 31, 2022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 Ryder Scott found the processes and controls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263" w:name="page264"/>
    <w:bookmarkEnd w:id="263"/>
    <w:p>
      <w:pPr>
        <w:spacing w:after="0"/>
        <w:rPr>
          <w:sz w:val="20"/>
          <w:szCs w:val="20"/>
          <w:color w:val="auto"/>
        </w:rPr>
      </w:pPr>
      <w:r>
        <w:rPr>
          <w:rFonts w:ascii="Arial" w:cs="Arial" w:eastAsia="Arial" w:hAnsi="Arial"/>
          <w:sz w:val="20"/>
          <w:szCs w:val="20"/>
          <w:color w:val="auto"/>
        </w:rPr>
        <w:t>Diamondback Energy, Inc. (FANG)</w:t>
      </w:r>
    </w:p>
    <w:p>
      <w:pPr>
        <w:spacing w:after="0" w:line="209" w:lineRule="auto"/>
        <w:rPr>
          <w:sz w:val="20"/>
          <w:szCs w:val="20"/>
          <w:color w:val="auto"/>
        </w:rPr>
      </w:pPr>
      <w:r>
        <w:rPr>
          <w:rFonts w:ascii="Arial" w:cs="Arial" w:eastAsia="Arial" w:hAnsi="Arial"/>
          <w:sz w:val="20"/>
          <w:szCs w:val="20"/>
          <w:color w:val="auto"/>
        </w:rPr>
        <w:t>January 5, 2023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by Diamondback in their estimation of Viper’s proved reserves to be effective and, in the aggregate, we found no bias in the utilization and analysis of data in estimates for these properties.</w:t>
      </w:r>
    </w:p>
    <w:p>
      <w:pPr>
        <w:spacing w:after="0" w:line="217"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20"/>
          <w:szCs w:val="20"/>
          <w:color w:val="auto"/>
        </w:rPr>
        <w:t>We were in reasonable agreement with Diamondback’s estimates of Viper’s proved reserves, future production and discounted future net income for the properties which we reviewed; although in certain cases there was more than an acceptable variance between Diamondback’s estimates and our estimates due to a difference in interpretation of data or due to our having access to data which were not available to Diamondback when its reserves estimates were prepared. However notwithstanding, it is our opinion that on an aggregate basis the data presented herein for the properties that we reviewed fairly reflects the estimated net reserves, future production and discounted future net income owned by Viper.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63"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45" w:lineRule="exact"/>
        <w:rPr>
          <w:sz w:val="20"/>
          <w:szCs w:val="20"/>
          <w:color w:val="auto"/>
        </w:rPr>
      </w:pPr>
    </w:p>
    <w:p>
      <w:pPr>
        <w:jc w:val="both"/>
        <w:ind w:firstLine="643"/>
        <w:spacing w:after="0" w:line="244"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43"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27" w:lineRule="exact"/>
        <w:rPr>
          <w:sz w:val="20"/>
          <w:szCs w:val="20"/>
          <w:color w:val="auto"/>
        </w:rPr>
      </w:pPr>
    </w:p>
    <w:p>
      <w:pPr>
        <w:jc w:val="both"/>
        <w:ind w:firstLine="643"/>
        <w:spacing w:after="0" w:line="254" w:lineRule="auto"/>
        <w:rPr>
          <w:sz w:val="20"/>
          <w:szCs w:val="20"/>
          <w:color w:val="auto"/>
        </w:rPr>
      </w:pPr>
      <w:r>
        <w:rPr>
          <w:rFonts w:ascii="Arial" w:cs="Arial" w:eastAsia="Arial" w:hAnsi="Arial"/>
          <w:sz w:val="20"/>
          <w:szCs w:val="20"/>
          <w:color w:val="auto"/>
        </w:rPr>
        <w:t>We are independent petroleum engineers with respect to Diamondback and Viper. Neither we nor any of our employees have any financial interest in the subject properties, and neither the employment to do this work nor the compensation is contingent on our estimates of reserves for the properties which were reviewed.</w:t>
      </w:r>
    </w:p>
    <w:p>
      <w:pPr>
        <w:spacing w:after="0" w:line="220" w:lineRule="exact"/>
        <w:rPr>
          <w:sz w:val="20"/>
          <w:szCs w:val="20"/>
          <w:color w:val="auto"/>
        </w:rPr>
      </w:pPr>
    </w:p>
    <w:p>
      <w:pPr>
        <w:jc w:val="both"/>
        <w:ind w:right="20" w:firstLine="643"/>
        <w:spacing w:after="0" w:line="248" w:lineRule="auto"/>
        <w:rPr>
          <w:sz w:val="20"/>
          <w:szCs w:val="20"/>
          <w:color w:val="auto"/>
        </w:rPr>
      </w:pPr>
      <w:r>
        <w:rPr>
          <w:rFonts w:ascii="Arial" w:cs="Arial" w:eastAsia="Arial" w:hAnsi="Arial"/>
          <w:sz w:val="20"/>
          <w:szCs w:val="20"/>
          <w:color w:val="auto"/>
        </w:rPr>
        <w:t>The results of this audit, presented herein, are based on technical analyses conducted by teams of geoscientists and engineers from Ryder Scott. The professional qualifications of the undersigned, the technical person primarily responsible for overseeing, reviewing and approving the review of the reserves information discussed in this report, are included as an attachment to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4" w:right="339" w:bottom="1440" w:gutter="0" w:footer="0" w:header="0"/>
        </w:sectPr>
      </w:pPr>
    </w:p>
    <w:bookmarkStart w:id="264" w:name="page265"/>
    <w:bookmarkEnd w:id="264"/>
    <w:p>
      <w:pPr>
        <w:spacing w:after="0"/>
        <w:rPr>
          <w:sz w:val="20"/>
          <w:szCs w:val="20"/>
          <w:color w:val="auto"/>
        </w:rPr>
      </w:pPr>
      <w:r>
        <w:rPr>
          <w:rFonts w:ascii="Arial" w:cs="Arial" w:eastAsia="Arial" w:hAnsi="Arial"/>
          <w:sz w:val="20"/>
          <w:szCs w:val="20"/>
          <w:color w:val="auto"/>
        </w:rPr>
        <w:t>Diamondback Energy, Inc. (FANG)</w:t>
      </w:r>
    </w:p>
    <w:p>
      <w:pPr>
        <w:spacing w:after="0" w:line="209" w:lineRule="auto"/>
        <w:rPr>
          <w:sz w:val="20"/>
          <w:szCs w:val="20"/>
          <w:color w:val="auto"/>
        </w:rPr>
      </w:pPr>
      <w:r>
        <w:rPr>
          <w:rFonts w:ascii="Arial" w:cs="Arial" w:eastAsia="Arial" w:hAnsi="Arial"/>
          <w:sz w:val="20"/>
          <w:szCs w:val="20"/>
          <w:color w:val="auto"/>
        </w:rPr>
        <w:t>January 5, 2023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76"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20"/>
          <w:szCs w:val="20"/>
          <w:color w:val="auto"/>
        </w:rPr>
        <w:t>The results of our third party audit, presented in report form herein, were prepared in accordance with the disclosure requirements set forth in the SEC regulations and intended for public disclosure as an exhibit in filings made with the SEC by Diamondback.</w:t>
      </w:r>
    </w:p>
    <w:p>
      <w:pPr>
        <w:spacing w:after="0" w:line="227"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20"/>
          <w:szCs w:val="20"/>
          <w:color w:val="auto"/>
        </w:rPr>
        <w:t>Diamondback makes periodic filings on Form 10-K with the SEC under the 1934 Exchange Act. Furthermore, Diamondback has certain registration statements filed with the SEC under the 1933 Securities Act into which any subsequently filed Form 10-K is incorporated by reference. We have consented to the incorporation by reference in the registration statements on Form S-3 of Diamondback, of the references to our name, as well as to the references to our third party report for Diamondback, which appears in the December 31, 2022 annual report on Form 10-K of Diamondback. Our written consent for such use is included as a separate exhibit to the filings made with the SEC by Diamondback.</w:t>
      </w:r>
    </w:p>
    <w:p>
      <w:pPr>
        <w:spacing w:after="0" w:line="240" w:lineRule="exact"/>
        <w:rPr>
          <w:sz w:val="20"/>
          <w:szCs w:val="20"/>
          <w:color w:val="auto"/>
        </w:rPr>
      </w:pPr>
    </w:p>
    <w:p>
      <w:pPr>
        <w:jc w:val="both"/>
        <w:ind w:firstLine="643"/>
        <w:spacing w:after="0" w:line="247" w:lineRule="auto"/>
        <w:rPr>
          <w:sz w:val="20"/>
          <w:szCs w:val="20"/>
          <w:color w:val="auto"/>
        </w:rPr>
      </w:pPr>
      <w:r>
        <w:rPr>
          <w:rFonts w:ascii="Arial" w:cs="Arial" w:eastAsia="Arial" w:hAnsi="Arial"/>
          <w:sz w:val="20"/>
          <w:szCs w:val="20"/>
          <w:color w:val="auto"/>
        </w:rPr>
        <w:t>We have provided Diamondback with a digital version of the original signed copy of this report letter. In the event there are any differences between the digital version included in filings made by Diamondback and the original signed report letter, the original signed report letter shall control and supersede the digital version.</w:t>
      </w:r>
    </w:p>
    <w:p>
      <w:pPr>
        <w:spacing w:after="0" w:line="227" w:lineRule="exact"/>
        <w:rPr>
          <w:sz w:val="20"/>
          <w:szCs w:val="20"/>
          <w:color w:val="auto"/>
        </w:rPr>
      </w:pPr>
    </w:p>
    <w:p>
      <w:pPr>
        <w:jc w:val="both"/>
        <w:ind w:right="20" w:firstLine="304"/>
        <w:spacing w:after="0" w:line="257"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71"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Very truly yours,</w:t>
      </w:r>
    </w:p>
    <w:p>
      <w:pPr>
        <w:spacing w:after="0" w:line="255" w:lineRule="exact"/>
        <w:rPr>
          <w:sz w:val="20"/>
          <w:szCs w:val="20"/>
          <w:color w:val="auto"/>
        </w:rPr>
      </w:pPr>
    </w:p>
    <w:p>
      <w:pPr>
        <w:ind w:left="6380"/>
        <w:spacing w:after="0"/>
        <w:rPr>
          <w:sz w:val="20"/>
          <w:szCs w:val="20"/>
          <w:color w:val="auto"/>
        </w:rPr>
      </w:pPr>
      <w:r>
        <w:rPr>
          <w:rFonts w:ascii="Arial" w:cs="Arial" w:eastAsia="Arial" w:hAnsi="Arial"/>
          <w:sz w:val="20"/>
          <w:szCs w:val="20"/>
          <w:b w:val="1"/>
          <w:bCs w:val="1"/>
          <w:color w:val="auto"/>
        </w:rPr>
        <w:t>RYDER SCOTT COMPANY, L.P.</w:t>
      </w:r>
    </w:p>
    <w:p>
      <w:pPr>
        <w:spacing w:after="0" w:line="48"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9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 Marsha E. Wellmann</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Marsha E. Wellmann, P.E.</w:t>
      </w:r>
    </w:p>
    <w:p>
      <w:pPr>
        <w:spacing w:after="0" w:line="24"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TBPELS License No. 116149</w:t>
      </w:r>
    </w:p>
    <w:p>
      <w:pPr>
        <w:spacing w:after="0" w:line="24"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Senior Vice President</w:t>
      </w:r>
    </w:p>
    <w:p>
      <w:pPr>
        <w:spacing w:after="0" w:line="6" w:lineRule="exact"/>
        <w:rPr>
          <w:sz w:val="20"/>
          <w:szCs w:val="20"/>
          <w:color w:val="auto"/>
        </w:rPr>
      </w:pPr>
    </w:p>
    <w:p>
      <w:pPr>
        <w:ind w:left="10560"/>
        <w:spacing w:after="0"/>
        <w:rPr>
          <w:sz w:val="20"/>
          <w:szCs w:val="20"/>
          <w:color w:val="auto"/>
        </w:rPr>
      </w:pPr>
      <w:r>
        <w:rPr>
          <w:rFonts w:ascii="Arial" w:cs="Arial" w:eastAsia="Arial" w:hAnsi="Arial"/>
          <w:sz w:val="20"/>
          <w:szCs w:val="20"/>
          <w:b w:val="1"/>
          <w:bCs w:val="1"/>
          <w:color w:val="auto"/>
        </w:rPr>
        <w:t>[SEAL]</w:t>
      </w:r>
    </w:p>
    <w:p>
      <w:pPr>
        <w:spacing w:after="0" w:line="338"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 Raza Rizvi</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Raza Rizvi</w:t>
      </w:r>
    </w:p>
    <w:p>
      <w:pPr>
        <w:spacing w:after="0" w:line="24"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Senior Petroleum Engineer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MEW-RR (LPC)/pl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Person</w:t>
      </w:r>
    </w:p>
    <w:p>
      <w:pPr>
        <w:spacing w:after="0" w:line="236" w:lineRule="exact"/>
        <w:rPr>
          <w:sz w:val="20"/>
          <w:szCs w:val="20"/>
          <w:color w:val="auto"/>
        </w:rPr>
      </w:pPr>
    </w:p>
    <w:p>
      <w:pPr>
        <w:spacing w:after="0" w:line="202"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Ms. Marsha E. Wellmann was the primary technical person responsible for overseeing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estimate of the reserves, future production and income prepared by Ryder Scott presented herein.</w:t>
      </w:r>
    </w:p>
    <w:p>
      <w:pPr>
        <w:spacing w:after="0" w:line="212" w:lineRule="exact"/>
        <w:rPr>
          <w:sz w:val="20"/>
          <w:szCs w:val="20"/>
          <w:color w:val="auto"/>
        </w:rPr>
      </w:pPr>
    </w:p>
    <w:p>
      <w:pPr>
        <w:spacing w:after="0" w:line="202" w:lineRule="auto"/>
        <w:rPr>
          <w:sz w:val="20"/>
          <w:szCs w:val="20"/>
          <w:color w:val="auto"/>
        </w:rPr>
      </w:pPr>
      <w:r>
        <w:rPr>
          <w:rFonts w:ascii="Arial" w:cs="Arial" w:eastAsia="Arial" w:hAnsi="Arial"/>
          <w:sz w:val="20"/>
          <w:szCs w:val="20"/>
          <w:color w:val="auto"/>
        </w:rPr>
        <w:t>Ms. Wellmann, an employee of Ryder Scott Company L.P. (Ryder Scott) since 2012, is a Senior Vice President responsible for coordinating and supervising staff and consulting engineers of the company in ongoing reservoir evaluation studies throughout</w:t>
      </w:r>
    </w:p>
    <w:p>
      <w:pPr>
        <w:spacing w:after="0" w:line="210" w:lineRule="auto"/>
        <w:rPr>
          <w:sz w:val="20"/>
          <w:szCs w:val="20"/>
          <w:color w:val="auto"/>
        </w:rPr>
      </w:pPr>
      <w:r>
        <w:rPr>
          <w:rFonts w:ascii="Arial" w:cs="Arial" w:eastAsia="Arial" w:hAnsi="Arial"/>
          <w:sz w:val="20"/>
          <w:szCs w:val="20"/>
          <w:color w:val="auto"/>
        </w:rPr>
        <w:t>North America and the Gulf of Mexico. Before joining Ryder Scott, Ms. Wellmann served in a number of engineering positions.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For more information regarding Ms. Wellmann geographic and job specific experience, please refer to the Ryder Scott Company website at www.ryderscott.com/Company/Employees.</w:t>
      </w:r>
    </w:p>
    <w:p>
      <w:pPr>
        <w:spacing w:after="0" w:line="208" w:lineRule="exact"/>
        <w:rPr>
          <w:sz w:val="20"/>
          <w:szCs w:val="20"/>
          <w:color w:val="auto"/>
        </w:rPr>
      </w:pPr>
    </w:p>
    <w:p>
      <w:pPr>
        <w:spacing w:after="0" w:line="213" w:lineRule="auto"/>
        <w:rPr>
          <w:sz w:val="20"/>
          <w:szCs w:val="20"/>
          <w:color w:val="auto"/>
        </w:rPr>
      </w:pPr>
      <w:r>
        <w:rPr>
          <w:rFonts w:ascii="Arial" w:cs="Arial" w:eastAsia="Arial" w:hAnsi="Arial"/>
          <w:sz w:val="19"/>
          <w:szCs w:val="19"/>
          <w:color w:val="auto"/>
        </w:rPr>
        <w:t>Ms. Wellmann earned a Bachelor of Science degree in Petroleum Engineering and a Business Foundations Certificate from The University of Texas at Austin in 2002 and is a registered Professional Engineer in the State of Texas. She is also a member of the</w:t>
      </w:r>
    </w:p>
    <w:p>
      <w:pPr>
        <w:spacing w:after="0"/>
        <w:rPr>
          <w:sz w:val="20"/>
          <w:szCs w:val="20"/>
          <w:color w:val="auto"/>
        </w:rPr>
      </w:pPr>
      <w:r>
        <w:rPr>
          <w:rFonts w:ascii="Arial" w:cs="Arial" w:eastAsia="Arial" w:hAnsi="Arial"/>
          <w:sz w:val="20"/>
          <w:szCs w:val="20"/>
          <w:color w:val="auto"/>
        </w:rPr>
        <w:t>Society of Petroleum Engineers.</w:t>
      </w:r>
    </w:p>
    <w:p>
      <w:pPr>
        <w:spacing w:after="0" w:line="212" w:lineRule="exact"/>
        <w:rPr>
          <w:sz w:val="20"/>
          <w:szCs w:val="20"/>
          <w:color w:val="auto"/>
        </w:rPr>
      </w:pPr>
    </w:p>
    <w:p>
      <w:pPr>
        <w:spacing w:after="0" w:line="202" w:lineRule="auto"/>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w:t>
      </w:r>
    </w:p>
    <w:p>
      <w:pPr>
        <w:spacing w:after="0" w:line="210" w:lineRule="auto"/>
        <w:rPr>
          <w:sz w:val="20"/>
          <w:szCs w:val="20"/>
          <w:color w:val="auto"/>
        </w:rPr>
      </w:pPr>
      <w:r>
        <w:rPr>
          <w:rFonts w:ascii="Arial" w:cs="Arial" w:eastAsia="Arial" w:hAnsi="Arial"/>
          <w:sz w:val="20"/>
          <w:szCs w:val="20"/>
          <w:color w:val="auto"/>
        </w:rPr>
        <w:t>ethics, which Ms. Wellmann fulfills. As part of her 2022 continuing education hours, Ms. Wellmann attended 42 hours of</w:t>
      </w:r>
    </w:p>
    <w:p>
      <w:pPr>
        <w:spacing w:after="0" w:line="1" w:lineRule="exact"/>
        <w:rPr>
          <w:sz w:val="20"/>
          <w:szCs w:val="20"/>
          <w:color w:val="auto"/>
        </w:rPr>
      </w:pPr>
    </w:p>
    <w:p>
      <w:pPr>
        <w:jc w:val="both"/>
        <w:spacing w:after="0" w:line="202" w:lineRule="auto"/>
        <w:rPr>
          <w:sz w:val="20"/>
          <w:szCs w:val="20"/>
          <w:color w:val="auto"/>
        </w:rPr>
      </w:pPr>
      <w:r>
        <w:rPr>
          <w:rFonts w:ascii="Arial" w:cs="Arial" w:eastAsia="Arial" w:hAnsi="Arial"/>
          <w:sz w:val="20"/>
          <w:szCs w:val="20"/>
          <w:color w:val="auto"/>
        </w:rPr>
        <w:t>formalized training including various professional society presentations covering such topics as the definitions and disclosure guidelines contained in the United States Securities and Exchange Commission Title 17, Code of Federal Regulations,</w:t>
      </w:r>
    </w:p>
    <w:p>
      <w:pPr>
        <w:spacing w:after="0" w:line="210" w:lineRule="auto"/>
        <w:tabs>
          <w:tab w:leader="none" w:pos="1400" w:val="left"/>
          <w:tab w:leader="none" w:pos="1740" w:val="left"/>
          <w:tab w:leader="none" w:pos="2160" w:val="left"/>
          <w:tab w:leader="none" w:pos="2660" w:val="left"/>
          <w:tab w:leader="none" w:pos="3200" w:val="left"/>
          <w:tab w:leader="none" w:pos="4300" w:val="left"/>
          <w:tab w:leader="none" w:pos="4900" w:val="left"/>
          <w:tab w:leader="none" w:pos="5480" w:val="left"/>
          <w:tab w:leader="none" w:pos="6420" w:val="left"/>
          <w:tab w:leader="none" w:pos="7280" w:val="left"/>
          <w:tab w:leader="none" w:pos="7740" w:val="left"/>
          <w:tab w:leader="none" w:pos="8360" w:val="left"/>
          <w:tab w:leader="none" w:pos="8680" w:val="left"/>
          <w:tab w:leader="none" w:pos="9140" w:val="left"/>
          <w:tab w:leader="none" w:pos="9980" w:val="left"/>
          <w:tab w:leader="none" w:pos="10940" w:val="left"/>
        </w:tabs>
        <w:rPr>
          <w:sz w:val="20"/>
          <w:szCs w:val="20"/>
          <w:color w:val="auto"/>
        </w:rPr>
      </w:pPr>
      <w:r>
        <w:rPr>
          <w:rFonts w:ascii="Arial" w:cs="Arial" w:eastAsia="Arial" w:hAnsi="Arial"/>
          <w:sz w:val="20"/>
          <w:szCs w:val="20"/>
          <w:color w:val="auto"/>
        </w:rPr>
        <w:t>Modernization</w:t>
        <w:tab/>
        <w:t>of</w:t>
        <w:tab/>
        <w:t>Oil</w:t>
        <w:tab/>
        <w:t>and</w:t>
        <w:tab/>
        <w:t>Gas</w:t>
        <w:tab/>
        <w:t>Reporting,</w:t>
        <w:tab/>
        <w:t>Final</w:t>
        <w:tab/>
        <w:t>Rule</w:t>
        <w:tab/>
        <w:t>released</w:t>
        <w:tab/>
        <w:t>January</w:t>
        <w:tab/>
        <w:t>14,</w:t>
        <w:tab/>
        <w:t>2009</w:t>
        <w:tab/>
        <w:t>in</w:t>
        <w:tab/>
        <w:t>the</w:t>
        <w:tab/>
        <w:t>Federal</w:t>
        <w:tab/>
        <w:t>Register,</w:t>
        <w:tab/>
        <w:t>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SPE/WPC/AAPG/SPEE Petroleum Resources Management System, reservoir engineering, geoscience and petroleum economics evaluation methods, procedures and software and ethics for consultants.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Based on her educational background, professional training and more than 15 years of practical experience in the estimation and</w:t>
      </w:r>
    </w:p>
    <w:p>
      <w:pPr>
        <w:spacing w:after="0" w:line="213" w:lineRule="auto"/>
        <w:rPr>
          <w:sz w:val="20"/>
          <w:szCs w:val="20"/>
          <w:color w:val="auto"/>
        </w:rPr>
      </w:pPr>
      <w:r>
        <w:rPr>
          <w:rFonts w:ascii="Arial" w:cs="Arial" w:eastAsia="Arial" w:hAnsi="Arial"/>
          <w:sz w:val="19"/>
          <w:szCs w:val="19"/>
          <w:color w:val="auto"/>
        </w:rPr>
        <w:t>evaluation of petroleum reserves, Ms. Wellmann has attained the professional qualifications as a Reserves Estimator set forth in Article III of the “Standards Pertaining to the Estimating and Auditing of Oil and Gas Reserves Information” promulgated by the</w:t>
      </w:r>
    </w:p>
    <w:p>
      <w:pPr>
        <w:spacing w:after="0"/>
        <w:rPr>
          <w:sz w:val="20"/>
          <w:szCs w:val="20"/>
          <w:color w:val="auto"/>
        </w:rPr>
      </w:pPr>
      <w:r>
        <w:rPr>
          <w:rFonts w:ascii="Arial" w:cs="Arial" w:eastAsia="Arial" w:hAnsi="Arial"/>
          <w:sz w:val="20"/>
          <w:szCs w:val="20"/>
          <w:color w:val="auto"/>
        </w:rPr>
        <w:t>Society of Petroleum Engineers as of June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jc w:val="center"/>
        <w:spacing w:after="0" w:line="209" w:lineRule="auto"/>
        <w:rPr>
          <w:sz w:val="20"/>
          <w:szCs w:val="20"/>
          <w:color w:val="auto"/>
        </w:rPr>
      </w:pPr>
      <w:r>
        <w:rPr>
          <w:rFonts w:ascii="Arial" w:cs="Arial" w:eastAsia="Arial" w:hAnsi="Arial"/>
          <w:sz w:val="20"/>
          <w:szCs w:val="20"/>
          <w:b w:val="1"/>
          <w:bCs w:val="1"/>
          <w:color w:val="auto"/>
        </w:rPr>
        <w:t>RULE 4-10(a) of REGULATION S-X PART 210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22" w:lineRule="exact"/>
        <w:rPr>
          <w:sz w:val="20"/>
          <w:szCs w:val="20"/>
          <w:color w:val="auto"/>
        </w:rPr>
      </w:pPr>
    </w:p>
    <w:p>
      <w:pPr>
        <w:ind w:firstLine="643"/>
        <w:spacing w:after="0" w:line="209" w:lineRule="auto"/>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w:t>
      </w:r>
    </w:p>
    <w:p>
      <w:pPr>
        <w:spacing w:after="0" w:line="1" w:lineRule="exact"/>
        <w:rPr>
          <w:sz w:val="20"/>
          <w:szCs w:val="20"/>
          <w:color w:val="auto"/>
        </w:rPr>
      </w:pPr>
    </w:p>
    <w:p>
      <w:pPr>
        <w:spacing w:after="0" w:line="202" w:lineRule="auto"/>
        <w:rPr>
          <w:sz w:val="20"/>
          <w:szCs w:val="20"/>
          <w:color w:val="auto"/>
        </w:rPr>
      </w:pPr>
      <w:r>
        <w:rPr>
          <w:rFonts w:ascii="Arial" w:cs="Arial" w:eastAsia="Arial" w:hAnsi="Arial"/>
          <w:sz w:val="20"/>
          <w:szCs w:val="20"/>
          <w:color w:val="auto"/>
        </w:rPr>
        <w:t>“Modernization of Oil and Gas Reporting; Final Rule” includes revisions and additions to the definition section in Rule 4-10 of Regulation S-X, revisions and additions to the oil and gas reporting requirements in Regulation S-K, and amends and codifies</w:t>
      </w:r>
    </w:p>
    <w:p>
      <w:pPr>
        <w:spacing w:after="0" w:line="210" w:lineRule="auto"/>
        <w:rPr>
          <w:sz w:val="20"/>
          <w:szCs w:val="20"/>
          <w:color w:val="auto"/>
        </w:rPr>
      </w:pPr>
      <w:r>
        <w:rPr>
          <w:rFonts w:ascii="Arial" w:cs="Arial" w:eastAsia="Arial" w:hAnsi="Arial"/>
          <w:sz w:val="20"/>
          <w:szCs w:val="20"/>
          <w:color w:val="auto"/>
        </w:rPr>
        <w:t>Industry Guide 2 in Regulation S-K. The “Modernization of Oil and Gas Reporting; Final Rule”, including all references to</w:t>
      </w:r>
    </w:p>
    <w:p>
      <w:pPr>
        <w:spacing w:after="0" w:line="1" w:lineRule="exact"/>
        <w:rPr>
          <w:sz w:val="20"/>
          <w:szCs w:val="20"/>
          <w:color w:val="auto"/>
        </w:rPr>
      </w:pPr>
    </w:p>
    <w:p>
      <w:pPr>
        <w:spacing w:after="0" w:line="213" w:lineRule="auto"/>
        <w:rPr>
          <w:sz w:val="20"/>
          <w:szCs w:val="20"/>
          <w:color w:val="auto"/>
        </w:rPr>
      </w:pPr>
      <w:r>
        <w:rPr>
          <w:rFonts w:ascii="Arial" w:cs="Arial" w:eastAsia="Arial" w:hAnsi="Arial"/>
          <w:sz w:val="19"/>
          <w:szCs w:val="19"/>
          <w:color w:val="auto"/>
        </w:rPr>
        <w:t>Regulation S-X and Regulation S-K, shall be referred to herein collectively as the “SEC regulations”. The SEC regulations take effect for all filings made with the United States Securities and Exchange Commission as of December 31, 2009, or after January</w:t>
      </w:r>
    </w:p>
    <w:p>
      <w:pPr>
        <w:spacing w:after="0" w:line="221" w:lineRule="auto"/>
        <w:rPr>
          <w:sz w:val="20"/>
          <w:szCs w:val="20"/>
          <w:color w:val="auto"/>
        </w:rPr>
      </w:pPr>
      <w:r>
        <w:rPr>
          <w:rFonts w:ascii="Arial" w:cs="Arial" w:eastAsia="Arial" w:hAnsi="Arial"/>
          <w:sz w:val="19"/>
          <w:szCs w:val="19"/>
          <w:color w:val="auto"/>
        </w:rPr>
        <w:t>1, 2010. Reference should be made to the full text under Title 17, Code of Federal Regulations, Regulation S-X Part 210, Rule 4-</w:t>
      </w:r>
    </w:p>
    <w:p>
      <w:pPr>
        <w:spacing w:after="0" w:line="220" w:lineRule="auto"/>
        <w:rPr>
          <w:sz w:val="20"/>
          <w:szCs w:val="20"/>
          <w:color w:val="auto"/>
        </w:rPr>
      </w:pPr>
      <w:r>
        <w:rPr>
          <w:rFonts w:ascii="Arial" w:cs="Arial" w:eastAsia="Arial" w:hAnsi="Arial"/>
          <w:sz w:val="20"/>
          <w:szCs w:val="20"/>
          <w:color w:val="auto"/>
        </w:rPr>
        <w:t>10(a) for the complete definitions (direct passages excerpted in part or wholly from the aforementioned SEC document are denoted in italics herein).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Reserves are estimated remaining quantities of oil and gas and related substances anticipated to be economically</w:t>
      </w:r>
    </w:p>
    <w:p>
      <w:pPr>
        <w:spacing w:after="0" w:line="213" w:lineRule="auto"/>
        <w:rPr>
          <w:sz w:val="20"/>
          <w:szCs w:val="20"/>
          <w:color w:val="auto"/>
        </w:rPr>
      </w:pPr>
      <w:r>
        <w:rPr>
          <w:rFonts w:ascii="Arial" w:cs="Arial" w:eastAsia="Arial" w:hAnsi="Arial"/>
          <w:sz w:val="19"/>
          <w:szCs w:val="19"/>
          <w:i w:val="1"/>
          <w:iCs w:val="1"/>
          <w:color w:val="auto"/>
        </w:rPr>
        <w:t xml:space="preserve">producible, as of a given date, by application of development projects to known accumulations. </w:t>
      </w:r>
      <w:r>
        <w:rPr>
          <w:rFonts w:ascii="Arial" w:cs="Arial" w:eastAsia="Arial" w:hAnsi="Arial"/>
          <w:sz w:val="19"/>
          <w:szCs w:val="19"/>
          <w:color w:val="auto"/>
        </w:rPr>
        <w:t>All reserve estimates involve an</w:t>
      </w:r>
      <w:r>
        <w:rPr>
          <w:rFonts w:ascii="Arial" w:cs="Arial" w:eastAsia="Arial" w:hAnsi="Arial"/>
          <w:sz w:val="19"/>
          <w:szCs w:val="19"/>
          <w:i w:val="1"/>
          <w:iCs w:val="1"/>
          <w:color w:val="auto"/>
        </w:rPr>
        <w:t xml:space="preserve"> </w:t>
      </w:r>
      <w:r>
        <w:rPr>
          <w:rFonts w:ascii="Arial" w:cs="Arial" w:eastAsia="Arial" w:hAnsi="Arial"/>
          <w:sz w:val="19"/>
          <w:szCs w:val="19"/>
          <w:color w:val="auto"/>
        </w:rPr>
        <w:t>assessment of the uncertainty relating the likelihood that the actual remaining quantities recovered will be greater or less than the</w:t>
      </w:r>
    </w:p>
    <w:p>
      <w:pPr>
        <w:spacing w:after="0" w:line="221" w:lineRule="auto"/>
        <w:rPr>
          <w:sz w:val="20"/>
          <w:szCs w:val="20"/>
          <w:color w:val="auto"/>
        </w:rPr>
      </w:pPr>
      <w:r>
        <w:rPr>
          <w:rFonts w:ascii="Arial" w:cs="Arial" w:eastAsia="Arial" w:hAnsi="Arial"/>
          <w:sz w:val="19"/>
          <w:szCs w:val="19"/>
          <w:color w:val="auto"/>
        </w:rPr>
        <w:t>estimated quantities determined as of the date the estimate is made. The uncertainty depends primarily on the amount of reliable</w:t>
      </w:r>
    </w:p>
    <w:p>
      <w:pPr>
        <w:spacing w:after="0" w:line="202" w:lineRule="auto"/>
        <w:rPr>
          <w:sz w:val="20"/>
          <w:szCs w:val="20"/>
          <w:color w:val="auto"/>
        </w:rPr>
      </w:pPr>
      <w:r>
        <w:rPr>
          <w:rFonts w:ascii="Arial" w:cs="Arial" w:eastAsia="Arial" w:hAnsi="Arial"/>
          <w:sz w:val="20"/>
          <w:szCs w:val="20"/>
          <w:color w:val="auto"/>
        </w:rPr>
        <w:t>geologic and engineering data available at the time of the estimate and the interpretation of these data. The relative degree of uncertainty may be conveyed by placing reserves into one of two principal categories, either proved or unproved. Unproved</w:t>
      </w:r>
    </w:p>
    <w:p>
      <w:pPr>
        <w:spacing w:after="0" w:line="210" w:lineRule="auto"/>
        <w:rPr>
          <w:sz w:val="20"/>
          <w:szCs w:val="20"/>
          <w:color w:val="auto"/>
        </w:rPr>
      </w:pPr>
      <w:r>
        <w:rPr>
          <w:rFonts w:ascii="Arial" w:cs="Arial" w:eastAsia="Arial" w:hAnsi="Arial"/>
          <w:sz w:val="20"/>
          <w:szCs w:val="20"/>
          <w:color w:val="auto"/>
        </w:rPr>
        <w:t>reserves are less certain to be recovered than proved reserves and may be further sub-categorized as probable and possible</w:t>
      </w:r>
    </w:p>
    <w:p>
      <w:pPr>
        <w:spacing w:after="0" w:line="1" w:lineRule="exact"/>
        <w:rPr>
          <w:sz w:val="20"/>
          <w:szCs w:val="20"/>
          <w:color w:val="auto"/>
        </w:rPr>
      </w:pPr>
    </w:p>
    <w:p>
      <w:pPr>
        <w:spacing w:after="0" w:line="202" w:lineRule="auto"/>
        <w:rPr>
          <w:sz w:val="20"/>
          <w:szCs w:val="20"/>
          <w:color w:val="auto"/>
        </w:rPr>
      </w:pPr>
      <w:r>
        <w:rPr>
          <w:rFonts w:ascii="Arial" w:cs="Arial" w:eastAsia="Arial" w:hAnsi="Arial"/>
          <w:sz w:val="20"/>
          <w:szCs w:val="20"/>
          <w:color w:val="auto"/>
        </w:rPr>
        <w:t>reserves to denote progressively increasing uncertainty in their recoverability. Under the SEC regulations as of December 31, 2009, or after January 1, 2010, a company may optionally disclose estimated quantities of probable or possible oil and gas</w:t>
      </w:r>
    </w:p>
    <w:p>
      <w:pPr>
        <w:spacing w:after="0" w:line="221" w:lineRule="auto"/>
        <w:rPr>
          <w:sz w:val="20"/>
          <w:szCs w:val="20"/>
          <w:color w:val="auto"/>
        </w:rPr>
      </w:pPr>
      <w:r>
        <w:rPr>
          <w:rFonts w:ascii="Arial" w:cs="Arial" w:eastAsia="Arial" w:hAnsi="Arial"/>
          <w:sz w:val="19"/>
          <w:szCs w:val="19"/>
          <w:color w:val="auto"/>
        </w:rPr>
        <w:t>reserves in documents publicly filed with the SEC. The SEC regulations continue to prohibit disclosure of estimates of oil and gas</w:t>
      </w:r>
    </w:p>
    <w:p>
      <w:pPr>
        <w:spacing w:after="0" w:line="1" w:lineRule="exact"/>
        <w:rPr>
          <w:sz w:val="20"/>
          <w:szCs w:val="20"/>
          <w:color w:val="auto"/>
        </w:rPr>
      </w:pPr>
    </w:p>
    <w:p>
      <w:pPr>
        <w:spacing w:after="0" w:line="202" w:lineRule="auto"/>
        <w:rPr>
          <w:sz w:val="20"/>
          <w:szCs w:val="20"/>
          <w:color w:val="auto"/>
        </w:rPr>
      </w:pPr>
      <w:r>
        <w:rPr>
          <w:rFonts w:ascii="Arial" w:cs="Arial" w:eastAsia="Arial" w:hAnsi="Arial"/>
          <w:sz w:val="20"/>
          <w:szCs w:val="20"/>
          <w:color w:val="auto"/>
        </w:rPr>
        <w:t>resources other than reserves and any estimated values of such resources in any document publicly filed with the SEC unless such information is required to be disclosed in the document by foreign or state law as noted in §229.1202 Instruction to Item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1202.</w:t>
      </w:r>
    </w:p>
    <w:p>
      <w:pPr>
        <w:spacing w:after="0" w:line="212" w:lineRule="exact"/>
        <w:rPr>
          <w:sz w:val="20"/>
          <w:szCs w:val="20"/>
          <w:color w:val="auto"/>
        </w:rPr>
      </w:pPr>
    </w:p>
    <w:p>
      <w:pPr>
        <w:ind w:firstLine="643"/>
        <w:spacing w:after="0" w:line="220"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w:t>
      </w:r>
    </w:p>
    <w:p>
      <w:pPr>
        <w:spacing w:after="0" w:line="213" w:lineRule="auto"/>
        <w:rPr>
          <w:sz w:val="20"/>
          <w:szCs w:val="20"/>
          <w:color w:val="auto"/>
        </w:rPr>
      </w:pPr>
      <w:r>
        <w:rPr>
          <w:rFonts w:ascii="Arial" w:cs="Arial" w:eastAsia="Arial" w:hAnsi="Arial"/>
          <w:sz w:val="19"/>
          <w:szCs w:val="19"/>
          <w:color w:val="auto"/>
        </w:rPr>
        <w:t>all methods for supplementing natural energy or altering natural forces in the reservoir to increase ultimate recovery. Examples of such methods are pressure maintenance, natural gas cycling, waterflooding, thermal methods, chemical flooding, and the use of</w:t>
      </w:r>
    </w:p>
    <w:p>
      <w:pPr>
        <w:spacing w:after="0" w:line="220" w:lineRule="auto"/>
        <w:rPr>
          <w:sz w:val="20"/>
          <w:szCs w:val="20"/>
          <w:color w:val="auto"/>
        </w:rPr>
      </w:pPr>
      <w:r>
        <w:rPr>
          <w:rFonts w:ascii="Arial" w:cs="Arial" w:eastAsia="Arial" w:hAnsi="Arial"/>
          <w:sz w:val="20"/>
          <w:szCs w:val="20"/>
          <w:color w:val="auto"/>
        </w:rPr>
        <w:t>miscible and immiscible displacement fluids. Other improved recovery methods may be developed in the future as petroleum technology continues to evolve.</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Reserves may be attributed to either conventional or unconventional petroleum accumulations. Petroleum accumulations</w:t>
      </w:r>
    </w:p>
    <w:p>
      <w:pPr>
        <w:spacing w:after="0" w:line="213" w:lineRule="auto"/>
        <w:rPr>
          <w:sz w:val="20"/>
          <w:szCs w:val="20"/>
          <w:color w:val="auto"/>
        </w:rPr>
      </w:pPr>
      <w:r>
        <w:rPr>
          <w:rFonts w:ascii="Arial" w:cs="Arial" w:eastAsia="Arial" w:hAnsi="Arial"/>
          <w:sz w:val="19"/>
          <w:szCs w:val="19"/>
          <w:color w:val="auto"/>
        </w:rPr>
        <w:t>are considered as either conventional or unconventional based on the nature of their in-place characteristics, extraction method applied, or degree of processing prior to sale. Examples of unconventional petroleum accumulations include coalbed or coalseam</w:t>
      </w:r>
    </w:p>
    <w:p>
      <w:pPr>
        <w:spacing w:after="0" w:line="227" w:lineRule="auto"/>
        <w:rPr>
          <w:sz w:val="20"/>
          <w:szCs w:val="20"/>
          <w:color w:val="auto"/>
        </w:rPr>
      </w:pPr>
      <w:r>
        <w:rPr>
          <w:rFonts w:ascii="Arial" w:cs="Arial" w:eastAsia="Arial" w:hAnsi="Arial"/>
          <w:sz w:val="20"/>
          <w:szCs w:val="20"/>
          <w:color w:val="auto"/>
        </w:rPr>
        <w:t>methane (CBM/CSM), basin-centered gas, shale gas, gas hydrates, natural bitumen and oil shale deposits. These unconventional accumulations may require specialized extraction technology and/or significant processing prior to sale.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67" w:name="page268"/>
    <w:bookmarkEnd w:id="267"/>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12" w:lineRule="exact"/>
        <w:rPr>
          <w:sz w:val="20"/>
          <w:szCs w:val="20"/>
          <w:color w:val="auto"/>
        </w:rPr>
      </w:pPr>
    </w:p>
    <w:p>
      <w:pPr>
        <w:ind w:firstLine="643"/>
        <w:spacing w:after="0" w:line="220"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174" w:lineRule="exact"/>
        <w:rPr>
          <w:sz w:val="20"/>
          <w:szCs w:val="20"/>
          <w:color w:val="auto"/>
        </w:rPr>
      </w:pPr>
    </w:p>
    <w:p>
      <w:pPr>
        <w:spacing w:after="0" w:line="222"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w:t>
      </w:r>
    </w:p>
    <w:p>
      <w:pPr>
        <w:spacing w:after="0" w:line="213" w:lineRule="auto"/>
        <w:rPr>
          <w:sz w:val="20"/>
          <w:szCs w:val="20"/>
          <w:color w:val="auto"/>
        </w:rPr>
      </w:pPr>
      <w:r>
        <w:rPr>
          <w:rFonts w:ascii="Arial" w:cs="Arial" w:eastAsia="Arial" w:hAnsi="Arial"/>
          <w:sz w:val="19"/>
          <w:szCs w:val="19"/>
          <w:i w:val="1"/>
          <w:iCs w:val="1"/>
          <w:color w:val="auto"/>
        </w:rPr>
        <w:t>there must be a reasonable expectation that there will exist, the legal right to produce or a revenue interest in the production, installed means of delivering oil and gas or related substances to market, and all permits and financing required to implement the</w:t>
      </w:r>
    </w:p>
    <w:p>
      <w:pPr>
        <w:spacing w:after="0"/>
        <w:rPr>
          <w:sz w:val="20"/>
          <w:szCs w:val="20"/>
          <w:color w:val="auto"/>
        </w:rPr>
      </w:pPr>
      <w:r>
        <w:rPr>
          <w:rFonts w:ascii="Arial" w:cs="Arial" w:eastAsia="Arial" w:hAnsi="Arial"/>
          <w:sz w:val="20"/>
          <w:szCs w:val="20"/>
          <w:i w:val="1"/>
          <w:iCs w:val="1"/>
          <w:color w:val="auto"/>
        </w:rPr>
        <w:t>project.</w:t>
      </w:r>
    </w:p>
    <w:p>
      <w:pPr>
        <w:spacing w:after="0" w:line="192" w:lineRule="exact"/>
        <w:rPr>
          <w:sz w:val="20"/>
          <w:szCs w:val="20"/>
          <w:color w:val="auto"/>
        </w:rPr>
      </w:pPr>
    </w:p>
    <w:p>
      <w:pPr>
        <w:spacing w:after="0" w:line="213"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w:t>
      </w:r>
    </w:p>
    <w:p>
      <w:pPr>
        <w:spacing w:after="0" w:line="209" w:lineRule="auto"/>
        <w:rPr>
          <w:sz w:val="20"/>
          <w:szCs w:val="20"/>
          <w:color w:val="auto"/>
        </w:rPr>
      </w:pPr>
      <w:r>
        <w:rPr>
          <w:rFonts w:ascii="Arial" w:cs="Arial" w:eastAsia="Arial" w:hAnsi="Arial"/>
          <w:sz w:val="20"/>
          <w:szCs w:val="20"/>
          <w:i w:val="1"/>
          <w:iCs w:val="1"/>
          <w:color w:val="auto"/>
        </w:rPr>
        <w:t>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i w:val="1"/>
          <w:iCs w:val="1"/>
          <w:color w:val="auto"/>
        </w:rPr>
        <w:t>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174" w:lineRule="exact"/>
        <w:rPr>
          <w:sz w:val="20"/>
          <w:szCs w:val="20"/>
          <w:color w:val="auto"/>
        </w:rPr>
      </w:pPr>
    </w:p>
    <w:p>
      <w:pPr>
        <w:jc w:val="both"/>
        <w:spacing w:after="0" w:line="233" w:lineRule="auto"/>
        <w:rPr>
          <w:sz w:val="20"/>
          <w:szCs w:val="20"/>
          <w:color w:val="auto"/>
        </w:rPr>
      </w:pPr>
      <w:r>
        <w:rPr>
          <w:rFonts w:ascii="Arial" w:cs="Arial" w:eastAsia="Arial" w:hAnsi="Arial"/>
          <w:sz w:val="19"/>
          <w:szCs w:val="19"/>
          <w:b w:val="1"/>
          <w:bCs w:val="1"/>
          <w:i w:val="1"/>
          <w:iCs w:val="1"/>
          <w:color w:val="auto"/>
        </w:rPr>
        <w:t xml:space="preserve">Proved oil and gas reserves. </w:t>
      </w:r>
      <w:r>
        <w:rPr>
          <w:rFonts w:ascii="Arial" w:cs="Arial" w:eastAsia="Arial" w:hAnsi="Arial"/>
          <w:sz w:val="19"/>
          <w:szCs w:val="19"/>
          <w:i w:val="1"/>
          <w:iCs w:val="1"/>
          <w:color w:val="auto"/>
        </w:rPr>
        <w:t>Proved oil and gas reserves are those quantities of oil and gas, which, by analysis of geoscience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and engineering data, can be estimated with reasonable certainty to be economically producible—from a given date forward,</w:t>
      </w:r>
    </w:p>
    <w:p>
      <w:pPr>
        <w:spacing w:after="0" w:line="1" w:lineRule="exact"/>
        <w:rPr>
          <w:sz w:val="20"/>
          <w:szCs w:val="20"/>
          <w:color w:val="auto"/>
        </w:rPr>
      </w:pPr>
    </w:p>
    <w:p>
      <w:pPr>
        <w:jc w:val="both"/>
        <w:spacing w:after="0" w:line="202" w:lineRule="auto"/>
        <w:rPr>
          <w:sz w:val="20"/>
          <w:szCs w:val="20"/>
          <w:color w:val="auto"/>
        </w:rPr>
      </w:pPr>
      <w:r>
        <w:rPr>
          <w:rFonts w:ascii="Arial" w:cs="Arial" w:eastAsia="Arial" w:hAnsi="Arial"/>
          <w:sz w:val="20"/>
          <w:szCs w:val="20"/>
          <w:i w:val="1"/>
          <w:iCs w:val="1"/>
          <w:color w:val="auto"/>
        </w:rPr>
        <w:t>from known reservoirs, and under existing economic conditions, operating methods, and government regulations—prior to the time at which contracts providing the right to operate expire, unless evidence indicates that renewal is reasonably certain,</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9"/>
          <w:szCs w:val="19"/>
          <w:i w:val="1"/>
          <w:iCs w:val="1"/>
          <w:color w:val="auto"/>
        </w:rPr>
        <w:t>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74" w:lineRule="exact"/>
        <w:rPr>
          <w:sz w:val="20"/>
          <w:szCs w:val="20"/>
          <w:color w:val="auto"/>
        </w:rPr>
      </w:pPr>
    </w:p>
    <w:p>
      <w:pPr>
        <w:ind w:left="880" w:hanging="230"/>
        <w:spacing w:after="0"/>
        <w:tabs>
          <w:tab w:leader="none" w:pos="880" w:val="left"/>
        </w:tabs>
        <w:numPr>
          <w:ilvl w:val="0"/>
          <w:numId w:val="203"/>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11" w:lineRule="exact"/>
        <w:rPr>
          <w:rFonts w:ascii="Arial" w:cs="Arial" w:eastAsia="Arial" w:hAnsi="Arial"/>
          <w:sz w:val="20"/>
          <w:szCs w:val="20"/>
          <w:i w:val="1"/>
          <w:iCs w:val="1"/>
          <w:color w:val="auto"/>
        </w:rPr>
      </w:pPr>
    </w:p>
    <w:p>
      <w:pPr>
        <w:ind w:left="1600" w:hanging="307"/>
        <w:spacing w:after="0"/>
        <w:tabs>
          <w:tab w:leader="none" w:pos="1600" w:val="left"/>
        </w:tabs>
        <w:numPr>
          <w:ilvl w:val="1"/>
          <w:numId w:val="203"/>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11" w:lineRule="exact"/>
        <w:rPr>
          <w:rFonts w:ascii="Arial" w:cs="Arial" w:eastAsia="Arial" w:hAnsi="Arial"/>
          <w:sz w:val="20"/>
          <w:szCs w:val="20"/>
          <w:i w:val="1"/>
          <w:iCs w:val="1"/>
          <w:color w:val="auto"/>
        </w:rPr>
      </w:pPr>
    </w:p>
    <w:p>
      <w:pPr>
        <w:ind w:left="1300" w:hanging="7"/>
        <w:spacing w:after="0" w:line="246" w:lineRule="auto"/>
        <w:tabs>
          <w:tab w:leader="none" w:pos="1620" w:val="left"/>
        </w:tabs>
        <w:numPr>
          <w:ilvl w:val="1"/>
          <w:numId w:val="203"/>
        </w:numPr>
        <w:rPr>
          <w:rFonts w:ascii="Arial" w:cs="Arial" w:eastAsia="Arial" w:hAnsi="Arial"/>
          <w:sz w:val="19"/>
          <w:szCs w:val="19"/>
          <w:i w:val="1"/>
          <w:iCs w:val="1"/>
          <w:color w:val="auto"/>
        </w:rPr>
      </w:pPr>
      <w:r>
        <w:rPr>
          <w:rFonts w:ascii="Arial" w:cs="Arial" w:eastAsia="Arial" w:hAnsi="Arial"/>
          <w:sz w:val="19"/>
          <w:szCs w:val="19"/>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81" w:lineRule="exact"/>
        <w:rPr>
          <w:rFonts w:ascii="Arial" w:cs="Arial" w:eastAsia="Arial" w:hAnsi="Arial"/>
          <w:sz w:val="19"/>
          <w:szCs w:val="19"/>
          <w:i w:val="1"/>
          <w:iCs w:val="1"/>
          <w:color w:val="auto"/>
        </w:rPr>
      </w:pPr>
    </w:p>
    <w:p>
      <w:pPr>
        <w:jc w:val="both"/>
        <w:ind w:left="640" w:firstLine="10"/>
        <w:spacing w:after="0" w:line="223" w:lineRule="auto"/>
        <w:tabs>
          <w:tab w:leader="none" w:pos="916" w:val="left"/>
        </w:tabs>
        <w:numPr>
          <w:ilvl w:val="0"/>
          <w:numId w:val="203"/>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89" w:lineRule="exact"/>
        <w:rPr>
          <w:rFonts w:ascii="Arial" w:cs="Arial" w:eastAsia="Arial" w:hAnsi="Arial"/>
          <w:sz w:val="20"/>
          <w:szCs w:val="20"/>
          <w:i w:val="1"/>
          <w:iCs w:val="1"/>
          <w:color w:val="auto"/>
        </w:rPr>
      </w:pPr>
    </w:p>
    <w:p>
      <w:pPr>
        <w:jc w:val="both"/>
        <w:ind w:left="640" w:firstLine="10"/>
        <w:spacing w:after="0" w:line="220" w:lineRule="auto"/>
        <w:tabs>
          <w:tab w:leader="none" w:pos="977" w:val="left"/>
        </w:tabs>
        <w:numPr>
          <w:ilvl w:val="0"/>
          <w:numId w:val="203"/>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268" w:name="page269"/>
    <w:bookmarkEnd w:id="268"/>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0" w:right="20" w:firstLine="10"/>
        <w:spacing w:after="0" w:line="213" w:lineRule="auto"/>
        <w:tabs>
          <w:tab w:leader="none" w:pos="987" w:val="left"/>
        </w:tabs>
        <w:numPr>
          <w:ilvl w:val="0"/>
          <w:numId w:val="204"/>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ind w:left="1620" w:hanging="327"/>
        <w:spacing w:after="0" w:line="209" w:lineRule="auto"/>
        <w:tabs>
          <w:tab w:leader="none" w:pos="1620" w:val="left"/>
        </w:tabs>
        <w:numPr>
          <w:ilvl w:val="1"/>
          <w:numId w:val="204"/>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w:t>
      </w:r>
    </w:p>
    <w:p>
      <w:pPr>
        <w:ind w:left="1300"/>
        <w:spacing w:after="0" w:line="210" w:lineRule="auto"/>
        <w:rPr>
          <w:sz w:val="20"/>
          <w:szCs w:val="20"/>
          <w:color w:val="auto"/>
        </w:rPr>
      </w:pPr>
      <w:r>
        <w:rPr>
          <w:rFonts w:ascii="Arial" w:cs="Arial" w:eastAsia="Arial" w:hAnsi="Arial"/>
          <w:sz w:val="20"/>
          <w:szCs w:val="20"/>
          <w:i w:val="1"/>
          <w:iCs w:val="1"/>
          <w:color w:val="auto"/>
        </w:rPr>
        <w:t>reservoir as a whole, the operation of an installed program in the reservoir or an analogous reservoir, or other</w:t>
      </w:r>
    </w:p>
    <w:p>
      <w:pPr>
        <w:ind w:left="1300"/>
        <w:spacing w:after="0" w:line="220" w:lineRule="auto"/>
        <w:rPr>
          <w:sz w:val="20"/>
          <w:szCs w:val="20"/>
          <w:color w:val="auto"/>
        </w:rPr>
      </w:pPr>
      <w:r>
        <w:rPr>
          <w:rFonts w:ascii="Arial" w:cs="Arial" w:eastAsia="Arial" w:hAnsi="Arial"/>
          <w:sz w:val="20"/>
          <w:szCs w:val="20"/>
          <w:i w:val="1"/>
          <w:iCs w:val="1"/>
          <w:color w:val="auto"/>
        </w:rPr>
        <w:t>evidence using reliable technology establishes the reasonable certainty of the engineering analysis on which the project or program was based; and</w:t>
      </w:r>
    </w:p>
    <w:p>
      <w:pPr>
        <w:spacing w:after="0" w:line="188" w:lineRule="exact"/>
        <w:rPr>
          <w:sz w:val="20"/>
          <w:szCs w:val="20"/>
          <w:color w:val="auto"/>
        </w:rPr>
      </w:pPr>
    </w:p>
    <w:p>
      <w:pPr>
        <w:ind w:left="1300" w:hanging="7"/>
        <w:spacing w:after="0" w:line="238" w:lineRule="auto"/>
        <w:tabs>
          <w:tab w:leader="none" w:pos="1627" w:val="left"/>
        </w:tabs>
        <w:numPr>
          <w:ilvl w:val="1"/>
          <w:numId w:val="205"/>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73" w:lineRule="exact"/>
        <w:rPr>
          <w:rFonts w:ascii="Arial" w:cs="Arial" w:eastAsia="Arial" w:hAnsi="Arial"/>
          <w:sz w:val="20"/>
          <w:szCs w:val="20"/>
          <w:i w:val="1"/>
          <w:iCs w:val="1"/>
          <w:color w:val="auto"/>
        </w:rPr>
      </w:pPr>
    </w:p>
    <w:p>
      <w:pPr>
        <w:jc w:val="both"/>
        <w:ind w:left="640" w:firstLine="10"/>
        <w:spacing w:after="0" w:line="218" w:lineRule="auto"/>
        <w:tabs>
          <w:tab w:leader="none" w:pos="968" w:val="left"/>
        </w:tabs>
        <w:numPr>
          <w:ilvl w:val="0"/>
          <w:numId w:val="206"/>
        </w:numPr>
        <w:rPr>
          <w:rFonts w:ascii="Arial" w:cs="Arial" w:eastAsia="Arial" w:hAnsi="Arial"/>
          <w:sz w:val="20"/>
          <w:szCs w:val="20"/>
          <w:i w:val="1"/>
          <w:iCs w:val="1"/>
          <w:color w:val="auto"/>
        </w:rPr>
      </w:pPr>
      <w:r>
        <w:rPr>
          <w:rFonts w:ascii="Arial" w:cs="Arial" w:eastAsia="Arial" w:hAnsi="Arial"/>
          <w:sz w:val="20"/>
          <w:szCs w:val="20"/>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269" w:name="page270"/>
    <w:bookmarkEnd w:id="2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jc w:val="center"/>
        <w:spacing w:after="0" w:line="209" w:lineRule="auto"/>
        <w:rPr>
          <w:sz w:val="20"/>
          <w:szCs w:val="20"/>
          <w:color w:val="auto"/>
        </w:rPr>
      </w:pPr>
      <w:r>
        <w:rPr>
          <w:rFonts w:ascii="Arial" w:cs="Arial" w:eastAsia="Arial" w:hAnsi="Arial"/>
          <w:sz w:val="20"/>
          <w:szCs w:val="20"/>
          <w:b w:val="1"/>
          <w:bCs w:val="1"/>
          <w:color w:val="auto"/>
        </w:rPr>
        <w:t>RULE 4-10(a) of REGULATION S-X PART 210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ind w:left="230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6"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25" w:lineRule="exact"/>
        <w:rPr>
          <w:sz w:val="20"/>
          <w:szCs w:val="20"/>
          <w:color w:val="auto"/>
        </w:rPr>
      </w:pPr>
    </w:p>
    <w:p>
      <w:pPr>
        <w:ind w:firstLine="643"/>
        <w:spacing w:after="0" w:line="202"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Securities and Exchange Commission Regulation S-X §210.4-10(a)(6) defines developed oil and gas reserves as follows: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198" w:lineRule="exact"/>
        <w:rPr>
          <w:sz w:val="20"/>
          <w:szCs w:val="20"/>
          <w:color w:val="auto"/>
        </w:rPr>
      </w:pPr>
    </w:p>
    <w:p>
      <w:pPr>
        <w:ind w:left="1300" w:hanging="7"/>
        <w:spacing w:after="0" w:line="238" w:lineRule="auto"/>
        <w:tabs>
          <w:tab w:leader="none" w:pos="1562" w:val="left"/>
        </w:tabs>
        <w:numPr>
          <w:ilvl w:val="0"/>
          <w:numId w:val="207"/>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73" w:lineRule="exact"/>
        <w:rPr>
          <w:rFonts w:ascii="Arial" w:cs="Arial" w:eastAsia="Arial" w:hAnsi="Arial"/>
          <w:sz w:val="20"/>
          <w:szCs w:val="20"/>
          <w:i w:val="1"/>
          <w:iCs w:val="1"/>
          <w:color w:val="auto"/>
        </w:rPr>
      </w:pPr>
    </w:p>
    <w:p>
      <w:pPr>
        <w:ind w:left="1300" w:hanging="7"/>
        <w:spacing w:after="0" w:line="238" w:lineRule="auto"/>
        <w:tabs>
          <w:tab w:leader="none" w:pos="1577" w:val="left"/>
        </w:tabs>
        <w:numPr>
          <w:ilvl w:val="0"/>
          <w:numId w:val="207"/>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22" w:lineRule="exact"/>
        <w:rPr>
          <w:sz w:val="20"/>
          <w:szCs w:val="20"/>
          <w:color w:val="auto"/>
        </w:rPr>
      </w:pPr>
    </w:p>
    <w:p>
      <w:pPr>
        <w:ind w:firstLine="643"/>
        <w:spacing w:after="0" w:line="227"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ind w:left="640"/>
        <w:spacing w:after="0" w:line="227"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70" w:name="page271"/>
    <w:bookmarkEnd w:id="270"/>
    <w:p>
      <w:pPr>
        <w:ind w:right="5080"/>
        <w:spacing w:after="0" w:line="228"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ind w:left="64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Shut-In</w:t>
      </w:r>
    </w:p>
    <w:p>
      <w:pPr>
        <w:ind w:left="640"/>
        <w:spacing w:after="0" w:line="209" w:lineRule="auto"/>
        <w:rPr>
          <w:sz w:val="20"/>
          <w:szCs w:val="20"/>
          <w:color w:val="auto"/>
        </w:rPr>
      </w:pPr>
      <w:r>
        <w:rPr>
          <w:rFonts w:ascii="Arial" w:cs="Arial" w:eastAsia="Arial" w:hAnsi="Arial"/>
          <w:sz w:val="20"/>
          <w:szCs w:val="20"/>
          <w:i w:val="1"/>
          <w:iCs w:val="1"/>
          <w:color w:val="auto"/>
        </w:rPr>
        <w:t>Shut-in Reserves are expected to be recovered from:</w:t>
      </w:r>
    </w:p>
    <w:p>
      <w:pPr>
        <w:ind w:left="1420" w:hanging="449"/>
        <w:spacing w:after="0" w:line="196" w:lineRule="auto"/>
        <w:tabs>
          <w:tab w:leader="none" w:pos="1420" w:val="left"/>
        </w:tabs>
        <w:numPr>
          <w:ilvl w:val="0"/>
          <w:numId w:val="208"/>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420" w:hanging="449"/>
        <w:spacing w:after="0" w:line="209" w:lineRule="auto"/>
        <w:tabs>
          <w:tab w:leader="none" w:pos="1420" w:val="left"/>
        </w:tabs>
        <w:numPr>
          <w:ilvl w:val="0"/>
          <w:numId w:val="208"/>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420" w:hanging="449"/>
        <w:spacing w:after="0"/>
        <w:tabs>
          <w:tab w:leader="none" w:pos="1420" w:val="left"/>
        </w:tabs>
        <w:numPr>
          <w:ilvl w:val="0"/>
          <w:numId w:val="208"/>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Behind-Pipe</w:t>
      </w:r>
    </w:p>
    <w:p>
      <w:pPr>
        <w:ind w:left="640"/>
        <w:spacing w:after="0" w:line="227"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88" w:lineRule="exact"/>
        <w:rPr>
          <w:sz w:val="20"/>
          <w:szCs w:val="20"/>
          <w:color w:val="auto"/>
        </w:rPr>
      </w:pPr>
    </w:p>
    <w:p>
      <w:pPr>
        <w:ind w:left="640" w:right="20"/>
        <w:spacing w:after="0" w:line="231"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36" w:lineRule="exact"/>
        <w:rPr>
          <w:sz w:val="20"/>
          <w:szCs w:val="20"/>
          <w:color w:val="auto"/>
        </w:rPr>
      </w:pPr>
    </w:p>
    <w:p>
      <w:pPr>
        <w:ind w:firstLine="643"/>
        <w:spacing w:after="0" w:line="220"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88" w:lineRule="exact"/>
        <w:rPr>
          <w:sz w:val="20"/>
          <w:szCs w:val="20"/>
          <w:color w:val="auto"/>
        </w:rPr>
      </w:pPr>
    </w:p>
    <w:p>
      <w:pPr>
        <w:ind w:left="640" w:right="20"/>
        <w:spacing w:after="0" w:line="238"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73" w:lineRule="exact"/>
        <w:rPr>
          <w:sz w:val="20"/>
          <w:szCs w:val="20"/>
          <w:color w:val="auto"/>
        </w:rPr>
      </w:pPr>
    </w:p>
    <w:p>
      <w:pPr>
        <w:jc w:val="both"/>
        <w:ind w:left="1300" w:hanging="7"/>
        <w:spacing w:after="0" w:line="228" w:lineRule="auto"/>
        <w:tabs>
          <w:tab w:leader="none" w:pos="1695" w:val="left"/>
        </w:tabs>
        <w:numPr>
          <w:ilvl w:val="0"/>
          <w:numId w:val="209"/>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74" w:lineRule="exact"/>
        <w:rPr>
          <w:rFonts w:ascii="Arial" w:cs="Arial" w:eastAsia="Arial" w:hAnsi="Arial"/>
          <w:sz w:val="20"/>
          <w:szCs w:val="20"/>
          <w:i w:val="1"/>
          <w:iCs w:val="1"/>
          <w:color w:val="auto"/>
        </w:rPr>
      </w:pPr>
    </w:p>
    <w:p>
      <w:pPr>
        <w:jc w:val="both"/>
        <w:ind w:left="1300" w:hanging="7"/>
        <w:spacing w:after="0" w:line="228" w:lineRule="auto"/>
        <w:tabs>
          <w:tab w:leader="none" w:pos="1602" w:val="left"/>
        </w:tabs>
        <w:numPr>
          <w:ilvl w:val="0"/>
          <w:numId w:val="209"/>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74" w:lineRule="exact"/>
        <w:rPr>
          <w:rFonts w:ascii="Arial" w:cs="Arial" w:eastAsia="Arial" w:hAnsi="Arial"/>
          <w:sz w:val="20"/>
          <w:szCs w:val="20"/>
          <w:i w:val="1"/>
          <w:iCs w:val="1"/>
          <w:color w:val="auto"/>
        </w:rPr>
      </w:pPr>
    </w:p>
    <w:p>
      <w:pPr>
        <w:jc w:val="both"/>
        <w:ind w:left="1300" w:hanging="7"/>
        <w:spacing w:after="0" w:line="220" w:lineRule="auto"/>
        <w:tabs>
          <w:tab w:leader="none" w:pos="1623" w:val="left"/>
        </w:tabs>
        <w:numPr>
          <w:ilvl w:val="0"/>
          <w:numId w:val="209"/>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DAF632"/>
    <w:multiLevelType w:val="hybridMultilevel"/>
    <w:lvl w:ilvl="0">
      <w:lvlJc w:val="left"/>
      <w:lvlText w:val="☒"/>
      <w:numFmt w:val="bullet"/>
      <w:start w:val="1"/>
    </w:lvl>
  </w:abstractNum>
  <w:abstractNum w:abstractNumId="1">
    <w:nsid w:val="53299938"/>
    <w:multiLevelType w:val="hybridMultilevel"/>
    <w:lvl w:ilvl="0">
      <w:lvlJc w:val="left"/>
      <w:lvlText w:val="☐"/>
      <w:numFmt w:val="bullet"/>
      <w:start w:val="1"/>
    </w:lvl>
  </w:abstractNum>
  <w:abstractNum w:abstractNumId="2">
    <w:nsid w:val="1FBFE8E0"/>
    <w:multiLevelType w:val="hybridMultilevel"/>
    <w:lvl w:ilvl="0">
      <w:lvlJc w:val="left"/>
      <w:lvlText w:val="•"/>
      <w:numFmt w:val="bullet"/>
      <w:start w:val="1"/>
    </w:lvl>
  </w:abstractNum>
  <w:abstractNum w:abstractNumId="3">
    <w:nsid w:val="5092CA79"/>
    <w:multiLevelType w:val="hybridMultilevel"/>
    <w:lvl w:ilvl="0">
      <w:lvlJc w:val="left"/>
      <w:lvlText w:val="•"/>
      <w:numFmt w:val="bullet"/>
      <w:start w:val="1"/>
    </w:lvl>
  </w:abstractNum>
  <w:abstractNum w:abstractNumId="4">
    <w:nsid w:val="1D545C4D"/>
    <w:multiLevelType w:val="hybridMultilevel"/>
    <w:lvl w:ilvl="0">
      <w:lvlJc w:val="left"/>
      <w:lvlText w:val="•"/>
      <w:numFmt w:val="bullet"/>
      <w:start w:val="1"/>
    </w:lvl>
  </w:abstractNum>
  <w:abstractNum w:abstractNumId="5">
    <w:nsid w:val="59ADEA3D"/>
    <w:multiLevelType w:val="hybridMultilevel"/>
    <w:lvl w:ilvl="0">
      <w:lvlJc w:val="left"/>
      <w:lvlText w:val="•"/>
      <w:numFmt w:val="bullet"/>
      <w:start w:val="1"/>
    </w:lvl>
  </w:abstractNum>
  <w:abstractNum w:abstractNumId="6">
    <w:nsid w:val="288F1A34"/>
    <w:multiLevelType w:val="hybridMultilevel"/>
    <w:lvl w:ilvl="0">
      <w:lvlJc w:val="left"/>
      <w:lvlText w:val="•"/>
      <w:numFmt w:val="bullet"/>
      <w:start w:val="1"/>
    </w:lvl>
  </w:abstractNum>
  <w:abstractNum w:abstractNumId="7">
    <w:nsid w:val="2A155DBC"/>
    <w:multiLevelType w:val="hybridMultilevel"/>
    <w:lvl w:ilvl="0">
      <w:lvlJc w:val="left"/>
      <w:lvlText w:val="(%1)"/>
      <w:numFmt w:val="decimal"/>
      <w:start w:val="2"/>
    </w:lvl>
  </w:abstractNum>
  <w:abstractNum w:abstractNumId="8">
    <w:nsid w:val="1D9F6E5F"/>
    <w:multiLevelType w:val="hybridMultilevel"/>
    <w:lvl w:ilvl="0">
      <w:lvlJc w:val="left"/>
      <w:lvlText w:val="•"/>
      <w:numFmt w:val="bullet"/>
      <w:start w:val="1"/>
    </w:lvl>
  </w:abstractNum>
  <w:abstractNum w:abstractNumId="9">
    <w:nsid w:val="97E1B4E"/>
    <w:multiLevelType w:val="hybridMultilevel"/>
    <w:lvl w:ilvl="0">
      <w:lvlJc w:val="left"/>
      <w:lvlText w:val="(%1)"/>
      <w:numFmt w:val="decimal"/>
      <w:start w:val="1"/>
    </w:lvl>
  </w:abstractNum>
  <w:abstractNum w:abstractNumId="10">
    <w:nsid w:val="51088277"/>
    <w:multiLevelType w:val="hybridMultilevel"/>
    <w:lvl w:ilvl="0">
      <w:lvlJc w:val="left"/>
      <w:lvlText w:val="(%1)"/>
      <w:numFmt w:val="decimal"/>
      <w:start w:val="1"/>
    </w:lvl>
  </w:abstractNum>
  <w:abstractNum w:abstractNumId="11">
    <w:nsid w:val="1CA0C5FA"/>
    <w:multiLevelType w:val="hybridMultilevel"/>
    <w:lvl w:ilvl="0">
      <w:lvlJc w:val="left"/>
      <w:lvlText w:val="•"/>
      <w:numFmt w:val="bullet"/>
      <w:start w:val="1"/>
    </w:lvl>
  </w:abstractNum>
  <w:abstractNum w:abstractNumId="12">
    <w:nsid w:val="53584BCB"/>
    <w:multiLevelType w:val="hybridMultilevel"/>
    <w:lvl w:ilvl="0">
      <w:lvlJc w:val="left"/>
      <w:lvlText w:val="(%1)"/>
      <w:numFmt w:val="decimal"/>
      <w:start w:val="1"/>
    </w:lvl>
  </w:abstractNum>
  <w:abstractNum w:abstractNumId="13">
    <w:nsid w:val="415E286C"/>
    <w:multiLevelType w:val="hybridMultilevel"/>
    <w:lvl w:ilvl="0">
      <w:lvlJc w:val="left"/>
      <w:lvlText w:val="(%1)"/>
      <w:numFmt w:val="decimal"/>
      <w:start w:val="1"/>
    </w:lvl>
  </w:abstractNum>
  <w:abstractNum w:abstractNumId="14">
    <w:nsid w:val="7C58FD05"/>
    <w:multiLevelType w:val="hybridMultilevel"/>
    <w:lvl w:ilvl="0">
      <w:lvlJc w:val="left"/>
      <w:lvlText w:val="(%1)"/>
      <w:numFmt w:val="decimal"/>
      <w:start w:val="1"/>
    </w:lvl>
  </w:abstractNum>
  <w:abstractNum w:abstractNumId="15">
    <w:nsid w:val="23D86AAC"/>
    <w:multiLevelType w:val="hybridMultilevel"/>
    <w:lvl w:ilvl="0">
      <w:lvlJc w:val="left"/>
      <w:lvlText w:val="(%1)"/>
      <w:numFmt w:val="decimal"/>
      <w:start w:val="1"/>
    </w:lvl>
  </w:abstractNum>
  <w:abstractNum w:abstractNumId="16">
    <w:nsid w:val="45E6D486"/>
    <w:multiLevelType w:val="hybridMultilevel"/>
    <w:lvl w:ilvl="0">
      <w:lvlJc w:val="left"/>
      <w:lvlText w:val="(%1)"/>
      <w:numFmt w:val="lowerLetter"/>
      <w:start w:val="1"/>
    </w:lvl>
  </w:abstractNum>
  <w:abstractNum w:abstractNumId="17">
    <w:nsid w:val="5C10FE21"/>
    <w:multiLevelType w:val="hybridMultilevel"/>
    <w:lvl w:ilvl="0">
      <w:lvlJc w:val="left"/>
      <w:lvlText w:val="•"/>
      <w:numFmt w:val="bullet"/>
      <w:start w:val="1"/>
    </w:lvl>
  </w:abstractNum>
  <w:abstractNum w:abstractNumId="18">
    <w:nsid w:val="E7FFA2B"/>
    <w:multiLevelType w:val="hybridMultilevel"/>
    <w:lvl w:ilvl="0">
      <w:lvlJc w:val="left"/>
      <w:lvlText w:val="(%1)"/>
      <w:numFmt w:val="decimal"/>
      <w:start w:val="1"/>
    </w:lvl>
  </w:abstractNum>
  <w:abstractNum w:abstractNumId="19">
    <w:nsid w:val="3C5991AA"/>
    <w:multiLevelType w:val="hybridMultilevel"/>
    <w:lvl w:ilvl="0">
      <w:lvlJc w:val="left"/>
      <w:lvlText w:val="%1"/>
      <w:numFmt w:val="decimal"/>
      <w:start w:val="1"/>
    </w:lvl>
    <w:lvl w:ilvl="1">
      <w:lvlJc w:val="left"/>
      <w:lvlText w:val="(%2)"/>
      <w:numFmt w:val="decimal"/>
      <w:start w:val="1"/>
    </w:lvl>
  </w:abstractNum>
  <w:abstractNum w:abstractNumId="20">
    <w:nsid w:val="4BD8591A"/>
    <w:multiLevelType w:val="hybridMultilevel"/>
    <w:lvl w:ilvl="0">
      <w:lvlJc w:val="left"/>
      <w:lvlText w:val="(%1)"/>
      <w:numFmt w:val="decimal"/>
      <w:start w:val="2"/>
    </w:lvl>
    <w:lvl w:ilvl="1">
      <w:lvlJc w:val="left"/>
      <w:lvlText w:val="%2"/>
      <w:numFmt w:val="decimal"/>
      <w:start w:val="1"/>
    </w:lvl>
  </w:abstractNum>
  <w:abstractNum w:abstractNumId="21">
    <w:nsid w:val="78DF6A55"/>
    <w:multiLevelType w:val="hybridMultilevel"/>
    <w:lvl w:ilvl="0">
      <w:lvlJc w:val="left"/>
      <w:lvlText w:val="(%1)"/>
      <w:numFmt w:val="decimal"/>
      <w:start w:val="4"/>
    </w:lvl>
    <w:lvl w:ilvl="1">
      <w:lvlJc w:val="left"/>
      <w:lvlText w:val="(%2)"/>
      <w:numFmt w:val="lowerRoman"/>
      <w:start w:val="1"/>
    </w:lvl>
  </w:abstractNum>
  <w:abstractNum w:abstractNumId="22">
    <w:nsid w:val="39B7AAA2"/>
    <w:multiLevelType w:val="hybridMultilevel"/>
    <w:lvl w:ilvl="0">
      <w:lvlJc w:val="left"/>
      <w:lvlText w:val="(%1)"/>
      <w:numFmt w:val="decimal"/>
      <w:start w:val="1"/>
    </w:lvl>
  </w:abstractNum>
  <w:abstractNum w:abstractNumId="23">
    <w:nsid w:val="2B0D8DBE"/>
    <w:multiLevelType w:val="hybridMultilevel"/>
    <w:lvl w:ilvl="0">
      <w:lvlJc w:val="left"/>
      <w:lvlText w:val="(%1)"/>
      <w:numFmt w:val="decimal"/>
      <w:start w:val="5"/>
    </w:lvl>
  </w:abstractNum>
  <w:abstractNum w:abstractNumId="24">
    <w:nsid w:val="6C80EC70"/>
    <w:multiLevelType w:val="hybridMultilevel"/>
    <w:lvl w:ilvl="0">
      <w:lvlJc w:val="left"/>
      <w:lvlText w:val="(%1)"/>
      <w:numFmt w:val="decimal"/>
      <w:start w:val="1"/>
    </w:lvl>
  </w:abstractNum>
  <w:abstractNum w:abstractNumId="25">
    <w:nsid w:val="379E21B5"/>
    <w:multiLevelType w:val="hybridMultilevel"/>
    <w:lvl w:ilvl="0">
      <w:lvlJc w:val="left"/>
      <w:lvlText w:val="(%1)"/>
      <w:numFmt w:val="lowerLetter"/>
      <w:start w:val="1"/>
    </w:lvl>
  </w:abstractNum>
  <w:abstractNum w:abstractNumId="26">
    <w:nsid w:val="69E373"/>
    <w:multiLevelType w:val="hybridMultilevel"/>
    <w:lvl w:ilvl="0">
      <w:lvlJc w:val="left"/>
      <w:lvlText w:val="%1"/>
      <w:numFmt w:val="decimal"/>
      <w:start w:val="101"/>
    </w:lvl>
  </w:abstractNum>
  <w:abstractNum w:abstractNumId="27">
    <w:nsid w:val="2C27173B"/>
    <w:multiLevelType w:val="hybridMultilevel"/>
    <w:lvl w:ilvl="0">
      <w:lvlJc w:val="left"/>
      <w:lvlText w:val="*"/>
      <w:numFmt w:val="bullet"/>
      <w:start w:val="1"/>
    </w:lvl>
  </w:abstractNum>
  <w:abstractNum w:abstractNumId="28">
    <w:nsid w:val="4C9B0904"/>
    <w:multiLevelType w:val="hybridMultilevel"/>
    <w:lvl w:ilvl="0">
      <w:lvlJc w:val="left"/>
      <w:lvlText w:val="+"/>
      <w:numFmt w:val="bullet"/>
      <w:start w:val="1"/>
    </w:lvl>
  </w:abstractNum>
  <w:abstractNum w:abstractNumId="29">
    <w:nsid w:val="6AA7B75C"/>
    <w:multiLevelType w:val="hybridMultilevel"/>
    <w:lvl w:ilvl="0">
      <w:lvlJc w:val="left"/>
      <w:lvlText w:val="++"/>
      <w:numFmt w:val="bullet"/>
      <w:start w:val="1"/>
    </w:lvl>
  </w:abstractNum>
  <w:abstractNum w:abstractNumId="30">
    <w:nsid w:val="1DF029D3"/>
    <w:multiLevelType w:val="hybridMultilevel"/>
    <w:lvl w:ilvl="0">
      <w:lvlJc w:val="left"/>
      <w:lvlText w:val="#"/>
      <w:numFmt w:val="bullet"/>
      <w:start w:val="1"/>
    </w:lvl>
  </w:abstractNum>
  <w:abstractNum w:abstractNumId="31">
    <w:nsid w:val="5675FF36"/>
    <w:multiLevelType w:val="hybridMultilevel"/>
    <w:lvl w:ilvl="0">
      <w:lvlJc w:val="left"/>
      <w:lvlText w:val="•"/>
      <w:numFmt w:val="bullet"/>
      <w:start w:val="1"/>
    </w:lvl>
  </w:abstractNum>
  <w:abstractNum w:abstractNumId="32">
    <w:nsid w:val="3DD15094"/>
    <w:multiLevelType w:val="hybridMultilevel"/>
    <w:lvl w:ilvl="0">
      <w:lvlJc w:val="left"/>
      <w:lvlText w:val="•"/>
      <w:numFmt w:val="bullet"/>
      <w:start w:val="1"/>
    </w:lvl>
    <w:lvl w:ilvl="1">
      <w:lvlJc w:val="left"/>
      <w:lvlText w:val="◦"/>
      <w:numFmt w:val="bullet"/>
      <w:start w:val="1"/>
    </w:lvl>
  </w:abstractNum>
  <w:abstractNum w:abstractNumId="33">
    <w:nsid w:val="3DB012B3"/>
    <w:multiLevelType w:val="hybridMultilevel"/>
    <w:lvl w:ilvl="0">
      <w:lvlJc w:val="left"/>
      <w:lvlText w:val="•"/>
      <w:numFmt w:val="bullet"/>
      <w:start w:val="1"/>
    </w:lvl>
    <w:lvl w:ilvl="1">
      <w:lvlJc w:val="left"/>
      <w:lvlText w:val="◦"/>
      <w:numFmt w:val="bullet"/>
      <w:start w:val="1"/>
    </w:lvl>
  </w:abstractNum>
  <w:abstractNum w:abstractNumId="34">
    <w:nsid w:val="2708C9AF"/>
    <w:multiLevelType w:val="hybridMultilevel"/>
    <w:lvl w:ilvl="0">
      <w:lvlJc w:val="left"/>
      <w:lvlText w:val="◦"/>
      <w:numFmt w:val="bullet"/>
      <w:start w:val="1"/>
    </w:lvl>
  </w:abstractNum>
  <w:abstractNum w:abstractNumId="35">
    <w:nsid w:val="5B25ACE2"/>
    <w:multiLevelType w:val="hybridMultilevel"/>
    <w:lvl w:ilvl="0">
      <w:lvlJc w:val="left"/>
      <w:lvlText w:val="(%1)"/>
      <w:numFmt w:val="decimal"/>
      <w:start w:val="1"/>
    </w:lvl>
  </w:abstractNum>
  <w:abstractNum w:abstractNumId="36">
    <w:nsid w:val="175DFCF0"/>
    <w:multiLevelType w:val="hybridMultilevel"/>
    <w:lvl w:ilvl="0">
      <w:lvlJc w:val="left"/>
      <w:lvlText w:val="(%1)"/>
      <w:numFmt w:val="decimal"/>
      <w:start w:val="1"/>
    </w:lvl>
  </w:abstractNum>
  <w:abstractNum w:abstractNumId="37">
    <w:nsid w:val="4F97E3E4"/>
    <w:multiLevelType w:val="hybridMultilevel"/>
    <w:lvl w:ilvl="0">
      <w:lvlJc w:val="left"/>
      <w:lvlText w:val="(%1)"/>
      <w:numFmt w:val="lowerRoman"/>
      <w:start w:val="2"/>
    </w:lvl>
  </w:abstractNum>
  <w:abstractNum w:abstractNumId="38">
    <w:nsid w:val="53B0A9E"/>
    <w:multiLevelType w:val="hybridMultilevel"/>
    <w:lvl w:ilvl="0">
      <w:lvlJc w:val="left"/>
      <w:lvlText w:val="%1."/>
      <w:numFmt w:val="decimal"/>
      <w:start w:val="13"/>
    </w:lvl>
  </w:abstractNum>
  <w:abstractNum w:abstractNumId="39">
    <w:nsid w:val="34FD6B4F"/>
    <w:multiLevelType w:val="hybridMultilevel"/>
    <w:lvl w:ilvl="0">
      <w:lvlJc w:val="left"/>
      <w:lvlText w:val="%1."/>
      <w:numFmt w:val="upperLetter"/>
      <w:start w:val="1"/>
    </w:lvl>
  </w:abstractNum>
  <w:abstractNum w:abstractNumId="40">
    <w:nsid w:val="5915FF32"/>
    <w:multiLevelType w:val="hybridMultilevel"/>
    <w:lvl w:ilvl="0">
      <w:lvlJc w:val="left"/>
      <w:lvlText w:val="(%1)"/>
      <w:numFmt w:val="lowerLetter"/>
      <w:start w:val="1"/>
    </w:lvl>
    <w:lvl w:ilvl="1">
      <w:lvlJc w:val="left"/>
      <w:lvlText w:val="(%2)"/>
      <w:numFmt w:val="lowerRoman"/>
      <w:start w:val="1"/>
    </w:lvl>
  </w:abstractNum>
  <w:abstractNum w:abstractNumId="41">
    <w:nsid w:val="56438D15"/>
    <w:multiLevelType w:val="hybridMultilevel"/>
    <w:lvl w:ilvl="0">
      <w:lvlJc w:val="left"/>
      <w:lvlText w:val="(%1)"/>
      <w:numFmt w:val="lowerRoman"/>
      <w:start w:val="1"/>
    </w:lvl>
  </w:abstractNum>
  <w:abstractNum w:abstractNumId="42">
    <w:nsid w:val="519E3149"/>
    <w:multiLevelType w:val="hybridMultilevel"/>
    <w:lvl w:ilvl="0">
      <w:lvlJc w:val="left"/>
      <w:lvlText w:val="["/>
      <w:numFmt w:val="bullet"/>
      <w:start w:val="1"/>
    </w:lvl>
  </w:abstractNum>
  <w:abstractNum w:abstractNumId="43">
    <w:nsid w:val="2C6E4AFD"/>
    <w:multiLevelType w:val="hybridMultilevel"/>
    <w:lvl w:ilvl="0">
      <w:lvlJc w:val="left"/>
      <w:lvlText w:val="["/>
      <w:numFmt w:val="bullet"/>
      <w:start w:val="1"/>
    </w:lvl>
  </w:abstractNum>
  <w:abstractNum w:abstractNumId="44">
    <w:nsid w:val="17A1B582"/>
    <w:multiLevelType w:val="hybridMultilevel"/>
    <w:lvl w:ilvl="0">
      <w:lvlJc w:val="left"/>
      <w:lvlText w:val="["/>
      <w:numFmt w:val="bullet"/>
      <w:start w:val="1"/>
    </w:lvl>
  </w:abstractNum>
  <w:abstractNum w:abstractNumId="45">
    <w:nsid w:val="4DF72E4E"/>
    <w:multiLevelType w:val="hybridMultilevel"/>
    <w:lvl w:ilvl="0">
      <w:lvlJc w:val="left"/>
      <w:lvlText w:val="["/>
      <w:numFmt w:val="bullet"/>
      <w:start w:val="1"/>
    </w:lvl>
  </w:abstractNum>
  <w:abstractNum w:abstractNumId="46">
    <w:nsid w:val="5046B5A9"/>
    <w:multiLevelType w:val="hybridMultilevel"/>
    <w:lvl w:ilvl="0">
      <w:lvlJc w:val="left"/>
      <w:lvlText w:val="(%1)"/>
      <w:numFmt w:val="lowerRoman"/>
      <w:start w:val="1"/>
    </w:lvl>
  </w:abstractNum>
  <w:abstractNum w:abstractNumId="47">
    <w:nsid w:val="5D888A08"/>
    <w:multiLevelType w:val="hybridMultilevel"/>
    <w:lvl w:ilvl="0">
      <w:lvlJc w:val="left"/>
      <w:lvlText w:val="%1"/>
      <w:numFmt w:val="upperLetter"/>
      <w:start w:val="1"/>
    </w:lvl>
    <w:lvl w:ilvl="1">
      <w:lvlJc w:val="left"/>
      <w:lvlText w:val="(%2)"/>
      <w:numFmt w:val="decimal"/>
      <w:start w:val="1"/>
    </w:lvl>
  </w:abstractNum>
  <w:abstractNum w:abstractNumId="48">
    <w:nsid w:val="2A082C70"/>
    <w:multiLevelType w:val="hybridMultilevel"/>
    <w:lvl w:ilvl="0">
      <w:lvlJc w:val="left"/>
      <w:lvlText w:val="(%1)"/>
      <w:numFmt w:val="upperLetter"/>
      <w:start w:val="1"/>
    </w:lvl>
    <w:lvl w:ilvl="1">
      <w:lvlJc w:val="left"/>
      <w:lvlText w:val="(%2)"/>
      <w:numFmt w:val="decimal"/>
      <w:start w:val="3"/>
    </w:lvl>
  </w:abstractNum>
  <w:abstractNum w:abstractNumId="49">
    <w:nsid w:val="5EC6AFD4"/>
    <w:multiLevelType w:val="hybridMultilevel"/>
    <w:lvl w:ilvl="0">
      <w:lvlJc w:val="left"/>
      <w:lvlText w:val="(%1)"/>
      <w:numFmt w:val="lowerLetter"/>
      <w:start w:val="1"/>
    </w:lvl>
  </w:abstractNum>
  <w:abstractNum w:abstractNumId="50">
    <w:nsid w:val="19E21BB2"/>
    <w:multiLevelType w:val="hybridMultilevel"/>
    <w:lvl w:ilvl="0">
      <w:lvlJc w:val="left"/>
      <w:lvlText w:val="(%1)"/>
      <w:numFmt w:val="lowerLetter"/>
      <w:start w:val="1"/>
    </w:lvl>
  </w:abstractNum>
  <w:abstractNum w:abstractNumId="51">
    <w:nsid w:val="75E0858A"/>
    <w:multiLevelType w:val="hybridMultilevel"/>
    <w:lvl w:ilvl="0">
      <w:lvlJc w:val="left"/>
      <w:lvlText w:val="(%1)"/>
      <w:numFmt w:val="lowerLetter"/>
      <w:start w:val="1"/>
    </w:lvl>
  </w:abstractNum>
  <w:abstractNum w:abstractNumId="52">
    <w:nsid w:val="57A61A29"/>
    <w:multiLevelType w:val="hybridMultilevel"/>
    <w:lvl w:ilvl="0">
      <w:lvlJc w:val="left"/>
      <w:lvlText w:val="(%1)"/>
      <w:numFmt w:val="lowerLetter"/>
      <w:start w:val="3"/>
    </w:lvl>
  </w:abstractNum>
  <w:abstractNum w:abstractNumId="53">
    <w:nsid w:val="5399C654"/>
    <w:multiLevelType w:val="hybridMultilevel"/>
    <w:lvl w:ilvl="0">
      <w:lvlJc w:val="left"/>
      <w:lvlText w:val="(%1)"/>
      <w:numFmt w:val="lowerLetter"/>
      <w:start w:val="13"/>
    </w:lvl>
  </w:abstractNum>
  <w:abstractNum w:abstractNumId="54">
    <w:nsid w:val="20EE1348"/>
    <w:multiLevelType w:val="hybridMultilevel"/>
    <w:lvl w:ilvl="0">
      <w:lvlJc w:val="left"/>
      <w:lvlText w:val="(%1)"/>
      <w:numFmt w:val="lowerLetter"/>
      <w:start w:val="1"/>
    </w:lvl>
  </w:abstractNum>
  <w:abstractNum w:abstractNumId="55">
    <w:nsid w:val="4427069A"/>
    <w:multiLevelType w:val="hybridMultilevel"/>
    <w:lvl w:ilvl="0">
      <w:lvlJc w:val="left"/>
      <w:lvlText w:val="(%1)"/>
      <w:numFmt w:val="lowerLetter"/>
      <w:start w:val="6"/>
    </w:lvl>
  </w:abstractNum>
  <w:abstractNum w:abstractNumId="56">
    <w:nsid w:val="B37E80A"/>
    <w:multiLevelType w:val="hybridMultilevel"/>
    <w:lvl w:ilvl="0">
      <w:lvlJc w:val="left"/>
      <w:lvlText w:val="(%1)"/>
      <w:numFmt w:val="lowerLetter"/>
      <w:start w:val="1"/>
    </w:lvl>
  </w:abstractNum>
  <w:abstractNum w:abstractNumId="57">
    <w:nsid w:val="2157F6BC"/>
    <w:multiLevelType w:val="hybridMultilevel"/>
    <w:lvl w:ilvl="0">
      <w:lvlJc w:val="left"/>
      <w:lvlText w:val="(%1)"/>
      <w:numFmt w:val="lowerLetter"/>
      <w:start w:val="1"/>
    </w:lvl>
  </w:abstractNum>
  <w:abstractNum w:abstractNumId="58">
    <w:nsid w:val="704E1DD5"/>
    <w:multiLevelType w:val="hybridMultilevel"/>
    <w:lvl w:ilvl="0">
      <w:lvlJc w:val="left"/>
      <w:lvlText w:val="(%1)"/>
      <w:numFmt w:val="lowerLetter"/>
      <w:start w:val="5"/>
    </w:lvl>
    <w:lvl w:ilvl="1">
      <w:lvlJc w:val="left"/>
      <w:lvlText w:val="(%2)"/>
      <w:numFmt w:val="lowerRoman"/>
      <w:start w:val="1"/>
    </w:lvl>
  </w:abstractNum>
  <w:abstractNum w:abstractNumId="59">
    <w:nsid w:val="57D2F10E"/>
    <w:multiLevelType w:val="hybridMultilevel"/>
    <w:lvl w:ilvl="0">
      <w:lvlJc w:val="left"/>
      <w:lvlText w:val="(%1)"/>
      <w:numFmt w:val="upperLetter"/>
      <w:start w:val="2"/>
    </w:lvl>
  </w:abstractNum>
  <w:abstractNum w:abstractNumId="60">
    <w:nsid w:val="BFFAE18"/>
    <w:multiLevelType w:val="hybridMultilevel"/>
    <w:lvl w:ilvl="0">
      <w:lvlJc w:val="left"/>
      <w:lvlText w:val="(%1)"/>
      <w:numFmt w:val="lowerRoman"/>
      <w:start w:val="1"/>
    </w:lvl>
  </w:abstractNum>
  <w:abstractNum w:abstractNumId="61">
    <w:nsid w:val="E3E47A8"/>
    <w:multiLevelType w:val="hybridMultilevel"/>
    <w:lvl w:ilvl="0">
      <w:lvlJc w:val="left"/>
      <w:lvlText w:val="(%1)"/>
      <w:numFmt w:val="lowerLetter"/>
      <w:start w:val="1"/>
    </w:lvl>
  </w:abstractNum>
  <w:abstractNum w:abstractNumId="62">
    <w:nsid w:val="2E48F044"/>
    <w:multiLevelType w:val="hybridMultilevel"/>
    <w:lvl w:ilvl="0">
      <w:lvlJc w:val="left"/>
      <w:lvlText w:val="(%1)"/>
      <w:numFmt w:val="lowerLetter"/>
      <w:start w:val="3"/>
    </w:lvl>
    <w:lvl w:ilvl="1">
      <w:lvlJc w:val="left"/>
      <w:lvlText w:val="(%2)"/>
      <w:numFmt w:val="lowerRoman"/>
      <w:start w:val="1"/>
    </w:lvl>
  </w:abstractNum>
  <w:abstractNum w:abstractNumId="63">
    <w:nsid w:val="49D0FEAC"/>
    <w:multiLevelType w:val="hybridMultilevel"/>
    <w:lvl w:ilvl="0">
      <w:lvlJc w:val="left"/>
      <w:lvlText w:val="(%1)"/>
      <w:numFmt w:val="lowerLetter"/>
      <w:start w:val="4"/>
    </w:lvl>
  </w:abstractNum>
  <w:abstractNum w:abstractNumId="64">
    <w:nsid w:val="4BEE5A5B"/>
    <w:multiLevelType w:val="hybridMultilevel"/>
    <w:lvl w:ilvl="0">
      <w:lvlJc w:val="left"/>
      <w:lvlText w:val="(%1)"/>
      <w:numFmt w:val="lowerLetter"/>
      <w:start w:val="1"/>
    </w:lvl>
  </w:abstractNum>
  <w:abstractNum w:abstractNumId="65">
    <w:nsid w:val="5551B9F3"/>
    <w:multiLevelType w:val="hybridMultilevel"/>
    <w:lvl w:ilvl="0">
      <w:lvlJc w:val="left"/>
      <w:lvlText w:val="(%1)"/>
      <w:numFmt w:val="lowerLetter"/>
      <w:start w:val="2"/>
    </w:lvl>
  </w:abstractNum>
  <w:abstractNum w:abstractNumId="66">
    <w:nsid w:val="24F6AB8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7">
    <w:nsid w:val="634C574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68">
    <w:nsid w:val="24E99DD7"/>
    <w:multiLevelType w:val="hybridMultilevel"/>
    <w:lvl w:ilvl="0">
      <w:lvlJc w:val="left"/>
      <w:lvlText w:val="%1"/>
      <w:numFmt w:val="upperLetter"/>
      <w:start w:val="1"/>
    </w:lvl>
    <w:lvl w:ilvl="1">
      <w:lvlJc w:val="left"/>
      <w:lvlText w:val="(%2)"/>
      <w:numFmt w:val="decimal"/>
      <w:start w:val="6"/>
    </w:lvl>
  </w:abstractNum>
  <w:abstractNum w:abstractNumId="69">
    <w:nsid w:val="2A31B62D"/>
    <w:multiLevelType w:val="hybridMultilevel"/>
    <w:lvl w:ilvl="0">
      <w:lvlJc w:val="left"/>
      <w:lvlText w:val="(%1)"/>
      <w:numFmt w:val="upperLetter"/>
      <w:start w:val="3"/>
    </w:lvl>
    <w:lvl w:ilvl="1">
      <w:lvlJc w:val="left"/>
      <w:lvlText w:val="%2"/>
      <w:numFmt w:val="decimal"/>
      <w:start w:val="1"/>
    </w:lvl>
  </w:abstractNum>
  <w:abstractNum w:abstractNumId="70">
    <w:nsid w:val="1849C29B"/>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6"/>
    </w:lvl>
  </w:abstractNum>
  <w:abstractNum w:abstractNumId="71">
    <w:nsid w:val="7DFF9D09"/>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72">
    <w:nsid w:val="754342"/>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73">
    <w:nsid w:val="69E7F3E5"/>
    <w:multiLevelType w:val="hybridMultilevel"/>
    <w:lvl w:ilvl="0">
      <w:lvlJc w:val="left"/>
      <w:lvlText w:val="(%1)"/>
      <w:numFmt w:val="lowerLetter"/>
      <w:start w:val="1"/>
    </w:lvl>
    <w:lvl w:ilvl="1">
      <w:lvlJc w:val="left"/>
      <w:lvlText w:val="(%2)"/>
      <w:numFmt w:val="lowerLetter"/>
      <w:start w:val="9"/>
    </w:lvl>
  </w:abstractNum>
  <w:abstractNum w:abstractNumId="74">
    <w:nsid w:val="2A6DE806"/>
    <w:multiLevelType w:val="hybridMultilevel"/>
    <w:lvl w:ilvl="0">
      <w:lvlJc w:val="left"/>
      <w:lvlText w:val="(%1)"/>
      <w:numFmt w:val="upperLetter"/>
      <w:start w:val="2"/>
    </w:lvl>
    <w:lvl w:ilvl="1">
      <w:lvlJc w:val="left"/>
      <w:lvlText w:val="(%2)"/>
      <w:numFmt w:val="lowerLetter"/>
      <w:start w:val="35"/>
    </w:lvl>
    <w:lvl w:ilvl="2">
      <w:lvlJc w:val="left"/>
      <w:lvlText w:val="(%3)"/>
      <w:numFmt w:val="upperLetter"/>
      <w:start w:val="1"/>
    </w:lvl>
  </w:abstractNum>
  <w:abstractNum w:abstractNumId="75">
    <w:nsid w:val="1816F8C4"/>
    <w:multiLevelType w:val="hybridMultilevel"/>
    <w:lvl w:ilvl="0">
      <w:lvlJc w:val="left"/>
      <w:lvlText w:val="(%1)"/>
      <w:numFmt w:val="lowerRoman"/>
      <w:start w:val="3"/>
    </w:lvl>
  </w:abstractNum>
  <w:abstractNum w:abstractNumId="76">
    <w:nsid w:val="37DF2233"/>
    <w:multiLevelType w:val="hybridMultilevel"/>
    <w:lvl w:ilvl="0">
      <w:lvlJc w:val="left"/>
      <w:lvlText w:val="(%1)"/>
      <w:numFmt w:val="lowerLetter"/>
      <w:start w:val="4"/>
    </w:lvl>
    <w:lvl w:ilvl="1">
      <w:lvlJc w:val="left"/>
      <w:lvlText w:val="(%2)"/>
      <w:numFmt w:val="lowerRoman"/>
      <w:start w:val="1"/>
    </w:lvl>
  </w:abstractNum>
  <w:abstractNum w:abstractNumId="77">
    <w:nsid w:val="7AB49DAF"/>
    <w:multiLevelType w:val="hybridMultilevel"/>
    <w:lvl w:ilvl="0">
      <w:lvlJc w:val="left"/>
      <w:lvlText w:val="(%1)"/>
      <w:numFmt w:val="lowerLetter"/>
      <w:start w:val="5"/>
    </w:lvl>
  </w:abstractNum>
  <w:abstractNum w:abstractNumId="78">
    <w:nsid w:val="759F82CD"/>
    <w:multiLevelType w:val="hybridMultilevel"/>
    <w:lvl w:ilvl="0">
      <w:lvlJc w:val="left"/>
      <w:lvlText w:val="(%1)"/>
      <w:numFmt w:val="lowerLetter"/>
      <w:start w:val="1"/>
    </w:lvl>
    <w:lvl w:ilvl="1">
      <w:lvlJc w:val="left"/>
      <w:lvlText w:val="(%2)"/>
      <w:numFmt w:val="lowerRoman"/>
      <w:start w:val="1"/>
    </w:lvl>
  </w:abstractNum>
  <w:abstractNum w:abstractNumId="79">
    <w:nsid w:val="61E74EA3"/>
    <w:multiLevelType w:val="hybridMultilevel"/>
    <w:lvl w:ilvl="0">
      <w:lvlJc w:val="left"/>
      <w:lvlText w:val="(%1)"/>
      <w:numFmt w:val="lowerLetter"/>
      <w:start w:val="3"/>
    </w:lvl>
  </w:abstractNum>
  <w:abstractNum w:abstractNumId="80">
    <w:nsid w:val="597B4D84"/>
    <w:multiLevelType w:val="hybridMultilevel"/>
    <w:lvl w:ilvl="0">
      <w:lvlJc w:val="left"/>
      <w:lvlText w:val="(%1)"/>
      <w:numFmt w:val="lowerLetter"/>
      <w:start w:val="6"/>
    </w:lvl>
  </w:abstractNum>
  <w:abstractNum w:abstractNumId="81">
    <w:nsid w:val="F819E7F"/>
    <w:multiLevelType w:val="hybridMultilevel"/>
    <w:lvl w:ilvl="0">
      <w:lvlJc w:val="left"/>
      <w:lvlText w:val="(%1)"/>
      <w:numFmt w:val="lowerLetter"/>
      <w:start w:val="9"/>
    </w:lvl>
  </w:abstractNum>
  <w:abstractNum w:abstractNumId="82">
    <w:nsid w:val="57C7D42D"/>
    <w:multiLevelType w:val="hybridMultilevel"/>
    <w:lvl w:ilvl="0">
      <w:lvlJc w:val="left"/>
      <w:lvlText w:val="(%1)"/>
      <w:numFmt w:val="lowerLetter"/>
      <w:start w:val="1"/>
    </w:lvl>
  </w:abstractNum>
  <w:abstractNum w:abstractNumId="83">
    <w:nsid w:val="312167AD"/>
    <w:multiLevelType w:val="hybridMultilevel"/>
    <w:lvl w:ilvl="0">
      <w:lvlJc w:val="left"/>
      <w:lvlText w:val="(%1)"/>
      <w:numFmt w:val="lowerLetter"/>
      <w:start w:val="1"/>
    </w:lvl>
    <w:lvl w:ilvl="1">
      <w:lvlJc w:val="left"/>
      <w:lvlText w:val="(%2)"/>
      <w:numFmt w:val="lowerRoman"/>
      <w:start w:val="1"/>
    </w:lvl>
  </w:abstractNum>
  <w:abstractNum w:abstractNumId="84">
    <w:nsid w:val="631B64D4"/>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85">
    <w:nsid w:val="78B5E77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6">
    <w:nsid w:val="75486E47"/>
    <w:multiLevelType w:val="hybridMultilevel"/>
    <w:lvl w:ilvl="0">
      <w:lvlJc w:val="left"/>
      <w:lvlText w:val="(%1)"/>
      <w:numFmt w:val="lowerLetter"/>
      <w:start w:val="3"/>
    </w:lvl>
  </w:abstractNum>
  <w:abstractNum w:abstractNumId="87">
    <w:nsid w:val="6E534CDE"/>
    <w:multiLevelType w:val="hybridMultilevel"/>
    <w:lvl w:ilvl="0">
      <w:lvlJc w:val="left"/>
      <w:lvlText w:val="(%1)"/>
      <w:numFmt w:val="lowerLetter"/>
      <w:start w:val="1"/>
    </w:lvl>
  </w:abstractNum>
  <w:abstractNum w:abstractNumId="88">
    <w:nsid w:val="1A0DDE32"/>
    <w:multiLevelType w:val="hybridMultilevel"/>
    <w:lvl w:ilvl="0">
      <w:lvlJc w:val="left"/>
      <w:lvlText w:val="(%1)"/>
      <w:numFmt w:val="lowerLetter"/>
      <w:start w:val="6"/>
    </w:lvl>
  </w:abstractNum>
  <w:abstractNum w:abstractNumId="89">
    <w:nsid w:val="65968C1C"/>
    <w:multiLevelType w:val="hybridMultilevel"/>
    <w:lvl w:ilvl="0">
      <w:lvlJc w:val="left"/>
      <w:lvlText w:val="(%1)"/>
      <w:numFmt w:val="lowerLetter"/>
      <w:start w:val="1"/>
    </w:lvl>
  </w:abstractNum>
  <w:abstractNum w:abstractNumId="90">
    <w:nsid w:val="46263DEC"/>
    <w:multiLevelType w:val="hybridMultilevel"/>
    <w:lvl w:ilvl="0">
      <w:lvlJc w:val="left"/>
      <w:lvlText w:val="(%1)"/>
      <w:numFmt w:val="lowerLetter"/>
      <w:start w:val="3"/>
    </w:lvl>
    <w:lvl w:ilvl="1">
      <w:lvlJc w:val="left"/>
      <w:lvlText w:val="(%2)"/>
      <w:numFmt w:val="lowerRoman"/>
      <w:start w:val="1"/>
    </w:lvl>
  </w:abstractNum>
  <w:abstractNum w:abstractNumId="91">
    <w:nsid w:val="260D8C4A"/>
    <w:multiLevelType w:val="hybridMultilevel"/>
    <w:lvl w:ilvl="0">
      <w:lvlJc w:val="left"/>
      <w:lvlText w:val="(%1)"/>
      <w:numFmt w:val="lowerRoman"/>
      <w:start w:val="5"/>
    </w:lvl>
  </w:abstractNum>
  <w:abstractNum w:abstractNumId="92">
    <w:nsid w:val="73D4D3C4"/>
    <w:multiLevelType w:val="hybridMultilevel"/>
    <w:lvl w:ilvl="0">
      <w:lvlJc w:val="left"/>
      <w:lvlText w:val="%1"/>
      <w:numFmt w:val="lowerLetter"/>
      <w:start w:val="1"/>
    </w:lvl>
    <w:lvl w:ilvl="1">
      <w:lvlJc w:val="left"/>
      <w:lvlText w:val="(%2)"/>
      <w:numFmt w:val="lowerLetter"/>
      <w:start w:val="1"/>
    </w:lvl>
  </w:abstractNum>
  <w:abstractNum w:abstractNumId="93">
    <w:nsid w:val="746F2E30"/>
    <w:multiLevelType w:val="hybridMultilevel"/>
    <w:lvl w:ilvl="0">
      <w:lvlJc w:val="left"/>
      <w:lvlText w:val="(%1)"/>
      <w:numFmt w:val="lowerLetter"/>
      <w:start w:val="9"/>
    </w:lvl>
    <w:lvl w:ilvl="1">
      <w:lvlJc w:val="left"/>
      <w:lvlText w:val="%2"/>
      <w:numFmt w:val="lowerLetter"/>
      <w:start w:val="1"/>
    </w:lvl>
  </w:abstractNum>
  <w:abstractNum w:abstractNumId="94">
    <w:nsid w:val="6FDE8AF6"/>
    <w:multiLevelType w:val="hybridMultilevel"/>
    <w:lvl w:ilvl="0">
      <w:lvlJc w:val="left"/>
      <w:lvlText w:val="(%1)"/>
      <w:numFmt w:val="lowerLetter"/>
      <w:start w:val="3"/>
    </w:lvl>
    <w:lvl w:ilvl="1">
      <w:lvlJc w:val="left"/>
      <w:lvlText w:val="(%2)"/>
      <w:numFmt w:val="lowerRoman"/>
      <w:start w:val="1"/>
    </w:lvl>
  </w:abstractNum>
  <w:abstractNum w:abstractNumId="95">
    <w:nsid w:val="3FC32E20"/>
    <w:multiLevelType w:val="hybridMultilevel"/>
    <w:lvl w:ilvl="0">
      <w:lvlJc w:val="left"/>
      <w:lvlText w:val="(%1)"/>
      <w:numFmt w:val="lowerRoman"/>
      <w:start w:val="5"/>
    </w:lvl>
  </w:abstractNum>
  <w:abstractNum w:abstractNumId="96">
    <w:nsid w:val="49C0E823"/>
    <w:multiLevelType w:val="hybridMultilevel"/>
    <w:lvl w:ilvl="0">
      <w:lvlJc w:val="left"/>
      <w:lvlText w:val="(%1)"/>
      <w:numFmt w:val="lowerLetter"/>
      <w:start w:val="4"/>
    </w:lvl>
  </w:abstractNum>
  <w:abstractNum w:abstractNumId="97">
    <w:nsid w:val="14D53685"/>
    <w:multiLevelType w:val="hybridMultilevel"/>
    <w:lvl w:ilvl="0">
      <w:lvlJc w:val="left"/>
      <w:lvlText w:val="(%1)"/>
      <w:numFmt w:val="lowerLetter"/>
      <w:start w:val="1"/>
    </w:lvl>
  </w:abstractNum>
  <w:abstractNum w:abstractNumId="98">
    <w:nsid w:val="230F856C"/>
    <w:multiLevelType w:val="hybridMultilevel"/>
    <w:lvl w:ilvl="0">
      <w:lvlJc w:val="left"/>
      <w:lvlText w:val="(%1)"/>
      <w:numFmt w:val="lowerLetter"/>
      <w:start w:val="3"/>
    </w:lvl>
  </w:abstractNum>
  <w:abstractNum w:abstractNumId="99">
    <w:nsid w:val="6EAA85FB"/>
    <w:multiLevelType w:val="hybridMultilevel"/>
    <w:lvl w:ilvl="0">
      <w:lvlJc w:val="left"/>
      <w:lvlText w:val="(%1)"/>
      <w:numFmt w:val="lowerLetter"/>
      <w:start w:val="1"/>
    </w:lvl>
  </w:abstractNum>
  <w:abstractNum w:abstractNumId="100">
    <w:nsid w:val="3F06ECB2"/>
    <w:multiLevelType w:val="hybridMultilevel"/>
    <w:lvl w:ilvl="0">
      <w:lvlJc w:val="left"/>
      <w:lvlText w:val="(%1)"/>
      <w:numFmt w:val="lowerLetter"/>
      <w:start w:val="1"/>
    </w:lvl>
    <w:lvl w:ilvl="1">
      <w:lvlJc w:val="left"/>
      <w:lvlText w:val="(%2)"/>
      <w:numFmt w:val="lowerLetter"/>
      <w:start w:val="9"/>
    </w:lvl>
  </w:abstractNum>
  <w:abstractNum w:abstractNumId="101">
    <w:nsid w:val="3B594807"/>
    <w:multiLevelType w:val="hybridMultilevel"/>
    <w:lvl w:ilvl="0">
      <w:lvlJc w:val="left"/>
      <w:lvlText w:val="(%1)"/>
      <w:numFmt w:val="lowerLetter"/>
      <w:start w:val="2"/>
    </w:lvl>
  </w:abstractNum>
  <w:abstractNum w:abstractNumId="102">
    <w:nsid w:val="6CAA2304"/>
    <w:multiLevelType w:val="hybridMultilevel"/>
    <w:lvl w:ilvl="0">
      <w:lvlJc w:val="left"/>
      <w:lvlText w:val="(%1)"/>
      <w:numFmt w:val="lowerLetter"/>
      <w:start w:val="1"/>
    </w:lvl>
  </w:abstractNum>
  <w:abstractNum w:abstractNumId="103">
    <w:nsid w:val="3F7C2FF4"/>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4">
    <w:nsid w:val="25413BEC"/>
    <w:multiLevelType w:val="hybridMultilevel"/>
    <w:lvl w:ilvl="0">
      <w:lvlJc w:val="left"/>
      <w:lvlText w:val="%1"/>
      <w:numFmt w:val="upperLetter"/>
      <w:start w:val="1"/>
    </w:lvl>
    <w:lvl w:ilvl="1">
      <w:lvlJc w:val="left"/>
      <w:lvlText w:val="(%2)"/>
      <w:numFmt w:val="decimal"/>
      <w:start w:val="3"/>
    </w:lvl>
  </w:abstractNum>
  <w:abstractNum w:abstractNumId="105">
    <w:nsid w:val="17180B0B"/>
    <w:multiLevelType w:val="hybridMultilevel"/>
    <w:lvl w:ilvl="0">
      <w:lvlJc w:val="left"/>
      <w:lvlText w:val="(%1)"/>
      <w:numFmt w:val="upperLetter"/>
      <w:start w:val="3"/>
    </w:lvl>
    <w:lvl w:ilvl="1">
      <w:lvlJc w:val="left"/>
      <w:lvlText w:val="%2"/>
      <w:numFmt w:val="decimal"/>
      <w:start w:val="1"/>
    </w:lvl>
  </w:abstractNum>
  <w:abstractNum w:abstractNumId="106">
    <w:nsid w:val="579328B9"/>
    <w:multiLevelType w:val="hybridMultilevel"/>
    <w:lvl w:ilvl="0">
      <w:lvlJc w:val="left"/>
      <w:lvlText w:val="(%1)"/>
      <w:numFmt w:val="lowerLetter"/>
      <w:start w:val="8"/>
    </w:lvl>
  </w:abstractNum>
  <w:abstractNum w:abstractNumId="107">
    <w:nsid w:val="5D205E20"/>
    <w:multiLevelType w:val="hybridMultilevel"/>
    <w:lvl w:ilvl="0">
      <w:lvlJc w:val="left"/>
      <w:lvlText w:val="(%1)"/>
      <w:numFmt w:val="lowerRoman"/>
      <w:start w:val="1"/>
    </w:lvl>
  </w:abstractNum>
  <w:abstractNum w:abstractNumId="108">
    <w:nsid w:val="11CCA8BA"/>
    <w:multiLevelType w:val="hybridMultilevel"/>
    <w:lvl w:ilvl="0">
      <w:lvlJc w:val="left"/>
      <w:lvlText w:val="(%1)"/>
      <w:numFmt w:val="lowerLetter"/>
      <w:start w:val="1"/>
    </w:lvl>
  </w:abstractNum>
  <w:abstractNum w:abstractNumId="109">
    <w:nsid w:val="4D32AB86"/>
    <w:multiLevelType w:val="hybridMultilevel"/>
    <w:lvl w:ilvl="0">
      <w:lvlJc w:val="left"/>
      <w:lvlText w:val="(%1)"/>
      <w:numFmt w:val="lowerLetter"/>
      <w:start w:val="3"/>
    </w:lvl>
    <w:lvl w:ilvl="1">
      <w:lvlJc w:val="left"/>
      <w:lvlText w:val="(%2)"/>
      <w:numFmt w:val="lowerRoman"/>
      <w:start w:val="1"/>
    </w:lvl>
  </w:abstractNum>
  <w:abstractNum w:abstractNumId="110">
    <w:nsid w:val="3F07ACC3"/>
    <w:multiLevelType w:val="hybridMultilevel"/>
    <w:lvl w:ilvl="0">
      <w:lvlJc w:val="left"/>
      <w:lvlText w:val="(%1)"/>
      <w:numFmt w:val="lowerLetter"/>
      <w:start w:val="11"/>
    </w:lvl>
  </w:abstractNum>
  <w:abstractNum w:abstractNumId="111">
    <w:nsid w:val="6B47F63E"/>
    <w:multiLevelType w:val="hybridMultilevel"/>
    <w:lvl w:ilvl="0">
      <w:lvlJc w:val="left"/>
      <w:lvlText w:val="(%1)"/>
      <w:numFmt w:val="lowerLetter"/>
      <w:start w:val="1"/>
    </w:lvl>
  </w:abstractNum>
  <w:abstractNum w:abstractNumId="112">
    <w:nsid w:val="5CB44A05"/>
    <w:multiLevelType w:val="hybridMultilevel"/>
    <w:lvl w:ilvl="0">
      <w:lvlJc w:val="left"/>
      <w:lvlText w:val="(%1)"/>
      <w:numFmt w:val="lowerLetter"/>
      <w:start w:val="4"/>
    </w:lvl>
  </w:abstractNum>
  <w:abstractNum w:abstractNumId="113">
    <w:nsid w:val="16CF80F1"/>
    <w:multiLevelType w:val="hybridMultilevel"/>
    <w:lvl w:ilvl="0">
      <w:lvlJc w:val="left"/>
      <w:lvlText w:val="(%1)"/>
      <w:numFmt w:val="lowerLetter"/>
      <w:start w:val="1"/>
    </w:lvl>
  </w:abstractNum>
  <w:abstractNum w:abstractNumId="114">
    <w:nsid w:val="1C695DEC"/>
    <w:multiLevelType w:val="hybridMultilevel"/>
    <w:lvl w:ilvl="0">
      <w:lvlJc w:val="left"/>
      <w:lvlText w:val="%1"/>
      <w:numFmt w:val="lowerLetter"/>
      <w:start w:val="1"/>
    </w:lvl>
    <w:lvl w:ilvl="1">
      <w:lvlJc w:val="left"/>
      <w:lvlText w:val="(%2)"/>
      <w:numFmt w:val="lowerLetter"/>
      <w:start w:val="1"/>
    </w:lvl>
  </w:abstractNum>
  <w:abstractNum w:abstractNumId="115">
    <w:nsid w:val="3FCFAED9"/>
    <w:multiLevelType w:val="hybridMultilevel"/>
    <w:lvl w:ilvl="0">
      <w:lvlJc w:val="left"/>
      <w:lvlText w:val="(%1)"/>
      <w:numFmt w:val="lowerLetter"/>
      <w:start w:val="9"/>
    </w:lvl>
    <w:lvl w:ilvl="1">
      <w:lvlJc w:val="left"/>
      <w:lvlText w:val="(%2)"/>
      <w:numFmt w:val="lowerLetter"/>
      <w:start w:val="5"/>
    </w:lvl>
  </w:abstractNum>
  <w:abstractNum w:abstractNumId="116">
    <w:nsid w:val="F856867"/>
    <w:multiLevelType w:val="hybridMultilevel"/>
    <w:lvl w:ilvl="0">
      <w:lvlJc w:val="left"/>
      <w:lvlText w:val="(%1)"/>
      <w:numFmt w:val="lowerLetter"/>
      <w:start w:val="1"/>
    </w:lvl>
  </w:abstractNum>
  <w:abstractNum w:abstractNumId="117">
    <w:nsid w:val="11B1CC33"/>
    <w:multiLevelType w:val="hybridMultilevel"/>
    <w:lvl w:ilvl="0">
      <w:lvlJc w:val="left"/>
      <w:lvlText w:val="(%1)"/>
      <w:numFmt w:val="lowerLetter"/>
      <w:start w:val="1"/>
    </w:lvl>
  </w:abstractNum>
  <w:abstractNum w:abstractNumId="118">
    <w:nsid w:val="2E22FBB7"/>
    <w:multiLevelType w:val="hybridMultilevel"/>
    <w:lvl w:ilvl="0">
      <w:lvlJc w:val="left"/>
      <w:lvlText w:val="(%1)"/>
      <w:numFmt w:val="lowerLetter"/>
      <w:start w:val="4"/>
    </w:lvl>
  </w:abstractNum>
  <w:abstractNum w:abstractNumId="119">
    <w:nsid w:val="29934699"/>
    <w:multiLevelType w:val="hybridMultilevel"/>
    <w:lvl w:ilvl="0">
      <w:lvlJc w:val="left"/>
      <w:lvlText w:val="(%1)"/>
      <w:numFmt w:val="lowerLetter"/>
      <w:start w:val="1"/>
    </w:lvl>
  </w:abstractNum>
  <w:abstractNum w:abstractNumId="120">
    <w:nsid w:val="77485850"/>
    <w:multiLevelType w:val="hybridMultilevel"/>
    <w:lvl w:ilvl="0">
      <w:lvlJc w:val="left"/>
      <w:lvlText w:val="(%1)"/>
      <w:numFmt w:val="lowerLetter"/>
      <w:start w:val="1"/>
    </w:lvl>
  </w:abstractNum>
  <w:abstractNum w:abstractNumId="121">
    <w:nsid w:val="744939A3"/>
    <w:multiLevelType w:val="hybridMultilevel"/>
    <w:lvl w:ilvl="0">
      <w:lvlJc w:val="left"/>
      <w:lvlText w:val="(%1)"/>
      <w:numFmt w:val="lowerLetter"/>
      <w:start w:val="4"/>
    </w:lvl>
  </w:abstractNum>
  <w:abstractNum w:abstractNumId="122">
    <w:nsid w:val="4FA0D2E3"/>
    <w:multiLevelType w:val="hybridMultilevel"/>
    <w:lvl w:ilvl="0">
      <w:lvlJc w:val="left"/>
      <w:lvlText w:val="(%1)"/>
      <w:numFmt w:val="lowerLetter"/>
      <w:start w:val="1"/>
    </w:lvl>
  </w:abstractNum>
  <w:abstractNum w:abstractNumId="123">
    <w:nsid w:val="6B1D2C14"/>
    <w:multiLevelType w:val="hybridMultilevel"/>
    <w:lvl w:ilvl="0">
      <w:lvlJc w:val="left"/>
      <w:lvlText w:val="%1"/>
      <w:numFmt w:val="lowerLetter"/>
      <w:start w:val="1"/>
    </w:lvl>
    <w:lvl w:ilvl="1">
      <w:lvlJc w:val="left"/>
      <w:lvlText w:val="(%2)"/>
      <w:numFmt w:val="lowerLetter"/>
      <w:start w:val="3"/>
    </w:lvl>
  </w:abstractNum>
  <w:abstractNum w:abstractNumId="124">
    <w:nsid w:val="68B867D3"/>
    <w:multiLevelType w:val="hybridMultilevel"/>
    <w:lvl w:ilvl="0">
      <w:lvlJc w:val="left"/>
      <w:lvlText w:val="(%1)"/>
      <w:numFmt w:val="lowerLetter"/>
      <w:start w:val="61"/>
    </w:lvl>
    <w:lvl w:ilvl="1">
      <w:lvlJc w:val="left"/>
      <w:lvlText w:val="(%2)"/>
      <w:numFmt w:val="lowerLetter"/>
      <w:start w:val="4"/>
    </w:lvl>
  </w:abstractNum>
  <w:abstractNum w:abstractNumId="125">
    <w:nsid w:val="3F7F5DD9"/>
    <w:multiLevelType w:val="hybridMultilevel"/>
    <w:lvl w:ilvl="0">
      <w:lvlJc w:val="left"/>
      <w:lvlText w:val="%1"/>
      <w:numFmt w:val="decimal"/>
      <w:start w:val="1"/>
    </w:lvl>
    <w:lvl w:ilvl="1">
      <w:lvlJc w:val="left"/>
      <w:lvlText w:val="(%2)"/>
      <w:numFmt w:val="lowerLetter"/>
      <w:start w:val="8"/>
    </w:lvl>
  </w:abstractNum>
  <w:abstractNum w:abstractNumId="126">
    <w:nsid w:val="2AE05A34"/>
    <w:multiLevelType w:val="hybridMultilevel"/>
    <w:lvl w:ilvl="0">
      <w:lvlJc w:val="left"/>
      <w:lvlText w:val="(%1)"/>
      <w:numFmt w:val="decimal"/>
      <w:start w:val="30"/>
    </w:lvl>
    <w:lvl w:ilvl="1">
      <w:lvlJc w:val="left"/>
      <w:lvlText w:val="(%2)"/>
      <w:numFmt w:val="lowerLetter"/>
      <w:start w:val="12"/>
    </w:lvl>
  </w:abstractNum>
  <w:abstractNum w:abstractNumId="127">
    <w:nsid w:val="32794FF7"/>
    <w:multiLevelType w:val="hybridMultilevel"/>
    <w:lvl w:ilvl="0">
      <w:lvlJc w:val="left"/>
      <w:lvlText w:val="(%1)"/>
      <w:numFmt w:val="lowerLetter"/>
      <w:start w:val="1"/>
    </w:lvl>
  </w:abstractNum>
  <w:abstractNum w:abstractNumId="128">
    <w:nsid w:val="5454945E"/>
    <w:multiLevelType w:val="hybridMultilevel"/>
    <w:lvl w:ilvl="0">
      <w:lvlJc w:val="left"/>
      <w:lvlText w:val="(%1)"/>
      <w:numFmt w:val="lowerLetter"/>
      <w:start w:val="1"/>
    </w:lvl>
  </w:abstractNum>
  <w:abstractNum w:abstractNumId="129">
    <w:nsid w:val="4DEFDFA0"/>
    <w:multiLevelType w:val="hybridMultilevel"/>
    <w:lvl w:ilvl="0">
      <w:lvlJc w:val="left"/>
      <w:lvlText w:val="%1"/>
      <w:numFmt w:val="lowerRoman"/>
      <w:start w:val="1"/>
    </w:lvl>
    <w:lvl w:ilvl="1">
      <w:lvlJc w:val="left"/>
      <w:lvlText w:val="(%2)"/>
      <w:numFmt w:val="lowerLetter"/>
      <w:start w:val="1"/>
    </w:lvl>
  </w:abstractNum>
  <w:abstractNum w:abstractNumId="130">
    <w:nsid w:val="2123D5F2"/>
    <w:multiLevelType w:val="hybridMultilevel"/>
    <w:lvl w:ilvl="0">
      <w:lvlJc w:val="left"/>
      <w:lvlText w:val="(%1)"/>
      <w:numFmt w:val="lowerRoman"/>
      <w:start w:val="4"/>
    </w:lvl>
    <w:lvl w:ilvl="1">
      <w:lvlJc w:val="left"/>
      <w:lvlText w:val="(%2)"/>
      <w:numFmt w:val="lowerLetter"/>
      <w:start w:val="2"/>
    </w:lvl>
  </w:abstractNum>
  <w:abstractNum w:abstractNumId="131">
    <w:nsid w:val="135B8110"/>
    <w:multiLevelType w:val="hybridMultilevel"/>
    <w:lvl w:ilvl="0">
      <w:lvlJc w:val="left"/>
      <w:lvlText w:val="(%1)"/>
      <w:numFmt w:val="lowerLetter"/>
      <w:start w:val="1"/>
    </w:lvl>
  </w:abstractNum>
  <w:abstractNum w:abstractNumId="132">
    <w:nsid w:val="94927A8"/>
    <w:multiLevelType w:val="hybridMultilevel"/>
    <w:lvl w:ilvl="0">
      <w:lvlJc w:val="left"/>
      <w:lvlText w:val="(%1)"/>
      <w:numFmt w:val="lowerLetter"/>
      <w:start w:val="1"/>
    </w:lvl>
  </w:abstractNum>
  <w:abstractNum w:abstractNumId="133">
    <w:nsid w:val="DCDF8F6"/>
    <w:multiLevelType w:val="hybridMultilevel"/>
    <w:lvl w:ilvl="0">
      <w:lvlJc w:val="left"/>
      <w:lvlText w:val="(%1)"/>
      <w:numFmt w:val="lowerLetter"/>
      <w:start w:val="1"/>
    </w:lvl>
  </w:abstractNum>
  <w:abstractNum w:abstractNumId="134">
    <w:nsid w:val="52D7B105"/>
    <w:multiLevelType w:val="hybridMultilevel"/>
    <w:lvl w:ilvl="0">
      <w:lvlJc w:val="left"/>
      <w:lvlText w:val="%1"/>
      <w:numFmt w:val="lowerLetter"/>
      <w:start w:val="1"/>
    </w:lvl>
    <w:lvl w:ilvl="1">
      <w:lvlJc w:val="left"/>
      <w:lvlText w:val="(%2)"/>
      <w:numFmt w:val="lowerLetter"/>
      <w:start w:val="1"/>
    </w:lvl>
  </w:abstractNum>
  <w:abstractNum w:abstractNumId="135">
    <w:nsid w:val="2E8A6394"/>
    <w:multiLevelType w:val="hybridMultilevel"/>
    <w:lvl w:ilvl="0">
      <w:lvlJc w:val="left"/>
      <w:lvlText w:val="(%1)"/>
      <w:numFmt w:val="lowerLetter"/>
      <w:start w:val="1"/>
    </w:lvl>
    <w:lvl w:ilvl="1">
      <w:lvlJc w:val="left"/>
      <w:lvlText w:val="(%2)"/>
      <w:numFmt w:val="lowerLetter"/>
      <w:start w:val="2"/>
    </w:lvl>
  </w:abstractNum>
  <w:abstractNum w:abstractNumId="136">
    <w:nsid w:val="24E60401"/>
    <w:multiLevelType w:val="hybridMultilevel"/>
    <w:lvl w:ilvl="0">
      <w:lvlJc w:val="left"/>
      <w:lvlText w:val="(%1)"/>
      <w:numFmt w:val="lowerLetter"/>
      <w:start w:val="1"/>
    </w:lvl>
  </w:abstractNum>
  <w:abstractNum w:abstractNumId="137">
    <w:nsid w:val="2A6AD9BE"/>
    <w:multiLevelType w:val="hybridMultilevel"/>
    <w:lvl w:ilvl="0">
      <w:lvlJc w:val="left"/>
      <w:lvlText w:val="(%1)"/>
      <w:numFmt w:val="lowerLetter"/>
      <w:start w:val="1"/>
    </w:lvl>
  </w:abstractNum>
  <w:abstractNum w:abstractNumId="138">
    <w:nsid w:val="BAAC1B4"/>
    <w:multiLevelType w:val="hybridMultilevel"/>
    <w:lvl w:ilvl="0">
      <w:lvlJc w:val="left"/>
      <w:lvlText w:val="(%1)"/>
      <w:numFmt w:val="lowerLetter"/>
      <w:start w:val="2"/>
    </w:lvl>
  </w:abstractNum>
  <w:abstractNum w:abstractNumId="139">
    <w:nsid w:val="36B2ACBC"/>
    <w:multiLevelType w:val="hybridMultilevel"/>
    <w:lvl w:ilvl="0">
      <w:lvlJc w:val="left"/>
      <w:lvlText w:val="(%1)"/>
      <w:numFmt w:val="lowerLetter"/>
      <w:start w:val="1"/>
    </w:lvl>
  </w:abstractNum>
  <w:abstractNum w:abstractNumId="140">
    <w:nsid w:val="779D8544"/>
    <w:multiLevelType w:val="hybridMultilevel"/>
    <w:lvl w:ilvl="0">
      <w:lvlJc w:val="left"/>
      <w:lvlText w:val="(%1)"/>
      <w:numFmt w:val="lowerLetter"/>
      <w:start w:val="1"/>
    </w:lvl>
  </w:abstractNum>
  <w:abstractNum w:abstractNumId="141">
    <w:nsid w:val="4AB26E78"/>
    <w:multiLevelType w:val="hybridMultilevel"/>
    <w:lvl w:ilvl="0">
      <w:lvlJc w:val="left"/>
      <w:lvlText w:val="(%1)"/>
      <w:numFmt w:val="lowerLetter"/>
      <w:start w:val="1"/>
    </w:lvl>
    <w:lvl w:ilvl="1">
      <w:lvlJc w:val="left"/>
      <w:lvlText w:val="(%2)"/>
      <w:numFmt w:val="lowerRoman"/>
      <w:start w:val="1"/>
    </w:lvl>
  </w:abstractNum>
  <w:abstractNum w:abstractNumId="142">
    <w:nsid w:val="21FAA2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lvl w:ilvl="4">
      <w:lvlJc w:val="left"/>
      <w:lvlText w:val="%5"/>
      <w:numFmt w:val="decimal"/>
      <w:start w:val="1"/>
    </w:lvl>
  </w:abstractNum>
  <w:abstractNum w:abstractNumId="143">
    <w:nsid w:val="5451CF4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144">
    <w:nsid w:val="6181EF69"/>
    <w:multiLevelType w:val="hybridMultilevel"/>
    <w:lvl w:ilvl="0">
      <w:lvlJc w:val="left"/>
      <w:lvlText w:val="%1"/>
      <w:numFmt w:val="lowerRoman"/>
      <w:start w:val="1"/>
    </w:lvl>
    <w:lvl w:ilvl="1">
      <w:lvlJc w:val="left"/>
      <w:lvlText w:val="(%2)"/>
      <w:numFmt w:val="decimal"/>
      <w:start w:val="2"/>
    </w:lvl>
  </w:abstractNum>
  <w:abstractNum w:abstractNumId="145">
    <w:nsid w:val="3E6400E6"/>
    <w:multiLevelType w:val="hybridMultilevel"/>
    <w:lvl w:ilvl="0">
      <w:lvlJc w:val="left"/>
      <w:lvlText w:val="(%1)"/>
      <w:numFmt w:val="lowerRoman"/>
      <w:start w:val="2"/>
    </w:lvl>
    <w:lvl w:ilvl="1">
      <w:lvlJc w:val="left"/>
      <w:lvlText w:val="%2"/>
      <w:numFmt w:val="decimal"/>
      <w:start w:val="1"/>
    </w:lvl>
  </w:abstractNum>
  <w:abstractNum w:abstractNumId="146">
    <w:nsid w:val="14217E23"/>
    <w:multiLevelType w:val="hybridMultilevel"/>
    <w:lvl w:ilvl="0">
      <w:lvlJc w:val="left"/>
      <w:lvlText w:val="(%1)"/>
      <w:numFmt w:val="lowerLetter"/>
      <w:start w:val="1"/>
    </w:lvl>
  </w:abstractNum>
  <w:abstractNum w:abstractNumId="147">
    <w:nsid w:val="710757D0"/>
    <w:multiLevelType w:val="hybridMultilevel"/>
    <w:lvl w:ilvl="0">
      <w:lvlJc w:val="left"/>
      <w:lvlText w:val="%1"/>
      <w:numFmt w:val="lowerLetter"/>
      <w:start w:val="1"/>
    </w:lvl>
    <w:lvl w:ilvl="1">
      <w:lvlJc w:val="left"/>
      <w:lvlText w:val="(%2)"/>
      <w:numFmt w:val="lowerLetter"/>
      <w:start w:val="8"/>
    </w:lvl>
    <w:lvl w:ilvl="2">
      <w:lvlJc w:val="left"/>
      <w:lvlText w:val="%3"/>
      <w:numFmt w:val="upperLetter"/>
      <w:start w:val="1"/>
    </w:lvl>
  </w:abstractNum>
  <w:abstractNum w:abstractNumId="148">
    <w:nsid w:val="5015CD1A"/>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149">
    <w:nsid w:val="424479DA"/>
    <w:multiLevelType w:val="hybridMultilevel"/>
    <w:lvl w:ilvl="0">
      <w:lvlJc w:val="left"/>
      <w:lvlText w:val="(%1)"/>
      <w:numFmt w:val="lowerLetter"/>
      <w:start w:val="14"/>
    </w:lvl>
  </w:abstractNum>
  <w:abstractNum w:abstractNumId="150">
    <w:nsid w:val="1A9A9E69"/>
    <w:multiLevelType w:val="hybridMultilevel"/>
    <w:lvl w:ilvl="0">
      <w:lvlJc w:val="left"/>
      <w:lvlText w:val="(%1)"/>
      <w:numFmt w:val="lowerRoman"/>
      <w:start w:val="2"/>
    </w:lvl>
  </w:abstractNum>
  <w:abstractNum w:abstractNumId="151">
    <w:nsid w:val="475E256A"/>
    <w:multiLevelType w:val="hybridMultilevel"/>
    <w:lvl w:ilvl="0">
      <w:lvlJc w:val="left"/>
      <w:lvlText w:val="(%1)"/>
      <w:numFmt w:val="lowerLetter"/>
      <w:start w:val="1"/>
    </w:lvl>
  </w:abstractNum>
  <w:abstractNum w:abstractNumId="152">
    <w:nsid w:val="368DB37E"/>
    <w:multiLevelType w:val="hybridMultilevel"/>
    <w:lvl w:ilvl="0">
      <w:lvlJc w:val="left"/>
      <w:lvlText w:val="(%1)"/>
      <w:numFmt w:val="lowerLetter"/>
      <w:start w:val="1"/>
    </w:lvl>
  </w:abstractNum>
  <w:abstractNum w:abstractNumId="153">
    <w:nsid w:val="6A3B714C"/>
    <w:multiLevelType w:val="hybridMultilevel"/>
    <w:lvl w:ilvl="0">
      <w:lvlJc w:val="left"/>
      <w:lvlText w:val="(%1)"/>
      <w:numFmt w:val="lowerLetter"/>
      <w:start w:val="5"/>
    </w:lvl>
  </w:abstractNum>
  <w:abstractNum w:abstractNumId="154">
    <w:nsid w:val="327B517E"/>
    <w:multiLevelType w:val="hybridMultilevel"/>
    <w:lvl w:ilvl="0">
      <w:lvlJc w:val="left"/>
      <w:lvlText w:val="(%1)"/>
      <w:numFmt w:val="lowerLetter"/>
      <w:start w:val="1"/>
    </w:lvl>
  </w:abstractNum>
  <w:abstractNum w:abstractNumId="155">
    <w:nsid w:val="1F461B51"/>
    <w:multiLevelType w:val="hybridMultilevel"/>
    <w:lvl w:ilvl="0">
      <w:lvlJc w:val="left"/>
      <w:lvlText w:val="%1"/>
      <w:numFmt w:val="upperLetter"/>
      <w:start w:val="1"/>
    </w:lvl>
    <w:lvl w:ilvl="1">
      <w:lvlJc w:val="left"/>
      <w:lvlText w:val="(%2)"/>
      <w:numFmt w:val="lowerLetter"/>
      <w:start w:val="1"/>
    </w:lvl>
  </w:abstractNum>
  <w:abstractNum w:abstractNumId="156">
    <w:nsid w:val="29BACF25"/>
    <w:multiLevelType w:val="hybridMultilevel"/>
    <w:lvl w:ilvl="0">
      <w:lvlJc w:val="left"/>
      <w:lvlText w:val="(%1)"/>
      <w:numFmt w:val="upperLetter"/>
      <w:start w:val="2"/>
    </w:lvl>
    <w:lvl w:ilvl="1">
      <w:lvlJc w:val="left"/>
      <w:lvlText w:val="(%2)"/>
      <w:numFmt w:val="lowerLetter"/>
      <w:start w:val="2"/>
    </w:lvl>
  </w:abstractNum>
  <w:abstractNum w:abstractNumId="157">
    <w:nsid w:val="5D5BABB3"/>
    <w:multiLevelType w:val="hybridMultilevel"/>
    <w:lvl w:ilvl="0">
      <w:lvlJc w:val="left"/>
      <w:lvlText w:val="(%1)"/>
      <w:numFmt w:val="lowerLetter"/>
      <w:start w:val="3"/>
    </w:lvl>
  </w:abstractNum>
  <w:abstractNum w:abstractNumId="158">
    <w:nsid w:val="51BF6B48"/>
    <w:multiLevelType w:val="hybridMultilevel"/>
    <w:lvl w:ilvl="0">
      <w:lvlJc w:val="left"/>
      <w:lvlText w:val="%1"/>
      <w:numFmt w:val="lowerRoman"/>
      <w:start w:val="1"/>
    </w:lvl>
    <w:lvl w:ilvl="1">
      <w:lvlJc w:val="left"/>
      <w:lvlText w:val="(%2)"/>
      <w:numFmt w:val="lowerLetter"/>
      <w:start w:val="1"/>
    </w:lvl>
  </w:abstractNum>
  <w:abstractNum w:abstractNumId="159">
    <w:nsid w:val="7E0F6384"/>
    <w:multiLevelType w:val="hybridMultilevel"/>
    <w:lvl w:ilvl="0">
      <w:lvlJc w:val="left"/>
      <w:lvlText w:val="(%1)"/>
      <w:numFmt w:val="lowerRoman"/>
      <w:start w:val="4"/>
    </w:lvl>
    <w:lvl w:ilvl="1">
      <w:lvlJc w:val="left"/>
      <w:lvlText w:val="(%2)"/>
      <w:numFmt w:val="lowerLetter"/>
      <w:start w:val="4"/>
    </w:lvl>
  </w:abstractNum>
  <w:abstractNum w:abstractNumId="160">
    <w:nsid w:val="2B4B8B53"/>
    <w:multiLevelType w:val="hybridMultilevel"/>
    <w:lvl w:ilvl="0">
      <w:lvlJc w:val="left"/>
      <w:lvlText w:val="(%1)"/>
      <w:numFmt w:val="lowerRoman"/>
      <w:start w:val="1"/>
    </w:lvl>
    <w:lvl w:ilvl="1">
      <w:lvlJc w:val="left"/>
      <w:lvlText w:val="%2"/>
      <w:numFmt w:val="lowerLetter"/>
      <w:start w:val="1"/>
    </w:lvl>
  </w:abstractNum>
  <w:abstractNum w:abstractNumId="161">
    <w:nsid w:val="72E3413A"/>
    <w:multiLevelType w:val="hybridMultilevel"/>
    <w:lvl w:ilvl="0">
      <w:lvlJc w:val="left"/>
      <w:lvlText w:val="(%1)"/>
      <w:numFmt w:val="lowerLetter"/>
      <w:start w:val="10"/>
    </w:lvl>
  </w:abstractNum>
  <w:abstractNum w:abstractNumId="162">
    <w:nsid w:val="116AE494"/>
    <w:multiLevelType w:val="hybridMultilevel"/>
    <w:lvl w:ilvl="0">
      <w:lvlJc w:val="left"/>
      <w:lvlText w:val="(%1)"/>
      <w:numFmt w:val="lowerLetter"/>
      <w:start w:val="1"/>
    </w:lvl>
  </w:abstractNum>
  <w:abstractNum w:abstractNumId="163">
    <w:nsid w:val="3494B2FB"/>
    <w:multiLevelType w:val="hybridMultilevel"/>
    <w:lvl w:ilvl="0">
      <w:lvlJc w:val="left"/>
      <w:lvlText w:val="(%1)"/>
      <w:numFmt w:val="lowerLetter"/>
      <w:start w:val="6"/>
    </w:lvl>
  </w:abstractNum>
  <w:abstractNum w:abstractNumId="164">
    <w:nsid w:val="B13A31"/>
    <w:multiLevelType w:val="hybridMultilevel"/>
    <w:lvl w:ilvl="0">
      <w:lvlJc w:val="left"/>
      <w:lvlText w:val="(%1)"/>
      <w:numFmt w:val="lowerLetter"/>
      <w:start w:val="12"/>
    </w:lvl>
  </w:abstractNum>
  <w:abstractNum w:abstractNumId="165">
    <w:nsid w:val="64429599"/>
    <w:multiLevelType w:val="hybridMultilevel"/>
    <w:lvl w:ilvl="0">
      <w:lvlJc w:val="left"/>
      <w:lvlText w:val="(%1)"/>
      <w:numFmt w:val="lowerLetter"/>
      <w:start w:val="1"/>
    </w:lvl>
    <w:lvl w:ilvl="1">
      <w:lvlJc w:val="left"/>
      <w:lvlText w:val="(%2)"/>
      <w:numFmt w:val="lowerRoman"/>
      <w:start w:val="1"/>
    </w:lvl>
  </w:abstractNum>
  <w:abstractNum w:abstractNumId="166">
    <w:nsid w:val="631F1690"/>
    <w:multiLevelType w:val="hybridMultilevel"/>
    <w:lvl w:ilvl="0">
      <w:lvlJc w:val="left"/>
      <w:lvlText w:val="(%1)"/>
      <w:numFmt w:val="lowerRoman"/>
      <w:start w:val="3"/>
    </w:lvl>
  </w:abstractNum>
  <w:abstractNum w:abstractNumId="167">
    <w:nsid w:val="25973E32"/>
    <w:multiLevelType w:val="hybridMultilevel"/>
    <w:lvl w:ilvl="0">
      <w:lvlJc w:val="left"/>
      <w:lvlText w:val="(%1)"/>
      <w:numFmt w:val="lowerLetter"/>
      <w:start w:val="1"/>
    </w:lvl>
  </w:abstractNum>
  <w:abstractNum w:abstractNumId="168">
    <w:nsid w:val="EAD6F57"/>
    <w:multiLevelType w:val="hybridMultilevel"/>
    <w:lvl w:ilvl="0">
      <w:lvlJc w:val="left"/>
      <w:lvlText w:val="(%1)"/>
      <w:numFmt w:val="lowerLetter"/>
      <w:start w:val="1"/>
    </w:lvl>
  </w:abstractNum>
  <w:abstractNum w:abstractNumId="169">
    <w:nsid w:val="6EC9D844"/>
    <w:multiLevelType w:val="hybridMultilevel"/>
    <w:lvl w:ilvl="0">
      <w:lvlJc w:val="left"/>
      <w:lvlText w:val="(%1)"/>
      <w:numFmt w:val="lowerLetter"/>
      <w:start w:val="4"/>
    </w:lvl>
  </w:abstractNum>
  <w:abstractNum w:abstractNumId="170">
    <w:nsid w:val="5C49EAEE"/>
    <w:multiLevelType w:val="hybridMultilevel"/>
    <w:lvl w:ilvl="0">
      <w:lvlJc w:val="left"/>
      <w:lvlText w:val="(%1)"/>
      <w:numFmt w:val="lowerLetter"/>
      <w:start w:val="1"/>
    </w:lvl>
    <w:lvl w:ilvl="1">
      <w:lvlJc w:val="left"/>
      <w:lvlText w:val="(%2)"/>
      <w:numFmt w:val="lowerLetter"/>
      <w:start w:val="9"/>
    </w:lvl>
  </w:abstractNum>
  <w:abstractNum w:abstractNumId="171">
    <w:nsid w:val="64AF49B"/>
    <w:multiLevelType w:val="hybridMultilevel"/>
    <w:lvl w:ilvl="0">
      <w:lvlJc w:val="left"/>
      <w:lvlText w:val="(%1)"/>
      <w:numFmt w:val="lowerLetter"/>
      <w:start w:val="2"/>
    </w:lvl>
  </w:abstractNum>
  <w:abstractNum w:abstractNumId="172">
    <w:nsid w:val="397C46BC"/>
    <w:multiLevelType w:val="hybridMultilevel"/>
    <w:lvl w:ilvl="0">
      <w:lvlJc w:val="left"/>
      <w:lvlText w:val="(%1)"/>
      <w:numFmt w:val="lowerLetter"/>
      <w:start w:val="3"/>
    </w:lvl>
  </w:abstractNum>
  <w:abstractNum w:abstractNumId="173">
    <w:nsid w:val="7E448DE9"/>
    <w:multiLevelType w:val="hybridMultilevel"/>
    <w:lvl w:ilvl="0">
      <w:lvlJc w:val="left"/>
      <w:lvlText w:val="%1"/>
      <w:numFmt w:val="lowerLetter"/>
      <w:start w:val="1"/>
    </w:lvl>
    <w:lvl w:ilvl="1">
      <w:lvlJc w:val="left"/>
      <w:lvlText w:val="(%2)"/>
      <w:numFmt w:val="lowerLetter"/>
      <w:start w:val="1"/>
    </w:lvl>
  </w:abstractNum>
  <w:abstractNum w:abstractNumId="174">
    <w:nsid w:val="5A9CC3E5"/>
    <w:multiLevelType w:val="hybridMultilevel"/>
    <w:lvl w:ilvl="0">
      <w:lvlJc w:val="left"/>
      <w:lvlText w:val="(%1)"/>
      <w:numFmt w:val="lowerLetter"/>
      <w:start w:val="9"/>
    </w:lvl>
    <w:lvl w:ilvl="1">
      <w:lvlJc w:val="left"/>
      <w:lvlText w:val="%2"/>
      <w:numFmt w:val="lowerLetter"/>
      <w:start w:val="1"/>
    </w:lvl>
  </w:abstractNum>
  <w:abstractNum w:abstractNumId="175">
    <w:nsid w:val="1AFE3625"/>
    <w:multiLevelType w:val="hybridMultilevel"/>
    <w:lvl w:ilvl="0">
      <w:lvlJc w:val="left"/>
      <w:lvlText w:val="(%1)"/>
      <w:numFmt w:val="lowerLetter"/>
      <w:start w:val="1"/>
    </w:lvl>
  </w:abstractNum>
  <w:abstractNum w:abstractNumId="176">
    <w:nsid w:val="3CA88ECF"/>
    <w:multiLevelType w:val="hybridMultilevel"/>
    <w:lvl w:ilvl="0">
      <w:lvlJc w:val="left"/>
      <w:lvlText w:val="%1"/>
      <w:numFmt w:val="lowerLetter"/>
      <w:start w:val="1"/>
    </w:lvl>
    <w:lvl w:ilvl="1">
      <w:lvlJc w:val="left"/>
      <w:lvlText w:val="(%2)"/>
      <w:numFmt w:val="lowerLetter"/>
      <w:start w:val="2"/>
    </w:lvl>
  </w:abstractNum>
  <w:abstractNum w:abstractNumId="177">
    <w:nsid w:val="6EBE4208"/>
    <w:multiLevelType w:val="hybridMultilevel"/>
    <w:lvl w:ilvl="0">
      <w:lvlJc w:val="left"/>
      <w:lvlText w:val="(%1)"/>
      <w:numFmt w:val="lowerLetter"/>
      <w:start w:val="9"/>
    </w:lvl>
    <w:lvl w:ilvl="1">
      <w:lvlJc w:val="left"/>
      <w:lvlText w:val="%2"/>
      <w:numFmt w:val="lowerLetter"/>
      <w:start w:val="1"/>
    </w:lvl>
  </w:abstractNum>
  <w:abstractNum w:abstractNumId="178">
    <w:nsid w:val="C058DF5"/>
    <w:multiLevelType w:val="hybridMultilevel"/>
    <w:lvl w:ilvl="0">
      <w:lvlJc w:val="left"/>
      <w:lvlText w:val="(%1)"/>
      <w:numFmt w:val="lowerLetter"/>
      <w:start w:val="3"/>
    </w:lvl>
  </w:abstractNum>
  <w:abstractNum w:abstractNumId="179">
    <w:nsid w:val="CBE5BE9"/>
    <w:multiLevelType w:val="hybridMultilevel"/>
    <w:lvl w:ilvl="0">
      <w:lvlJc w:val="left"/>
      <w:lvlText w:val="(%1)"/>
      <w:numFmt w:val="lowerLetter"/>
      <w:start w:val="1"/>
    </w:lvl>
  </w:abstractNum>
  <w:abstractNum w:abstractNumId="180">
    <w:nsid w:val="3102BBE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81">
    <w:nsid w:val="26A02C5E"/>
    <w:multiLevelType w:val="hybridMultilevel"/>
    <w:lvl w:ilvl="0">
      <w:lvlJc w:val="left"/>
      <w:lvlText w:val="%1"/>
      <w:numFmt w:val="lowerLetter"/>
      <w:start w:val="1"/>
    </w:lvl>
    <w:lvl w:ilvl="1">
      <w:lvlJc w:val="left"/>
      <w:lvlText w:val="(%2)"/>
      <w:numFmt w:val="lowerRoman"/>
      <w:start w:val="4"/>
    </w:lvl>
  </w:abstractNum>
  <w:abstractNum w:abstractNumId="182">
    <w:nsid w:val="541C8153"/>
    <w:multiLevelType w:val="hybridMultilevel"/>
    <w:lvl w:ilvl="0">
      <w:lvlJc w:val="left"/>
      <w:lvlText w:val="(%1)"/>
      <w:numFmt w:val="lowerLetter"/>
      <w:start w:val="3"/>
    </w:lvl>
    <w:lvl w:ilvl="1">
      <w:lvlJc w:val="left"/>
      <w:lvlText w:val="(%2)"/>
      <w:numFmt w:val="lowerRoman"/>
      <w:start w:val="2"/>
    </w:lvl>
  </w:abstractNum>
  <w:abstractNum w:abstractNumId="183">
    <w:nsid w:val="67906F60"/>
    <w:multiLevelType w:val="hybridMultilevel"/>
    <w:lvl w:ilvl="0">
      <w:lvlJc w:val="left"/>
      <w:lvlText w:val="%1"/>
      <w:numFmt w:val="lowerLetter"/>
      <w:start w:val="1"/>
    </w:lvl>
    <w:lvl w:ilvl="1">
      <w:lvlJc w:val="left"/>
      <w:lvlText w:val="(%2)"/>
      <w:numFmt w:val="lowerLetter"/>
      <w:start w:val="61"/>
    </w:lvl>
  </w:abstractNum>
  <w:abstractNum w:abstractNumId="184">
    <w:nsid w:val="10DB9DAA"/>
    <w:multiLevelType w:val="hybridMultilevel"/>
    <w:lvl w:ilvl="0">
      <w:lvlJc w:val="left"/>
      <w:lvlText w:val="(%1)"/>
      <w:numFmt w:val="lowerLetter"/>
      <w:start w:val="4"/>
    </w:lvl>
    <w:lvl w:ilvl="1">
      <w:lvlJc w:val="left"/>
      <w:lvlText w:val="%2"/>
      <w:numFmt w:val="lowerLetter"/>
      <w:start w:val="1"/>
    </w:lvl>
  </w:abstractNum>
  <w:abstractNum w:abstractNumId="185">
    <w:nsid w:val="697D2D2"/>
    <w:multiLevelType w:val="hybridMultilevel"/>
    <w:lvl w:ilvl="0">
      <w:lvlJc w:val="left"/>
      <w:lvlText w:val="(%1)"/>
      <w:numFmt w:val="lowerLetter"/>
      <w:start w:val="1"/>
    </w:lvl>
  </w:abstractNum>
  <w:abstractNum w:abstractNumId="186">
    <w:nsid w:val="6D68AB2"/>
    <w:multiLevelType w:val="hybridMultilevel"/>
    <w:lvl w:ilvl="0">
      <w:lvlJc w:val="left"/>
      <w:lvlText w:val="(%1)"/>
      <w:numFmt w:val="lowerLetter"/>
      <w:start w:val="2"/>
    </w:lvl>
  </w:abstractNum>
  <w:abstractNum w:abstractNumId="187">
    <w:nsid w:val="3A966CD0"/>
    <w:multiLevelType w:val="hybridMultilevel"/>
    <w:lvl w:ilvl="0">
      <w:lvlJc w:val="left"/>
      <w:lvlText w:val="(%1)"/>
      <w:numFmt w:val="lowerLetter"/>
      <w:start w:val="1"/>
    </w:lvl>
  </w:abstractNum>
  <w:abstractNum w:abstractNumId="188">
    <w:nsid w:val="63F37E85"/>
    <w:multiLevelType w:val="hybridMultilevel"/>
    <w:lvl w:ilvl="0">
      <w:lvlJc w:val="left"/>
      <w:lvlText w:val="(%1)"/>
      <w:numFmt w:val="lowerLetter"/>
      <w:start w:val="1"/>
    </w:lvl>
  </w:abstractNum>
  <w:abstractNum w:abstractNumId="189">
    <w:nsid w:val="5895F5FA"/>
    <w:multiLevelType w:val="hybridMultilevel"/>
    <w:lvl w:ilvl="0">
      <w:lvlJc w:val="left"/>
      <w:lvlText w:val="(%1)"/>
      <w:numFmt w:val="lowerLetter"/>
      <w:start w:val="4"/>
    </w:lvl>
  </w:abstractNum>
  <w:abstractNum w:abstractNumId="190">
    <w:nsid w:val="38A5D054"/>
    <w:multiLevelType w:val="hybridMultilevel"/>
    <w:lvl w:ilvl="0">
      <w:lvlJc w:val="left"/>
      <w:lvlText w:val="(%1)"/>
      <w:numFmt w:val="lowerLetter"/>
      <w:start w:val="5"/>
    </w:lvl>
  </w:abstractNum>
  <w:abstractNum w:abstractNumId="191">
    <w:nsid w:val="F3F09D8"/>
    <w:multiLevelType w:val="hybridMultilevel"/>
    <w:lvl w:ilvl="0">
      <w:lvlJc w:val="left"/>
      <w:lvlText w:val="(%1)"/>
      <w:numFmt w:val="lowerLetter"/>
      <w:start w:val="1"/>
    </w:lvl>
  </w:abstractNum>
  <w:abstractNum w:abstractNumId="192">
    <w:nsid w:val="4B793735"/>
    <w:multiLevelType w:val="hybridMultilevel"/>
    <w:lvl w:ilvl="0">
      <w:lvlJc w:val="left"/>
      <w:lvlText w:val="(%1)"/>
      <w:numFmt w:val="lowerLetter"/>
      <w:start w:val="1"/>
    </w:lvl>
    <w:lvl w:ilvl="1">
      <w:lvlJc w:val="left"/>
      <w:lvlText w:val="(%2)"/>
      <w:numFmt w:val="lowerRoman"/>
      <w:start w:val="1"/>
    </w:lvl>
  </w:abstractNum>
  <w:abstractNum w:abstractNumId="193">
    <w:nsid w:val="4A10B4E8"/>
    <w:multiLevelType w:val="hybridMultilevel"/>
    <w:lvl w:ilvl="0">
      <w:lvlJc w:val="left"/>
      <w:lvlText w:val="(%1)"/>
      <w:numFmt w:val="lowerLetter"/>
      <w:start w:val="3"/>
    </w:lvl>
  </w:abstractNum>
  <w:abstractNum w:abstractNumId="194">
    <w:nsid w:val="43D3BCD4"/>
    <w:multiLevelType w:val="hybridMultilevel"/>
    <w:lvl w:ilvl="0">
      <w:lvlJc w:val="left"/>
      <w:lvlText w:val="%1"/>
      <w:numFmt w:val="lowerLetter"/>
      <w:start w:val="1"/>
    </w:lvl>
    <w:lvl w:ilvl="1">
      <w:lvlJc w:val="left"/>
      <w:lvlText w:val="(%2)"/>
      <w:numFmt w:val="lowerLetter"/>
      <w:start w:val="4"/>
    </w:lvl>
  </w:abstractNum>
  <w:abstractNum w:abstractNumId="195">
    <w:nsid w:val="4C2A7166"/>
    <w:multiLevelType w:val="hybridMultilevel"/>
    <w:lvl w:ilvl="0">
      <w:lvlJc w:val="left"/>
      <w:lvlText w:val="(%1)"/>
      <w:numFmt w:val="lowerLetter"/>
      <w:start w:val="35"/>
    </w:lvl>
    <w:lvl w:ilvl="1">
      <w:lvlJc w:val="left"/>
      <w:lvlText w:val="%2"/>
      <w:numFmt w:val="lowerLetter"/>
      <w:start w:val="1"/>
    </w:lvl>
  </w:abstractNum>
  <w:abstractNum w:abstractNumId="196">
    <w:nsid w:val="2E534A82"/>
    <w:multiLevelType w:val="hybridMultilevel"/>
    <w:lvl w:ilvl="0">
      <w:lvlJc w:val="left"/>
      <w:lvlText w:val="(%1)"/>
      <w:numFmt w:val="lowerLetter"/>
      <w:start w:val="1"/>
    </w:lvl>
    <w:lvl w:ilvl="1">
      <w:lvlJc w:val="left"/>
      <w:lvlText w:val="(%2)"/>
      <w:numFmt w:val="lowerRoman"/>
      <w:start w:val="1"/>
    </w:lvl>
  </w:abstractNum>
  <w:abstractNum w:abstractNumId="197">
    <w:nsid w:val="26F2D364"/>
    <w:multiLevelType w:val="hybridMultilevel"/>
    <w:lvl w:ilvl="0">
      <w:lvlJc w:val="left"/>
      <w:lvlText w:val="(%1)"/>
      <w:numFmt w:val="lowerRoman"/>
      <w:start w:val="3"/>
    </w:lvl>
  </w:abstractNum>
  <w:abstractNum w:abstractNumId="198">
    <w:nsid w:val="71C1AF98"/>
    <w:multiLevelType w:val="hybridMultilevel"/>
    <w:lvl w:ilvl="0">
      <w:lvlJc w:val="left"/>
      <w:lvlText w:val="(%1)"/>
      <w:numFmt w:val="lowerLetter"/>
      <w:start w:val="1"/>
    </w:lvl>
    <w:lvl w:ilvl="1">
      <w:lvlJc w:val="left"/>
      <w:lvlText w:val="(%2)"/>
      <w:numFmt w:val="lowerRoman"/>
      <w:start w:val="1"/>
    </w:lvl>
  </w:abstractNum>
  <w:abstractNum w:abstractNumId="199">
    <w:nsid w:val="3D00B9D9"/>
    <w:multiLevelType w:val="hybridMultilevel"/>
    <w:lvl w:ilvl="0">
      <w:lvlJc w:val="left"/>
      <w:lvlText w:val="(%1)"/>
      <w:numFmt w:val="lowerLetter"/>
      <w:start w:val="1"/>
    </w:lvl>
    <w:lvl w:ilvl="1">
      <w:lvlJc w:val="left"/>
      <w:lvlText w:val="(%2)"/>
      <w:numFmt w:val="lowerRoman"/>
      <w:start w:val="1"/>
    </w:lvl>
  </w:abstractNum>
  <w:abstractNum w:abstractNumId="200">
    <w:nsid w:val="15BCABA8"/>
    <w:multiLevelType w:val="hybridMultilevel"/>
    <w:lvl w:ilvl="0">
      <w:lvlJc w:val="left"/>
      <w:lvlText w:val="%1."/>
      <w:numFmt w:val="decimal"/>
      <w:start w:val="1"/>
    </w:lvl>
    <w:lvl w:ilvl="1">
      <w:lvlJc w:val="left"/>
      <w:lvlText w:val="(%2)"/>
      <w:numFmt w:val="lowerLetter"/>
      <w:start w:val="1"/>
    </w:lvl>
  </w:abstractNum>
  <w:abstractNum w:abstractNumId="201">
    <w:nsid w:val="4E0B9A87"/>
    <w:multiLevelType w:val="hybridMultilevel"/>
    <w:lvl w:ilvl="0">
      <w:lvlJc w:val="left"/>
      <w:lvlText w:val="%1."/>
      <w:numFmt w:val="decimal"/>
      <w:start w:val="1"/>
    </w:lvl>
    <w:lvl w:ilvl="1">
      <w:lvlJc w:val="left"/>
      <w:lvlText w:val="(%2)"/>
      <w:numFmt w:val="lowerLetter"/>
      <w:start w:val="1"/>
    </w:lvl>
  </w:abstractNum>
  <w:abstractNum w:abstractNumId="202">
    <w:nsid w:val="434BAE75"/>
    <w:multiLevelType w:val="hybridMultilevel"/>
    <w:lvl w:ilvl="0">
      <w:lvlJc w:val="left"/>
      <w:lvlText w:val="(%1)"/>
      <w:numFmt w:val="lowerRoman"/>
      <w:start w:val="1"/>
    </w:lvl>
    <w:lvl w:ilvl="1">
      <w:lvlJc w:val="left"/>
      <w:lvlText w:val="(%2)"/>
      <w:numFmt w:val="upperLetter"/>
      <w:start w:val="1"/>
    </w:lvl>
  </w:abstractNum>
  <w:abstractNum w:abstractNumId="203">
    <w:nsid w:val="4F38F265"/>
    <w:multiLevelType w:val="hybridMultilevel"/>
    <w:lvl w:ilvl="0">
      <w:lvlJc w:val="left"/>
      <w:lvlText w:val="(%1)"/>
      <w:numFmt w:val="lowerRoman"/>
      <w:start w:val="4"/>
    </w:lvl>
    <w:lvl w:ilvl="1">
      <w:lvlJc w:val="left"/>
      <w:lvlText w:val="(%2)"/>
      <w:numFmt w:val="upperLetter"/>
      <w:start w:val="1"/>
    </w:lvl>
  </w:abstractNum>
  <w:abstractNum w:abstractNumId="204">
    <w:nsid w:val="4C502870"/>
    <w:multiLevelType w:val="hybridMultilevel"/>
    <w:lvl w:ilvl="0">
      <w:lvlJc w:val="left"/>
      <w:lvlText w:val="%1"/>
      <w:numFmt w:val="lowerRoman"/>
      <w:start w:val="1"/>
    </w:lvl>
    <w:lvl w:ilvl="1">
      <w:lvlJc w:val="left"/>
      <w:lvlText w:val="(%2)"/>
      <w:numFmt w:val="upperLetter"/>
      <w:start w:val="2"/>
    </w:lvl>
  </w:abstractNum>
  <w:abstractNum w:abstractNumId="205">
    <w:nsid w:val="1DE8725A"/>
    <w:multiLevelType w:val="hybridMultilevel"/>
    <w:lvl w:ilvl="0">
      <w:lvlJc w:val="left"/>
      <w:lvlText w:val="(%1)"/>
      <w:numFmt w:val="lowerRoman"/>
      <w:start w:val="5"/>
    </w:lvl>
    <w:lvl w:ilvl="1">
      <w:lvlJc w:val="left"/>
      <w:lvlText w:val="%2"/>
      <w:numFmt w:val="upperLetter"/>
      <w:start w:val="1"/>
    </w:lvl>
  </w:abstractNum>
  <w:abstractNum w:abstractNumId="206">
    <w:nsid w:val="6A37288A"/>
    <w:multiLevelType w:val="hybridMultilevel"/>
    <w:lvl w:ilvl="0">
      <w:lvlJc w:val="left"/>
      <w:lvlText w:val="(%1)"/>
      <w:numFmt w:val="lowerRoman"/>
      <w:start w:val="1"/>
    </w:lvl>
  </w:abstractNum>
  <w:abstractNum w:abstractNumId="207">
    <w:nsid w:val="8F8B73F"/>
    <w:multiLevelType w:val="hybridMultilevel"/>
    <w:lvl w:ilvl="0">
      <w:lvlJc w:val="left"/>
      <w:lvlText w:val="(%1)"/>
      <w:numFmt w:val="decimal"/>
      <w:start w:val="1"/>
    </w:lvl>
  </w:abstractNum>
  <w:abstractNum w:abstractNumId="208">
    <w:nsid w:val="CA6B46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55" Type="http://schemas.openxmlformats.org/officeDocument/2006/relationships/hyperlink" Target="https://www.sec.gov/ix?doc=/Archives/edgar/data/1602065/000160206522000008/vnom-20211231.htm#iad893e52d5434c44bb2b7248040ef83a_46" TargetMode="External"/><Relationship Id="rId92" Type="http://schemas.openxmlformats.org/officeDocument/2006/relationships/hyperlink" Target="https://www.sec.gov/Archives/edgar/data/1602065/000160206521000048/viperex21-8621.htm" TargetMode="External"/><Relationship Id="rId93" Type="http://schemas.openxmlformats.org/officeDocument/2006/relationships/hyperlink" Target="http://www.sec.gov/Archives/edgar/data/1602065/000119312514187469/d673207dex31.htm" TargetMode="External"/><Relationship Id="rId94" Type="http://schemas.openxmlformats.org/officeDocument/2006/relationships/hyperlink" Target="http://www.sec.gov/Archives/edgar/data/0001602065/000160206518000017/viperex31-5x15x18.htm" TargetMode="External"/><Relationship Id="rId95" Type="http://schemas.openxmlformats.org/officeDocument/2006/relationships/hyperlink" Target="http://www.sec.gov/Archives/edgar/data/1602065/000160206518000017/viperex32-5x15x18.htm" TargetMode="External"/><Relationship Id="rId96" Type="http://schemas.openxmlformats.org/officeDocument/2006/relationships/hyperlink" Target="http://www.sec.gov/Archives/edgar/data/0001602065/000160206518000017/viperex33-5x15x18.htm" TargetMode="External"/><Relationship Id="rId97" Type="http://schemas.openxmlformats.org/officeDocument/2006/relationships/hyperlink" Target="http://www.sec.gov/Archives/edgar/data/1602065/000160206520000014/viperex31-33120.htm" TargetMode="External"/><Relationship Id="rId98" Type="http://schemas.openxmlformats.org/officeDocument/2006/relationships/hyperlink" Target="http://www.sec.gov/Archives/edgar/data/0001602065/000119312521367951/d249385dex31.htm" TargetMode="External"/><Relationship Id="rId99" Type="http://schemas.openxmlformats.org/officeDocument/2006/relationships/hyperlink" Target="https://www.sec.gov/Archives/edgar/data/1602065/000160206520000009/viper201910-kxex41.htm" TargetMode="External"/><Relationship Id="rId100" Type="http://schemas.openxmlformats.org/officeDocument/2006/relationships/hyperlink" Target="http://www.sec.gov/Archives/edgar/data/1602065/000160206518000017/viperex41-5x15x18.htm" TargetMode="External"/><Relationship Id="rId101" Type="http://schemas.openxmlformats.org/officeDocument/2006/relationships/hyperlink" Target="http://www.sec.gov/Archives/edgar/data/1602065/000160206521000051/viperex41-10x1x21.htm" TargetMode="External"/><Relationship Id="rId102" Type="http://schemas.openxmlformats.org/officeDocument/2006/relationships/hyperlink" Target="http://www.sec.gov/Archives/edgar/data/1602065/000110465919054635/tm19193893_ex4-1.htm" TargetMode="External"/><Relationship Id="rId105" Type="http://schemas.openxmlformats.org/officeDocument/2006/relationships/hyperlink" Target="http://www.sec.gov/Archives/edgar/data/1602065/000160206518000027/viperex101-7x26x18.htm" TargetMode="External"/><Relationship Id="rId106" Type="http://schemas.openxmlformats.org/officeDocument/2006/relationships/hyperlink" Target="http://www.sec.gov/Archives/edgar/data/1602065/000119312514245558/d743920dex102.htm" TargetMode="External"/><Relationship Id="rId107" Type="http://schemas.openxmlformats.org/officeDocument/2006/relationships/hyperlink" Target="http://www.sec.gov/Archives/edgar/data/1602065/000119312514245558/d743920dex104.htm" TargetMode="External"/><Relationship Id="rId108" Type="http://schemas.openxmlformats.org/officeDocument/2006/relationships/hyperlink" Target="http://www.sec.gov/Archives/edgar/data/1602065/000119312514245558/d743920dex105.htm" TargetMode="External"/><Relationship Id="rId109" Type="http://schemas.openxmlformats.org/officeDocument/2006/relationships/hyperlink" Target="http://www.sec.gov/Archives/edgar/data/1602065/000119312514245558/d743920dex106.htm" TargetMode="External"/><Relationship Id="rId110" Type="http://schemas.openxmlformats.org/officeDocument/2006/relationships/hyperlink" Target="https://www.sec.gov/Archives/edgar/data/1602065/000160206520000009/viper201910-kxex108.htm" TargetMode="External"/><Relationship Id="rId111" Type="http://schemas.openxmlformats.org/officeDocument/2006/relationships/hyperlink" Target="http://www.sec.gov/Archives/edgar/data/1602065/000119312518119710/d559361ddef14c.htm" TargetMode="External"/><Relationship Id="rId112" Type="http://schemas.openxmlformats.org/officeDocument/2006/relationships/hyperlink" Target="http://www.sec.gov/Archives/edgar/data/1602065/000160206518000017/viperex104-5x15x18.htm" TargetMode="External"/><Relationship Id="rId113" Type="http://schemas.openxmlformats.org/officeDocument/2006/relationships/hyperlink" Target="http://www.sec.gov/Archives/edgar/data/1602065/000160206518000017/viperex101-5x15x18.htm" TargetMode="External"/><Relationship Id="rId114" Type="http://schemas.openxmlformats.org/officeDocument/2006/relationships/hyperlink" Target="http://www.sec.gov/Archives/edgar/data/1602065/000160206518000017/viperex102-5x15x18.htm" TargetMode="External"/><Relationship Id="rId115" Type="http://schemas.openxmlformats.org/officeDocument/2006/relationships/hyperlink" Target="http://www.sec.gov/Archives/edgar/data/1602065/000160206519000040/viperex101-9x30x19.htm" TargetMode="External"/><Relationship Id="rId116" Type="http://schemas.openxmlformats.org/officeDocument/2006/relationships/hyperlink" Target="http://www.sec.gov/Archives/edgar/data/1602065/000160206519000042/viperex101-10x10x19.htm" TargetMode="External"/><Relationship Id="rId117" Type="http://schemas.openxmlformats.org/officeDocument/2006/relationships/hyperlink" Target="http://www.sec.gov/Archives/edgar/data/1602065/000160206519000051/viperex101-12519.htm" TargetMode="External"/><Relationship Id="rId118" Type="http://schemas.openxmlformats.org/officeDocument/2006/relationships/hyperlink" Target="http://www.sec.gov/Archives/edgar/data/1602065/000160206520000024/viperex101-51520.htm" TargetMode="External"/><Relationship Id="rId119" Type="http://schemas.openxmlformats.org/officeDocument/2006/relationships/hyperlink" Target="http://www.sec.gov/Archives/edgar/data/1602065/000160206520000056/viperex101-11x12x20.htm" TargetMode="External"/><Relationship Id="rId120" Type="http://schemas.openxmlformats.org/officeDocument/2006/relationships/hyperlink" Target="http://www.sec.gov/Archives/edgar/data/1602065/000160206521000022/viperex101-6x2x21.htm" TargetMode="External"/><Relationship Id="rId123" Type="http://schemas.openxmlformats.org/officeDocument/2006/relationships/hyperlink" Target="http://www.sec.gov/Archives/edgar/data/1602065/000160206521000061/viperex101-11x19x21.htm" TargetMode="External"/><Relationship Id="rId124" Type="http://schemas.openxmlformats.org/officeDocument/2006/relationships/hyperlink" Target="http://www.sec.gov/Archives/edgar/data/1602065/000110465919054635/tm19193893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2023-02-23T16:36:26Z</dcterms:created>
  <dcterms:modified xsi:type="dcterms:W3CDTF">2023-02-23T16:36:26Z</dcterms:modified>
</cp:coreProperties>
</file>