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5339.xml.htm"/>
      <w:bookmarkStart w:id="1" w:name="kswkform4_17896753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Grotzinger John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Viper Energy, Inc.</w:t>
              </w:r>
            </w:hyperlink>
            <w:r>
              <w:rPr/>
              <w:t xml:space="preserve"> [ </w:t>
            </w:r>
            <w:r>
              <w:rPr>
                <w:rFonts w:ascii="Times;serif" w:hAnsi="Times;serif"/>
                <w:color w:val="0000FF"/>
                <w:sz w:val="24"/>
                <w:shd w:fill="FFFFFF" w:val="clear"/>
              </w:rPr>
              <w:t>VNOM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2,606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restricted stock units, each representing a contingent right to receive one share of Class A Common Stock, par value $0.000001 per share, of the Issuer. These restricted stock units were granted to the reporting person as a prorated annual non-employee director grant under the Issuer's long term incentive plan and will vest on the earlier of May 19, 2027 and the date of the next annual meeting of the Issuer's stockholders following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F. Krueger, as attorney-in-fact for John. P. Grotzinger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4033" TargetMode="External"/><Relationship Id="rId5" Type="http://schemas.openxmlformats.org/officeDocument/2006/relationships/hyperlink" Target="http://www.sec.gov/cgi-bin/browse-edgar?action=getcompany&amp;CIK=00020741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3491</Characters>
  <CharactersWithSpaces>4074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