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420370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2155825</wp:posOffset>
            </wp:positionH>
            <wp:positionV relativeFrom="paragraph">
              <wp:posOffset>97155</wp:posOffset>
            </wp:positionV>
            <wp:extent cx="2831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2155825</wp:posOffset>
            </wp:positionH>
            <wp:positionV relativeFrom="paragraph">
              <wp:posOffset>46990</wp:posOffset>
            </wp:positionV>
            <wp:extent cx="2831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226" w:lineRule="exact"/>
        <w:rPr>
          <w:sz w:val="24"/>
          <w:szCs w:val="24"/>
          <w:color w:val="auto"/>
        </w:rPr>
      </w:pPr>
    </w:p>
    <w:p>
      <w:pPr>
        <w:ind w:left="680" w:hanging="655"/>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UNDER SECTION 13 OR 15(d) OF THE SECURITIES EXCHANGE ACT OF 1934</w:t>
      </w:r>
    </w:p>
    <w:p>
      <w:pPr>
        <w:spacing w:after="0" w:line="200" w:lineRule="exact"/>
        <w:rPr>
          <w:sz w:val="24"/>
          <w:szCs w:val="24"/>
          <w:color w:val="auto"/>
        </w:rPr>
      </w:pPr>
    </w:p>
    <w:p>
      <w:pPr>
        <w:spacing w:after="0" w:line="352" w:lineRule="exact"/>
        <w:rPr>
          <w:sz w:val="24"/>
          <w:szCs w:val="24"/>
          <w:color w:val="auto"/>
        </w:rPr>
      </w:pPr>
    </w:p>
    <w:p>
      <w:pPr>
        <w:ind w:left="4380" w:right="3340" w:hanging="4355"/>
        <w:spacing w:after="0" w:line="402" w:lineRule="auto"/>
        <w:tabs>
          <w:tab w:leader="none" w:pos="6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UNDER SECTION 13 OR 15(d) OF SECURITIES EXCHANGE ACT OF 1934 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2155825</wp:posOffset>
            </wp:positionH>
            <wp:positionV relativeFrom="paragraph">
              <wp:posOffset>26670</wp:posOffset>
            </wp:positionV>
            <wp:extent cx="2831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Viper Energy,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2155825</wp:posOffset>
            </wp:positionH>
            <wp:positionV relativeFrom="paragraph">
              <wp:posOffset>25400</wp:posOffset>
            </wp:positionV>
            <wp:extent cx="2831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182" w:lineRule="exact"/>
        <w:rPr>
          <w:sz w:val="24"/>
          <w:szCs w:val="24"/>
          <w:color w:val="auto"/>
        </w:rPr>
      </w:pPr>
    </w:p>
    <w:tbl>
      <w:tblPr>
        <w:tblLayout w:type="fixed"/>
        <w:tblInd w:w="1820" w:type="dxa"/>
        <w:tblCellMar>
          <w:top w:w="0" w:type="dxa"/>
          <w:left w:w="0" w:type="dxa"/>
          <w:bottom w:w="0" w:type="dxa"/>
          <w:right w:w="0" w:type="dxa"/>
        </w:tblCellMar>
      </w:tblPr>
      <w:tr>
        <w:trPr>
          <w:trHeight w:val="187"/>
        </w:trPr>
        <w:tc>
          <w:tcPr>
            <w:tcW w:w="392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DE</w:t>
            </w:r>
          </w:p>
        </w:tc>
        <w:tc>
          <w:tcPr>
            <w:tcW w:w="34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46-5001985</w:t>
            </w:r>
          </w:p>
        </w:tc>
      </w:tr>
      <w:tr>
        <w:trPr>
          <w:trHeight w:val="373"/>
        </w:trPr>
        <w:tc>
          <w:tcPr>
            <w:tcW w:w="392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48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87"/>
        </w:trPr>
        <w:tc>
          <w:tcPr>
            <w:tcW w:w="392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480" w:type="dxa"/>
            <w:vAlign w:val="bottom"/>
          </w:tcPr>
          <w:p>
            <w:pPr>
              <w:spacing w:after="0"/>
              <w:rPr>
                <w:sz w:val="16"/>
                <w:szCs w:val="16"/>
                <w:color w:val="auto"/>
              </w:rPr>
            </w:pPr>
          </w:p>
        </w:tc>
      </w:tr>
      <w:tr>
        <w:trPr>
          <w:trHeight w:val="377"/>
        </w:trPr>
        <w:tc>
          <w:tcPr>
            <w:tcW w:w="392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500 West Texas</w:t>
            </w:r>
          </w:p>
        </w:tc>
        <w:tc>
          <w:tcPr>
            <w:tcW w:w="3480" w:type="dxa"/>
            <w:vAlign w:val="bottom"/>
          </w:tcPr>
          <w:p>
            <w:pPr>
              <w:spacing w:after="0"/>
              <w:rPr>
                <w:sz w:val="24"/>
                <w:szCs w:val="24"/>
                <w:color w:val="auto"/>
              </w:rPr>
            </w:pPr>
          </w:p>
        </w:tc>
      </w:tr>
      <w:tr>
        <w:trPr>
          <w:trHeight w:val="201"/>
        </w:trPr>
        <w:tc>
          <w:tcPr>
            <w:tcW w:w="392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Suite 100</w:t>
            </w:r>
          </w:p>
        </w:tc>
        <w:tc>
          <w:tcPr>
            <w:tcW w:w="3480" w:type="dxa"/>
            <w:vAlign w:val="bottom"/>
          </w:tcPr>
          <w:p>
            <w:pPr>
              <w:spacing w:after="0"/>
              <w:rPr>
                <w:sz w:val="17"/>
                <w:szCs w:val="17"/>
                <w:color w:val="auto"/>
              </w:rPr>
            </w:pPr>
          </w:p>
        </w:tc>
      </w:tr>
      <w:tr>
        <w:trPr>
          <w:trHeight w:val="201"/>
        </w:trPr>
        <w:tc>
          <w:tcPr>
            <w:tcW w:w="39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Midland, TX</w:t>
            </w:r>
          </w:p>
        </w:tc>
        <w:tc>
          <w:tcPr>
            <w:tcW w:w="348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79701</w:t>
            </w:r>
          </w:p>
        </w:tc>
      </w:tr>
      <w:tr>
        <w:trPr>
          <w:trHeight w:val="415"/>
        </w:trPr>
        <w:tc>
          <w:tcPr>
            <w:tcW w:w="392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6"/>
          <w:szCs w:val="16"/>
          <w:b w:val="1"/>
          <w:bCs w:val="1"/>
          <w:color w:val="auto"/>
        </w:rPr>
        <w:t>(432) 221-7400</w:t>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1640" w:type="dxa"/>
            <w:vAlign w:val="bottom"/>
          </w:tcPr>
          <w:p>
            <w:pPr>
              <w:spacing w:after="0"/>
              <w:rPr>
                <w:sz w:val="13"/>
                <w:szCs w:val="13"/>
                <w:color w:val="auto"/>
              </w:rPr>
            </w:pPr>
          </w:p>
        </w:tc>
        <w:tc>
          <w:tcPr>
            <w:tcW w:w="178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680" w:type="dxa"/>
            <w:vAlign w:val="bottom"/>
          </w:tcPr>
          <w:p>
            <w:pPr>
              <w:spacing w:after="0"/>
              <w:rPr>
                <w:sz w:val="13"/>
                <w:szCs w:val="13"/>
                <w:color w:val="auto"/>
              </w:rPr>
            </w:pPr>
          </w:p>
        </w:tc>
        <w:tc>
          <w:tcPr>
            <w:tcW w:w="174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00" w:type="dxa"/>
            <w:vAlign w:val="bottom"/>
            <w:gridSpan w:val="2"/>
          </w:tcPr>
          <w:p>
            <w:pPr>
              <w:jc w:val="center"/>
              <w:ind w:left="55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gridSpan w:val="3"/>
          </w:tcPr>
          <w:p>
            <w:pPr>
              <w:jc w:val="center"/>
              <w:ind w:left="789"/>
              <w:spacing w:after="0" w:line="158" w:lineRule="exact"/>
              <w:rPr>
                <w:sz w:val="20"/>
                <w:szCs w:val="20"/>
                <w:color w:val="auto"/>
              </w:rPr>
            </w:pPr>
            <w:r>
              <w:rPr>
                <w:rFonts w:ascii="Times New Roman" w:cs="Times New Roman" w:eastAsia="Times New Roman" w:hAnsi="Times New Roman"/>
                <w:sz w:val="14"/>
                <w:szCs w:val="14"/>
                <w:color w:val="auto"/>
              </w:rPr>
              <w:t>Class A Common Stock,</w:t>
            </w:r>
          </w:p>
        </w:tc>
        <w:tc>
          <w:tcPr>
            <w:tcW w:w="1680" w:type="dxa"/>
            <w:vAlign w:val="bottom"/>
          </w:tcPr>
          <w:p>
            <w:pPr>
              <w:spacing w:after="0"/>
              <w:rPr>
                <w:sz w:val="13"/>
                <w:szCs w:val="13"/>
                <w:color w:val="auto"/>
              </w:rPr>
            </w:pPr>
          </w:p>
        </w:tc>
        <w:tc>
          <w:tcPr>
            <w:tcW w:w="1740" w:type="dxa"/>
            <w:vAlign w:val="bottom"/>
            <w:gridSpan w:val="2"/>
          </w:tcPr>
          <w:p>
            <w:pPr>
              <w:jc w:val="center"/>
              <w:ind w:right="700"/>
              <w:spacing w:after="0" w:line="158" w:lineRule="exact"/>
              <w:rPr>
                <w:sz w:val="20"/>
                <w:szCs w:val="20"/>
                <w:color w:val="auto"/>
              </w:rPr>
            </w:pPr>
            <w:r>
              <w:rPr>
                <w:rFonts w:ascii="Times New Roman" w:cs="Times New Roman" w:eastAsia="Times New Roman" w:hAnsi="Times New Roman"/>
                <w:sz w:val="14"/>
                <w:szCs w:val="14"/>
                <w:color w:val="auto"/>
              </w:rPr>
              <w:t>VNOM</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5"/>
        </w:trPr>
        <w:tc>
          <w:tcPr>
            <w:tcW w:w="3420" w:type="dxa"/>
            <w:vAlign w:val="bottom"/>
            <w:gridSpan w:val="3"/>
          </w:tcPr>
          <w:p>
            <w:pPr>
              <w:jc w:val="center"/>
              <w:ind w:left="789"/>
              <w:spacing w:after="0"/>
              <w:rPr>
                <w:sz w:val="20"/>
                <w:szCs w:val="20"/>
                <w:color w:val="auto"/>
              </w:rPr>
            </w:pPr>
            <w:r>
              <w:rPr>
                <w:rFonts w:ascii="Times New Roman" w:cs="Times New Roman" w:eastAsia="Times New Roman" w:hAnsi="Times New Roman"/>
                <w:sz w:val="14"/>
                <w:szCs w:val="14"/>
                <w:color w:val="auto"/>
              </w:rPr>
              <w:t>$0.000001 Par Value</w:t>
            </w: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40" w:type="dxa"/>
            <w:vAlign w:val="bottom"/>
            <w:gridSpan w:val="4"/>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None.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6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3100" w:type="dxa"/>
            <w:vAlign w:val="bottom"/>
            <w:gridSpan w:val="2"/>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8"/>
        </w:trPr>
        <w:tc>
          <w:tcPr>
            <w:tcW w:w="6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2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8"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 w:lineRule="exact"/>
        <w:rPr>
          <w:sz w:val="24"/>
          <w:szCs w:val="24"/>
          <w:color w:val="auto"/>
        </w:rPr>
      </w:pPr>
    </w:p>
    <w:p>
      <w:pPr>
        <w:ind w:right="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60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Aggregate market value of the voting and non-voting common equity held by non-affiliates of registrant as of June 30, 2024 was approximately $3.4 billion.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21, 2025, 131,313,142 shares of Class A Common Stock and 87,831,750 shares of Class B Common Stock of the registrant were outstanding.</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Viper Energy, Inc.’s Proxy Statement for the 2025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434975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73660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87"/>
        </w:trPr>
        <w:tc>
          <w:tcPr>
            <w:tcW w:w="20" w:type="dxa"/>
            <w:vAlign w:val="bottom"/>
            <w:shd w:val="clear" w:color="auto" w:fill="CCEEFF"/>
          </w:tcPr>
          <w:p>
            <w:pPr>
              <w:spacing w:after="0"/>
              <w:rPr>
                <w:sz w:val="16"/>
                <w:szCs w:val="16"/>
                <w:color w:val="auto"/>
              </w:rPr>
            </w:pPr>
          </w:p>
        </w:tc>
        <w:tc>
          <w:tcPr>
            <w:tcW w:w="2800" w:type="dxa"/>
            <w:vAlign w:val="bottom"/>
            <w:gridSpan w:val="14"/>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Glossary of Oil and Natural Gas Terms</w:t>
            </w:r>
          </w:p>
        </w:tc>
        <w:tc>
          <w:tcPr>
            <w:tcW w:w="7740" w:type="dxa"/>
            <w:vAlign w:val="bottom"/>
            <w:gridSpan w:val="19"/>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ind w:right="300"/>
              <w:spacing w:after="0" w:line="154" w:lineRule="exact"/>
              <w:rPr>
                <w:sz w:val="20"/>
                <w:szCs w:val="20"/>
                <w:color w:val="auto"/>
              </w:rPr>
            </w:pPr>
            <w:r>
              <w:rPr>
                <w:rFonts w:ascii="Times New Roman" w:cs="Times New Roman" w:eastAsia="Times New Roman" w:hAnsi="Times New Roman"/>
                <w:sz w:val="17"/>
                <w:szCs w:val="17"/>
                <w:color w:val="0000FF"/>
                <w:w w:val="84"/>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Glossary of Certain Other Terms</w:t>
            </w:r>
          </w:p>
        </w:tc>
        <w:tc>
          <w:tcPr>
            <w:tcW w:w="7740" w:type="dxa"/>
            <w:vAlign w:val="bottom"/>
            <w:gridSpan w:val="19"/>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gridSpan w:val="3"/>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0000FF"/>
                <w:w w:val="88"/>
              </w:rPr>
              <w:t>v</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054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0000FF"/>
                <w:w w:val="71"/>
              </w:rPr>
              <w:t>vi</w:t>
            </w: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08"/>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60" w:type="dxa"/>
            <w:vAlign w:val="bottom"/>
            <w:gridSpan w:val="11"/>
            <w:shd w:val="clear" w:color="auto" w:fill="CCEEFF"/>
          </w:tcPr>
          <w:p>
            <w:pPr>
              <w:jc w:val="center"/>
              <w:ind w:right="4600"/>
              <w:spacing w:after="0" w:line="188"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5320" w:type="dxa"/>
            <w:vAlign w:val="bottom"/>
            <w:tcBorders>
              <w:top w:val="single" w:sz="8" w:color="CCEEFF"/>
            </w:tcBorders>
            <w:gridSpan w:val="23"/>
          </w:tcPr>
          <w:p>
            <w:pPr>
              <w:spacing w:after="0" w:line="188" w:lineRule="exact"/>
              <w:rPr>
                <w:sz w:val="20"/>
                <w:szCs w:val="20"/>
                <w:color w:val="auto"/>
              </w:rPr>
            </w:pPr>
            <w:r>
              <w:rPr>
                <w:rFonts w:ascii="Times New Roman" w:cs="Times New Roman" w:eastAsia="Times New Roman" w:hAnsi="Times New Roman"/>
                <w:sz w:val="18"/>
                <w:szCs w:val="18"/>
                <w:color w:val="0000FF"/>
              </w:rPr>
              <w:t>Items 1 and 2. Business and Properties</w:t>
            </w:r>
          </w:p>
        </w:tc>
        <w:tc>
          <w:tcPr>
            <w:tcW w:w="580" w:type="dxa"/>
            <w:vAlign w:val="bottom"/>
            <w:tcBorders>
              <w:top w:val="single" w:sz="8" w:color="0000FF"/>
            </w:tcBorders>
            <w:gridSpan w:val="2"/>
          </w:tcPr>
          <w:p>
            <w:pPr>
              <w:spacing w:after="0"/>
              <w:rPr>
                <w:sz w:val="16"/>
                <w:szCs w:val="16"/>
                <w:color w:val="auto"/>
              </w:rPr>
            </w:pPr>
          </w:p>
        </w:tc>
        <w:tc>
          <w:tcPr>
            <w:tcW w:w="4640" w:type="dxa"/>
            <w:vAlign w:val="bottom"/>
            <w:tcBorders>
              <w:top w:val="single" w:sz="8" w:color="CCEEFF"/>
            </w:tcBorders>
            <w:gridSpan w:val="8"/>
          </w:tcPr>
          <w:p>
            <w:pPr>
              <w:spacing w:after="0"/>
              <w:rPr>
                <w:sz w:val="16"/>
                <w:szCs w:val="16"/>
                <w:color w:val="auto"/>
              </w:rPr>
            </w:pPr>
          </w:p>
        </w:tc>
        <w:tc>
          <w:tcPr>
            <w:tcW w:w="380" w:type="dxa"/>
            <w:vAlign w:val="bottom"/>
            <w:tcBorders>
              <w:top w:val="single" w:sz="8" w:color="CCEEFF"/>
            </w:tcBorders>
            <w:gridSpan w:val="2"/>
          </w:tcPr>
          <w:p>
            <w:pPr>
              <w:jc w:val="center"/>
              <w:ind w:left="211"/>
              <w:spacing w:after="0" w:line="188" w:lineRule="exact"/>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88"/>
              </w:rPr>
              <w:t>16</w:t>
            </w:r>
          </w:p>
        </w:tc>
      </w:tr>
      <w:tr>
        <w:trPr>
          <w:trHeight w:val="27"/>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FF"/>
          </w:tcPr>
          <w:p>
            <w:pPr>
              <w:spacing w:after="0"/>
              <w:rPr>
                <w:sz w:val="2"/>
                <w:szCs w:val="2"/>
                <w:color w:val="auto"/>
              </w:rPr>
            </w:pPr>
          </w:p>
        </w:tc>
        <w:tc>
          <w:tcPr>
            <w:tcW w:w="40" w:type="dxa"/>
            <w:vAlign w:val="bottom"/>
            <w:tcBorders>
              <w:top w:val="single" w:sz="8" w:color="CCEEFF"/>
              <w:right w:val="single" w:sz="8" w:color="0000FF"/>
            </w:tcBorders>
            <w:shd w:val="clear" w:color="auto" w:fill="0000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Item 1C. Cybersecurity</w:t>
            </w:r>
          </w:p>
        </w:tc>
        <w:tc>
          <w:tcPr>
            <w:tcW w:w="8860" w:type="dxa"/>
            <w:vAlign w:val="bottom"/>
            <w:gridSpan w:val="29"/>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3. Legal Proceedings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054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30</w:t>
            </w: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7"/>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300" w:type="dxa"/>
            <w:vAlign w:val="bottom"/>
            <w:gridSpan w:val="12"/>
            <w:shd w:val="clear" w:color="auto" w:fill="CCEEFF"/>
          </w:tcPr>
          <w:p>
            <w:pPr>
              <w:jc w:val="center"/>
              <w:ind w:right="4580"/>
              <w:spacing w:after="0" w:line="188"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Item 6. [Reserved]</w:t>
            </w:r>
          </w:p>
        </w:tc>
        <w:tc>
          <w:tcPr>
            <w:tcW w:w="9200" w:type="dxa"/>
            <w:vAlign w:val="bottom"/>
            <w:gridSpan w:val="31"/>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9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5580" w:type="dxa"/>
            <w:vAlign w:val="bottom"/>
            <w:gridSpan w:val="13"/>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gridSpan w:val="20"/>
          </w:tcPr>
          <w:p>
            <w:pPr>
              <w:spacing w:after="0" w:line="188"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580" w:type="dxa"/>
            <w:vAlign w:val="bottom"/>
            <w:gridSpan w:val="13"/>
          </w:tcPr>
          <w:p>
            <w:pPr>
              <w:spacing w:after="0"/>
              <w:rPr>
                <w:sz w:val="16"/>
                <w:szCs w:val="16"/>
                <w:color w:val="auto"/>
              </w:rPr>
            </w:pP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980" w:type="dxa"/>
            <w:vAlign w:val="bottom"/>
            <w:gridSpan w:val="3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Item 9. Changes in and Disagreements with Accountants on Accounting and Financial Disclosure</w:t>
            </w:r>
          </w:p>
        </w:tc>
        <w:tc>
          <w:tcPr>
            <w:tcW w:w="3560" w:type="dxa"/>
            <w:vAlign w:val="bottom"/>
            <w:gridSpan w:val="3"/>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980" w:type="dxa"/>
            <w:vAlign w:val="bottom"/>
            <w:gridSpan w:val="30"/>
          </w:tcPr>
          <w:p>
            <w:pPr>
              <w:spacing w:after="0" w:line="188"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3560" w:type="dxa"/>
            <w:vAlign w:val="bottom"/>
            <w:gridSpan w:val="3"/>
          </w:tcPr>
          <w:p>
            <w:pPr>
              <w:spacing w:after="0"/>
              <w:rPr>
                <w:sz w:val="16"/>
                <w:szCs w:val="16"/>
                <w:color w:val="auto"/>
              </w:rPr>
            </w:pP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98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Item 9B. Other Information</w:t>
            </w:r>
          </w:p>
        </w:tc>
        <w:tc>
          <w:tcPr>
            <w:tcW w:w="8560" w:type="dxa"/>
            <w:vAlign w:val="bottom"/>
            <w:gridSpan w:val="27"/>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gridSpan w:val="12"/>
          </w:tcPr>
          <w:p>
            <w:pPr>
              <w:jc w:val="center"/>
              <w:ind w:right="4580"/>
              <w:spacing w:after="0" w:line="188"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840" w:type="dxa"/>
            <w:vAlign w:val="bottom"/>
            <w:gridSpan w:val="14"/>
          </w:tcPr>
          <w:p>
            <w:pPr>
              <w:spacing w:after="0"/>
              <w:rPr>
                <w:sz w:val="16"/>
                <w:szCs w:val="16"/>
                <w:color w:val="auto"/>
              </w:rPr>
            </w:pP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7880" w:type="dxa"/>
            <w:vAlign w:val="bottom"/>
            <w:gridSpan w:val="31"/>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2660" w:type="dxa"/>
            <w:vAlign w:val="bottom"/>
            <w:gridSpan w:val="2"/>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880" w:type="dxa"/>
            <w:vAlign w:val="bottom"/>
            <w:gridSpan w:val="31"/>
          </w:tcPr>
          <w:p>
            <w:pPr>
              <w:spacing w:after="0" w:line="188"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660" w:type="dxa"/>
            <w:vAlign w:val="bottom"/>
            <w:gridSpan w:val="2"/>
          </w:tcPr>
          <w:p>
            <w:pPr>
              <w:spacing w:after="0"/>
              <w:rPr>
                <w:sz w:val="16"/>
                <w:szCs w:val="16"/>
                <w:color w:val="auto"/>
              </w:rPr>
            </w:pP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054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86</w:t>
            </w: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6"/>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4580" w:type="dxa"/>
            <w:vAlign w:val="bottom"/>
            <w:tcBorders>
              <w:bottom w:val="single" w:sz="8" w:color="CCEEFF"/>
            </w:tcBorders>
            <w:gridSpan w:val="6"/>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87</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16. Form 10-K Summary</w:t>
            </w:r>
          </w:p>
        </w:tc>
        <w:tc>
          <w:tcPr>
            <w:tcW w:w="680" w:type="dxa"/>
            <w:vAlign w:val="bottom"/>
            <w:gridSpan w:val="4"/>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90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00FF"/>
                <w:w w:val="97"/>
              </w:rPr>
              <w:t>Signatures</w:t>
            </w:r>
          </w:p>
        </w:tc>
        <w:tc>
          <w:tcPr>
            <w:tcW w:w="1420" w:type="dxa"/>
            <w:vAlign w:val="bottom"/>
            <w:gridSpan w:val="6"/>
          </w:tcPr>
          <w:p>
            <w:pPr>
              <w:spacing w:after="0"/>
              <w:rPr>
                <w:sz w:val="16"/>
                <w:szCs w:val="16"/>
                <w:color w:val="auto"/>
              </w:rPr>
            </w:pPr>
          </w:p>
        </w:tc>
        <w:tc>
          <w:tcPr>
            <w:tcW w:w="8360" w:type="dxa"/>
            <w:vAlign w:val="bottom"/>
            <w:gridSpan w:val="26"/>
          </w:tcPr>
          <w:p>
            <w:pPr>
              <w:spacing w:after="0"/>
              <w:rPr>
                <w:sz w:val="16"/>
                <w:szCs w:val="16"/>
                <w:color w:val="auto"/>
              </w:rPr>
            </w:pPr>
          </w:p>
        </w:tc>
        <w:tc>
          <w:tcPr>
            <w:tcW w:w="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color w:val="0000FF"/>
                <w:w w:val="88"/>
              </w:rPr>
              <w:t>91</w:t>
            </w:r>
          </w:p>
        </w:tc>
      </w:tr>
      <w:tr>
        <w:trPr>
          <w:trHeight w:val="20"/>
        </w:trPr>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GLOSSARY OF OIL AND NATURAL GAS TERMS</w:t>
      </w:r>
    </w:p>
    <w:p>
      <w:pPr>
        <w:spacing w:after="0" w:line="200"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The following is a glossary of certain oil and natural gas industry terms used in this Annual Report on Form 10-K (the “Annual Report” or this “report”):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Argus WTI Midland</w:t>
            </w:r>
          </w:p>
        </w:tc>
        <w:tc>
          <w:tcPr>
            <w:tcW w:w="88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Midland, Texas.</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Basin</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Bbl or barrel</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One stock tank barrel, or 42 U.S. gallons liquid volume, used in this report in reference to crude oil or other liquid</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hydrocarbons.</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One barrel of crude oil.</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BO/d</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 barrel of crude oil per day.</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BOE</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One barrel of crude oil equivalent, with six thousand cubic feet of natural gas being equivalent to one barrel of oil.</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BOE/d</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Barrels of crude oil equivalent per day.</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Completion</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 natural</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gas or oil, or in the case of a dry hole, the reporting of abandonment to the appropriate agency.</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Liquid hydrocarbons associated with the production that is primarily natural gas.</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Deterministic method</w:t>
            </w:r>
          </w:p>
        </w:tc>
        <w:tc>
          <w:tcPr>
            <w:tcW w:w="88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The method of estimating reserves or resources under which a single value for each parameter (from the geoscience,</w:t>
            </w:r>
          </w:p>
        </w:tc>
      </w:tr>
      <w:tr>
        <w:trPr>
          <w:trHeight w:val="233"/>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engineering or economic data) in the reserves calculation is used in the reserves estimation procedure.</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acreage</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Acreage allocated or assignable to productive wells.</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Development well</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w w:val="99"/>
              </w:rPr>
              <w:t>A well drilled within the proved area of a natural gas or oil reservoir to the depth of a stratigraphic horizon known to be</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productive.</w:t>
            </w: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Differential</w:t>
            </w:r>
          </w:p>
        </w:tc>
        <w:tc>
          <w:tcPr>
            <w:tcW w:w="88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w w:val="99"/>
              </w:rPr>
              <w:t>An adjustment to the price of oil or natural gas from an established spot market price to reflect differences in the quality</w:t>
            </w:r>
          </w:p>
        </w:tc>
      </w:tr>
      <w:tr>
        <w:trPr>
          <w:trHeight w:val="233"/>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and/or location of oil or natural gas.</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Dry hole</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A well found to be incapable of producing hydrocarbons in sufficient quantities such that proceeds from the sale of</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such production exceed production expenses and taxes.</w:t>
            </w: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Exploitation</w:t>
            </w:r>
          </w:p>
        </w:tc>
        <w:tc>
          <w:tcPr>
            <w:tcW w:w="88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A development or other project which may target proven or unproven reserves (such as probable or possible reserves),</w:t>
            </w:r>
          </w:p>
        </w:tc>
      </w:tr>
      <w:tr>
        <w:trPr>
          <w:trHeight w:val="233"/>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but which generally has a lower risk than that associated with exploration projects.</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Field</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An area consisting of either a single reservoir or multiple reservoirs, all grouped on or related to the same individual</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geological structural feature and/or stratigraphic condition.</w:t>
            </w: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Finding costs</w:t>
            </w:r>
          </w:p>
        </w:tc>
        <w:tc>
          <w:tcPr>
            <w:tcW w:w="88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Capital costs incurred in the acquisition of proved oil and natural gas reserves divided by proved reserve additions and</w:t>
            </w:r>
          </w:p>
        </w:tc>
      </w:tr>
      <w:tr>
        <w:trPr>
          <w:trHeight w:val="233"/>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revisions to proved reserves.</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Fracturing</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The process of creating and preserving a fracture or system of fractures in a reservoir rock typically by injecting a fluid</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 pressure through a wellbore and into the targeted formation.</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mineral interest is owned.</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Hub</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futures on the NYMEX.</w:t>
            </w: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Horizontal drilling</w:t>
            </w:r>
          </w:p>
        </w:tc>
        <w:tc>
          <w:tcPr>
            <w:tcW w:w="88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 drilled at a</w:t>
            </w:r>
          </w:p>
        </w:tc>
      </w:tr>
      <w:tr>
        <w:trPr>
          <w:trHeight w:val="233"/>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angle within a specified interval.</w:t>
            </w: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Horizontal wells</w:t>
            </w:r>
          </w:p>
        </w:tc>
        <w:tc>
          <w:tcPr>
            <w:tcW w:w="886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 vertical</w:t>
            </w:r>
          </w:p>
        </w:tc>
      </w:tr>
      <w:tr>
        <w:trPr>
          <w:trHeight w:val="233"/>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drilling mechanisms.</w:t>
            </w: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MBbls</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One thousand barrels of crude oil and other liquid hydrocarbons.</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MBO</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 thousand barrels of crude oil.</w:t>
            </w:r>
          </w:p>
        </w:tc>
      </w:tr>
      <w:tr>
        <w:trPr>
          <w:trHeight w:val="228"/>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MBO/d</w:t>
            </w:r>
          </w:p>
        </w:tc>
        <w:tc>
          <w:tcPr>
            <w:tcW w:w="8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One thousand barrels of crude oil per day.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MBOE</w:t>
            </w:r>
          </w:p>
        </w:tc>
        <w:tc>
          <w:tcPr>
            <w:tcW w:w="8840" w:type="dxa"/>
            <w:vAlign w:val="bottom"/>
            <w:tcBorders>
              <w:top w:val="single" w:sz="8" w:color="auto"/>
            </w:tcBorders>
            <w:shd w:val="clear" w:color="auto" w:fill="CCEEFF"/>
          </w:tcPr>
          <w:p>
            <w:pPr>
              <w:ind w:left="240"/>
              <w:spacing w:after="0" w:line="188" w:lineRule="exact"/>
              <w:rPr>
                <w:sz w:val="20"/>
                <w:szCs w:val="20"/>
                <w:color w:val="auto"/>
              </w:rPr>
            </w:pPr>
            <w:r>
              <w:rPr>
                <w:rFonts w:ascii="Times New Roman" w:cs="Times New Roman" w:eastAsia="Times New Roman" w:hAnsi="Times New Roman"/>
                <w:sz w:val="18"/>
                <w:szCs w:val="18"/>
                <w:color w:val="auto"/>
              </w:rPr>
              <w:t>One thousand barrels of crude oil equivalent, determined using a ratio of six Mcf of natural gas to one Bbl of crude oil,</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condensate or natural gas liquids.</w:t>
            </w:r>
          </w:p>
        </w:tc>
      </w:tr>
      <w:tr>
        <w:trPr>
          <w:trHeight w:val="22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MBOE/d</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One thousand BOE per day.</w:t>
            </w:r>
          </w:p>
        </w:tc>
      </w:tr>
      <w:tr>
        <w:trPr>
          <w:trHeight w:val="22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One thousand cubic feet of natural gas.</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Mineral interests</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 extracted</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resources.</w:t>
            </w:r>
          </w:p>
        </w:tc>
      </w:tr>
      <w:tr>
        <w:trPr>
          <w:trHeight w:val="23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One million British Thermal Units.</w:t>
            </w:r>
          </w:p>
        </w:tc>
      </w:tr>
      <w:tr>
        <w:trPr>
          <w:trHeight w:val="22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MMcf</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cubic feet of natural gas.</w:t>
            </w:r>
          </w:p>
        </w:tc>
      </w:tr>
      <w:tr>
        <w:trPr>
          <w:trHeight w:val="174"/>
        </w:trPr>
        <w:tc>
          <w:tcPr>
            <w:tcW w:w="24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Net revenue interest</w:t>
            </w:r>
          </w:p>
        </w:tc>
        <w:tc>
          <w:tcPr>
            <w:tcW w:w="884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An owner’s interest in the revenues of a well after deducting proceeds allocated to royalty, overriding interests and</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burdens.</w:t>
            </w:r>
          </w:p>
        </w:tc>
      </w:tr>
      <w:tr>
        <w:trPr>
          <w:trHeight w:val="22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royalty acres</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tc>
      </w:tr>
      <w:tr>
        <w:trPr>
          <w:trHeight w:val="22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Operator</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 lease.</w:t>
            </w:r>
          </w:p>
        </w:tc>
      </w:tr>
      <w:tr>
        <w:trPr>
          <w:trHeight w:val="174"/>
        </w:trPr>
        <w:tc>
          <w:tcPr>
            <w:tcW w:w="24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Play or Resource play</w:t>
            </w:r>
          </w:p>
        </w:tc>
        <w:tc>
          <w:tcPr>
            <w:tcW w:w="884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A set of discovered or prospective oil and/or natural gas accumulations sharing similar geologic, geographic and</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temporal properties, such as source rock, reservoir structure, timing, trapping mechanism and hydrocarbon type.</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Plugging and abandonment</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Refers to the sealing off of fluids in the reservoir penetrated by a well so that the fluids from one reservoir will not</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escape into another or to the surface. Regulations of all states require plugging of abandoned wells.</w:t>
            </w:r>
          </w:p>
        </w:tc>
      </w:tr>
      <w:tr>
        <w:trPr>
          <w:trHeight w:val="23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PUD</w:t>
            </w: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Proved undeveloped reserves.</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Productive well</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A well that is found to be mechanically capable of producing hydrocarbons in sufficient quantities such that proceeds</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from the sale of the production exceed production expenses and taxes.</w:t>
            </w:r>
          </w:p>
        </w:tc>
      </w:tr>
      <w:tr>
        <w:trPr>
          <w:trHeight w:val="178"/>
        </w:trPr>
        <w:tc>
          <w:tcPr>
            <w:tcW w:w="2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Prospect</w:t>
            </w:r>
          </w:p>
        </w:tc>
        <w:tc>
          <w:tcPr>
            <w:tcW w:w="884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 preliminary</w:t>
            </w:r>
          </w:p>
        </w:tc>
      </w:tr>
      <w:tr>
        <w:trPr>
          <w:trHeight w:val="174"/>
        </w:trPr>
        <w:tc>
          <w:tcPr>
            <w:tcW w:w="2400" w:type="dxa"/>
            <w:vAlign w:val="bottom"/>
            <w:shd w:val="clear" w:color="auto" w:fill="CCEEFF"/>
          </w:tcPr>
          <w:p>
            <w:pPr>
              <w:spacing w:after="0"/>
              <w:rPr>
                <w:sz w:val="15"/>
                <w:szCs w:val="15"/>
                <w:color w:val="auto"/>
              </w:rPr>
            </w:pPr>
          </w:p>
        </w:tc>
        <w:tc>
          <w:tcPr>
            <w:tcW w:w="884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economic analysis using reasonably anticipated prices and costs, is deemed to have potential for the discovery of</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commercially recoverable hydrocarbons.</w:t>
            </w:r>
          </w:p>
        </w:tc>
      </w:tr>
      <w:tr>
        <w:trPr>
          <w:trHeight w:val="22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Proved developed reserves</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Reserves that can be expected to be recovered through existing wells with existing equipment and operating methods.</w:t>
            </w:r>
          </w:p>
        </w:tc>
      </w:tr>
      <w:tr>
        <w:trPr>
          <w:trHeight w:val="174"/>
        </w:trPr>
        <w:tc>
          <w:tcPr>
            <w:tcW w:w="24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Proved reserves</w:t>
            </w:r>
          </w:p>
        </w:tc>
        <w:tc>
          <w:tcPr>
            <w:tcW w:w="884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 demonstrate</w:t>
            </w:r>
          </w:p>
        </w:tc>
      </w:tr>
      <w:tr>
        <w:trPr>
          <w:trHeight w:val="174"/>
        </w:trPr>
        <w:tc>
          <w:tcPr>
            <w:tcW w:w="2400" w:type="dxa"/>
            <w:vAlign w:val="bottom"/>
            <w:shd w:val="clear" w:color="auto" w:fill="CCEEFF"/>
          </w:tcPr>
          <w:p>
            <w:pPr>
              <w:spacing w:after="0"/>
              <w:rPr>
                <w:sz w:val="15"/>
                <w:szCs w:val="15"/>
                <w:color w:val="auto"/>
              </w:rPr>
            </w:pPr>
          </w:p>
        </w:tc>
        <w:tc>
          <w:tcPr>
            <w:tcW w:w="884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with reasonable certainty to be commercially recoverable in future years from known reservoirs under existing</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economic and operating conditions.</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Proved undeveloped reserves</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Proved reserves that are expected to be recovered from new wells on undrilled acreage or from existing wells where a</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relatively major expenditure is required for recompletion.</w:t>
            </w:r>
          </w:p>
        </w:tc>
      </w:tr>
      <w:tr>
        <w:trPr>
          <w:trHeight w:val="178"/>
        </w:trPr>
        <w:tc>
          <w:tcPr>
            <w:tcW w:w="2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Recompletion</w:t>
            </w:r>
          </w:p>
        </w:tc>
        <w:tc>
          <w:tcPr>
            <w:tcW w:w="884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8"/>
                <w:szCs w:val="18"/>
                <w:color w:val="auto"/>
                <w:w w:val="99"/>
              </w:rPr>
              <w:t>The process of re-entering an existing wellbore that is either producing or not producing and completing new reservoirs</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an attempt to establish or increase existing production.</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Reserves</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w w:val="99"/>
              </w:rPr>
              <w:t>Reserves are estimated remaining quantities of oil and natural gas and related substances anticipated to be economically</w:t>
            </w:r>
          </w:p>
        </w:tc>
      </w:tr>
      <w:tr>
        <w:trPr>
          <w:trHeight w:val="174"/>
        </w:trPr>
        <w:tc>
          <w:tcPr>
            <w:tcW w:w="2400" w:type="dxa"/>
            <w:vAlign w:val="bottom"/>
          </w:tcPr>
          <w:p>
            <w:pPr>
              <w:spacing w:after="0"/>
              <w:rPr>
                <w:sz w:val="15"/>
                <w:szCs w:val="15"/>
                <w:color w:val="auto"/>
              </w:rPr>
            </w:pP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 must</w:t>
            </w:r>
          </w:p>
        </w:tc>
      </w:tr>
      <w:tr>
        <w:trPr>
          <w:trHeight w:val="182"/>
        </w:trPr>
        <w:tc>
          <w:tcPr>
            <w:tcW w:w="2400" w:type="dxa"/>
            <w:vAlign w:val="bottom"/>
          </w:tcPr>
          <w:p>
            <w:pPr>
              <w:spacing w:after="0"/>
              <w:rPr>
                <w:sz w:val="15"/>
                <w:szCs w:val="15"/>
                <w:color w:val="auto"/>
              </w:rPr>
            </w:pPr>
          </w:p>
        </w:tc>
        <w:tc>
          <w:tcPr>
            <w:tcW w:w="88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exist, or there must be a reasonable expectation that there will exist, the legal right to produce or a revenue interest in</w:t>
            </w:r>
          </w:p>
        </w:tc>
      </w:tr>
      <w:tr>
        <w:trPr>
          <w:trHeight w:val="179"/>
        </w:trPr>
        <w:tc>
          <w:tcPr>
            <w:tcW w:w="2400" w:type="dxa"/>
            <w:vAlign w:val="bottom"/>
          </w:tcPr>
          <w:p>
            <w:pPr>
              <w:spacing w:after="0"/>
              <w:rPr>
                <w:sz w:val="15"/>
                <w:szCs w:val="15"/>
                <w:color w:val="auto"/>
              </w:rPr>
            </w:pPr>
          </w:p>
        </w:tc>
        <w:tc>
          <w:tcPr>
            <w:tcW w:w="884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the production, installed means of delivering oil and natural gas or related substances to the market and all permits and</w:t>
            </w:r>
          </w:p>
        </w:tc>
      </w:tr>
      <w:tr>
        <w:trPr>
          <w:trHeight w:val="174"/>
        </w:trPr>
        <w:tc>
          <w:tcPr>
            <w:tcW w:w="2400" w:type="dxa"/>
            <w:vAlign w:val="bottom"/>
          </w:tcPr>
          <w:p>
            <w:pPr>
              <w:spacing w:after="0"/>
              <w:rPr>
                <w:sz w:val="15"/>
                <w:szCs w:val="15"/>
                <w:color w:val="auto"/>
              </w:rPr>
            </w:pP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financing required to implement the project. Reserves should not be assigned to adjacent reservoirs isolated by major,</w:t>
            </w:r>
          </w:p>
        </w:tc>
      </w:tr>
      <w:tr>
        <w:trPr>
          <w:trHeight w:val="182"/>
        </w:trPr>
        <w:tc>
          <w:tcPr>
            <w:tcW w:w="2400" w:type="dxa"/>
            <w:vAlign w:val="bottom"/>
          </w:tcPr>
          <w:p>
            <w:pPr>
              <w:spacing w:after="0"/>
              <w:rPr>
                <w:sz w:val="15"/>
                <w:szCs w:val="15"/>
                <w:color w:val="auto"/>
              </w:rPr>
            </w:pPr>
          </w:p>
        </w:tc>
        <w:tc>
          <w:tcPr>
            <w:tcW w:w="88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potentially sealing, faults until those reservoirs are penetrated and evaluated as economically producible. Reserves</w:t>
            </w:r>
          </w:p>
        </w:tc>
      </w:tr>
      <w:tr>
        <w:trPr>
          <w:trHeight w:val="179"/>
        </w:trPr>
        <w:tc>
          <w:tcPr>
            <w:tcW w:w="2400" w:type="dxa"/>
            <w:vAlign w:val="bottom"/>
          </w:tcPr>
          <w:p>
            <w:pPr>
              <w:spacing w:after="0"/>
              <w:rPr>
                <w:sz w:val="15"/>
                <w:szCs w:val="15"/>
                <w:color w:val="auto"/>
              </w:rPr>
            </w:pPr>
          </w:p>
        </w:tc>
        <w:tc>
          <w:tcPr>
            <w:tcW w:w="884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should not be assigned to areas that are clearly separated from a known accumulation by a non-productive reservoir</w:t>
            </w:r>
          </w:p>
        </w:tc>
      </w:tr>
      <w:tr>
        <w:trPr>
          <w:trHeight w:val="174"/>
        </w:trPr>
        <w:tc>
          <w:tcPr>
            <w:tcW w:w="2400" w:type="dxa"/>
            <w:vAlign w:val="bottom"/>
          </w:tcPr>
          <w:p>
            <w:pPr>
              <w:spacing w:after="0"/>
              <w:rPr>
                <w:sz w:val="15"/>
                <w:szCs w:val="15"/>
                <w:color w:val="auto"/>
              </w:rPr>
            </w:pP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(i.e., absence of reservoir, structurally low reservoir or negative test results). Such areas may contain prospective</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resources (i.e., potentially recoverable resources from undiscovered accumulations).</w:t>
            </w:r>
          </w:p>
        </w:tc>
      </w:tr>
      <w:tr>
        <w:trPr>
          <w:trHeight w:val="178"/>
        </w:trPr>
        <w:tc>
          <w:tcPr>
            <w:tcW w:w="2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Reservoir</w:t>
            </w:r>
          </w:p>
        </w:tc>
        <w:tc>
          <w:tcPr>
            <w:tcW w:w="884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 and/or</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crude oil that is confined by impermeable rock or water barriers and is separate from other reservoirs.</w:t>
            </w:r>
          </w:p>
        </w:tc>
      </w:tr>
      <w:tr>
        <w:trPr>
          <w:trHeight w:val="174"/>
        </w:trPr>
        <w:tc>
          <w:tcPr>
            <w:tcW w:w="2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Royalty interest</w:t>
            </w:r>
          </w:p>
        </w:tc>
        <w:tc>
          <w:tcPr>
            <w:tcW w:w="884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 any</w:t>
            </w:r>
          </w:p>
        </w:tc>
      </w:tr>
      <w:tr>
        <w:trPr>
          <w:trHeight w:val="237"/>
        </w:trPr>
        <w:tc>
          <w:tcPr>
            <w:tcW w:w="24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of development, which may be subject to expiration.</w:t>
            </w:r>
          </w:p>
        </w:tc>
      </w:tr>
      <w:tr>
        <w:trPr>
          <w:trHeight w:val="178"/>
        </w:trPr>
        <w:tc>
          <w:tcPr>
            <w:tcW w:w="2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Spacing</w:t>
            </w:r>
          </w:p>
        </w:tc>
        <w:tc>
          <w:tcPr>
            <w:tcW w:w="884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 (e.g., 40-</w:t>
            </w:r>
          </w:p>
        </w:tc>
      </w:tr>
      <w:tr>
        <w:trPr>
          <w:trHeight w:val="241"/>
        </w:trPr>
        <w:tc>
          <w:tcPr>
            <w:tcW w:w="2400" w:type="dxa"/>
            <w:vAlign w:val="bottom"/>
            <w:shd w:val="clear" w:color="auto" w:fill="CCEEFF"/>
          </w:tcPr>
          <w:p>
            <w:pPr>
              <w:spacing w:after="0"/>
              <w:rPr>
                <w:sz w:val="20"/>
                <w:szCs w:val="20"/>
                <w:color w:val="auto"/>
              </w:rPr>
            </w:pPr>
          </w:p>
        </w:tc>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acre spacing) and is often established by regulatory agencies.</w:t>
            </w:r>
          </w:p>
        </w:tc>
      </w:tr>
      <w:tr>
        <w:trPr>
          <w:trHeight w:val="22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Spud</w:t>
            </w:r>
          </w:p>
        </w:tc>
        <w:tc>
          <w:tcPr>
            <w:tcW w:w="8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Commencement of actual drilling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Standardized measure</w:t>
            </w:r>
          </w:p>
        </w:tc>
        <w:tc>
          <w:tcPr>
            <w:tcW w:w="9120" w:type="dxa"/>
            <w:vAlign w:val="bottom"/>
            <w:tcBorders>
              <w:top w:val="single" w:sz="8" w:color="auto"/>
            </w:tcBorders>
            <w:shd w:val="clear" w:color="auto" w:fill="CCEEFF"/>
          </w:tcPr>
          <w:p>
            <w:pPr>
              <w:ind w:left="520"/>
              <w:spacing w:after="0" w:line="188" w:lineRule="exact"/>
              <w:rPr>
                <w:sz w:val="20"/>
                <w:szCs w:val="20"/>
                <w:color w:val="auto"/>
              </w:rPr>
            </w:pPr>
            <w:r>
              <w:rPr>
                <w:rFonts w:ascii="Times New Roman" w:cs="Times New Roman" w:eastAsia="Times New Roman" w:hAnsi="Times New Roman"/>
                <w:sz w:val="18"/>
                <w:szCs w:val="18"/>
                <w:color w:val="auto"/>
              </w:rPr>
              <w:t>The present value of estimated future net revenue to be generated from the production of proved reserves, determined</w:t>
            </w:r>
          </w:p>
        </w:tc>
      </w:tr>
      <w:tr>
        <w:trPr>
          <w:trHeight w:val="174"/>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520"/>
              <w:spacing w:after="0" w:line="174" w:lineRule="exact"/>
              <w:rPr>
                <w:sz w:val="20"/>
                <w:szCs w:val="20"/>
                <w:color w:val="auto"/>
              </w:rPr>
            </w:pPr>
            <w:r>
              <w:rPr>
                <w:rFonts w:ascii="Times New Roman" w:cs="Times New Roman" w:eastAsia="Times New Roman" w:hAnsi="Times New Roman"/>
                <w:sz w:val="18"/>
                <w:szCs w:val="18"/>
                <w:color w:val="auto"/>
              </w:rPr>
              <w:t>in accordance with the rules and regulations of the SEC (using prices and costs in effect as of the date of estimation),</w:t>
            </w:r>
          </w:p>
        </w:tc>
      </w:tr>
      <w:tr>
        <w:trPr>
          <w:trHeight w:val="182"/>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520"/>
              <w:spacing w:after="0" w:line="182" w:lineRule="exact"/>
              <w:rPr>
                <w:sz w:val="20"/>
                <w:szCs w:val="20"/>
                <w:color w:val="auto"/>
              </w:rPr>
            </w:pPr>
            <w:r>
              <w:rPr>
                <w:rFonts w:ascii="Times New Roman" w:cs="Times New Roman" w:eastAsia="Times New Roman" w:hAnsi="Times New Roman"/>
                <w:sz w:val="18"/>
                <w:szCs w:val="18"/>
                <w:color w:val="auto"/>
                <w:w w:val="99"/>
              </w:rPr>
              <w:t>less future development, production and income tax expenses, and discounted at 10% per annum to reflect the timing of</w:t>
            </w:r>
          </w:p>
        </w:tc>
      </w:tr>
      <w:tr>
        <w:trPr>
          <w:trHeight w:val="233"/>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future net revenue.</w:t>
            </w:r>
          </w:p>
        </w:tc>
      </w:tr>
      <w:tr>
        <w:trPr>
          <w:trHeight w:val="22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Tight formation</w:t>
            </w:r>
          </w:p>
        </w:tc>
        <w:tc>
          <w:tcPr>
            <w:tcW w:w="9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formation with low permeability that produces natural gas with very low flow rates for long periods of time.</w:t>
            </w:r>
          </w:p>
        </w:tc>
      </w:tr>
      <w:tr>
        <w:trPr>
          <w:trHeight w:val="174"/>
        </w:trPr>
        <w:tc>
          <w:tcPr>
            <w:tcW w:w="21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Undeveloped acreage</w:t>
            </w:r>
          </w:p>
        </w:tc>
        <w:tc>
          <w:tcPr>
            <w:tcW w:w="9120" w:type="dxa"/>
            <w:vAlign w:val="bottom"/>
            <w:shd w:val="clear" w:color="auto" w:fill="CCEEFF"/>
          </w:tcPr>
          <w:p>
            <w:pPr>
              <w:ind w:left="520"/>
              <w:spacing w:after="0" w:line="174" w:lineRule="exact"/>
              <w:rPr>
                <w:sz w:val="20"/>
                <w:szCs w:val="20"/>
                <w:color w:val="auto"/>
              </w:rPr>
            </w:pPr>
            <w:r>
              <w:rPr>
                <w:rFonts w:ascii="Times New Roman" w:cs="Times New Roman" w:eastAsia="Times New Roman" w:hAnsi="Times New Roman"/>
                <w:sz w:val="18"/>
                <w:szCs w:val="18"/>
                <w:color w:val="auto"/>
              </w:rPr>
              <w:t>Lease acreage on which wells have not been drilled or completed to a point that would permit the production of</w:t>
            </w:r>
          </w:p>
        </w:tc>
      </w:tr>
      <w:tr>
        <w:trPr>
          <w:trHeight w:val="241"/>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economic quantities of oil and natural gas regardless of whether such acreage contains proved reserves.</w:t>
            </w:r>
          </w:p>
        </w:tc>
      </w:tr>
      <w:tr>
        <w:trPr>
          <w:trHeight w:val="22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Waha Hub</w:t>
            </w:r>
          </w:p>
        </w:tc>
        <w:tc>
          <w:tcPr>
            <w:tcW w:w="9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at western Texas and New Mexico.</w:t>
            </w:r>
          </w:p>
        </w:tc>
      </w:tr>
      <w:tr>
        <w:trPr>
          <w:trHeight w:val="22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Wellbore</w:t>
            </w:r>
          </w:p>
        </w:tc>
        <w:tc>
          <w:tcPr>
            <w:tcW w:w="9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hole drilled by the bit that is equipped for oil or natural gas production on a completed well.</w:t>
            </w:r>
          </w:p>
        </w:tc>
      </w:tr>
      <w:tr>
        <w:trPr>
          <w:trHeight w:val="174"/>
        </w:trPr>
        <w:tc>
          <w:tcPr>
            <w:tcW w:w="21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Working interest</w:t>
            </w:r>
          </w:p>
        </w:tc>
        <w:tc>
          <w:tcPr>
            <w:tcW w:w="9120" w:type="dxa"/>
            <w:vAlign w:val="bottom"/>
          </w:tcPr>
          <w:p>
            <w:pPr>
              <w:ind w:left="520"/>
              <w:spacing w:after="0" w:line="174" w:lineRule="exact"/>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 property</w:t>
            </w:r>
          </w:p>
        </w:tc>
      </w:tr>
      <w:tr>
        <w:trPr>
          <w:trHeight w:val="174"/>
        </w:trPr>
        <w:tc>
          <w:tcPr>
            <w:tcW w:w="2120" w:type="dxa"/>
            <w:vAlign w:val="bottom"/>
          </w:tcPr>
          <w:p>
            <w:pPr>
              <w:spacing w:after="0"/>
              <w:rPr>
                <w:sz w:val="15"/>
                <w:szCs w:val="15"/>
                <w:color w:val="auto"/>
              </w:rPr>
            </w:pPr>
          </w:p>
        </w:tc>
        <w:tc>
          <w:tcPr>
            <w:tcW w:w="9120" w:type="dxa"/>
            <w:vAlign w:val="bottom"/>
          </w:tcPr>
          <w:p>
            <w:pPr>
              <w:ind w:left="520"/>
              <w:spacing w:after="0" w:line="174" w:lineRule="exact"/>
              <w:rPr>
                <w:sz w:val="20"/>
                <w:szCs w:val="20"/>
                <w:color w:val="auto"/>
              </w:rPr>
            </w:pPr>
            <w:r>
              <w:rPr>
                <w:rFonts w:ascii="Times New Roman" w:cs="Times New Roman" w:eastAsia="Times New Roman" w:hAnsi="Times New Roman"/>
                <w:sz w:val="18"/>
                <w:szCs w:val="18"/>
                <w:color w:val="auto"/>
              </w:rPr>
              <w:t>and receive a share of production and requires the owner to pay a share of the costs of drilling and production</w:t>
            </w:r>
          </w:p>
        </w:tc>
      </w:tr>
      <w:tr>
        <w:trPr>
          <w:trHeight w:val="237"/>
        </w:trPr>
        <w:tc>
          <w:tcPr>
            <w:tcW w:w="2120" w:type="dxa"/>
            <w:vAlign w:val="bottom"/>
          </w:tcPr>
          <w:p>
            <w:pPr>
              <w:spacing w:after="0"/>
              <w:rPr>
                <w:sz w:val="20"/>
                <w:szCs w:val="20"/>
                <w:color w:val="auto"/>
              </w:rPr>
            </w:pPr>
          </w:p>
        </w:tc>
        <w:tc>
          <w:tcPr>
            <w:tcW w:w="9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operations.</w:t>
            </w:r>
          </w:p>
        </w:tc>
      </w:tr>
      <w:tr>
        <w:trPr>
          <w:trHeight w:val="178"/>
        </w:trPr>
        <w:tc>
          <w:tcPr>
            <w:tcW w:w="21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WTI</w:t>
            </w:r>
          </w:p>
        </w:tc>
        <w:tc>
          <w:tcPr>
            <w:tcW w:w="9120" w:type="dxa"/>
            <w:vAlign w:val="bottom"/>
            <w:shd w:val="clear" w:color="auto" w:fill="CCEEFF"/>
          </w:tcPr>
          <w:p>
            <w:pPr>
              <w:ind w:left="520"/>
              <w:spacing w:after="0" w:line="178" w:lineRule="exact"/>
              <w:rPr>
                <w:sz w:val="20"/>
                <w:szCs w:val="20"/>
                <w:color w:val="auto"/>
              </w:rPr>
            </w:pPr>
            <w:r>
              <w:rPr>
                <w:rFonts w:ascii="Times New Roman" w:cs="Times New Roman" w:eastAsia="Times New Roman" w:hAnsi="Times New Roman"/>
                <w:sz w:val="18"/>
                <w:szCs w:val="18"/>
                <w:color w:val="auto"/>
              </w:rPr>
              <w:t>West Texas Intermediate, a light sweet blend of oil produced from fields in western Texas and is a grade of oil that</w:t>
            </w:r>
          </w:p>
        </w:tc>
      </w:tr>
      <w:tr>
        <w:trPr>
          <w:trHeight w:val="241"/>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serves as a benchmark for oil on the NYMEX.</w:t>
            </w:r>
          </w:p>
        </w:tc>
      </w:tr>
      <w:tr>
        <w:trPr>
          <w:trHeight w:val="228"/>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WTI Cushing</w:t>
            </w:r>
          </w:p>
        </w:tc>
        <w:tc>
          <w:tcPr>
            <w:tcW w:w="91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Cushing, Oklahoma.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tcPr>
          <w:p>
            <w:pPr>
              <w:spacing w:after="0"/>
              <w:rPr>
                <w:sz w:val="20"/>
                <w:szCs w:val="20"/>
                <w:color w:val="auto"/>
              </w:rPr>
            </w:pPr>
          </w:p>
        </w:tc>
        <w:tc>
          <w:tcPr>
            <w:tcW w:w="88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5"/>
        </w:trPr>
        <w:tc>
          <w:tcPr>
            <w:tcW w:w="1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is a glossary of certain other terms used in this report:</w:t>
            </w:r>
          </w:p>
        </w:tc>
      </w:tr>
      <w:tr>
        <w:trPr>
          <w:trHeight w:val="120"/>
        </w:trPr>
        <w:tc>
          <w:tcPr>
            <w:tcW w:w="242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r>
      <w:tr>
        <w:trPr>
          <w:trHeight w:val="167"/>
        </w:trPr>
        <w:tc>
          <w:tcPr>
            <w:tcW w:w="24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color w:val="auto"/>
              </w:rPr>
              <w:t>Adjusted EBITDA</w:t>
            </w:r>
          </w:p>
        </w:tc>
        <w:tc>
          <w:tcPr>
            <w:tcW w:w="8800" w:type="dxa"/>
            <w:vAlign w:val="bottom"/>
            <w:shd w:val="clear" w:color="auto" w:fill="CCEEFF"/>
          </w:tcPr>
          <w:p>
            <w:pPr>
              <w:ind w:left="300"/>
              <w:spacing w:after="0" w:line="168" w:lineRule="exact"/>
              <w:rPr>
                <w:sz w:val="20"/>
                <w:szCs w:val="20"/>
                <w:color w:val="auto"/>
              </w:rPr>
            </w:pPr>
            <w:r>
              <w:rPr>
                <w:rFonts w:ascii="Times New Roman" w:cs="Times New Roman" w:eastAsia="Times New Roman" w:hAnsi="Times New Roman"/>
                <w:sz w:val="18"/>
                <w:szCs w:val="18"/>
                <w:color w:val="auto"/>
              </w:rPr>
              <w:t>Consolidated Adjusted EBITDA, a non-GAAP measure, generally equals net income (loss) attributable to Viper</w:t>
            </w:r>
          </w:p>
        </w:tc>
      </w:tr>
      <w:tr>
        <w:trPr>
          <w:trHeight w:val="174"/>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w w:val="99"/>
              </w:rPr>
              <w:t>Energy, Inc. plus net income (loss) attributable to non-controlling interest before interest expense, net, non-cash share-</w:t>
            </w:r>
          </w:p>
        </w:tc>
      </w:tr>
      <w:tr>
        <w:trPr>
          <w:trHeight w:val="182"/>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82" w:lineRule="exact"/>
              <w:rPr>
                <w:sz w:val="20"/>
                <w:szCs w:val="20"/>
                <w:color w:val="auto"/>
              </w:rPr>
            </w:pPr>
            <w:r>
              <w:rPr>
                <w:rFonts w:ascii="Times New Roman" w:cs="Times New Roman" w:eastAsia="Times New Roman" w:hAnsi="Times New Roman"/>
                <w:sz w:val="18"/>
                <w:szCs w:val="18"/>
                <w:color w:val="auto"/>
              </w:rPr>
              <w:t>based compensation expense, depletion, non-cash (gain) loss on derivative instruments, other non-cash operating</w:t>
            </w:r>
          </w:p>
        </w:tc>
      </w:tr>
      <w:tr>
        <w:trPr>
          <w:trHeight w:val="179"/>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79" w:lineRule="exact"/>
              <w:rPr>
                <w:sz w:val="20"/>
                <w:szCs w:val="20"/>
                <w:color w:val="auto"/>
              </w:rPr>
            </w:pPr>
            <w:r>
              <w:rPr>
                <w:rFonts w:ascii="Times New Roman" w:cs="Times New Roman" w:eastAsia="Times New Roman" w:hAnsi="Times New Roman"/>
                <w:sz w:val="18"/>
                <w:szCs w:val="18"/>
                <w:color w:val="auto"/>
              </w:rPr>
              <w:t>expenses, other non-recurring expenses and provision for (benefit from) income taxes, which measure is used by</w:t>
            </w:r>
          </w:p>
        </w:tc>
      </w:tr>
      <w:tr>
        <w:trPr>
          <w:trHeight w:val="174"/>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management to more effectively evaluate the operating performance and determine dividend amounts for purposes of</w:t>
            </w:r>
          </w:p>
        </w:tc>
      </w:tr>
      <w:tr>
        <w:trPr>
          <w:trHeight w:val="241"/>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dividend policy.</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Class A Common Stock, $0.000001 par value per share, of Viper Energy, Inc.</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Class B Common Stock, $0.000001 par value per share, of Viper Energy, Inc.</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Collectively, Class A Common Stock and Class B Common Stock.</w:t>
            </w:r>
          </w:p>
        </w:tc>
      </w:tr>
      <w:tr>
        <w:trPr>
          <w:trHeight w:val="174"/>
        </w:trPr>
        <w:tc>
          <w:tcPr>
            <w:tcW w:w="24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Conversion</w:t>
            </w:r>
          </w:p>
        </w:tc>
        <w:tc>
          <w:tcPr>
            <w:tcW w:w="8800" w:type="dxa"/>
            <w:vAlign w:val="bottom"/>
          </w:tcPr>
          <w:p>
            <w:pPr>
              <w:ind w:left="300"/>
              <w:spacing w:after="0" w:line="174" w:lineRule="exact"/>
              <w:rPr>
                <w:sz w:val="20"/>
                <w:szCs w:val="20"/>
                <w:color w:val="auto"/>
              </w:rPr>
            </w:pPr>
            <w:r>
              <w:rPr>
                <w:rFonts w:ascii="Times New Roman" w:cs="Times New Roman" w:eastAsia="Times New Roman" w:hAnsi="Times New Roman"/>
                <w:sz w:val="18"/>
                <w:szCs w:val="18"/>
                <w:color w:val="auto"/>
              </w:rPr>
              <w:t>The transaction, effective November 13, 2023, whereby the Partnership converted from a Delaware limited</w:t>
            </w:r>
          </w:p>
        </w:tc>
      </w:tr>
      <w:tr>
        <w:trPr>
          <w:trHeight w:val="237"/>
        </w:trPr>
        <w:tc>
          <w:tcPr>
            <w:tcW w:w="242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partnership to a Delaware corporation known as “Viper Energy, Inc.”</w:t>
            </w:r>
          </w:p>
        </w:tc>
      </w:tr>
      <w:tr>
        <w:trPr>
          <w:trHeight w:val="23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Diamondback</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 E&amp;P LLC</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subsidiary of Diamondback.</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Environmental Protection Agency.</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174"/>
        </w:trPr>
        <w:tc>
          <w:tcPr>
            <w:tcW w:w="24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General Partner</w:t>
            </w:r>
          </w:p>
        </w:tc>
        <w:tc>
          <w:tcPr>
            <w:tcW w:w="8800" w:type="dxa"/>
            <w:vAlign w:val="bottom"/>
          </w:tcPr>
          <w:p>
            <w:pPr>
              <w:ind w:left="300"/>
              <w:spacing w:after="0" w:line="174" w:lineRule="exact"/>
              <w:rPr>
                <w:sz w:val="20"/>
                <w:szCs w:val="20"/>
                <w:color w:val="auto"/>
              </w:rPr>
            </w:pPr>
            <w:r>
              <w:rPr>
                <w:rFonts w:ascii="Times New Roman" w:cs="Times New Roman" w:eastAsia="Times New Roman" w:hAnsi="Times New Roman"/>
                <w:sz w:val="18"/>
                <w:szCs w:val="18"/>
                <w:color w:val="auto"/>
              </w:rPr>
              <w:t>Viper Energy Partners GP LLC, a Delaware limited liability company; the general partner of the Partnership and a</w:t>
            </w:r>
          </w:p>
        </w:tc>
      </w:tr>
      <w:tr>
        <w:trPr>
          <w:trHeight w:val="237"/>
        </w:trPr>
        <w:tc>
          <w:tcPr>
            <w:tcW w:w="242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wholly owned subsidiary of Diamondback prior to the Conversion.</w:t>
            </w:r>
          </w:p>
        </w:tc>
      </w:tr>
      <w:tr>
        <w:trPr>
          <w:trHeight w:val="178"/>
        </w:trPr>
        <w:tc>
          <w:tcPr>
            <w:tcW w:w="24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LTIP</w:t>
            </w:r>
          </w:p>
        </w:tc>
        <w:tc>
          <w:tcPr>
            <w:tcW w:w="8800" w:type="dxa"/>
            <w:vAlign w:val="bottom"/>
            <w:shd w:val="clear" w:color="auto" w:fill="CCEEFF"/>
          </w:tcPr>
          <w:p>
            <w:pPr>
              <w:ind w:left="300"/>
              <w:spacing w:after="0" w:line="178" w:lineRule="exact"/>
              <w:rPr>
                <w:sz w:val="20"/>
                <w:szCs w:val="20"/>
                <w:color w:val="auto"/>
              </w:rPr>
            </w:pPr>
            <w:r>
              <w:rPr>
                <w:rFonts w:ascii="Times New Roman" w:cs="Times New Roman" w:eastAsia="Times New Roman" w:hAnsi="Times New Roman"/>
                <w:sz w:val="18"/>
                <w:szCs w:val="18"/>
                <w:color w:val="auto"/>
                <w:w w:val="99"/>
              </w:rPr>
              <w:t>Viper Energy, Inc. Amended and Restated 2014 Long Term Incentive Plan, as amended and restated by Viper Energy,</w:t>
            </w:r>
          </w:p>
        </w:tc>
      </w:tr>
      <w:tr>
        <w:trPr>
          <w:trHeight w:val="174"/>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Inc. 2024 Amended and Restated Long Term Incentive Plan, and as may be further amended or restated from time to</w:t>
            </w:r>
          </w:p>
        </w:tc>
      </w:tr>
      <w:tr>
        <w:trPr>
          <w:trHeight w:val="241"/>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time.</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74"/>
        </w:trPr>
        <w:tc>
          <w:tcPr>
            <w:tcW w:w="24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Notes</w:t>
            </w: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The outstanding senior notes of Viper Energy, Inc. issued under indentures where Viper Energy Partners, LLC is the</w:t>
            </w:r>
          </w:p>
        </w:tc>
      </w:tr>
      <w:tr>
        <w:trPr>
          <w:trHeight w:val="241"/>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sole guarantor, consisting of the 5.375% Senior Notes due 2027 and the 7.375% Senior Notes due 2031.</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OPEC</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Organization of the Petroleum Exporting Countries.</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Company or OpCo</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Viper Energy Partners LLC, a Delaware limited liability company and a consolidated subsidiary of Viper Energy, Inc.</w:t>
            </w:r>
          </w:p>
        </w:tc>
      </w:tr>
      <w:tr>
        <w:trPr>
          <w:trHeight w:val="174"/>
        </w:trPr>
        <w:tc>
          <w:tcPr>
            <w:tcW w:w="24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OpCo Units</w:t>
            </w: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Units representing limited liability company interests in the Operating Company having the rights and interests with</w:t>
            </w:r>
          </w:p>
        </w:tc>
      </w:tr>
      <w:tr>
        <w:trPr>
          <w:trHeight w:val="174"/>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respect to “Units” specified in the Operating Company’s Third Amended and Restated Limited Liability Company</w:t>
            </w:r>
          </w:p>
        </w:tc>
      </w:tr>
      <w:tr>
        <w:trPr>
          <w:trHeight w:val="182"/>
        </w:trPr>
        <w:tc>
          <w:tcPr>
            <w:tcW w:w="2420" w:type="dxa"/>
            <w:vAlign w:val="bottom"/>
            <w:shd w:val="clear" w:color="auto" w:fill="CCEEFF"/>
          </w:tcPr>
          <w:p>
            <w:pPr>
              <w:spacing w:after="0"/>
              <w:rPr>
                <w:sz w:val="15"/>
                <w:szCs w:val="15"/>
                <w:color w:val="auto"/>
              </w:rPr>
            </w:pPr>
          </w:p>
        </w:tc>
        <w:tc>
          <w:tcPr>
            <w:tcW w:w="8800" w:type="dxa"/>
            <w:vAlign w:val="bottom"/>
            <w:shd w:val="clear" w:color="auto" w:fill="CCEEFF"/>
          </w:tcPr>
          <w:p>
            <w:pPr>
              <w:ind w:left="300"/>
              <w:spacing w:after="0" w:line="182" w:lineRule="exact"/>
              <w:rPr>
                <w:sz w:val="20"/>
                <w:szCs w:val="20"/>
                <w:color w:val="auto"/>
              </w:rPr>
            </w:pPr>
            <w:r>
              <w:rPr>
                <w:rFonts w:ascii="Times New Roman" w:cs="Times New Roman" w:eastAsia="Times New Roman" w:hAnsi="Times New Roman"/>
                <w:sz w:val="18"/>
                <w:szCs w:val="18"/>
                <w:color w:val="auto"/>
              </w:rPr>
              <w:t>Agreement dated as of October 1, 2024, as it may be further amended, restated or otherwise modified from time to</w:t>
            </w:r>
          </w:p>
        </w:tc>
      </w:tr>
      <w:tr>
        <w:trPr>
          <w:trHeight w:val="233"/>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time.</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Viper Energy Partners LP, the predecessor of the Company, which converted into the Company in the Conversion.</w:t>
            </w:r>
          </w:p>
        </w:tc>
      </w:tr>
      <w:tr>
        <w:trPr>
          <w:trHeight w:val="174"/>
        </w:trPr>
        <w:tc>
          <w:tcPr>
            <w:tcW w:w="24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Partnership Agreement</w:t>
            </w: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The second amended and restated agreement of limited partnership of the Partnership, dated as of May 9, 2018, as</w:t>
            </w:r>
          </w:p>
        </w:tc>
      </w:tr>
      <w:tr>
        <w:trPr>
          <w:trHeight w:val="241"/>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amended as of May 10, 2018 and further amended on November 2, 2023.</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Ryder Scott</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Ryder Scott Company, L.P.</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Standard and Poor’s 500 index.</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174"/>
        </w:trPr>
        <w:tc>
          <w:tcPr>
            <w:tcW w:w="24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SEC Prices</w:t>
            </w:r>
          </w:p>
        </w:tc>
        <w:tc>
          <w:tcPr>
            <w:tcW w:w="8800" w:type="dxa"/>
            <w:vAlign w:val="bottom"/>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Unweighted arithmetic average oil and natural gas prices as of the first day of the month for the most recent 12</w:t>
            </w:r>
          </w:p>
        </w:tc>
      </w:tr>
      <w:tr>
        <w:trPr>
          <w:trHeight w:val="241"/>
        </w:trPr>
        <w:tc>
          <w:tcPr>
            <w:tcW w:w="2420" w:type="dxa"/>
            <w:vAlign w:val="bottom"/>
            <w:shd w:val="clear" w:color="auto" w:fill="CCEEFF"/>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months as of the balance sheet date.</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secured overnight financing rate.</w:t>
            </w:r>
          </w:p>
        </w:tc>
      </w:tr>
      <w:tr>
        <w:trPr>
          <w:trHeight w:val="22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Wells Fargo</w:t>
            </w: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28"/>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XOP</w:t>
            </w:r>
          </w:p>
        </w:tc>
        <w:tc>
          <w:tcPr>
            <w:tcW w:w="88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Standard and Poor’s Oil and Gas Exploration and Production industry index.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CAUTIONARY STATEMENT REGARDING FORWARD-LOOKING STATEMENTS</w:t>
      </w:r>
    </w:p>
    <w:p>
      <w:pPr>
        <w:spacing w:after="0" w:line="240" w:lineRule="exact"/>
        <w:rPr>
          <w:sz w:val="20"/>
          <w:szCs w:val="20"/>
          <w:color w:val="auto"/>
        </w:rPr>
      </w:pPr>
    </w:p>
    <w:p>
      <w:pPr>
        <w:jc w:val="both"/>
        <w:ind w:firstLine="643"/>
        <w:spacing w:after="0" w:line="23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and our cash dividend policy and repurchases of our Class A Common Stock and/or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w:t>
      </w:r>
    </w:p>
    <w:p>
      <w:pPr>
        <w:spacing w:after="0" w:line="288" w:lineRule="exact"/>
        <w:rPr>
          <w:sz w:val="20"/>
          <w:szCs w:val="20"/>
          <w:color w:val="auto"/>
        </w:rPr>
      </w:pPr>
    </w:p>
    <w:p>
      <w:pPr>
        <w:ind w:left="1220" w:right="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41"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47" w:lineRule="exact"/>
        <w:rPr>
          <w:rFonts w:ascii="Times New Roman" w:cs="Times New Roman" w:eastAsia="Times New Roman" w:hAnsi="Times New Roman"/>
          <w:sz w:val="18"/>
          <w:szCs w:val="18"/>
          <w:color w:val="auto"/>
        </w:rPr>
      </w:pPr>
    </w:p>
    <w:p>
      <w:pPr>
        <w:ind w:left="12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41" w:lineRule="exact"/>
        <w:rPr>
          <w:rFonts w:ascii="Times New Roman" w:cs="Times New Roman" w:eastAsia="Times New Roman" w:hAnsi="Times New Roman"/>
          <w:sz w:val="18"/>
          <w:szCs w:val="18"/>
          <w:color w:val="auto"/>
        </w:rPr>
      </w:pPr>
    </w:p>
    <w:p>
      <w:pPr>
        <w:ind w:left="12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inflation rates, or instability in the financial sector;</w:t>
      </w:r>
    </w:p>
    <w:p>
      <w:pPr>
        <w:spacing w:after="0" w:line="55" w:lineRule="exact"/>
        <w:rPr>
          <w:rFonts w:ascii="Times New Roman" w:cs="Times New Roman" w:eastAsia="Times New Roman" w:hAnsi="Times New Roman"/>
          <w:sz w:val="18"/>
          <w:szCs w:val="18"/>
          <w:color w:val="auto"/>
        </w:rPr>
      </w:pPr>
    </w:p>
    <w:p>
      <w:pPr>
        <w:ind w:left="1220" w:hanging="329"/>
        <w:spacing w:after="0" w:line="24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9" w:lineRule="exact"/>
        <w:rPr>
          <w:rFonts w:ascii="Times New Roman" w:cs="Times New Roman" w:eastAsia="Times New Roman" w:hAnsi="Times New Roman"/>
          <w:sz w:val="18"/>
          <w:szCs w:val="18"/>
          <w:color w:val="auto"/>
        </w:rPr>
      </w:pPr>
    </w:p>
    <w:p>
      <w:pPr>
        <w:ind w:left="1220" w:right="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41"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00" w:lineRule="exact"/>
        <w:rPr>
          <w:rFonts w:ascii="Times New Roman" w:cs="Times New Roman" w:eastAsia="Times New Roman" w:hAnsi="Times New Roman"/>
          <w:sz w:val="18"/>
          <w:szCs w:val="18"/>
          <w:color w:val="auto"/>
        </w:rPr>
      </w:pPr>
    </w:p>
    <w:p>
      <w:pPr>
        <w:ind w:left="12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41"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100"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00" w:lineRule="exact"/>
        <w:rPr>
          <w:rFonts w:ascii="Times New Roman" w:cs="Times New Roman" w:eastAsia="Times New Roman" w:hAnsi="Times New Roman"/>
          <w:sz w:val="18"/>
          <w:szCs w:val="18"/>
          <w:color w:val="auto"/>
        </w:rPr>
      </w:pPr>
    </w:p>
    <w:p>
      <w:pPr>
        <w:ind w:left="1220" w:hanging="329"/>
        <w:spacing w:after="0" w:line="24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69"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 impacting our operators;</w:t>
      </w:r>
    </w:p>
    <w:p>
      <w:pPr>
        <w:spacing w:after="0" w:line="100" w:lineRule="exact"/>
        <w:rPr>
          <w:rFonts w:ascii="Times New Roman" w:cs="Times New Roman" w:eastAsia="Times New Roman" w:hAnsi="Times New Roman"/>
          <w:sz w:val="18"/>
          <w:szCs w:val="18"/>
          <w:color w:val="auto"/>
        </w:rPr>
      </w:pPr>
    </w:p>
    <w:p>
      <w:pPr>
        <w:ind w:left="1220" w:hanging="329"/>
        <w:spacing w:after="0" w:line="24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9" w:lineRule="exact"/>
        <w:rPr>
          <w:rFonts w:ascii="Times New Roman" w:cs="Times New Roman" w:eastAsia="Times New Roman" w:hAnsi="Times New Roman"/>
          <w:sz w:val="18"/>
          <w:szCs w:val="18"/>
          <w:color w:val="auto"/>
        </w:rPr>
      </w:pPr>
    </w:p>
    <w:p>
      <w:pPr>
        <w:ind w:left="1220" w:hanging="329"/>
        <w:spacing w:after="0" w:line="26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41"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impacting our operators;</w:t>
      </w:r>
    </w:p>
    <w:p>
      <w:pPr>
        <w:spacing w:after="0" w:line="100"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and natural disasters;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1200" w:hanging="309"/>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00"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the credit facility and hedging contracts of our operating subsidiary;</w:t>
      </w:r>
    </w:p>
    <w:p>
      <w:pPr>
        <w:spacing w:after="0" w:line="87"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100" w:lineRule="exact"/>
        <w:rPr>
          <w:rFonts w:ascii="Times New Roman" w:cs="Times New Roman" w:eastAsia="Times New Roman" w:hAnsi="Times New Roman"/>
          <w:sz w:val="18"/>
          <w:szCs w:val="18"/>
          <w:color w:val="auto"/>
        </w:rPr>
      </w:pPr>
    </w:p>
    <w:p>
      <w:pPr>
        <w:ind w:left="1220" w:hanging="329"/>
        <w:spacing w:after="0" w:line="263" w:lineRule="auto"/>
        <w:tabs>
          <w:tab w:leader="none" w:pos="1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consummate the Pending 2025 Drop Down acquisition discussed in this report or realize anticipated benefits from the Pending 2025 Drop Down or our recent acquisitions; and</w:t>
      </w:r>
    </w:p>
    <w:p>
      <w:pPr>
        <w:spacing w:after="0" w:line="41" w:lineRule="exact"/>
        <w:rPr>
          <w:rFonts w:ascii="Times New Roman" w:cs="Times New Roman" w:eastAsia="Times New Roman" w:hAnsi="Times New Roman"/>
          <w:sz w:val="18"/>
          <w:szCs w:val="18"/>
          <w:color w:val="auto"/>
        </w:rPr>
      </w:pPr>
    </w:p>
    <w:p>
      <w:pPr>
        <w:ind w:left="1200" w:hanging="309"/>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disclosed in this report.</w:t>
      </w:r>
    </w:p>
    <w:p>
      <w:pPr>
        <w:spacing w:after="0" w:line="35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0"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17"/>
          <w:szCs w:val="17"/>
          <w:i w:val="1"/>
          <w:iCs w:val="1"/>
          <w:color w:val="auto"/>
        </w:rPr>
        <w:t>On November 13, 2023, Viper Energy Partners LP (the “Partnership”) converted from a Delaware limited partnership to a Delaware corporation (the “Conversion”) named “Viper Energy, Inc.” References in this Annual Report to “Viper,” “the Company,” “our company,” “we,” “our,” “us” or like terms refer to (i) Viper Energy, Inc. and collectively with its subsidiary Viper Energy Partners LLC, as the context requires, following the Conversion, and</w:t>
      </w:r>
    </w:p>
    <w:p>
      <w:pPr>
        <w:spacing w:after="0" w:line="1" w:lineRule="exact"/>
        <w:rPr>
          <w:sz w:val="20"/>
          <w:szCs w:val="20"/>
          <w:color w:val="auto"/>
        </w:rPr>
      </w:pPr>
    </w:p>
    <w:p>
      <w:pPr>
        <w:jc w:val="both"/>
        <w:ind w:firstLine="7"/>
        <w:spacing w:after="0" w:line="249" w:lineRule="auto"/>
        <w:tabs>
          <w:tab w:leader="none" w:pos="269"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Viper Energy Partners LP individually and collectively with its subsidiary, Viper Energy Partners LLC, as the context requires, prior to the Conversion. References in this Annual Report to (i) the “Operating Company” or “OpCo” refers to Viper Energy Partners LLC, and (ii) “Diamondback” refers collectively to Diamondback Energy, Inc. and its subsidiaries other than the Company. References in this Annual Report to shares or per share amounts prior to the Conversion refer to common units and Class B units or per unit amounts. Unless otherwise noted, all references to shares or per share amounts following the Conversion refer to shares or per share amounts of Class A Common Stock and Class B Common Stock. All references to dividends prior to the Conversion refer to distributions. See Note 1—</w:t>
      </w:r>
      <w:r>
        <w:rPr>
          <w:rFonts w:ascii="Times New Roman" w:cs="Times New Roman" w:eastAsia="Times New Roman" w:hAnsi="Times New Roman"/>
          <w:sz w:val="18"/>
          <w:szCs w:val="18"/>
          <w:i w:val="1"/>
          <w:iCs w:val="1"/>
          <w:u w:val="single" w:color="auto"/>
          <w:color w:val="0000FF"/>
        </w:rPr>
        <w:t>Organization and Basis of Presentation</w:t>
      </w:r>
      <w:r>
        <w:rPr>
          <w:rFonts w:ascii="Times New Roman" w:cs="Times New Roman" w:eastAsia="Times New Roman" w:hAnsi="Times New Roman"/>
          <w:sz w:val="18"/>
          <w:szCs w:val="18"/>
          <w:i w:val="1"/>
          <w:iCs w:val="1"/>
          <w:color w:val="auto"/>
        </w:rPr>
        <w:t xml:space="preserve"> in Item 8. Financial Statements and Supplementary Data of this report for additional discussion of the Conversion.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and 2. BUSINESS AND 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We are a publicly traded Delaware corporation focused on owning and acquiring mineral and royalty interests in oil and natural gas properties primarily in the Permian Basin. We operate in one reportable segment. Effective November 13, 2023, we converted our legal status from a Delaware limited partnership into a Delaware corporation. Our primary business objective is to provide an attractive return to our stockholders by focusing on business results, generating robust free cash flow, reducing debt and protecting our balance sheet, while maintaining what we believe is a best-in-class cost structure. Our assets consist of mineral and royalty interests in oil and natural gas properties primarily in the Permian Basin in West Texas, substantially all of which are leased to working interest owners who bear the costs of operation and development.</w:t>
      </w:r>
    </w:p>
    <w:p>
      <w:pPr>
        <w:spacing w:after="0" w:line="21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We are currently focused primarily on oil and natural gas properties primarily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Recent Acquisitions and Divestitures and Pending 2025 Drop Down</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Morita Ranches Acquisition</w:t>
      </w:r>
    </w:p>
    <w:p>
      <w:pPr>
        <w:spacing w:after="0" w:line="250" w:lineRule="exact"/>
        <w:rPr>
          <w:sz w:val="20"/>
          <w:szCs w:val="20"/>
          <w:color w:val="auto"/>
        </w:rPr>
      </w:pPr>
    </w:p>
    <w:p>
      <w:pPr>
        <w:jc w:val="both"/>
        <w:ind w:firstLine="643"/>
        <w:spacing w:after="0" w:line="272" w:lineRule="auto"/>
        <w:rPr>
          <w:sz w:val="20"/>
          <w:szCs w:val="20"/>
          <w:color w:val="auto"/>
        </w:rPr>
      </w:pPr>
      <w:r>
        <w:rPr>
          <w:rFonts w:ascii="Times New Roman" w:cs="Times New Roman" w:eastAsia="Times New Roman" w:hAnsi="Times New Roman"/>
          <w:sz w:val="17"/>
          <w:szCs w:val="17"/>
          <w:color w:val="auto"/>
        </w:rPr>
        <w:t>On February 14, 2025, we completed an acquisition of certain mineral and royalty interests located in Howard County, Texas from Morita Ranches Minerals, LLC (“Morita Ranches”) (the “Morita Ranches Acquisition”), pursuant to a definitive purchase and sale agreement for consideration consisting of approximately (i) $211.0 million in cash and (ii) 2.40 million OpCo Units together with an equal number of shares of our Class B Common Stock issued to certain affiliate designees of Morita Ranches (the “Morita Ranches Equity Recipients”), subject to certain transaction costs and post-closing adjustments. The mineral and royalty interests included in the Morita Ranches Acquisition represent approximately 1,691 net royalty acres in the Permian Basin, 75% of which are operated by Diamondback, and have an average net royalty interest of approximately 8.6% and current production of approximately 768 BO/d.</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Pending 2025 Drop Down Transaction</w:t>
      </w:r>
    </w:p>
    <w:p>
      <w:pPr>
        <w:spacing w:after="0" w:line="25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On January 30, 2025, we and the Operating Company, as buyer parties, entered into a definitive equity purchase agreement with Endeavor Energy Resources, LP (“Endeavor”), 1979 Royalties, LP and 1979 Royalties GP, LLC (collectively, the “Endeavor Subsidiaries”), each of which is a subsidiary of Diamondback, to acquire the Endeavor Subsidiaries from Endeavor for consideration consisting of (i) $1.0 billion in cash and (ii) the issuance of 69.63 million OpCo Units and an equal number of shares of our Class B Common Stock (collectively, the “Equity Issuance”), in each case subject to customary closing adjustments, including, among other things, for net title benefits (such transaction, the “Pending 2025 Drop Down”).</w:t>
      </w:r>
    </w:p>
    <w:p>
      <w:pPr>
        <w:spacing w:after="0" w:line="21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mineral and royalty interests owned by the Endeavor Subsidiaries and to be acquired in the Pending 2025 Drop Down represent approximately 22,847 net royalty acres in the Permian Basin, 69% of which are operated by Diamondback, and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Diamondback), 116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gross completed wells and 394 gross drilled but uncompleted wells, all of which are principally concentrated in the Midland Basin, with the balance located primarily in the Delaware and Williston Basins.</w:t>
      </w:r>
    </w:p>
    <w:p>
      <w:pPr>
        <w:spacing w:after="0" w:line="19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completion of the Pending 2025 Drop Down is subject to a number of conditions to closing as specified in the equity purchase agreement for the Pending 2025 Drop Down. These closing conditions include, among others, (i) the approval of the Pending 2025 Drop Down by (a) the holders of a majority of the voting power of our Common Stock entitled to vote on such proposal, voting together as a single class, at a special meeting of our stockholders, excluding the shares beneficially owned by Diamondback and its subsidiaries, and (b) the holders of a majority of our outstanding Common Stock, in each case as required by Delaware law, (ii) the expiration or termination of the waiting period under the Hart-Scott-Rodino Antitrust Improvement Act (the “HSR Act”) relating to the Pending 2025 Drop Down, and (iii) the satisfaction or waiver of other customary closing conditions. Additionally, the Equity Issuance is subject to the approval by our stockholders representing a majority of the total votes cast at the special meeting on such proposal, as required by the rules of the Nasdaq Stock Market LLC. We expect to hold the special meeting of our stockholders and, subject to the satisfaction or waiver of the foregoing conditions, close the Pending 2025 Drop Down during the second quarter of 2025.</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After giving effect to our recently completed 2025 Equity Offering and the Morita Ranches Acquisition discussed in this report, we currently estimate that following the closing of the Pending 2025 Drop Down, Diamondback will beneficially own approximately 52% of our outstanding Common Stock, on a fully diluted basis.</w:t>
      </w:r>
    </w:p>
    <w:p>
      <w:pPr>
        <w:spacing w:after="0" w:line="20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in Item 8. Financial Statements and Supplementary Data of this report for additional discussion of the Morita Ranches Acquisition and the Pending 2025 Drop Down, as well as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for discussion of risks relating to the Pending 2025 Drop Down.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Tumbleweed Acquisitions</w:t>
      </w:r>
    </w:p>
    <w:p>
      <w:pPr>
        <w:spacing w:after="0" w:line="25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September and October of 2024, we completed a series of related acquisitions including the TWR Acquisition, the Q Acquisition and the M Acquisition, collectively the (“Tumbleweed Acquisitions”) as defined and discussed below.</w:t>
      </w:r>
    </w:p>
    <w:p>
      <w:pPr>
        <w:spacing w:after="0" w:line="190"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On October 1, 2024, we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$464.2 million in cash, including transaction costs and certain customary post-closing adjustments, (ii) 10.09 million OpCo Units to TWR IV, (iii) an option (the “TWR Class B Option”) granted to TWR IV to acquire up to 10.09 million shares of our Class B Common Stock, and (iv) contingent cash consideration of up to $41.0 million, payable in January of 2026, based on the average price of WTI sweet crude oil prompt month futures contracts for the calendar year 2025, (the “WTI 2025 Average”). The mineral and royalty interests acquired in the TWR Acquisition represent approximately 3,067 net royalty acres located primarily in the Permian Basin.</w:t>
      </w:r>
    </w:p>
    <w:p>
      <w:pPr>
        <w:spacing w:after="0" w:line="213"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On September 3, 2024, we acquired all of the issued and outstanding equity interests in (i) Tumbleweed-Q Royalties, LLC (the “Q Acquisition”) for a purchase price of approximately $114.0 million in cash, including transaction costs and certain customary post-closing adjustments, and contingent cash consideration of up to $5.4 million, payable in January of 2026, based on the WTI 2025 Average, and (ii) MC TWR Royalties, LP and MC TWR Intermediate, LLC (the “M Acquisition”) for a purchase price of approximately $76.1 million in cash, including transaction costs and certain customary post-closing adjustments, and contingent cash consideration of up to $3.6 million, payable in January of 2026, based on the WTI 2025 Average (together, the “Q and M Acquisitions”). The mineral and royalty interests acquired in the Q and M Acquisitions represent approximately 673 net royalty acres located primarily in the Permian Basin.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During the year ended December 31, 2024, the Company acquired, in individually insignificant transactions from unrelated third-party sellers, mineral and royalty interests representing 261 net royalty acres in the Permian Basin for an aggregate purchase price of approximately $54.2 million, including customary closing adjustments.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Divestiture</w:t>
      </w:r>
    </w:p>
    <w:p>
      <w:pPr>
        <w:spacing w:after="0" w:line="2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In the second quarter of 2024, we divested all of our non-Permian assets for a purchase price of approximately $87.2 million, including transaction costs and customary post-closing adjustments. The divested properties consisted of approximately 2,713 net royalty acres with current production of approximately 450 BO/d.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in Item 8. Financial Statements and Supplementary Data of this report for further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As of December 31, 2024, our assets consisted of mineral interests and royalty interests underlying 987,861 gross acres and 35,671 net royalty acres primarily in the Permian Basin, and Diamondback was the operator of approximately 52% of our net royalty acreage. As of December 31, 2024, there were 14,707 gross productive wells on this acreage, 3,714 of which were operated by Diamondback. Net production during the fourth quarter of 2024 was approximately 56,109 BOE/d and net production for the year ended December 31, 2024 averaged 49,784 BOE/d. For the years ended December 31, 2024, 2023 and 2022, royalty income generated from these mineral and royalty interests was $853.6 million, $717.1 million and $838.0 million, respectively.</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At December 31, 2024, our estimated proved oil and natural gas reserves totaled 195,873 MBOE based on reserve estimates prepared by our internal reservoir engineers and audited by Ryder Scott, an independent petroleum engineering firm. As of December 31, 2024, approximately 84% of our proved reserves were classified as proved developed producing reserves. Proved undeveloped, or PUD, reserves included in this estimate were from 837 gross horizontal well locations. As of December 31, 2024, our proved reserves were approximately 48% oil, 27% natural gas liquids and 25% natural gas.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Diamondback</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As of December 31, 2024, Diamondback beneficially owned all of our 85,431,453 shares of outstanding Class B Common Stock, representing approximately 45% of the then outstanding voting power of our capital stock. We believe Diamondback’s significant ownership in us may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spacing w:after="0" w:line="208"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We believe Diamondback views our company as part of its business strategy and that Diamondback may be incentivized to pursue additional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 xml:space="preserve">In addition, neither we nor our Operating Company have any employees. Diamondback provides management, operating and administrative services to us under the services and secondment agreement, including the services of the executive officers and other employees, in a similar manner as Diamondback provided to the General Partner pre-Conversion. Please read </w:t>
      </w:r>
      <w:r>
        <w:rPr>
          <w:rFonts w:ascii="Times New Roman" w:cs="Times New Roman" w:eastAsia="Times New Roman" w:hAnsi="Times New Roman"/>
          <w:sz w:val="18"/>
          <w:szCs w:val="18"/>
          <w:u w:val="single" w:color="auto"/>
          <w:color w:val="0000FF"/>
        </w:rPr>
        <w:t>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the consolidated financial statements and related notes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Our primary business objective is to generate the highest value proposition for our stockholders through a focus on increasing long-term per share growth and returns by generating robust free cash flow, reducing debt and protecting our balance sheet. We intend to accomplish this objective by executing the following strategies:</w:t>
      </w:r>
    </w:p>
    <w:p>
      <w:pPr>
        <w:spacing w:after="0" w:line="199" w:lineRule="exact"/>
        <w:rPr>
          <w:sz w:val="20"/>
          <w:szCs w:val="20"/>
          <w:color w:val="auto"/>
        </w:rPr>
      </w:pPr>
    </w:p>
    <w:p>
      <w:pPr>
        <w:jc w:val="both"/>
        <w:ind w:left="640" w:hanging="312"/>
        <w:spacing w:after="0" w:line="260"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the development of the properties underlying our mineral interests to grow our cash flow</w:t>
      </w:r>
      <w:r>
        <w:rPr>
          <w:rFonts w:ascii="Times New Roman" w:cs="Times New Roman" w:eastAsia="Times New Roman" w:hAnsi="Times New Roman"/>
          <w:sz w:val="18"/>
          <w:szCs w:val="18"/>
          <w:color w:val="auto"/>
        </w:rPr>
        <w:t>. We expect the production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mineral interests will increase as Diamondback and our other operators continue to drill, complete and develop our acreage. We expect to capitalize on this development, which requires no capital expenditure funding from us, and believe the anticipated increase in our aggregate royalty payment receipts will enable us to grow our cash flows.</w:t>
      </w:r>
    </w:p>
    <w:p>
      <w:pPr>
        <w:spacing w:after="0" w:line="201" w:lineRule="exact"/>
        <w:rPr>
          <w:rFonts w:ascii="Times New Roman" w:cs="Times New Roman" w:eastAsia="Times New Roman" w:hAnsi="Times New Roman"/>
          <w:sz w:val="18"/>
          <w:szCs w:val="18"/>
          <w:color w:val="auto"/>
        </w:rPr>
      </w:pPr>
    </w:p>
    <w:p>
      <w:pPr>
        <w:jc w:val="both"/>
        <w:ind w:left="640" w:hanging="312"/>
        <w:spacing w:after="0" w:line="25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our relationship with Diamondback to participate with it in acquisitions of mineral or other interests in producing properties from third parties and to increase the size and scope of our potential third-party acquisition targets</w:t>
      </w:r>
      <w:r>
        <w:rPr>
          <w:rFonts w:ascii="Times New Roman" w:cs="Times New Roman" w:eastAsia="Times New Roman" w:hAnsi="Times New Roman"/>
          <w:sz w:val="18"/>
          <w:szCs w:val="18"/>
          <w:color w:val="auto"/>
        </w:rPr>
        <w:t>. We have in the past and intend to continue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opportunistic acquisitions of mineral and other interests that have substantial oil-weighted resource potential and organic growth potential. Through our relationships with Diamondback and its affiliates, we have access to their significant pool of management talent and industry relationships, which we believe provide us with a competitive advantage in pursuing potential third-party acquisition opportunities. For example, we and Diamondback may pursue an acquisition where Diamondback acquires working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revenue interests in properties and we acquire mineral or royalty interests in such properties either in the same or subsequent transactions.</w:t>
      </w:r>
    </w:p>
    <w:p>
      <w:pPr>
        <w:spacing w:after="0" w:line="244" w:lineRule="exact"/>
        <w:rPr>
          <w:sz w:val="20"/>
          <w:szCs w:val="20"/>
          <w:color w:val="auto"/>
        </w:rPr>
      </w:pPr>
    </w:p>
    <w:p>
      <w:pPr>
        <w:jc w:val="both"/>
        <w:ind w:left="640" w:hanging="312"/>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Seek to acquire from Diamondback, from time to time, mineral or other interests in producing oil and natural gas properties that meet our acquisition criteria</w:t>
      </w:r>
      <w:r>
        <w:rPr>
          <w:rFonts w:ascii="Times New Roman" w:cs="Times New Roman" w:eastAsia="Times New Roman" w:hAnsi="Times New Roman"/>
          <w:sz w:val="18"/>
          <w:szCs w:val="18"/>
          <w:color w:val="auto"/>
        </w:rPr>
        <w:t>. Since our formation, we have acquired, and may have additional opportunities from time to time in the future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mineral or other interests in producing oil and natural gas properties directly from Diamondback, including the Endeavor Mineral and Royalty Interests subject to the Pending 2025 Drop Down. We believe Diamondback may continue to be incentivized to sell properties to us, as doing so may enhance Diamondback’s economic returns by monetizing long-lived producing properties while potentially retaining a portion of the resulting cash flow through dividends on Diamondback’s controlling interests in us. However, neither Diamondback nor any of its affiliates are contractually obligated to offer or sell any interests in properties to us.</w:t>
      </w:r>
    </w:p>
    <w:p>
      <w:pPr>
        <w:spacing w:after="0" w:line="207" w:lineRule="exact"/>
        <w:rPr>
          <w:rFonts w:ascii="Times New Roman" w:cs="Times New Roman" w:eastAsia="Times New Roman" w:hAnsi="Times New Roman"/>
          <w:sz w:val="18"/>
          <w:szCs w:val="18"/>
          <w:color w:val="auto"/>
        </w:rPr>
      </w:pPr>
    </w:p>
    <w:p>
      <w:pPr>
        <w:ind w:left="640" w:hanging="312"/>
        <w:spacing w:after="0" w:line="283"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High-grade our asset base. </w:t>
      </w:r>
      <w:r>
        <w:rPr>
          <w:rFonts w:ascii="Times New Roman" w:cs="Times New Roman" w:eastAsia="Times New Roman" w:hAnsi="Times New Roman"/>
          <w:sz w:val="18"/>
          <w:szCs w:val="18"/>
          <w:color w:val="auto"/>
        </w:rPr>
        <w:t>We intend to continue to high-grade our asset base and selectively divest non-core minerals with limited optionality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 amount negotiated exceeds our projected total value and then redeploy proceeds into our core areas of focus.</w:t>
      </w:r>
    </w:p>
    <w:p>
      <w:pPr>
        <w:spacing w:after="0" w:line="181" w:lineRule="exact"/>
        <w:rPr>
          <w:rFonts w:ascii="Times New Roman" w:cs="Times New Roman" w:eastAsia="Times New Roman" w:hAnsi="Times New Roman"/>
          <w:sz w:val="18"/>
          <w:szCs w:val="18"/>
          <w:color w:val="auto"/>
        </w:rPr>
      </w:pPr>
    </w:p>
    <w:p>
      <w:pPr>
        <w:jc w:val="both"/>
        <w:ind w:left="640" w:hanging="312"/>
        <w:spacing w:after="0" w:line="25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 conservative capital structure to allow financial flexibility. </w:t>
      </w:r>
      <w:r>
        <w:rPr>
          <w:rFonts w:ascii="Times New Roman" w:cs="Times New Roman" w:eastAsia="Times New Roman" w:hAnsi="Times New Roman"/>
          <w:sz w:val="18"/>
          <w:szCs w:val="18"/>
          <w:color w:val="auto"/>
        </w:rPr>
        <w:t>Since our formation, we have maintained a conservative capital 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has allowed us to opportunistically purchase accretive mineral and other interests. We are committed to maintaining a conservative leverage profile, and will continue to seek to opportunistically fund accretive acquisitions. In addition to returning capital to our stockholders through base and variable dividends in accordance with our dividend policy and share repurchases under our stock repurchase program, we intend to continue to repay debt using free cash flow to ensure our ability to successfully operate in challenging business and commodity price environments.</w:t>
      </w:r>
    </w:p>
    <w:p>
      <w:pPr>
        <w:spacing w:after="0" w:line="203" w:lineRule="exact"/>
        <w:rPr>
          <w:rFonts w:ascii="Times New Roman" w:cs="Times New Roman" w:eastAsia="Times New Roman" w:hAnsi="Times New Roman"/>
          <w:sz w:val="18"/>
          <w:szCs w:val="18"/>
          <w:color w:val="auto"/>
        </w:rPr>
      </w:pPr>
    </w:p>
    <w:p>
      <w:pPr>
        <w:ind w:left="640" w:hanging="312"/>
        <w:spacing w:after="0" w:line="283"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Hedge to manage commodity price risk and to protect our balance sheet and cash flow</w:t>
      </w:r>
      <w:r>
        <w:rPr>
          <w:rFonts w:ascii="Times New Roman" w:cs="Times New Roman" w:eastAsia="Times New Roman" w:hAnsi="Times New Roman"/>
          <w:sz w:val="18"/>
          <w:szCs w:val="18"/>
          <w:color w:val="auto"/>
        </w:rPr>
        <w:t>. We use a combination of derivative instruments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economically hedge exposure to changes in commodity prices and maintain financial and balance sheet flexibility.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2" w:lineRule="exact"/>
        <w:rPr>
          <w:sz w:val="20"/>
          <w:szCs w:val="20"/>
          <w:color w:val="auto"/>
        </w:rPr>
      </w:pPr>
    </w:p>
    <w:p>
      <w:pPr>
        <w:ind w:right="20" w:firstLine="643"/>
        <w:spacing w:after="0" w:line="278" w:lineRule="auto"/>
        <w:rPr>
          <w:sz w:val="20"/>
          <w:szCs w:val="20"/>
          <w:color w:val="auto"/>
        </w:rPr>
      </w:pPr>
      <w:r>
        <w:rPr>
          <w:rFonts w:ascii="Times New Roman" w:cs="Times New Roman" w:eastAsia="Times New Roman" w:hAnsi="Times New Roman"/>
          <w:sz w:val="18"/>
          <w:szCs w:val="18"/>
          <w:color w:val="auto"/>
        </w:rPr>
        <w:t>We believe the following competitive strengths will allow us to successfully execute our business strategies and achieve our primary business objective:</w:t>
      </w:r>
    </w:p>
    <w:p>
      <w:pPr>
        <w:spacing w:after="0" w:line="186" w:lineRule="exact"/>
        <w:rPr>
          <w:sz w:val="20"/>
          <w:szCs w:val="20"/>
          <w:color w:val="auto"/>
        </w:rPr>
      </w:pPr>
    </w:p>
    <w:p>
      <w:pPr>
        <w:jc w:val="both"/>
        <w:ind w:left="640" w:hanging="312"/>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Oil rich resource base in one of North America’s leading resource plays</w:t>
      </w:r>
      <w:r>
        <w:rPr>
          <w:rFonts w:ascii="Times New Roman" w:cs="Times New Roman" w:eastAsia="Times New Roman" w:hAnsi="Times New Roman"/>
          <w:sz w:val="18"/>
          <w:szCs w:val="18"/>
          <w:color w:val="auto"/>
        </w:rPr>
        <w:t>. As of December 31, 2024, 295 horizontal drilling rigs were operating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Permian Basin, representing 51% of the total U.S. onshore horizontal rig activity. The majority of our mineral and royalty acreage is well positioned in the core of both the Midland and Delaware Basins in the Permian Basin. Production on our mineral and royalty acreage for the year ended December 31, 2024 and our estimated net proved reserves are heavily oil-weighted.</w:t>
      </w:r>
    </w:p>
    <w:p>
      <w:pPr>
        <w:spacing w:after="0" w:line="201" w:lineRule="exact"/>
        <w:rPr>
          <w:rFonts w:ascii="Times New Roman" w:cs="Times New Roman" w:eastAsia="Times New Roman" w:hAnsi="Times New Roman"/>
          <w:sz w:val="18"/>
          <w:szCs w:val="18"/>
          <w:color w:val="auto"/>
        </w:rPr>
      </w:pPr>
    </w:p>
    <w:p>
      <w:pPr>
        <w:jc w:val="both"/>
        <w:ind w:left="640" w:hanging="312"/>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Sustainable, high margin business unburdened by capital expenses with minimal operating expenses. </w:t>
      </w:r>
      <w:r>
        <w:rPr>
          <w:rFonts w:ascii="Times New Roman" w:cs="Times New Roman" w:eastAsia="Times New Roman" w:hAnsi="Times New Roman"/>
          <w:sz w:val="18"/>
          <w:szCs w:val="18"/>
          <w:color w:val="auto"/>
        </w:rPr>
        <w:t>Our mineral and royalty interests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us cash flows without the requirement to fund drilling and completion costs or lease operating expenses. Our operating costs consist of certain royalty taxes, gathering, processing, marketing and transportation costs and general and administrative expenses, providing us with a low cost structure and high operating margins that generate increasing free cash flow growth in a stable or rising price environment as the </w:t>
      </w:r>
      <w:r>
        <w:rPr>
          <w:rFonts w:ascii="Times New Roman" w:cs="Times New Roman" w:eastAsia="Times New Roman" w:hAnsi="Times New Roman"/>
          <w:sz w:val="18"/>
          <w:szCs w:val="18"/>
          <w:color w:val="231F20"/>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production associated with our royalty interests continues to grow.</w:t>
      </w:r>
    </w:p>
    <w:p>
      <w:pPr>
        <w:spacing w:after="0" w:line="203" w:lineRule="exact"/>
        <w:rPr>
          <w:rFonts w:ascii="Times New Roman" w:cs="Times New Roman" w:eastAsia="Times New Roman" w:hAnsi="Times New Roman"/>
          <w:sz w:val="18"/>
          <w:szCs w:val="18"/>
          <w:color w:val="auto"/>
        </w:rPr>
      </w:pPr>
    </w:p>
    <w:p>
      <w:pPr>
        <w:jc w:val="both"/>
        <w:ind w:left="640" w:hanging="312"/>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Experienced and proven management team</w:t>
      </w:r>
      <w:r>
        <w:rPr>
          <w:rFonts w:ascii="Times New Roman" w:cs="Times New Roman" w:eastAsia="Times New Roman" w:hAnsi="Times New Roman"/>
          <w:sz w:val="18"/>
          <w:szCs w:val="18"/>
          <w:color w:val="231F20"/>
        </w:rPr>
        <w:t>. Diamondback provides us with personnel and general and administrative services, including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services of the executive officers, senior management and other employees, pursuant to the services and secondment agreement entered into in connection with the Conversion. The members of our executive team have significant industry experience, most of which has been focused on resource play development primarily in the Permian Basin, and Diamondback, which currently operates approximately </w:t>
      </w:r>
      <w:r>
        <w:rPr>
          <w:rFonts w:ascii="Times New Roman" w:cs="Times New Roman" w:eastAsia="Times New Roman" w:hAnsi="Times New Roman"/>
          <w:sz w:val="18"/>
          <w:szCs w:val="18"/>
          <w:color w:val="000000"/>
        </w:rPr>
        <w:t>52%</w:t>
      </w:r>
      <w:r>
        <w:rPr>
          <w:rFonts w:ascii="Times New Roman" w:cs="Times New Roman" w:eastAsia="Times New Roman" w:hAnsi="Times New Roman"/>
          <w:sz w:val="18"/>
          <w:szCs w:val="18"/>
          <w:color w:val="231F20"/>
        </w:rPr>
        <w:t xml:space="preserve"> of our mineral and royalty acreage, has a proven track record of executing on multi-rig development drilling programs and extensive experience primarily in the Permian Basin. In addition, our executive team has significant experience with acquisition of properties and businesses in the oil and natural gas industry. We expect to benefit from the industry relationships of the management team. We believe the experience of our management team is essential for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left="640" w:hanging="312"/>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Favorable and stable business environment. </w:t>
      </w:r>
      <w:r>
        <w:rPr>
          <w:rFonts w:ascii="Times New Roman" w:cs="Times New Roman" w:eastAsia="Times New Roman" w:hAnsi="Times New Roman"/>
          <w:sz w:val="18"/>
          <w:szCs w:val="18"/>
          <w:color w:val="231F20"/>
        </w:rPr>
        <w:t>We primarily focus our growth in the Permian Basin, one of the oldest, most prolific hydrocarbon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basins in the United States, with a long and well-established production history and developed infrastructure. We believe that the geological and regulatory environment is more stable and predictable, and that we are faced with fewer operational risks in the Permian Basin as compared to emerging hydrocarbon basins. We believe that the impact of the proven application of new technology, combined with the substantial geological information available about the Permian Basin, also reduces the risk of development and exploration activities on our mineral and royalty acreage as compared to emerging hydrocarbon basins.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Data</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Proved Reserves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and Review of Reserves</w:t>
      </w:r>
    </w:p>
    <w:p>
      <w:pPr>
        <w:spacing w:after="0" w:line="2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estimated reserves as of December 31, 2024, 2023 and 2022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for 2024, 2023 and 2022. The proved reserve audits performed by Ryder Scott for 2024, 2023 and 2022 covered 100% of our total proved reserves for each respective year. A copy of the summary audit report prepared by Ryder Scott is included as Exhibit 99.1 to this Annual Report.</w:t>
      </w:r>
    </w:p>
    <w:p>
      <w:pPr>
        <w:spacing w:after="0" w:line="216"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2024 were estimated using a deterministic method.</w:t>
      </w:r>
    </w:p>
    <w:p>
      <w:pPr>
        <w:spacing w:after="0" w:line="21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w:t>
      </w:r>
    </w:p>
    <w:p>
      <w:pPr>
        <w:spacing w:after="0" w:line="3" w:lineRule="exact"/>
        <w:rPr>
          <w:sz w:val="20"/>
          <w:szCs w:val="20"/>
          <w:color w:val="auto"/>
        </w:rPr>
      </w:pPr>
    </w:p>
    <w:p>
      <w:pPr>
        <w:jc w:val="both"/>
        <w:ind w:firstLine="7"/>
        <w:spacing w:after="0" w:line="249" w:lineRule="auto"/>
        <w:tabs>
          <w:tab w:leader="none" w:pos="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included, but were not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undeveloped reserves were estimated by the analogy method.</w:t>
      </w:r>
    </w:p>
    <w:p>
      <w:pPr>
        <w:spacing w:after="0" w:line="21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 xml:space="preserve">The process of estimating oil, natural gas and natural gas liquids reserves is complex and requires significant judgment, as discussed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Item 7. Management’s Discussion and Analysis of Financial Condition and Results of Operations—Critical Accounting Estimates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As a result, our petroleum engineers and geoscience professionals have an internal controls process to ensure the integrity, accuracy and timeliness of the data used to calculate proved reserves relating to our assets primarily in the Permian Basin. Our internal technical staff met with our independent reserve auditors periodically during their audit of the period covered by the reserve report to discuss the assumptions and methods used in our proved reserve estimation process. As part of the audit process, we provide historical information to the independent reserve auditors for our properties such as ownership interest, oil and gas production, well test data, commodity prices and operating and development costs. Diamondback’s Executive Vice President and Chief Engineer is primarily responsible for overseeing the preparation of all of our reserve estimates and overseeing communications with our independent reserve auditor. Diamondback’s Executive Vice President and Chief Engineer is a petroleum engineer with over 21 years of reservoir and operations experience and our geoscience staff has an average of approximately 16 years of industry experience per person. Our technical staff uses historical information for our properties such as ownership interest, oil and natural gas production, well test data, commodity prices and operating and development costs used to estimate economic lives of our properties. Ryder Scott performed an independent analysis during its audit of our estimated reserves for 2024 and any differences were reviewed with Diamondback’s Executive Vice President and Chief Engineer. For 2024, our reserve auditor’s estimates of our proved reserves did not differ materially from our estimates by more than the established audit tolerance guidelines of ten percent.</w:t>
      </w:r>
    </w:p>
    <w:p>
      <w:pPr>
        <w:spacing w:after="0" w:line="22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internal control procedures utilized in the preparation of our proved reserve estimates are intended to ensure reliability of reserve estimations, and include, but are not limited to the following:</w:t>
      </w:r>
    </w:p>
    <w:p>
      <w:pPr>
        <w:spacing w:after="0" w:line="190"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verification of historical production data, which is based on actual production as reported by our operators;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reserve estimates by the primary reserve engineers or under their direct supervision;</w:t>
      </w:r>
    </w:p>
    <w:p>
      <w:pPr>
        <w:spacing w:after="0" w:line="7"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by the primary reserve engineers of all of our reported proved reserves at the close of each quarter, including the review of all significant reserve changes and all new proved undeveloped reserves additions;</w:t>
      </w: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historical realized commodity prices and differentials from index prices compared to the differentials used in the reserves database;</w:t>
      </w:r>
    </w:p>
    <w:p>
      <w:pPr>
        <w:spacing w:after="0" w:line="7"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reporting responsibilities by Diamondback’s Executive Vice President and Chief Engineer to our Chief Executive Officer and by the current primary reserve engineer to our President;</w:t>
      </w:r>
    </w:p>
    <w:p>
      <w:pPr>
        <w:jc w:val="both"/>
        <w:ind w:left="64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finalizing the reserve report, a review of our preliminary proved reserve estimates by Diamondback’s President and Chief Financial Officer, Diamondback’s Executive Vice President and Chief Operating Officer, Diamondback’s Executive Vice President and Chief Engineer and our primary reserves engineers takes place on an annual basis;</w:t>
      </w:r>
    </w:p>
    <w:p>
      <w:pPr>
        <w:spacing w:after="0" w:line="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our proved reserve estimates by our Audit Committee with our executive team and Ryder Scott on an annual basis;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property ownership by our land department;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employee’s compensation is tied to the amount of reserves booked.</w:t>
      </w:r>
    </w:p>
    <w:p>
      <w:pPr>
        <w:spacing w:after="0" w:line="229"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For estimates and further discussion of our proved developed and proved undeveloped reserves, see Note 15—</w:t>
      </w:r>
      <w:r>
        <w:rPr>
          <w:rFonts w:ascii="Times New Roman" w:cs="Times New Roman" w:eastAsia="Times New Roman" w:hAnsi="Times New Roman"/>
          <w:sz w:val="18"/>
          <w:szCs w:val="18"/>
          <w:u w:val="single" w:color="auto"/>
          <w:color w:val="0000FF"/>
        </w:rPr>
        <w:t>Supplemental Information on Oil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Natural Gas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Item 8. Financial Statements and Supplementary Data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Production Prices and Production Costs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Price History</w:t>
      </w:r>
    </w:p>
    <w:p>
      <w:pPr>
        <w:spacing w:after="0" w:line="252"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Our properties are located primarily in the Midland and Delaware Basins of the Permian Basin in Texas. At December 31, 2024, 2023 and 2022, the Midland Basin and the Delaware Basin each contained 15% or more of our total proved reserves.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60" w:type="dxa"/>
            <w:vAlign w:val="bottom"/>
          </w:tcPr>
          <w:p>
            <w:pPr>
              <w:spacing w:after="0"/>
              <w:rPr>
                <w:sz w:val="18"/>
                <w:szCs w:val="18"/>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Midland</w:t>
            </w: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5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r>
      <w:tr>
        <w:trPr>
          <w:trHeight w:val="228"/>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w:t>
            </w:r>
          </w:p>
        </w:tc>
      </w:tr>
      <w:tr>
        <w:trPr>
          <w:trHeight w:val="228"/>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8"/>
        </w:trPr>
        <w:tc>
          <w:tcPr>
            <w:tcW w:w="486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18,221</w:t>
            </w:r>
          </w:p>
        </w:tc>
      </w:tr>
      <w:tr>
        <w:trPr>
          <w:trHeight w:val="268"/>
        </w:trPr>
        <w:tc>
          <w:tcPr>
            <w:tcW w:w="48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28"/>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28"/>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8"/>
        </w:trPr>
        <w:tc>
          <w:tcPr>
            <w:tcW w:w="486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r>
      <w:tr>
        <w:trPr>
          <w:trHeight w:val="268"/>
        </w:trPr>
        <w:tc>
          <w:tcPr>
            <w:tcW w:w="48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28"/>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28"/>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304"/>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Bbl equivalents are calculated using a conversion rate of six Mcf per one Bbl.</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certain average sales price information for each of the periods indicated:</w:t>
      </w:r>
    </w:p>
    <w:p>
      <w:pPr>
        <w:spacing w:after="0" w:line="29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 ($/Bbl)</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($/Mcf)</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 liquids ($/Bbl)</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Combined ($/BOE)</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r>
      <w:tr>
        <w:trPr>
          <w:trHeight w:val="268"/>
        </w:trPr>
        <w:tc>
          <w:tcPr>
            <w:tcW w:w="6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8"/>
        </w:trPr>
        <w:tc>
          <w:tcPr>
            <w:tcW w:w="64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228"/>
        </w:trPr>
        <w:tc>
          <w:tcPr>
            <w:tcW w:w="644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8"/>
        </w:trPr>
        <w:tc>
          <w:tcPr>
            <w:tcW w:w="64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30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Pr>
          <w:p>
            <w:pPr>
              <w:spacing w:after="0"/>
              <w:rPr>
                <w:sz w:val="24"/>
                <w:szCs w:val="24"/>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r>
    </w:tbl>
    <w:p>
      <w:pPr>
        <w:spacing w:after="0" w:line="66" w:lineRule="exact"/>
        <w:rPr>
          <w:sz w:val="20"/>
          <w:szCs w:val="20"/>
          <w:color w:val="auto"/>
        </w:rPr>
      </w:pPr>
    </w:p>
    <w:p>
      <w:pPr>
        <w:ind w:right="20" w:firstLine="7"/>
        <w:spacing w:after="0" w:line="278"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realized gains and losses on cash settlements for matured commodity derivatives, which we do not designate for hedge accounting.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As of December 31, 2024, we owned an average 2.7% net revenue interest in 14,707 gross productive wells, including an average 2.7% net revenue interest in 14,076 gross oil productive wells and an average 1.4% net revenue interest in 631 gross natural gas productive wells. As of December 31, 2024, we had 18 gross wells with an average 3.7% net revenue interest in process of being drilled by Diamondback. The expected timing of our wells is based primarily on permitting by third-party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2024 relating to the gross and net royalty acreage of our mineral interests: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Basin</w:t>
            </w:r>
          </w:p>
        </w:tc>
        <w:tc>
          <w:tcPr>
            <w:tcW w:w="23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Gross Royalty Acreage</w:t>
            </w:r>
          </w:p>
        </w:tc>
        <w:tc>
          <w:tcPr>
            <w:tcW w:w="18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Net Royalty Acreage</w:t>
            </w:r>
          </w:p>
        </w:tc>
      </w:tr>
      <w:tr>
        <w:trPr>
          <w:trHeight w:val="224"/>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r>
      <w:tr>
        <w:trPr>
          <w:trHeight w:val="228"/>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Midland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606,536</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w:t>
            </w:r>
          </w:p>
        </w:tc>
      </w:tr>
      <w:tr>
        <w:trPr>
          <w:trHeight w:val="246"/>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acreage</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987,861</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Our net interest in production from our mineral interests is based on lease royalty terms which vary from property to property. Our interest in the majority of these properties is perpetual in nature, however an insignificant portion of our net royalty acreage consists of overriding royalty interests which may be subject to expiration. Net royalty acres are defined as net mineral acres multiplied by the average lease royalty interest and other burdens.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Prior to the drilling of an oil or natural gas well,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and cash available for dividends may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we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our mineral and royalty acreage. Our larger or more integrated competitors may be able to absorb the burden of existing, and any changes to, federal, state and local laws and regulations more easily than we can, which would adversely affect our competitive position.</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0" w:lineRule="exact"/>
        <w:rPr>
          <w:sz w:val="20"/>
          <w:szCs w:val="20"/>
          <w:color w:val="auto"/>
        </w:rPr>
      </w:pPr>
    </w:p>
    <w:p>
      <w:pPr>
        <w:jc w:val="both"/>
        <w:ind w:firstLine="64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Inc., to the extent the company were to acquire working interests in the future as well as to any operators of our properties, including our current operators.</w:t>
      </w:r>
    </w:p>
    <w:p>
      <w:pPr>
        <w:spacing w:after="0" w:line="130" w:lineRule="exact"/>
        <w:rPr>
          <w:sz w:val="20"/>
          <w:szCs w:val="20"/>
          <w:color w:val="auto"/>
        </w:rPr>
      </w:pPr>
    </w:p>
    <w:p>
      <w:pPr>
        <w:jc w:val="both"/>
        <w:ind w:firstLine="643"/>
        <w:spacing w:after="0" w:line="286" w:lineRule="auto"/>
        <w:rPr>
          <w:sz w:val="20"/>
          <w:szCs w:val="20"/>
          <w:color w:val="auto"/>
        </w:rPr>
      </w:pPr>
      <w:r>
        <w:rPr>
          <w:rFonts w:ascii="Times New Roman" w:cs="Times New Roman" w:eastAsia="Times New Roman" w:hAnsi="Times New Roman"/>
          <w:sz w:val="17"/>
          <w:szCs w:val="17"/>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spacing w:after="0" w:line="181"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Oil and natural gas exploration, development and production operations are subject to stringent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business and prospects.</w:t>
      </w:r>
    </w:p>
    <w:p>
      <w:pPr>
        <w:spacing w:after="0" w:line="21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Waste Handling. </w:t>
      </w:r>
      <w:r>
        <w:rPr>
          <w:rFonts w:ascii="Times New Roman" w:cs="Times New Roman" w:eastAsia="Times New Roman" w:hAnsi="Times New Roman"/>
          <w:sz w:val="18"/>
          <w:szCs w:val="18"/>
          <w:color w:val="auto"/>
        </w:rPr>
        <w:t>The Resource Conservation and Recovery Act, or the RCRA, as amended, and comparable state statutes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were not necessary at that time. Any changes in such laws and regulations could have a material adverse effect on our capital expenditures and operating expenses.</w:t>
      </w:r>
    </w:p>
    <w:p>
      <w:pPr>
        <w:spacing w:after="0" w:line="22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Administrative, civil and criminal penalties can be imposed for failure to comply with waste handling requirements. Any legislative or regulatory reclassification of oil and natural gas exploration and production wastes could increase our costs to manage and dispose of such wastes.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Remediation of Hazardous Substances. </w:t>
      </w:r>
      <w:r>
        <w:rPr>
          <w:rFonts w:ascii="Times New Roman" w:cs="Times New Roman" w:eastAsia="Times New Roman" w:hAnsi="Times New Roman"/>
          <w:sz w:val="18"/>
          <w:szCs w:val="18"/>
          <w:color w:val="auto"/>
        </w:rPr>
        <w:t>The Comprehensive Environmental Response, Compensation and Liability Act, as amended,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14"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Discharges. </w:t>
      </w:r>
      <w:r>
        <w:rPr>
          <w:rFonts w:ascii="Times New Roman" w:cs="Times New Roman" w:eastAsia="Times New Roman" w:hAnsi="Times New Roman"/>
          <w:sz w:val="18"/>
          <w:szCs w:val="18"/>
          <w:color w:val="auto"/>
        </w:rPr>
        <w:t>The Federal Water Pollution Control Act of 1972, as amended, also known as the “Clean Water Act,” or the CWA, the Safe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scope of waters regulated under the CWA has fluctuated in recent years. On January 18, 2023, the EPA and the U.S. Army Corps of Engineers, or the Corps, jointly promulgated 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 conforming their regulations to the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p>
    <w:p>
      <w:pPr>
        <w:spacing w:after="0" w:line="21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Non-compliance with the CWA or the OPA may result in substantial administrative, civil and criminal penalties, as well as injunctive obligations.</w:t>
      </w:r>
    </w:p>
    <w:p>
      <w:pPr>
        <w:spacing w:after="0" w:line="244"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Emissions. </w:t>
      </w:r>
      <w:r>
        <w:rPr>
          <w:rFonts w:ascii="Times New Roman" w:cs="Times New Roman" w:eastAsia="Times New Roman" w:hAnsi="Times New Roman"/>
          <w:sz w:val="18"/>
          <w:szCs w:val="18"/>
          <w:color w:val="auto"/>
        </w:rPr>
        <w:t>The federal Clean Air Act, or the CAA, as amended, and comparable state laws and regulations, regulate emissions of various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spacing w:after="0" w:line="21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In recent years, federal, state and local governments have taken steps to reduce emissions of greenhouse gases.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Investment and Jobs Act of 2021 and the Inflation Reduction Act of 2022, or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 model year 2027. These incentives and regulations could accelerate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However, on January 20, 2025, President Trump signed multiple executive orders seeking to reverse many of these climate rules and incentives, including pausing the disbursement of funds under the IRA and eliminating the “electric vehicle mandate.” Despite this shift, numerous proposals have been made and are likely to continue to be made at the international, regional and state levels of government that are intended to limit emissions of greenhouse gases by enforceable requirements and voluntary measures.</w:t>
      </w:r>
    </w:p>
    <w:p>
      <w:pPr>
        <w:spacing w:after="0" w:line="216"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On November 18, 2024, the EPA published a final rule on the methane emissions charge, which became effective on January 17, 2025. The methane emissions charge must be paid no later than August 31 of the year following the reporting period and starts at $900 per ton of methane in 2024, increases to $1,200 in 2025 and will be set at $1,500 for 2026 and each year after. Calculation of the fee is based on methane emissions that exceed certain thresholds established in the IRA. The methane emissions charge could increase our operating costs, which could adversely impact our business, financial condition and cash flows.</w:t>
      </w:r>
    </w:p>
    <w:p>
      <w:pPr>
        <w:spacing w:after="0" w:line="21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13"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Paris Agreement went into effect on November 4, 2016.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from 2020 levels. More than 150 countries have now signed on to this pledge. At the 28th Conference of the Parties in the United Arab Emirates, world leaders agreed to transition away from fossil fuels in a just, orderly and equitable manner and to triple renewables and double energy efficiency globally by 2030. Additionally, the Biden Administration announced a new climate target for the United States on December 19, 2024, which includes a 61 to 66 percent reduction in economy-wide net greenhouse gas emissions by 2035, as compared to 2005 levels. Furthermore, many state and local leaders have stated their intent to intensify efforts to support the international climate commitments. However, on January 20, 2025, President Trump issued an executive order directing the United States Ambassador to the United Nations to immediately withdraw from the Paris Agreement, and on January 27, 2025, the United States’ Acting Ambassador to the United Nations submitted a notification of withdrawal from the Paris Agreement, which is set to become effective one year after notification on January 27, 2026.</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04"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Hydraulic Fracturing. </w:t>
      </w:r>
      <w:r>
        <w:rPr>
          <w:rFonts w:ascii="Times New Roman" w:cs="Times New Roman" w:eastAsia="Times New Roman" w:hAnsi="Times New Roman"/>
          <w:sz w:val="18"/>
          <w:szCs w:val="18"/>
          <w:color w:val="auto"/>
        </w:rPr>
        <w:t>Hydraulic fracturing is an important common practice that is used to stimulate production of hydrocarbons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1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13"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17"/>
          <w:szCs w:val="17"/>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which may increase our compliance or operating costs.</w:t>
      </w:r>
    </w:p>
    <w:p>
      <w:pPr>
        <w:spacing w:after="0" w:line="209"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regulate hydraulic fracturing, and could ultimately make it more difficult or costly for us to perform fracturing and increase our costs of compliance and doing business.</w:t>
      </w:r>
    </w:p>
    <w:p>
      <w:pPr>
        <w:spacing w:after="0" w:line="190" w:lineRule="exact"/>
        <w:rPr>
          <w:sz w:val="20"/>
          <w:szCs w:val="20"/>
          <w:color w:val="auto"/>
        </w:rPr>
      </w:pPr>
    </w:p>
    <w:p>
      <w:pPr>
        <w:jc w:val="both"/>
        <w:ind w:firstLine="643"/>
        <w:spacing w:after="0" w:line="249" w:lineRule="auto"/>
        <w:rPr>
          <w:sz w:val="20"/>
          <w:szCs w:val="20"/>
          <w:color w:val="auto"/>
        </w:rPr>
      </w:pPr>
      <w:r>
        <w:rPr>
          <w:rFonts w:ascii="Times New Roman" w:cs="Times New Roman" w:eastAsia="Times New Roman" w:hAnsi="Times New Roman"/>
          <w:sz w:val="18"/>
          <w:szCs w:val="18"/>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the disposal of produced water, a moratorium on new produced water wells, and additional monitoring and reporting requirements could result in increased operating costs, forcing our operators or 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spacing w:after="0" w:line="229"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1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Regulation of the Oil and Natural Gas Industry. </w:t>
      </w:r>
      <w:r>
        <w:rPr>
          <w:rFonts w:ascii="Times New Roman" w:cs="Times New Roman" w:eastAsia="Times New Roman" w:hAnsi="Times New Roman"/>
          <w:sz w:val="18"/>
          <w:szCs w:val="18"/>
          <w:color w:val="auto"/>
        </w:rPr>
        <w:t>The oil and natural gas industry is extensively regulated by numerous federal, state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 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04" w:lineRule="exact"/>
        <w:rPr>
          <w:sz w:val="20"/>
          <w:szCs w:val="20"/>
          <w:color w:val="auto"/>
        </w:rPr>
      </w:pPr>
    </w:p>
    <w:p>
      <w:pPr>
        <w:jc w:val="both"/>
        <w:ind w:firstLine="6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Production. </w:t>
      </w:r>
      <w:r>
        <w:rPr>
          <w:rFonts w:ascii="Times New Roman" w:cs="Times New Roman" w:eastAsia="Times New Roman" w:hAnsi="Times New Roman"/>
          <w:sz w:val="18"/>
          <w:szCs w:val="18"/>
          <w:color w:val="auto"/>
        </w:rPr>
        <w:t>The operations of our operators are subject to various types of regulation at the federal, state and local level. These types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208"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stockholders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19" w:lineRule="exact"/>
        <w:rPr>
          <w:sz w:val="20"/>
          <w:szCs w:val="20"/>
          <w:color w:val="auto"/>
        </w:rPr>
      </w:pPr>
    </w:p>
    <w:p>
      <w:pPr>
        <w:jc w:val="both"/>
        <w:ind w:right="20" w:firstLine="643"/>
        <w:spacing w:after="0" w:line="263" w:lineRule="auto"/>
        <w:rPr>
          <w:sz w:val="20"/>
          <w:szCs w:val="20"/>
          <w:color w:val="auto"/>
        </w:rPr>
      </w:pPr>
      <w:r>
        <w:rPr>
          <w:rFonts w:ascii="Times New Roman" w:cs="Times New Roman" w:eastAsia="Times New Roman" w:hAnsi="Times New Roman"/>
          <w:sz w:val="18"/>
          <w:szCs w:val="18"/>
          <w:color w:val="auto"/>
        </w:rPr>
        <w:t>Federal, state and local regulations provide detailed requirements for the plugging and abandonment of wells, closure or decommissioning of production facilities and pipelines and for site restoration in areas. Although the Corps does not require bonds or other financial assurances, some state agencies and municipalities do have such requirements.</w:t>
      </w:r>
    </w:p>
    <w:p>
      <w:pPr>
        <w:spacing w:after="0" w:line="199" w:lineRule="exact"/>
        <w:rPr>
          <w:sz w:val="20"/>
          <w:szCs w:val="20"/>
          <w:color w:val="auto"/>
        </w:rPr>
      </w:pPr>
    </w:p>
    <w:p>
      <w:pPr>
        <w:jc w:val="both"/>
        <w:ind w:firstLine="6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Sales. </w:t>
      </w:r>
      <w:r>
        <w:rPr>
          <w:rFonts w:ascii="Times New Roman" w:cs="Times New Roman" w:eastAsia="Times New Roman" w:hAnsi="Times New Roman"/>
          <w:sz w:val="18"/>
          <w:szCs w:val="18"/>
          <w:color w:val="auto"/>
        </w:rPr>
        <w:t>Historically, federal legislation and regulatory controls have affected the price and marketing of natural gas. FERC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Oil Sales and Transportation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crude oil, condensate and natural gas liquids are not currently regulated and are made at negotiated prices.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Nevertheless, the U.S. Congress could reenact price controls in the future.</w:t>
      </w:r>
    </w:p>
    <w:p>
      <w:pPr>
        <w:spacing w:after="0" w:line="229"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21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Regulation. </w:t>
      </w:r>
      <w:r>
        <w:rPr>
          <w:rFonts w:ascii="Times New Roman" w:cs="Times New Roman" w:eastAsia="Times New Roman" w:hAnsi="Times New Roman"/>
          <w:sz w:val="18"/>
          <w:szCs w:val="18"/>
          <w:color w:val="auto"/>
        </w:rPr>
        <w:t>Texas regulates the drilling for, and the production, gathering and sale of, oil and natural gas, including imposing severance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our operators can drill.</w:t>
      </w:r>
    </w:p>
    <w:p>
      <w:pPr>
        <w:spacing w:after="0" w:line="211"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 xml:space="preserve">We do not have any employees. Since the Conversion, the business and affairs of the Company are overseen by our board of directors, rather than the General Partner, which, pre-Conversion oversaw the business and affairs of the Partnership, our predecessor, as its general partner. Further, post-Conversion, Diamondback continues to provide personnel and general and administrative services to the Company, including the services of the executive officers and other employees, pursuant to the services and secondment agreement in a similar manner as Diamondback previously provided to the General Partner. Please see </w:t>
      </w:r>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color w:val="auto"/>
        </w:rPr>
        <w:t xml:space="preserve"> and the consolidated financial statements and related notes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auto"/>
        </w:rPr>
        <w:t xml:space="preserve"> of this report. All of the individuals that conduct our business, including our executive officers, are employed by Diamondback.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Our principal executive offices are located in Midland, Texas and are owned by Diamondback. We believe that these facilities are adequate for our current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Company Reports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are available free of charge on the Investors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0" w:lineRule="exact"/>
        <w:rPr>
          <w:sz w:val="20"/>
          <w:szCs w:val="20"/>
          <w:color w:val="auto"/>
        </w:rPr>
      </w:pPr>
    </w:p>
    <w:p>
      <w:pPr>
        <w:jc w:val="both"/>
        <w:ind w:firstLine="643"/>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The nature of our business activities subjects us to certain hazards and risks. The following is a summary of some of the material risks relating to our business activities. Other risks are also described in </w:t>
      </w:r>
      <w:r>
        <w:rPr>
          <w:rFonts w:ascii="Times New Roman" w:cs="Times New Roman" w:eastAsia="Times New Roman" w:hAnsi="Times New Roman"/>
          <w:sz w:val="17"/>
          <w:szCs w:val="17"/>
          <w:i w:val="1"/>
          <w:iCs w:val="1"/>
          <w:u w:val="single" w:color="auto"/>
          <w:color w:val="0000FF"/>
        </w:rPr>
        <w:t>Items 1 and 2. Business and Properties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0000FF"/>
        </w:rPr>
        <w:t>Item 7. Management’s Discussion and Analysis of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0000FF"/>
        </w:rPr>
        <w:t>Condition and Results of Operations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and</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u w:val="single" w:color="auto"/>
          <w:color w:val="0000FF"/>
        </w:rPr>
        <w:t>Item 7A. Quantitative and Qualitative Disclosures About Market Risk</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of this report. These risks are not the only</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and production.</w:t>
      </w:r>
    </w:p>
    <w:p>
      <w:pPr>
        <w:spacing w:after="0" w:line="18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From the beginning of 2022 through the end of 2024, NYMEX WTI has ranged from $65.75 to $123.70 per Bbl, and the NYMEX Henry Hub price of natural gas has ranged from $1.58 to $9.68 per MMBtu, with seven-year highs reached in 2023. The war in Ukraine, the Israel-Hamas War, rising interest rates, global supply chain disruptions, concerns about a potential economic downturn or recession, recent measures to combat persistent inflation, and actions taken by OPEC and its non-OPEC allies, collectively OPEC+, continued to contribute to economic and pricing volatility. These factors and the volatility of the energy markets make it extremely difficult to predict future oil and natural gas price movements with any certainty. If the prices of oil and natural gas decline, our operations and financial condition may be materially and adversely affected.</w:t>
      </w:r>
    </w:p>
    <w:p>
      <w:pPr>
        <w:spacing w:after="0" w:line="21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Diamondback and certain of our other operators increased production on our acreage during 2024, but continued to exercise capital discipline by using the majority of their excess cash flow for debt repayment and/or return to their stockholders rather than expanding their drilling programs. We cannot reasonably predict whether production levels will remain at current levels or the impact the full extent of the events above may have on our industry and our business.</w:t>
      </w:r>
    </w:p>
    <w:p>
      <w:pPr>
        <w:spacing w:after="0" w:line="208"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Based on the current commodity pricing environment and industry conditions, we did not record any impairments in 2024. However, if commodity prices fall below current levels, we may be required to record impairments in future periods and such impairments could be material. Further, if commodity prices decrease, our production, proved reserves and cash flows will be adversely impacted. Lower oil and natural gas prices may also result in a reduction in the borrowing base under the Operating Company’s revolving credit facility, which may be determined at the discretion of our lenders.</w:t>
      </w:r>
    </w:p>
    <w:p>
      <w:pPr>
        <w:spacing w:after="0" w:line="20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Other significant factors that are likely to continue to affect commodity prices in future periods include, but are not limited to, the effect of U.S. energy, monetary and trade policies, U.S. and global economic conditions, U.S. and global political and economic developments, including the new administration’s energy and environmental policies, all of which are beyond our control. Our business may be also adversely impacted by any future government rule, regulation or order that may impose production limits, as well as pipeline capacity and storage constraints, in the Permian Basin where we have mineral and royalty interests. We cannot predict the ultimate impact of these factors on our business, financial condition and cash available for dividends to our stockholders.</w:t>
      </w: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85"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We use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NYMEX WTI pricing (WTI Cushing and Argus WTI Midland) and with natural gas derivative settlements based on the NYMEX Henry Hub and Waha Hub pricing. By using derivative instruments to economically hedge exposure to changes in commodity prices, we expose ourselves to credit risk and market risk. 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Our counterparties have been determined to have an acceptable credit risk; therefore, we do not require collateral from our counterparties. By using derivative instruments, we may be prevented from fully realizing the benefits of increases in the prices of oil, natural gas liquids and natural gas above the price levels of the commodity price derivatives used to manage price risk.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firstLine="643"/>
        <w:spacing w:after="0" w:line="263" w:lineRule="auto"/>
        <w:rPr>
          <w:sz w:val="20"/>
          <w:szCs w:val="20"/>
          <w:color w:val="auto"/>
        </w:rPr>
      </w:pPr>
      <w:r>
        <w:rPr>
          <w:rFonts w:ascii="Times New Roman" w:cs="Times New Roman" w:eastAsia="Times New Roman" w:hAnsi="Times New Roman"/>
          <w:sz w:val="18"/>
          <w:szCs w:val="18"/>
          <w:color w:val="auto"/>
        </w:rPr>
        <w:t>For additional information regarding our use of commodity price derivatives and our outstanding derivative contracts as of December 31, 2024, 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in Item 8. Financial Statements and Supplementary Data, </w:t>
      </w:r>
      <w:r>
        <w:rPr>
          <w:rFonts w:ascii="Times New Roman" w:cs="Times New Roman" w:eastAsia="Times New Roman" w:hAnsi="Times New Roman"/>
          <w:sz w:val="18"/>
          <w:szCs w:val="18"/>
          <w:u w:val="single" w:color="auto"/>
          <w:color w:val="0000FF"/>
        </w:rPr>
        <w:t>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Item 7A. Quantitative and Qualitative Disclosures About Market Risk</w:t>
      </w:r>
      <w:r>
        <w:rPr>
          <w:rFonts w:ascii="Times New Roman" w:cs="Times New Roman" w:eastAsia="Times New Roman" w:hAnsi="Times New Roman"/>
          <w:sz w:val="18"/>
          <w:szCs w:val="18"/>
          <w:color w:val="000000"/>
        </w:rPr>
        <w:t>—Commodity Price Risk of this report.</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IRA and other risks relating to climate change could accelerate the transition to a low carbon economy and could impose new costs on our operations that may have a material and adverse effect on us.</w:t>
      </w:r>
    </w:p>
    <w:p>
      <w:pPr>
        <w:spacing w:after="0" w:line="185"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 (i) the enactment of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wind, solar and hydrogen power, as well as battery technology), (iii) increased availability of, and increased demand from consumers and industry for, energy sources other than oil and natural gas (including wind, solar, nuclear, and geothermal sources as well as electric vehicles), and (iv) development of, and increased demand from consumers and industry for, lower-emission products and services (including electric vehicles and renewable residential and commercial power supplies) as well as more efficient products and services.</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Any of these developments may reduce the demand for products manufactured with (or powered by) hydrocarbons and the demand for, and in turn the prices of, the oil and natural gas that we produce and sell, which would likely have a material adverse impact on us. The enactment of climate change-related regulations, policies and initiatives may also result in increases in our compliance costs and other operating costs and have other adverse effects, such as a greater potential for governmental investigations or litigation.</w:t>
      </w:r>
    </w:p>
    <w:p>
      <w:pPr>
        <w:spacing w:after="0" w:line="208"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In recent years, federal, state and local governments have taken steps to reduce emissions of greenhouse gases. For example, the Infrastructure Investment and Jobs Act and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 model year 2027. These incentives and regulations could accelerate the transition of the economy away from the use of fossil fuels towards lower- or zero-carbon emissions alternatives, which could decrease demand for, and in turn the prices of, the oil and natural gas that we produce and sell and adversely impact our business. Additionally, the IRA imposes the first ever federal fee on greenhouse gas emissions through a methane emissions charge, which could increase our operating costs and thereby adversely impact our business, financial condition and cash flows. On January 20, 2025, President Trump signed multiple executive orders seeking to reverse these climate incentives, including pausing the disbursement of funds under the IRA. The same day, President Trump also issued executive orders to encourage fossil fuel production and exploration on federal lands and waters, while moving away from incentivizing renewable energy and electric vehicles. It is unclear what effect these actions will have.</w:t>
      </w:r>
    </w:p>
    <w:p>
      <w:pPr>
        <w:spacing w:after="0" w:line="203" w:lineRule="exact"/>
        <w:rPr>
          <w:sz w:val="20"/>
          <w:szCs w:val="20"/>
          <w:color w:val="auto"/>
        </w:rPr>
      </w:pPr>
    </w:p>
    <w:p>
      <w:pPr>
        <w:jc w:val="both"/>
        <w:ind w:firstLine="643"/>
        <w:spacing w:after="0" w:line="239" w:lineRule="auto"/>
        <w:rPr>
          <w:sz w:val="20"/>
          <w:szCs w:val="20"/>
          <w:color w:val="auto"/>
        </w:rPr>
      </w:pPr>
      <w:r>
        <w:rPr>
          <w:rFonts w:ascii="Times New Roman" w:cs="Times New Roman" w:eastAsia="Times New Roman" w:hAnsi="Times New Roman"/>
          <w:sz w:val="18"/>
          <w:szCs w:val="18"/>
          <w:color w:val="auto"/>
        </w:rPr>
        <w:t>In addition to potentially reducing (i) demand for our oil and natural gas and (ii) the availability of oilfield services and midstream and downstream customers, any further regulatory or other climate change initiatives, to the extent they continue, may create reputational risks associated with the exploration for, and production of, hydrocarbons, which may adversely affect the availability and cost to us of capital. For example, in recent years, certain stakeholders and capital providers sought to restrict or seek more stringent conditions with respect to their investment in or financing of certain carbon intensive sectors. If financial institutions and other investors refuse to invest in or provide capital to the oil and gas sector in the future because of these reputational risks, that could result in capital being unavailable to us, or only at a significantly increased cost.</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 xml:space="preserve">For further discussion regarding the risks to us of climate change-related regulations, policies and initiatives, see </w:t>
      </w:r>
      <w:r>
        <w:rPr>
          <w:rFonts w:ascii="Times New Roman" w:cs="Times New Roman" w:eastAsia="Times New Roman" w:hAnsi="Times New Roman"/>
          <w:sz w:val="18"/>
          <w:szCs w:val="18"/>
          <w:u w:val="single" w:color="auto"/>
          <w:color w:val="0000FF"/>
        </w:rPr>
        <w:t>Item 1 and 2.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Properties</w:t>
      </w:r>
      <w:r>
        <w:rPr>
          <w:rFonts w:ascii="Times New Roman" w:cs="Times New Roman" w:eastAsia="Times New Roman" w:hAnsi="Times New Roman"/>
          <w:sz w:val="18"/>
          <w:szCs w:val="18"/>
          <w:color w:val="000000"/>
        </w:rPr>
        <w:t>—Regulation—Climate Change of this report.</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Changing political and social perspectives on climate change and other environmental, social and governance factors may create risks and uncertainties impacting our business.</w:t>
      </w:r>
    </w:p>
    <w:p>
      <w:pPr>
        <w:spacing w:after="0" w:line="18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recent years, increased attention to global climate change resulted in increased investor attention and an increased risk of public and private litigation.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Perspectives on environmental, social and governance (“ESG”) considerations continue to evolve, and we cannot currently predict how regulators’, investors’ and other stakeholders’ views on ESG matters may affect the regulatory and investment landscape and affect our business, financial condition, and results of operations. If we do not, or are perceived to not, adapt or comply with investor or stakeholder expectations and standards on ESG matters, we may suffer from reputational damage and our business, financial condition and results of operations could be materially and adversely affected.</w:t>
      </w:r>
    </w:p>
    <w:p>
      <w:pPr>
        <w:spacing w:after="0" w:line="208"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SEC published final rules on March 28, 2024 relating to the disclosure of a range of climate-related risks and other information. Several lawsuits have been filed challenging the rules. In April 2024, the SEC agreed to pause the rules to facilitate an orderly judicial resolution. To the extent the rules are implemented, we and/or our customers could incur increased costs related to the assessment and disclosure of climate-related information.</w:t>
      </w:r>
    </w:p>
    <w:p>
      <w:pPr>
        <w:spacing w:after="0" w:line="20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 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Conservation measures and technological advances could reduce demand for oil and natural gas.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to return to our stockholders.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costs of capital could adversely affect our business.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available cash to pay any quarterly dividend on our Common Stock, our cash available for dividends may vary significantly from quarter to quarter and our board of directors may in the future modify or revoke our cash dividend policy at any time at its discretion. Our dividend policy could limit our ability to grow and make acquisitions.</w:t>
      </w:r>
    </w:p>
    <w:p>
      <w:pPr>
        <w:spacing w:after="0" w:line="202" w:lineRule="exact"/>
        <w:rPr>
          <w:sz w:val="20"/>
          <w:szCs w:val="20"/>
          <w:color w:val="auto"/>
        </w:rPr>
      </w:pPr>
    </w:p>
    <w:p>
      <w:pPr>
        <w:jc w:val="both"/>
        <w:ind w:firstLine="643"/>
        <w:spacing w:after="0" w:line="267" w:lineRule="auto"/>
        <w:rPr>
          <w:sz w:val="20"/>
          <w:szCs w:val="20"/>
          <w:color w:val="auto"/>
        </w:rPr>
      </w:pPr>
      <w:r>
        <w:rPr>
          <w:rFonts w:ascii="Times New Roman" w:cs="Times New Roman" w:eastAsia="Times New Roman" w:hAnsi="Times New Roman"/>
          <w:sz w:val="17"/>
          <w:szCs w:val="17"/>
          <w:color w:val="auto"/>
        </w:rPr>
        <w:t xml:space="preserve">We may not have sufficient cash available to pay base or variable dividends to our common stockholders each quarter. Furthermore, our cash dividend policy does not require us to pay dividends on a quarterly basis or otherwise. The amount of cash we have to distribute each quarter principally depends upon the amount of royalty income we generate, which is dependent upon the volumes of production sold and the prices that our operators realize from the sale of such production. In addition, the actual amount of cash we will have to distribute each quarter under our cash dividend policy will be reduced by payments in respect of income taxes, debt service and other contractual obligations and fixed charges, increases in reserves for future operating or capital needs that the board of directors may determine is appropriate, lease bonus income, distribution equivalent rights payments and preferred dividends, if any, and any common share repurchases. The board of directors may further modify or revoke our dividend policy at any time in the future at its discretion. During 2022, the board of directors approved a dividend policy, effective beginning with the Company’s dividend payable for the third quarter of 2022, consisting of a base and variable dividend, that takes into account capital returned to stockholders via our Common Stock repurchase program. For information regarding our dividend policy and the recent modifications, see </w:t>
      </w:r>
      <w:r>
        <w:rPr>
          <w:rFonts w:ascii="Times New Roman" w:cs="Times New Roman" w:eastAsia="Times New Roman" w:hAnsi="Times New Roman"/>
          <w:sz w:val="17"/>
          <w:szCs w:val="17"/>
          <w:u w:val="single" w:color="auto"/>
          <w:color w:val="0000FF"/>
        </w:rPr>
        <w:t>Item 5. Market for Registrant’s Common Equity, Related Stockholder Matters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and Issuer Purchases of Equity Securities</w:t>
      </w:r>
      <w:r>
        <w:rPr>
          <w:rFonts w:ascii="Times New Roman" w:cs="Times New Roman" w:eastAsia="Times New Roman" w:hAnsi="Times New Roman"/>
          <w:sz w:val="17"/>
          <w:szCs w:val="17"/>
          <w:color w:val="000000"/>
        </w:rPr>
        <w:t>—Cash Dividend Policy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Item 7. Management’s Discussion and Analysis of Financial Condition and Results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Operations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this report. As a result, quarterly dividends paid to our stockholders may vary significantly from quarter to quarter and may be zero.</w:t>
      </w:r>
    </w:p>
    <w:p>
      <w:pPr>
        <w:spacing w:after="0" w:line="20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As a result of our cash dividend policy, we will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dividend policy will significantly impair our ability to grow.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To the extent we issue additional shares in connection with any acquisitions or growth capital expenditures or as in-kind dividends, the payment of dividends on those additional shares may increase the risk that we will be unable to maintain or increase our per share dividend level.</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operators for a substantial portion of the development and production on our mineral and royalty acreage.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spacing w:after="0" w:line="20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failure of our operators to adequately or efficiently perform operations or an operator’s failure to act in ways that are in our best interests could reduce production and revenues.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operators may elect not to undertake development activities, or may undertake such activities in an unanticipated fashion, which may result in significant fluctuations in our royalty income and cash available for dividends to our stockholders.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20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our proved undeveloped reserves may take longer and may require higher levels of capital expenditures by operators than we currently anticipate.</w:t>
      </w:r>
    </w:p>
    <w:p>
      <w:pPr>
        <w:spacing w:after="0" w:line="185"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Approximately 16% of our total estimated proved reserves as of December 31, 2024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the reserve reports of our independent petroleum engineers assumes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18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Generally, a failure on the part of our operators to make royalty payments to us gives us the right to terminate the applicable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producing properties in which we have mineral and royalty interests are primarily concentrated in the Permian Basin of West Texas, making us vulnerable to risks (including weather-related risks) associated with a single geographic area. In addition, a large amount of our proved reserves is attributable to a small number of producing horizons within this area.</w:t>
      </w:r>
    </w:p>
    <w:p>
      <w:pPr>
        <w:spacing w:after="0" w:line="20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producing properties in which we have mineral and royalty interests are currently geographically primarily concentrated in the Permian Basin of West Texas. As a result of this concentration, we may be disproportionately exposed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and their adverse impact on production volumes, availability of electrical power, road accessibility and transportation facilities on our mineral and royalty acreage.</w:t>
      </w:r>
    </w:p>
    <w:p>
      <w:pPr>
        <w:spacing w:after="0" w:line="213"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Extreme regional weather events may occur that can affect our operators’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(potentially including production on our mineral and royalty acreage) to be curtailed or shut in or (in the case of natural gas) flared. Climate changes may also increase the frequency and severity of significant weather events over time. Further, any increase in flaring of natural gas production on our mineral and royalty acreage due to weather-related events, or otherwise, could expose us to reputational risks and adversely impact our or our operators’ contractual and other business relationships. Any of the above-referenced events could have a material adverse effect on us. Likewise, a weather event could reduce the availability of electrical power, road accessibility, and transportation facilities, which could have an adverse impact on production volumes on our mineral and royalty acreage (and therefore on our financial condition and results of operations).</w:t>
      </w:r>
    </w:p>
    <w:p>
      <w:pPr>
        <w:spacing w:after="0" w:line="21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In addition to the geographic concentration of our mineral and royalty acreage, as of December 31, 2024, most of our proved reserves are concentrated in the Wolfberry resource play in the Midland Basin. This concentration of assets within a small number of producing horizons exposes us to additional risks, such as changes in field-wide rules and regulations that could cause our operators to permanently or temporarily shut-in all of the wells on our mineral and royalty acreage.</w:t>
      </w:r>
    </w:p>
    <w:p>
      <w:pPr>
        <w:spacing w:after="0" w:line="20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development or acquisition of additional reserves, and our failure to successfully identify, complete and integrate acquisitions of properties or businesses could slow our growth and adversely affect our results of operations and cash available for dividends.</w:t>
      </w:r>
    </w:p>
    <w:p>
      <w:pPr>
        <w:spacing w:after="0" w:line="185"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Our future success depends upon the development or acquisition of additional oil and natural gas reserves that are economically recoverable, as our proved reserves will generally decline as reserves are depleted. To increase reserves and production, we would need to undertake replacement activities or use third-party operators to undertake development, exploration and other replacement activities, requiring substantial capital expenditures. Neither we nor our third-party operators may have sufficient resources to acquire additional reserves or to undertake exploration, development, production or other replacement activities. Such activities by our third-party operators may not result in significant additional reserves and efforts to drill productive wells at low finding costs may be unsuccessful. In addition, we do not expect to retain cash from our operations for replacement capital expenditures. Furthermore, although our revenues and cash available for dividends may increase if prevailing oil and natural gas prices increase significantly, finding costs for additional reserves could also increase.</w:t>
      </w:r>
    </w:p>
    <w:p>
      <w:pPr>
        <w:spacing w:after="0" w:line="216"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which, if material, can render an interest worthless,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any of which can adversely affect our results of operations, financial condition and cash available for dividends. Even when problems are identified, the seller may be unwilling or unable to provide effective contractual protection against all or part of the problems. Significant acquisitions and other strategic transactions may involve other risks that may cause our business to be adversely impacted, including diversion of our management’s attention to evaluating and negotiating such transactions and our failure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realize the full benefit that we expect in estimated proved reserves, production volume or other benefits anticipated therefrom, or to realize these benefits within the expected time frame.</w:t>
      </w:r>
    </w:p>
    <w:p>
      <w:pPr>
        <w:spacing w:after="0" w:line="190"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 xml:space="preserve">We may not be able to complete acquisitions or do so on commercially acceptable terms, as our ability to complete acquisitions is dependent upon, among other things, our ability to obtain debt and equity financing and, in some cases, regulatory approvals. Further, our future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effectively integrate the acquired business into our existing operations, the process of which may involve unforeseen difficulties and may require a disproportionate amount of our managerial and financial resources. In addition, possible future acquisitions may be larger and for purchase prices significantly higher than those paid for earlier acquisitions. Any of the unfavorable circumstances mentioned above could have a material adverse effect on our financial condition, results of operations and cash available for dividends. The inability to effectively manage the integration of acquisitions could reduce our focus on subsequent acquisitions and current operations, which, in turn, could negatively impact our growth, results of operations and cash available for dividends. See also </w:t>
      </w:r>
      <w:r>
        <w:rPr>
          <w:rFonts w:ascii="Times New Roman" w:cs="Times New Roman" w:eastAsia="Times New Roman" w:hAnsi="Times New Roman"/>
          <w:sz w:val="18"/>
          <w:szCs w:val="18"/>
          <w:i w:val="1"/>
          <w:iCs w:val="1"/>
          <w:color w:val="auto"/>
        </w:rPr>
        <w:t xml:space="preserve">“Risks Related to the Pending 2025 Drop Down” </w:t>
      </w:r>
      <w:r>
        <w:rPr>
          <w:rFonts w:ascii="Times New Roman" w:cs="Times New Roman" w:eastAsia="Times New Roman" w:hAnsi="Times New Roman"/>
          <w:sz w:val="18"/>
          <w:szCs w:val="18"/>
          <w:color w:val="auto"/>
        </w:rPr>
        <w:t>below for a description of risk factors specific to that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areas on our properties, which are in various stages of development, may not yield oil or natural gas in commercially viable quantities.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dividends may be materially affected.</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185"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if any. As a result, estimated quantities of proved reserves, projections of future production rates and the timing of development expenditures may be incorrect. Over time, we may make material changes to reserve estimates taking into account the results of actual drilling, testing and production. Also, certain assumptions regarding future oil and natural gas prices, production levels and operating and development costs, if any,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2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electrical power, internet and telecommunication infrastructure and information and computer systems. If any of these systems are compromised or unavailable, our business could be adversely affected.</w:t>
      </w:r>
    </w:p>
    <w:p>
      <w:pPr>
        <w:spacing w:after="0" w:line="18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are dependent on electric power, internet and telecommunication infrastructure and Diamondback’s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spacing w:after="0" w:line="20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 cyber incident could occur and result in information theft, data corruption, operational disruption and/or financial loss.</w:t>
      </w:r>
    </w:p>
    <w:p>
      <w:pPr>
        <w:spacing w:after="0" w:line="18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We rely extensively on Diamondback’s information technology systems, including internally developed software, data hosting platforms, real-time data acquisition systems, third-party software, cloud services and other internally or externally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hosted hardware and software platforms, to (i) estimate our oil and natural gas reserves, (ii) process and record financial and operating data, and (iii) communicate with our management and board of directors, as well as, our vendors, suppliers and other third parties. Further, our reliance on technology has increased due to the increased use of personal devices, remote communications and work-from-home or hybrid work practices.</w:t>
      </w:r>
    </w:p>
    <w:p>
      <w:pPr>
        <w:spacing w:after="0" w:line="203"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Risks from cybersecurity threats have not materially affected, and are not currently anticipated to materially affect, our company, including our business strategy, results of operations and financial condition. However, our systems and networks (which are provided by Diamondback), and those of its vendors, service providers and other third-party providers, may become the target of cybersecurity attacks, including, without limitation, denial-of-service attacks; malicious software; data privacy breaches by insiders or others with authorized access; cyber or phishing-attacks; ransomware; attempts to gain unauthorized access to our data and Diamondback’s systems; and other electronic security breaches. Security incidents can also occur as a result of non-technical issues, such as physical theft. More recently, advancements in artificial intelligence (“AI”) may pose serious risks for many of the traditional tools used to identify individuals, including voice recognition (whether by machine or the human ear), facial recognition or screening questions to confirm identities. In addition, generative AI systems may also be used by malicious actors to create more sophisticated cyber-attacks (i.e., more realistic phishing or other attacks). The advancements in AI could lead to an increase in the frequency of identity fraud or cyberattacks (whether successful or unsuccessful), which could cause us or our providers to incur increasing costs, including costs associated with additional personnel, protection technologies and policies and procedures and third-party experts and consultants. If any of these security breaches were to occur, we could suffer disruptions to our operations, normal business functions and other aspects of our business.</w:t>
      </w:r>
    </w:p>
    <w:p>
      <w:pPr>
        <w:spacing w:after="0" w:line="214"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 xml:space="preserve">Diamondback provides personnel and general and administrative services to us, including personnel and infrastructure that underlie our cybersecurity risk management program. In connection therewith, Diamondback has implemented and invested in, and will continue to implement and invest in, controls, procedures and protections (including internal and external personnel), and has implemented a cybersecurity governance program, that are designed, in each case, to protect its systems; identify and remediate, on a regular basis, vulnerabilities in its systems and related infrastructure and monitor and mitigate the risk of data loss and other cybersecurity threats. Diamondback has also engaged third-party consultants to conduct penetration testing and risk assessments. Such measures, however, cannot entirely eliminate cybersecurity threats and may prove to be ineffective. As cyber incidents continue to evolve, Diamondback may be required to expend additional resources (for which we may be partially responsible) to continue to modify or enhance protective measures or to investigate and remediate any vulnerability to cyber incidents. Diamondback maintains specialized insurance for possible liability resulting from a cyberattack on its assets, however, we cannot assure you that the insurance coverage will be adequate to cover claims that may arise, or that Diamondback will be able to maintain adequate insurance at rates we consider reasonable. A loss not fully covered by insurance could have a material adverse effect on our business, financial condition and cash flows. See “ </w:t>
      </w:r>
      <w:r>
        <w:rPr>
          <w:rFonts w:ascii="Times New Roman" w:cs="Times New Roman" w:eastAsia="Times New Roman" w:hAnsi="Times New Roman"/>
          <w:sz w:val="18"/>
          <w:szCs w:val="18"/>
          <w:u w:val="single" w:color="auto"/>
          <w:color w:val="0000FF"/>
        </w:rPr>
        <w:t>Item 1C—Cybersecurity</w:t>
      </w:r>
      <w:r>
        <w:rPr>
          <w:rFonts w:ascii="Times New Roman" w:cs="Times New Roman" w:eastAsia="Times New Roman" w:hAnsi="Times New Roman"/>
          <w:sz w:val="18"/>
          <w:szCs w:val="18"/>
          <w:color w:val="auto"/>
        </w:rPr>
        <w:t>” below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privacy-related laws could give rise to liabilities, which could adversely impact our business, results of operations or financial condition.</w:t>
      </w:r>
    </w:p>
    <w:p>
      <w:pPr>
        <w:spacing w:after="0" w:line="25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For example, Texas recently passed the Texas Data Privacy and Security Act, which establishes new laws for collecting, storing, processing, and selling consumer information. Several other states, such as California, Utah, Colorado, Virginia, Connecticut, Michigan, Ohio, Pennsylvania, and New Jersey, among others, have proposed or passed legislation regarding data privacy and use. We cannot predict the impact of any such evolving privacy-related laws on our business, results of operations or financial condition, but may find it necessary to enhance the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Implementing our capital programs may, under certain circumstances, require an increase in our total leverage through additional debt issuances. In addition, a significant reduction in availability under the revolving credit facility and the inability to otherwise obtain financing for our capital programs could require us to curtail our capital expenditures.</w:t>
      </w:r>
    </w:p>
    <w:p>
      <w:pPr>
        <w:spacing w:after="0" w:line="20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As a result of our cash dividend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Operating Company’s revolving credit facility, the indentures governing the Notes and future debt instruments may limit our ability to respond to changes in market conditions or pursue business opportunities.</w:t>
      </w:r>
    </w:p>
    <w:p>
      <w:pPr>
        <w:spacing w:after="0" w:line="18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Operating Company’s revolving credit facility and the indentures governing the Notes outstanding contain, and the terms of any future indebtedness may contain, restrictive covenants that limit our and the Operating Company’s ability to, among other things: incur or guarantee additional indebtedness; make certain investments; create additional liens; sell or transfer assets; lease property as a lessee; issue redeemable or preferred equity; voluntarily redeem or prepay debt (including the Notes); merge or consolidate with another entity; pay or declare dividends; designate certain of our subsidiaries as unrestricted subsidiaries; create unrestricted subsidiaries; engage in transactions with affiliates; enter into gas imbalances, take-or-pay and similar agreements; and enter into certain swap agreements.</w:t>
      </w:r>
    </w:p>
    <w:p>
      <w:pPr>
        <w:spacing w:after="0" w:line="21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We may be prevented from taking advantage of business opportunities that arise because of the limitations imposed on us and the Operating Company by the restrictive covenants contained in the revolving credit facility and the indentures that govern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13"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indentures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Any significant reduction in the borrowing base under the Operating Company’s revolving credit facility as a result of the periodic borrowing base redeterminations, or otherwise, may negatively impact our ability to fund our operations, and we may not have sufficient funds to repay borrowings under the revolving credit facility if required as a result of a borrowing base redetermination.</w:t>
      </w:r>
    </w:p>
    <w:p>
      <w:pPr>
        <w:spacing w:after="0" w:line="20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A decline in commodity prices could result in a redetermination that lowers the borrowing base. Any significant reduction in the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the revolving credit facility were to exceed the borrowing base as a result of any such redetermination, we and the Operating Company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85"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Our ability to make scheduled payments of the principal,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to attempt to meet our debt service and other obligations. The Operating Company’s revolving credit facility and the indentures governing the Notes outstanding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1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8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or the Operating Company’s borrowing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borrowings under the Operating Company’s revolving credit facility expose us to interest rate risk.</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Our earnings are exposed to interest rate risk associated with borrowings under the Operating Company’s revolving credit facility. The terms of the Operating Company’s revolving credit facility provide for interest on borrowings at a floating rate equal to an alternative base rate that, since November 2022 has been tied to SOFR. SOFR tends to fluctuate based on multiple factors, including general short-term interest rates, rates set by the U.S. Federal Reserve, and other central banks and general economic conditions. We have not hedged our interest rate exposure with respect to our floating rate debt. The Operating Company’s weighted average interest rate on borrowings under its revolving credit facility was 7.34% during the year ended December 31, 2024. If interest rates increase, so will our interest costs, which may have a material adverse effect on our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controls us and its interests may conflict with ours or yours in the future.</w:t>
      </w:r>
    </w:p>
    <w:p>
      <w:pPr>
        <w:spacing w:after="0" w:line="25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on Form 10-K, Diamondback beneficially owned approximately 39% of the outstanding voting power of our capital stock, and we currently estimate that following the closing of the Pending 2025 Drop Down, Diamondback will beneficially own approximately 52% of our outstanding Common Stock, on a fully diluted basis. For so long as Diamondback continues to have voting power over a significant percentage of our capital stock, even at times when such amount is less than 50%, it will be able to significantly influence the composition of our board of directors and the approval of actions requiring stockholder approval. Although the holders of our Common Stock are entitled to vote on all matters on which stockholders of a corporation are generally entitled to vote on under the Delaware General Corporation Law (the “DGCL”), including the election of our board of directors, pursuant to our certificate of incorporation, for so long as Diamondback and any of its subsidiaries collectively beneficially own at least 25% of our outstanding Common Stock (i) Diamondback has the right to designate up to three persons to serve as members of our board of directors, and (ii) our board of directors may not appoint any person other than a Diamondback seconded employee as an executive officer of our company unless such appointment is approved, in advance, by either (x) Diamondback (which approval may not be unreasonably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withheld or conditioned), or (y) the affirmative vote of the holders of at least 80% of the voting power of our capital stock. Currently, there are two Diamondback designees to our board of directors—Travis Stice and Kaes Van’t Hof. Further, in connection with the Conversion, we entered into the services and secondment agreement with Diamondback E&amp;P LLC and OpCo, pursuant to which Diamondback continues to provide personnel and general and administrative services to us and OpCo, including the services of the executive officers and other employees, in a similar manner as Diamondback provided to us before the Conversion. Accordingly, Diamondback will have significant influence with respect to our board of directors, management, business plans and policies, including the appointment and removal of our officers. In particular, for so long as Diamondback continues to beneficially own a significant percentage of our capital stock, it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02" w:lineRule="exact"/>
        <w:rPr>
          <w:sz w:val="20"/>
          <w:szCs w:val="20"/>
          <w:color w:val="auto"/>
        </w:rPr>
      </w:pPr>
    </w:p>
    <w:p>
      <w:pPr>
        <w:jc w:val="both"/>
        <w:ind w:firstLine="643"/>
        <w:spacing w:after="0" w:line="267" w:lineRule="auto"/>
        <w:rPr>
          <w:sz w:val="20"/>
          <w:szCs w:val="20"/>
          <w:color w:val="auto"/>
        </w:rPr>
      </w:pPr>
      <w:r>
        <w:rPr>
          <w:rFonts w:ascii="Times New Roman" w:cs="Times New Roman" w:eastAsia="Times New Roman" w:hAnsi="Times New Roman"/>
          <w:sz w:val="17"/>
          <w:szCs w:val="17"/>
          <w:color w:val="auto"/>
        </w:rPr>
        <w:t>We do not have any employees and we rely solely on Diamondback to provide us with personnel and general and administrative services, including the services of the executive officers, senior management and other employees, under the terms and conditions of the services and secondment agreement discussed above. Because Diamondback provides services to us that are similar to those it performs for itself and its affiliates, it may not have sufficient human, technical and other resources to provide those services at a level that it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Diamondback does not devote sufficient attention to the management and operation of our business or otherwise breaches the provisions of the services and secondment agreement, our financial results may suffer and our ability to pay dividends to our stockholders may be reduced. Many key responsibilities within our business have been assigned to a small number of individuals. The loss of their services could adversely affect our business. In particular, the loss of the services of one or more members of the executive team could disrupt our business. Further, we do not maintain “key person” life insurance policies on any of our executive team or other key personnel. As a result, we are not insured against any losses resulting from the death of these key individuals.</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State and local income and other tax reimbursements due to Diamondback for our share of state and local and other taxes borne by Diamondback will reduce cash available for dividends to our common stockholders.</w:t>
      </w:r>
    </w:p>
    <w:p>
      <w:pPr>
        <w:spacing w:after="0" w:line="18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The reimbursement of our share of state and local income and other taxes borne by Diamondback will reduce the amount of cash available for dividends from us to our common stockholders.</w:t>
      </w:r>
    </w:p>
    <w:p>
      <w:pPr>
        <w:spacing w:after="0" w:line="20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shares of Class A Common Stock could be adversely affected by sales of substantial amounts of our Class A Common Stock in the public or private markets.</w:t>
      </w:r>
    </w:p>
    <w:p>
      <w:pPr>
        <w:spacing w:after="0" w:line="185"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Sales by holders of a substantial number of our Class A Common Stock in the public markets, or the perception that such sales might occur, could have a material adverse effect on the price of our Class A Common Stock or could impair our ability to obtain capital through an offering of equity securities. In addition, we have provided registration rights to Diamondback and other parties. Pursuant to these registration rights, we have registered, under the Securities Act, all of the Class A Common Stock owned by Diamondback and those other parties for resale (including Class A Common Stock issuable in respect of the Class B Common Stock under the related exchange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 legislation may adversely affect our business, results of operations, financial condition and cash flow.</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available with respect to natural gas and oil exploration, development or similar activities, could adversely affect our business, results of operations, financial condition and cash flow.</w:t>
      </w:r>
    </w:p>
    <w:p>
      <w:pPr>
        <w:spacing w:after="0" w:line="19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IRA, which, among other changes, imposes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If we are or become subject to CAMT including as a result of our affiliation with Diamondback, our cash tax obligations for U.S. federal income taxes could be significantly accelerated.</w:t>
      </w:r>
    </w:p>
    <w:p>
      <w:pPr>
        <w:spacing w:after="0" w:line="208"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IRA also imposes an excise tax of 1% on the fair market value of certain public company stock repurchases occurring on or after January 1, 2023. The excise tax is imposed on the repurchasing corporation, and the amount of the excise tax is generally 1% of the aggregate fair market value of the stock repurchased during the taxable year. However, for purposes of calculating the excise tax, repurchasing corporations are permitted to net the fair market value of certain new stock issuances against the fair market value of stock repurchases during the same taxable year. To the extent the 1% excise tax applies to repurchases of shares under our common stock repurchase program, the number of shares we repurchase and our cash flow may be affected.</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U.S. Treasury Department, the Internal Revenue Service and other standard-setting bodies are expected to issue additional guidance on how CAMT, stock buyback excise tax and other provisions of the IRA will be applied or otherwise administered that may differ from our interpretations. We continue to evaluate the IRA and its effect on our financial results and operating cash flow.</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for certain types of lawsuits may have the effect of discouraging lawsuits against us and our directors, officers and stockholders.</w:t>
      </w:r>
    </w:p>
    <w:p>
      <w:pPr>
        <w:spacing w:after="0" w:line="185"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any claim, demand, action, suit or proceeding, whether civil, criminal, administrative or investigative, and whether formal or informal, and including appeals, arising out of or relating in any way to our certificate of incorporation or any of our stock may only be brought in the Court of Chancery of the State of Delaware or, if such court does not have subject matter jurisdiction thereof, any other court in the State of Delaware with subject matter jurisdiction. This provision may have the effect of discouraging lawsuits against us and our directors, officers and stockholders.</w:t>
      </w:r>
    </w:p>
    <w:p>
      <w:pPr>
        <w:spacing w:after="0" w:line="2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does not limit the ability of Diamondback and certain of its directors, principals, officers, employees and their respective affiliates to compete with us.</w:t>
      </w:r>
    </w:p>
    <w:p>
      <w:pPr>
        <w:spacing w:after="0" w:line="18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none of Diamondback, any of its directors, principals, officers, employees or respective affiliates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spacing w:after="0" w:line="208"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These persons also may pursue acquisition opportunities that may be complementary to our business, and, as a result, those acquisition opportunities may not be available to the Company. In addition, these persons may have an interest in our pursuing acquisitions, divestitures and other transactions that, in their judgment, could enhance their investment, even though such transactions might involve risks to our common stockholders.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85"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may make the merger or acquisition of our company more difficult without the approval of our board of directors. Among other things, these provisions 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 prohibit stockholder action by written consent unless such action is consented to by the board of directors; provide for certain limitations on convening special stockholder meetings; provide (i) that the board of directors is expressly authorized to make, alter, or repeal our bylaws, and (ii) that our stockholders may only amend our bylaws with the approval of at least a majority of all of the outstanding shares of our capital stock entitled to vote; and establish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advance notice requirements for nominations for elections to our board or for proposing matters that can be acted upon by stockholders at stockholder meetings.</w:t>
      </w:r>
    </w:p>
    <w:p>
      <w:pPr>
        <w:spacing w:after="0" w:line="19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Further, as a Delaware corporation, we are also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ability to pay base and variable dividends to the holders of our Class A Common Stock or make share repurchases under our repurchase program may be limited by requirements under our certificate of incorporation, our holding company structure, applicable provisions of Delaware law and contractual restrictions or obligations.</w:t>
      </w:r>
    </w:p>
    <w:p>
      <w:pPr>
        <w:spacing w:after="0" w:line="20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Under our current dividend policy, we pay quarterly base plus variable cash dividends on our Class A Common Stock. The outstanding shares of Class B Common Stock are entitled to an aggregate quarterly preferred dividend of $20,000 in cash. Other than the insignificant preferred dividend requirement, we are not required to pay dividends to our stockholders on a quarterly or other basis, and declaration of any other dividends in the future will be solely in the discretion of our board of directors, which may change our dividend policy at any time. Our ability to pay cash dividends to holders of our Class A Common Stock depends on a number of factors, including among other things, general economic and business conditions, our strategic plans and prospects, our businesses and investment opportunities, our financial condition and operating results, capital requirements and other anticipated cash needs, contractual restrictions and obligations, legal, tax and regulatory restrictions and other factors.</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Additionally, as a holding company, our ability to pay dividends or repurchase shares of our Class A Common Stock is subject to the ability of our operating subsidiary OpCo and any future subsidiaries to provide cash to us. Viper Energy, Inc. has no material assets other than its membership interest in OpCo, which holds all of the mineral and royalty interests and other assets consolidated on our balance sheet.</w:t>
      </w:r>
    </w:p>
    <w:p>
      <w:pPr>
        <w:spacing w:after="0" w:line="203"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Under the DGCL we may only pay dividends to our stockholders out of (i) our surplus, as defined and computed under the provisions of the DGCL, or (ii) our net profits for the fiscal year in which the dividend is declared and/or the preceding fiscal year. If we do not have sufficient surplus or net profits, we will be prohibited by law from paying any such dividend. In addition, the terms of the OpCo’s revolving credit facility include, and any other debt instruments or financing arrangements may from time to time include covenants or other restrictions that could constrain our ability to pay dividends, make other distributions or repurchase shares of our Class A Common Stock. Our certificate of incorporation contains provisions authorizing us to issue series of preferred stock that may have designations, preferences, rights, powers and duties that are different from, and may be senior to, those applicable to our Class A Common Stock.</w:t>
      </w:r>
    </w:p>
    <w:p>
      <w:pPr>
        <w:spacing w:after="0" w:line="21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For additional information regarding stockholders’ equity and our repurchase program, 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in Item 8. Financial Statements and Supplementary Data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2025 Drop Down</w:t>
      </w:r>
    </w:p>
    <w:p>
      <w:pPr>
        <w:spacing w:after="0" w:line="2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complete the Pending 2025 Drop Down is subject to various closing conditions outside of our control, including approval by the majority of unaffiliated stockholders and regulatory clearance.</w:t>
      </w:r>
    </w:p>
    <w:p>
      <w:pPr>
        <w:spacing w:after="0" w:line="185"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Pending 2025 Drop Down is subject to a number of conditions to closing as specified in the equity purchase agreement for the Pending 2025 Drop Down. These closing conditions include, among others, (i) the approval of the Pending 2025 Drop Down by (a) the holders of a majority of the voting power of our Common Stock entitled to vote on such proposal, voting together as a single class, at the special meeting of our stockholders, excluding the shares beneficially owned by Diamondback and its subsidiaries, and (b) the holders of a majority of our outstanding Common Stock, in each case as required by Delaware law, (ii) the expiration or termination of the waiting period under the HSR Act relating to the Pending 2025 Drop Down and (iii) the satisfaction or waiver of other customary closing conditions. The Equity Issuance is subject to the approval by our stockholders representing a majority of the total votes cast at the special meeting on such proposal, as required by the rules of the Nasdaq Stock Market LLC.</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We expect to hold the special meeting of our stockholders and close the Pending 2025 Drop Down during the second quarter of 2025. No assurance can be given, however, that the requisite stockholder approvals or the HSR Act regulatory clearance will be obtained or that the other required closing conditions will be satisfied. Even if the requisite stockholder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approvals and the HSR regulatory clearance are obtained, no assurance can be given as to the timing of such approval or clearance. Any delay in completing the Pending 2025 Drop Down could cause us not to be able to realize, or to be delayed in realizing, some or all of the benefits that we expect to achieve if the Pending 2025 Drop Down is successfully completed within its expected time frame. We cannot provide any assurance that these conditions will not result in the abandonment or delay of the Pending 2025 Drop Down. The occurrence of any of these events individually or in combination could have a material adverse effect on our results of operations and the trading price of our Class A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realize anticipated cash flows or other benefits from the Pending 2025 Drop Down.</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Our ability to achieve the anticipated benefits from the Pending 2025 Drop Down will depend in part upon an assessment of several factors, including:</w:t>
      </w:r>
    </w:p>
    <w:p>
      <w:pPr>
        <w:spacing w:after="0" w:line="190"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recoverable reserves;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natural gas and oil prices and their appropriate differentials;</w:t>
      </w:r>
    </w:p>
    <w:p>
      <w:pPr>
        <w:spacing w:after="0" w:line="7"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production on the mineral and royalty acreage subject to the Pending 2025 Drop Down and Diamondback’s plans with respect to such Diamondback-operated acreage;</w:t>
      </w: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title defects;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regulatory, permitting and similar matters.</w:t>
      </w:r>
    </w:p>
    <w:p>
      <w:pPr>
        <w:spacing w:after="0" w:line="229"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accuracy of these assessments is inherently uncertain. In connection with these assessments, we have performed a review of the subject properties that we believe to be generally consistent with industry practices. Our review may not reveal all existing or potential problems or permit us to become sufficiently familiar with the assets to fully assess their deficiencies and potential recoverable reserves. Inspections will not always be performed on every well, and structural and environmental problems are not necessarily observable even when an inspection is undertaken. The integration process may be subject to delays or changed circumstances, and we can give no assurance that the Endeavor Mineral and Royalty Interests will generate cash flow in accordance with our expectations. Significant acquisitions, such as the Pending 2025 Drop Down, and other strategic transactions may involve other risks that may cause our business to be adversely impacted, including:</w:t>
      </w:r>
    </w:p>
    <w:p>
      <w:pPr>
        <w:spacing w:after="0" w:line="213"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to evaluating and negotiating significant acquisitions and strategic transactions; and</w:t>
      </w:r>
    </w:p>
    <w:p>
      <w:pPr>
        <w:spacing w:after="0" w:line="26"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full benefit that we expect in estimated proved reserves, production volume or other benefits anticipated from an acquisition, or to realize these benefits within the expected time frame.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Diamondback provides us with personnel and general and administrative services pursuant to the services and secondment agreement, including the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Diamondback’s systems, identify and remediate on a regular basis vulnerabilities in Diamondback’s systems and related infrastructure and monitor and mitigate the risk of data loss and other cybersecurity threats. Diamondback has also engaged third-party consultants to conduct penetration testing and risk assessments. Diamondback’s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spacing w:after="0" w:line="216"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Diamondback’s cybersecurity risk management program is integrated into its overall enterprise risk management program, and shares common methodologies, reporting channels and governance processes that apply across the enterprise risk management program to other legal, compliance, strategic, operational, and financial risk areas that apply to us.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Diamondback’s cybersecurity risk management program, which it provides to us under the services and secondment agreement, includes:</w:t>
      </w:r>
    </w:p>
    <w:p>
      <w:pPr>
        <w:spacing w:after="0" w:line="248" w:lineRule="exact"/>
        <w:rPr>
          <w:sz w:val="20"/>
          <w:szCs w:val="20"/>
          <w:color w:val="auto"/>
        </w:rPr>
      </w:pPr>
    </w:p>
    <w:p>
      <w:pPr>
        <w:ind w:left="640" w:hanging="312"/>
        <w:spacing w:after="0" w:line="27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critical systems, information, products, services, and the broader enterprise IT and operational technology (“OT”) environments;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right="20" w:hanging="312"/>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cybersecurity risk assessment processes, (ii) security controls, and (iii) its response to cybersecurity incidents;</w:t>
      </w: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train or otherwise assist with aspects of its security controls;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tools deployed in the IT and OT environments for protection against and monitoring for suspicious activity;</w:t>
      </w:r>
    </w:p>
    <w:p>
      <w:pPr>
        <w:spacing w:after="0" w:line="7" w:lineRule="exact"/>
        <w:rPr>
          <w:rFonts w:ascii="Times New Roman" w:cs="Times New Roman" w:eastAsia="Times New Roman" w:hAnsi="Times New Roman"/>
          <w:sz w:val="18"/>
          <w:szCs w:val="18"/>
          <w:color w:val="auto"/>
        </w:rPr>
      </w:pPr>
    </w:p>
    <w:p>
      <w:pPr>
        <w:ind w:left="640" w:right="20" w:hanging="312"/>
        <w:spacing w:after="0" w:line="24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its employees, including incident response personnel and senior management, including those who provide these services for us;</w:t>
      </w: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tabletop exercises for members of its cybersecurity incident response team and legal department;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2"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Diamondback’s cybersecurity governance program is led by its Senior Vice President and Chief Information Officer, with support from the internal information technology department. Diamondback’s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Diamondback’s Senior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Diamondback’s cybersecurity incident response team is responsible for responding to cybersecurity incidents in accordance with its Computer Security Incident Response Plan. Progress and developments in Diamondback’s cybersecurity governance program are communicated to members of its and our executive team. Diamondback’s and our management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Diamondback; and alerts and reports produced by security tools deployed in the enterprise IT and OT environments.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the risk management strategy and continues to be an area of increasing focus for our board, the audit committee and management.</w:t>
      </w:r>
    </w:p>
    <w:p>
      <w:pPr>
        <w:spacing w:after="0" w:line="219"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The audit committee of the board of directors receives quarterly updates on the status of Diamondback’s cybersecurity governance program, including as related to new or developing initiatives and any security incidents that may occur, to the extent relevant to our program. Board members receive presentations on cybersecurity topics from Diamondback’s Senior Vice President and Chief Information Officer as part of the board’s continuing education on topics that impact public companies. Further, Diamondback’s code of business conduct and ethics expects all employees to safeguard the electronic communications systems and related technologies of Diamondback and its subsidiaries, including us, from theft, fraud, unauthorized access, alteration or other damage and requires them to report any cyberattacks or incidents, improper access or theft to Diamondback’s Chief Legal and Administrative Officer and Senior Vice President and Chief Information Officer. Diamondback’s cybersecurity governance program also includes processes to assess cybersecurity risks related to third-party service providers, suppliers and vendors. Diamondback’s vendor management process may include reviewing the cybersecurity practices of such providers, contractually imposing obligations on the providers, conducting security assessments and conducting periodic reassessments during their engagement.</w:t>
      </w:r>
    </w:p>
    <w:p>
      <w:pPr>
        <w:spacing w:after="0" w:line="21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 xml:space="preserve">Risks from cybersecurity threats have not materially affected, and are not currently anticipated to materially affect, our Company, including our business strategy, results of operations or financial condition. See, however,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report for additional information regarding cybersecurity risks we face and their potential impact on our business strategy,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auto"/>
        </w:rPr>
        <w:t xml:space="preserve"> in Item 8. Financial Statements and Supplementary Data of this report.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Holders of Record</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Shares of our Class A Common Stock are listed on the Nasdaq Global Select Market under the symbol “VNOM.” There were five holders of record of our Class A Common Stock on February 21, 2025. There is no trading market for our Class B Common Stock; however, shares of our Class B Common Stock, together with an equal number of OpCo Units, are exchangeable for the same number of shares of our Class A Common Stock at the discretion of the holders under the terms and conditions of the applicable exchange agreement with such holders. There were four holders of record of our Class B Common Stock on February 21,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 Policy</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Under our current dividend policy, we intend to pay a base dividend, as well as a variable dividend that takes into account capital returned to stockholders via our stock repurchase program. We currently intend to pay quarterly variable dividends of at least 75% of our available cash less the base dividend declared and the amount paid in stock repurchases as part of our buyback program for the applicable quarter.</w:t>
      </w:r>
    </w:p>
    <w:p>
      <w:pPr>
        <w:spacing w:after="0" w:line="20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Our available cash and the available cash of the Operating Company for each quarter is determined by our board of directors following the end of such quarter. We expect that our available cash will generally equal the Adjusted EBITDA (as defined below) attributable to us for the applicable quarter, less cash needed for income taxes payable, debt service, contractual obligations, fixed charges and reserves for future operating or capital needs that our board of directors deems necessary or appropriate, lease bonus income (net of applicable taxes), distribution equivalent rights payments and preferred distributions.</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percentage of cash available for distribution by the Operating Company to us pursuant to the distribution policy may change quarterly to enable the Operating Company to retain cash flow to help strengthen our balance sheet while also expanding the return of capital program through our stock repurchase program.</w:t>
      </w:r>
    </w:p>
    <w:p>
      <w:pPr>
        <w:spacing w:after="0" w:line="20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We are also required to pay a quarterly preferred dividend in respect of our Class B Common Stock in the aggregate amount of $20,000 per quarter. Other than the preferred dividend requirement, we are not required to pay dividends to our stockholders on a quarterly or other basis, and declaration of any other dividends in the future will be solely in the discretion of our board of directors.</w:t>
      </w:r>
    </w:p>
    <w:p>
      <w:pPr>
        <w:spacing w:after="0" w:line="20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Adjusted EBITDA is a supplemental non-GAAP financial measure that is used by management and external users of our financial statements, such as industry analysts, investors, lenders and rating agencies. We define Adjusted EBITDA as net income (loss) attributable to us plus net income (loss) attributable to non-controlling interest (“net income (loss)”) before interest expense, net, non-cash share-based compensation expense, depletion, non-cash (gain) loss on derivative instruments, (gain) loss on extinguishment of debt, if any, other non-cash operating expenses, other non-recurring expenses and provision for (benefit from) income taxes.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repurchase activity for shares of our Class A Common Stock for the three months ended December 31, 2024 was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20" w:type="dxa"/>
            <w:vAlign w:val="bottom"/>
            <w:gridSpan w:val="2"/>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60" w:type="dxa"/>
            <w:vAlign w:val="bottom"/>
          </w:tcPr>
          <w:p>
            <w:pPr>
              <w:spacing w:after="0"/>
              <w:rPr>
                <w:sz w:val="13"/>
                <w:szCs w:val="13"/>
                <w:color w:val="auto"/>
              </w:rPr>
            </w:pPr>
          </w:p>
        </w:tc>
        <w:tc>
          <w:tcPr>
            <w:tcW w:w="2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220" w:type="dxa"/>
            <w:vAlign w:val="bottom"/>
          </w:tcPr>
          <w:p>
            <w:pPr>
              <w:spacing w:after="0"/>
              <w:rPr>
                <w:sz w:val="13"/>
                <w:szCs w:val="13"/>
                <w:color w:val="auto"/>
              </w:rPr>
            </w:pPr>
          </w:p>
        </w:tc>
        <w:tc>
          <w:tcPr>
            <w:tcW w:w="19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5"/>
        </w:trPr>
        <w:tc>
          <w:tcPr>
            <w:tcW w:w="39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6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201"/>
        </w:trPr>
        <w:tc>
          <w:tcPr>
            <w:tcW w:w="3920" w:type="dxa"/>
            <w:vAlign w:val="bottom"/>
            <w:gridSpan w:val="2"/>
            <w:vMerge w:val="continue"/>
          </w:tcPr>
          <w:p>
            <w:pPr>
              <w:spacing w:after="0"/>
              <w:rPr>
                <w:sz w:val="17"/>
                <w:szCs w:val="17"/>
                <w:color w:val="auto"/>
              </w:rPr>
            </w:pPr>
          </w:p>
        </w:tc>
        <w:tc>
          <w:tcPr>
            <w:tcW w:w="1380" w:type="dxa"/>
            <w:vAlign w:val="bottom"/>
          </w:tcPr>
          <w:p>
            <w:pPr>
              <w:jc w:val="right"/>
              <w:ind w:right="17"/>
              <w:spacing w:after="0" w:line="201"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7"/>
                <w:szCs w:val="17"/>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Part of Publicly Announced Plan</w:t>
            </w:r>
          </w:p>
        </w:tc>
        <w:tc>
          <w:tcPr>
            <w:tcW w:w="212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Purchased Under the Plan</w:t>
            </w:r>
            <w:r>
              <w:rPr>
                <w:rFonts w:ascii="Times New Roman" w:cs="Times New Roman" w:eastAsia="Times New Roman" w:hAnsi="Times New Roman"/>
                <w:sz w:val="9"/>
                <w:szCs w:val="9"/>
                <w:b w:val="1"/>
                <w:bCs w:val="1"/>
                <w:color w:val="auto"/>
              </w:rPr>
              <w:t>(2)(3)</w:t>
            </w:r>
          </w:p>
        </w:tc>
        <w:tc>
          <w:tcPr>
            <w:tcW w:w="0" w:type="dxa"/>
            <w:vAlign w:val="bottom"/>
          </w:tcPr>
          <w:p>
            <w:pPr>
              <w:spacing w:after="0"/>
              <w:rPr>
                <w:sz w:val="1"/>
                <w:szCs w:val="1"/>
                <w:color w:val="auto"/>
              </w:rPr>
            </w:pPr>
          </w:p>
        </w:tc>
      </w:tr>
      <w:tr>
        <w:trPr>
          <w:trHeight w:val="187"/>
        </w:trPr>
        <w:tc>
          <w:tcPr>
            <w:tcW w:w="3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c>
          <w:tcPr>
            <w:tcW w:w="0" w:type="dxa"/>
            <w:vAlign w:val="bottom"/>
          </w:tcPr>
          <w:p>
            <w:pPr>
              <w:spacing w:after="0"/>
              <w:rPr>
                <w:sz w:val="1"/>
                <w:szCs w:val="1"/>
                <w:color w:val="auto"/>
              </w:rPr>
            </w:pPr>
          </w:p>
        </w:tc>
      </w:tr>
      <w:tr>
        <w:trPr>
          <w:trHeight w:val="22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54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434,161</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c>
          <w:tcPr>
            <w:tcW w:w="0" w:type="dxa"/>
            <w:vAlign w:val="bottom"/>
          </w:tcPr>
          <w:p>
            <w:pPr>
              <w:spacing w:after="0"/>
              <w:rPr>
                <w:sz w:val="1"/>
                <w:szCs w:val="1"/>
                <w:color w:val="auto"/>
              </w:rPr>
            </w:pPr>
          </w:p>
        </w:tc>
      </w:tr>
      <w:tr>
        <w:trPr>
          <w:trHeight w:val="221"/>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60" w:type="dxa"/>
            <w:vAlign w:val="bottom"/>
          </w:tcPr>
          <w:p>
            <w:pPr>
              <w:spacing w:after="0"/>
              <w:rPr>
                <w:sz w:val="19"/>
                <w:szCs w:val="19"/>
                <w:color w:val="auto"/>
              </w:rPr>
            </w:pPr>
          </w:p>
        </w:tc>
        <w:tc>
          <w:tcPr>
            <w:tcW w:w="25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320" w:hanging="313"/>
        <w:spacing w:after="0" w:line="259"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2,295 shares of Class A Common Stock repurchased from employees in order to satisfy tax withholding requirements. Such shares are cancelled and retired immediately upon repurchase.</w:t>
      </w:r>
    </w:p>
    <w:p>
      <w:pPr>
        <w:jc w:val="both"/>
        <w:ind w:left="320" w:hanging="313"/>
        <w:spacing w:after="0" w:line="248"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2022, the board of directors increased the authorization under our then-in-effect repurchase program from $250.0 million to $750.0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presented exclude such excise tax,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following performance graph includes a comparison of our cumulative total stockholder return over a five-year period with the cumulative total returns of the Standard &amp; Poor’s 500 Stock Index, or the S&amp;P 500 Index, and the SPDR S&amp;P Oil &amp; Gas Exploration and Production ETF, or XOP Index. The graph assumes an investment of $100 on December 31, 2019,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140970</wp:posOffset>
            </wp:positionV>
            <wp:extent cx="5212080" cy="3230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323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Calculated Values</w:t>
            </w: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$268.08</w:t>
            </w: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w:t>
            </w: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XOP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2"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The following discussion and analysis should be read in conjunction with our consolidated financial statements and notes thereto presented in </w:t>
      </w:r>
      <w:r>
        <w:rPr>
          <w:rFonts w:ascii="Times New Roman" w:cs="Times New Roman" w:eastAsia="Times New Roman" w:hAnsi="Times New Roman"/>
          <w:sz w:val="17"/>
          <w:szCs w:val="17"/>
          <w:i w:val="1"/>
          <w:iCs w:val="1"/>
          <w:u w:val="single" w:color="auto"/>
          <w:color w:val="0000FF"/>
        </w:rPr>
        <w:t>Item</w:t>
      </w:r>
    </w:p>
    <w:p>
      <w:pPr>
        <w:spacing w:after="0" w:line="40" w:lineRule="exact"/>
        <w:rPr>
          <w:sz w:val="20"/>
          <w:szCs w:val="20"/>
          <w:color w:val="auto"/>
        </w:rPr>
      </w:pPr>
    </w:p>
    <w:p>
      <w:pPr>
        <w:jc w:val="both"/>
        <w:ind w:firstLine="7"/>
        <w:spacing w:after="0" w:line="251" w:lineRule="auto"/>
        <w:tabs>
          <w:tab w:leader="none" w:pos="202" w:val="left"/>
        </w:tabs>
        <w:numPr>
          <w:ilvl w:val="0"/>
          <w:numId w:val="18"/>
        </w:numPr>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u w:val="single" w:color="auto"/>
          <w:color w:val="0000FF"/>
        </w:rPr>
        <w:t>Financial Statements and Supplementary Data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of this report. The following discussion contains “forward-looking statements” that reflect our future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 xml:space="preserve">plans, estimates, beliefs, and expected performance. Actual results and the timing of events may differ materially from those contained in these forward-looking statements due to a number of factors discussed further in </w:t>
      </w:r>
      <w:r>
        <w:rPr>
          <w:rFonts w:ascii="Times New Roman" w:cs="Times New Roman" w:eastAsia="Times New Roman" w:hAnsi="Times New Roman"/>
          <w:sz w:val="18"/>
          <w:szCs w:val="18"/>
          <w:i w:val="1"/>
          <w:iCs w:val="1"/>
          <w:u w:val="single" w:color="auto"/>
          <w:color w:val="0000FF"/>
        </w:rPr>
        <w:t>Item 1A. Risk Factors</w:t>
      </w:r>
      <w:r>
        <w:rPr>
          <w:rFonts w:ascii="Times New Roman" w:cs="Times New Roman" w:eastAsia="Times New Roman" w:hAnsi="Times New Roman"/>
          <w:sz w:val="18"/>
          <w:szCs w:val="18"/>
          <w:i w:val="1"/>
          <w:iCs w:val="1"/>
          <w:color w:val="000000"/>
        </w:rPr>
        <w:t xml:space="preserve"> and </w:t>
      </w:r>
      <w:r>
        <w:rPr>
          <w:rFonts w:ascii="Times New Roman" w:cs="Times New Roman" w:eastAsia="Times New Roman" w:hAnsi="Times New Roman"/>
          <w:sz w:val="18"/>
          <w:szCs w:val="18"/>
          <w:i w:val="1"/>
          <w:iCs w:val="1"/>
          <w:u w:val="single" w:color="auto"/>
          <w:color w:val="0000FF"/>
        </w:rPr>
        <w:t>Cautionary Statement Regarding Forward-Looking Statements</w:t>
      </w:r>
      <w:r>
        <w:rPr>
          <w:rFonts w:ascii="Times New Roman" w:cs="Times New Roman" w:eastAsia="Times New Roman" w:hAnsi="Times New Roman"/>
          <w:sz w:val="18"/>
          <w:szCs w:val="18"/>
          <w:i w:val="1"/>
          <w:iCs w:val="1"/>
          <w:color w:val="000000"/>
        </w:rPr>
        <w:t xml:space="preserve"> of this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We are a publicly traded Delaware corporation focused on owning and acquiring mineral and royalty interests in oil and natural gas properties primarily in the Permian Basin. We operate in one reportable segment.</w:t>
      </w:r>
    </w:p>
    <w:p>
      <w:pPr>
        <w:spacing w:after="0" w:line="190" w:lineRule="exact"/>
        <w:rPr>
          <w:sz w:val="20"/>
          <w:szCs w:val="20"/>
          <w:color w:val="auto"/>
        </w:rPr>
      </w:pPr>
    </w:p>
    <w:p>
      <w:pPr>
        <w:jc w:val="both"/>
        <w:ind w:firstLine="643"/>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following discussion includes a comparison of our results of operations, including changes in our operating income, and liquidity and capital resources for fiscal year 2024 and fiscal year 2023. A discussion of changes in our results of operations from fiscal year 2023 compared to fiscal year 2022 </w:t>
      </w:r>
      <w:hyperlink r:id="rId57">
        <w:r>
          <w:rPr>
            <w:rFonts w:ascii="Times New Roman" w:cs="Times New Roman" w:eastAsia="Times New Roman" w:hAnsi="Times New Roman"/>
            <w:sz w:val="18"/>
            <w:szCs w:val="18"/>
            <w:color w:val="auto"/>
          </w:rPr>
          <w:t xml:space="preserve">has been omitted from this report, but may be found in </w:t>
        </w:r>
        <w:r>
          <w:rPr>
            <w:rFonts w:ascii="Times New Roman" w:cs="Times New Roman" w:eastAsia="Times New Roman" w:hAnsi="Times New Roman"/>
            <w:sz w:val="18"/>
            <w:szCs w:val="18"/>
            <w:u w:val="single" w:color="auto"/>
            <w:color w:val="0000FF"/>
          </w:rPr>
          <w:t>Item 7. Management’s Discussion and Analysis of Financial Condition and Results of Operations of</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FF"/>
          </w:rPr>
          <w:t>our Annual Report on Form 10-K for the fiscal year ended December 31, 2023</w:t>
        </w:r>
        <w:r>
          <w:rPr>
            <w:rFonts w:ascii="Times New Roman" w:cs="Times New Roman" w:eastAsia="Times New Roman" w:hAnsi="Times New Roman"/>
            <w:sz w:val="18"/>
            <w:szCs w:val="18"/>
            <w:color w:val="000000"/>
          </w:rPr>
          <w:t>, filed with the SEC on February 22, 2024, and is incorporated by reference in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this report from such prior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2025 Transactions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Morita Ranches Acquisition</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February 14, 2025, we completed the Morita Ranches Acquisition for consideration consisting of approximately (i) $211.0 million in cash and</w:t>
      </w:r>
    </w:p>
    <w:p>
      <w:pPr>
        <w:spacing w:after="0" w:line="26" w:lineRule="exact"/>
        <w:rPr>
          <w:sz w:val="20"/>
          <w:szCs w:val="20"/>
          <w:color w:val="auto"/>
        </w:rPr>
      </w:pPr>
    </w:p>
    <w:p>
      <w:pPr>
        <w:jc w:val="both"/>
        <w:ind w:firstLine="7"/>
        <w:spacing w:after="0" w:line="251" w:lineRule="auto"/>
        <w:tabs>
          <w:tab w:leader="none" w:pos="2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million OpCo Units together with an equal number of shares of Class B Common Stock to be issued to the Morita Ranches Equity Recipients, subject to certain transaction costs and post-closing adjustments. The mineral and royalty interests acquired in the Morita Ranches Acquisition represent approximately 1,691 net royalty acres located in the Permian Basin. We funded the cash consideration for the Morita Ranches Acquisition with cash on hand.</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2025 Equity Offering</w:t>
      </w:r>
    </w:p>
    <w:p>
      <w:pPr>
        <w:spacing w:after="0" w:line="250"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On February 3, 2025, we completed an underwritten public offering of approximately 28.34 million shares of our Class A Common Stock, which included approximately 3.70 million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We intend to use the proceeds from the 2025 Equity Offering to fund the cash consideration for the Pending 2025 Drop Down, if it closes, and will use the remaining proceeds for general corporate purposes. If the Pending 2025 Drop Down does not close, we will use the proceeds from the 2025 Equity Offering for general corporate purposes.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Pending 2025 Drop Down Transaction</w:t>
      </w:r>
    </w:p>
    <w:p>
      <w:pPr>
        <w:spacing w:after="0" w:line="250"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On January 30, 2025, we and the Operating Company entered into a definitive equity purchase agreement with Endeavor and the Endeavor Subsidiaries, each of which is a subsidiary of Diamondback, to acquire the Endeavor Subsidiaries from Endeavor for consideration consisting of (i) $1.0 billion in cash and (ii) the issuance of approximately 69.63 million OpCo Units and an equivalent number of shares of our Class B Common Stock, in each case subject to customary closing adjustments, including, among other things, for net title benefits. The mineral and royalty interests acquired in the Pending 2025 Drop Down represent approximately 22,847 net royalty acres in the Permian Basin, 69% of which are operated by Diamondback. The Pending 2025 Drop Down is expected to close in the second quarter of 2025, subject to certain conditions discussed further in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in Item 8. Financial Statements and Supplementary Data of this report.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in Item 8. Financial Statements and Supplementary Data of this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 and Divestitures Update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Tumbleweed Acquisitions</w:t>
      </w:r>
    </w:p>
    <w:p>
      <w:pPr>
        <w:spacing w:after="0" w:line="2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October 1, 2024, we completed the TWR Acquisition for consideration consisting of approximately (i) $464.2 million in cash, including transaction costs and certain customary post-closing adjustments, (ii) 10.09 million OpCo Units to TWR IV, (iii) the TWR Class B Option, and (iv) contingent cash consideration of up to $41.0 million, payable in January of 2026, based on the WTI 2025 Average. The mineral and royalty interests acquired in the TWR Acquisition represent approximately 3,067 net royalty acres located primarily in the Permian Basin.</w:t>
      </w:r>
    </w:p>
    <w:p>
      <w:pPr>
        <w:spacing w:after="0" w:line="20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On September 3, 2024, we completed (i) the Q Acquisition, which consisted of approximately 406 net royalty acres primarily in the Permian Basin, for a purchase price of approximately $114.0 million in cash, including transaction costs and certain customary post-closing adjustments, and contingent cash consideration of up to $5.4 million payable in January of 2026, based on the WTI 2025 Average and (ii) the M Acquisition, which consisted of approximately 267 net royalty acres primarily in the Permian Basin, for a purchase price of approximately $76.1 million in cash, including transaction costs and certain customary post-closing adjustments, and contingent cash consideration of up to $3.6 million payable in January of 2026, based on the WTI 2025 Average.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During the year ended December 31, 2024, we acquired, in individually insignificant transactions from unrelated third-party sellers, mineral and royalty interests representing 261 net royalty acres in the Permian Basin for an aggregate net purchase price of approximately $54.2 million, including customary closing adjustments.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Divestiture</w:t>
      </w:r>
    </w:p>
    <w:p>
      <w:pPr>
        <w:spacing w:after="0" w:line="2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In the second quarter of 2024, we divested all of our non-Permian assets for a purchase price of approximately $87.2 million, including transaction costs and customary post-closing adjustments. The divested properties consisted of approximately 2,713 net royalty acres with current production of approximately 450 BO/d.</w:t>
      </w:r>
    </w:p>
    <w:p>
      <w:pPr>
        <w:spacing w:after="0" w:line="20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After giving effect to the recently completed Morita Ranches Acquisition and the Pending 2025 Drop Down, our footprint of mineral and royalty interests totaled approximately 60,209 net royalty acres, approximately 59% of which are operated by Diamondback.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in Item 8. Financial Statements and Supplementary Data of this report for further information.</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2024 Equity Offering</w:t>
      </w:r>
    </w:p>
    <w:p>
      <w:pPr>
        <w:spacing w:after="0" w:line="2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September 13, 2024, we completed an underwritten public offering of approximately 11.50 million shares of our Class A Common Stock, which included 1.50 million shares issued pursuant to an option to purchase additional shares of Class A Common Stock granted to the underwriters, at a price to the public of $42.50 per share for total net proceeds of approximately $475.9 million, after the underwriters’ discount and transaction costs (the “2024 Equity Offering”). The proceeds from the 2024 Equity Offering were primarily used to fund the cash portion of the TWR Acquisition.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Diamondback Offering</w:t>
      </w:r>
    </w:p>
    <w:p>
      <w:pPr>
        <w:spacing w:after="0" w:line="250" w:lineRule="exact"/>
        <w:rPr>
          <w:sz w:val="20"/>
          <w:szCs w:val="20"/>
          <w:color w:val="auto"/>
        </w:rPr>
      </w:pPr>
    </w:p>
    <w:p>
      <w:pPr>
        <w:jc w:val="both"/>
        <w:ind w:right="20" w:firstLine="643"/>
        <w:spacing w:after="0" w:line="263" w:lineRule="auto"/>
        <w:rPr>
          <w:sz w:val="20"/>
          <w:szCs w:val="20"/>
          <w:color w:val="auto"/>
        </w:rPr>
      </w:pPr>
      <w:r>
        <w:rPr>
          <w:rFonts w:ascii="Times New Roman" w:cs="Times New Roman" w:eastAsia="Times New Roman" w:hAnsi="Times New Roman"/>
          <w:sz w:val="18"/>
          <w:szCs w:val="18"/>
          <w:color w:val="auto"/>
        </w:rPr>
        <w:t>On March 8, 2024, Diamondback completed an underwritten public offering in which it sold approximately 13.2 million shares of our Class A Common Stock (the “Diamondback Offering”). See Note 1—</w:t>
      </w:r>
      <w:r>
        <w:rPr>
          <w:rFonts w:ascii="Times New Roman" w:cs="Times New Roman" w:eastAsia="Times New Roman" w:hAnsi="Times New Roman"/>
          <w:sz w:val="18"/>
          <w:szCs w:val="18"/>
          <w:u w:val="single" w:color="auto"/>
          <w:color w:val="0000FF"/>
        </w:rPr>
        <w:t>Organization and Basis of Presentation</w:t>
      </w:r>
      <w:r>
        <w:rPr>
          <w:rFonts w:ascii="Times New Roman" w:cs="Times New Roman" w:eastAsia="Times New Roman" w:hAnsi="Times New Roman"/>
          <w:sz w:val="18"/>
          <w:szCs w:val="18"/>
          <w:color w:val="auto"/>
        </w:rPr>
        <w:t xml:space="preserve"> in Item 8. Financial Statements and Supplementary Data of this report for further information.</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 and Certain Other Market Considerations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2024, 2023 and 2022, WTI prices averaged $75.76, $77.60 and $94.33 per Bbl, respectively, and Henry Hub prices averaged $2.41, $2.66 and 6.54 per MMBtu, respectively. For additional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information around risks related to commodity prices, see </w:t>
      </w:r>
      <w:r>
        <w:rPr>
          <w:rFonts w:ascii="Times New Roman" w:cs="Times New Roman" w:eastAsia="Times New Roman" w:hAnsi="Times New Roman"/>
          <w:sz w:val="18"/>
          <w:szCs w:val="18"/>
          <w:u w:val="single" w:color="auto"/>
          <w:color w:val="0000FF"/>
        </w:rPr>
        <w:t>Part II. Item 7A. Quantitative and Qualitative Disclosures About Market Risk</w:t>
      </w:r>
      <w:r>
        <w:rPr>
          <w:rFonts w:ascii="Times New Roman" w:cs="Times New Roman" w:eastAsia="Times New Roman" w:hAnsi="Times New Roman"/>
          <w:sz w:val="18"/>
          <w:szCs w:val="18"/>
          <w:color w:val="auto"/>
        </w:rPr>
        <w:t>—Commodity Price Risk.</w:t>
      </w:r>
    </w:p>
    <w:p>
      <w:pPr>
        <w:spacing w:after="0" w:line="19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Based on 2024 commodity prices, industry conditions and the results of the quarterly ceiling tests, we were not required to record an impairment on our proved oil and natural gas interests during the year ended December 31, 2024.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52" w:lineRule="exact"/>
        <w:rPr>
          <w:sz w:val="20"/>
          <w:szCs w:val="20"/>
          <w:color w:val="auto"/>
        </w:rPr>
      </w:pPr>
    </w:p>
    <w:p>
      <w:pPr>
        <w:jc w:val="both"/>
        <w:ind w:left="40" w:firstLine="643"/>
        <w:spacing w:after="0" w:line="263" w:lineRule="auto"/>
        <w:rPr>
          <w:sz w:val="20"/>
          <w:szCs w:val="20"/>
          <w:color w:val="auto"/>
        </w:rPr>
      </w:pPr>
      <w:r>
        <w:rPr>
          <w:rFonts w:ascii="Times New Roman" w:cs="Times New Roman" w:eastAsia="Times New Roman" w:hAnsi="Times New Roman"/>
          <w:sz w:val="18"/>
          <w:szCs w:val="18"/>
          <w:color w:val="auto"/>
        </w:rPr>
        <w:t>On August 1, 2024, our board of directors approved increasing our annual base dividend to $1.20 per share of Class A Common Stock beginning with the dividend payable for the second quarter of 2024. On January 30, 2025, we declared a combined base and variable cash dividend of $0.65 per share of Class A Common Stock and $0.69 per OpCo Unit payable on March 13,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Guidance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our current estimates of certain financial and operating results for the first quarter of 2025:</w:t>
      </w:r>
    </w:p>
    <w:p>
      <w:pPr>
        <w:spacing w:after="0" w:line="385"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b w:val="1"/>
          <w:bCs w:val="1"/>
          <w:color w:val="auto"/>
        </w:rPr>
        <w:t>2025 Guidance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8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net production - MBO/d</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- 31.00</w:t>
            </w:r>
          </w:p>
        </w:tc>
      </w:tr>
      <w:tr>
        <w:trPr>
          <w:trHeight w:val="228"/>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net production - MBOE/d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- 56.00</w:t>
            </w:r>
          </w:p>
        </w:tc>
      </w:tr>
      <w:tr>
        <w:trPr>
          <w:trHeight w:val="254"/>
        </w:trPr>
        <w:tc>
          <w:tcPr>
            <w:tcW w:w="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spacing w:after="0"/>
              <w:rPr>
                <w:sz w:val="22"/>
                <w:szCs w:val="22"/>
                <w:color w:val="auto"/>
              </w:rPr>
            </w:pPr>
          </w:p>
        </w:tc>
        <w:tc>
          <w:tcPr>
            <w:tcW w:w="75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187"/>
        </w:trPr>
        <w:tc>
          <w:tcPr>
            <w:tcW w:w="860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8"/>
        </w:trPr>
        <w:tc>
          <w:tcPr>
            <w:tcW w:w="8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$12.75</w:t>
            </w:r>
          </w:p>
        </w:tc>
      </w:tr>
      <w:tr>
        <w:trPr>
          <w:trHeight w:val="228"/>
        </w:trPr>
        <w:tc>
          <w:tcPr>
            <w:tcW w:w="8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general and administrative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$1.00</w:t>
            </w:r>
          </w:p>
        </w:tc>
      </w:tr>
      <w:tr>
        <w:trPr>
          <w:trHeight w:val="228"/>
        </w:trPr>
        <w:tc>
          <w:tcPr>
            <w:tcW w:w="8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$0.20</w:t>
            </w:r>
          </w:p>
        </w:tc>
      </w:tr>
      <w:tr>
        <w:trPr>
          <w:trHeight w:val="228"/>
        </w:trPr>
        <w:tc>
          <w:tcPr>
            <w:tcW w:w="8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$3.00</w:t>
            </w:r>
          </w:p>
        </w:tc>
      </w:tr>
      <w:tr>
        <w:trPr>
          <w:trHeight w:val="254"/>
        </w:trPr>
        <w:tc>
          <w:tcPr>
            <w:tcW w:w="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spacing w:after="0"/>
              <w:rPr>
                <w:sz w:val="22"/>
                <w:szCs w:val="22"/>
                <w:color w:val="auto"/>
              </w:rPr>
            </w:pPr>
          </w:p>
        </w:tc>
        <w:tc>
          <w:tcPr>
            <w:tcW w:w="7520" w:type="dxa"/>
            <w:vAlign w:val="bottom"/>
            <w:shd w:val="clear" w:color="auto" w:fill="CCEEFF"/>
          </w:tcPr>
          <w:p>
            <w:pPr>
              <w:spacing w:after="0"/>
              <w:rPr>
                <w:sz w:val="22"/>
                <w:szCs w:val="22"/>
                <w:color w:val="auto"/>
              </w:rPr>
            </w:pPr>
          </w:p>
        </w:tc>
        <w:tc>
          <w:tcPr>
            <w:tcW w:w="2640" w:type="dxa"/>
            <w:vAlign w:val="bottom"/>
            <w:gridSpan w:val="2"/>
            <w:shd w:val="clear" w:color="auto" w:fill="CCEEFF"/>
          </w:tcPr>
          <w:p>
            <w:pPr>
              <w:spacing w:after="0"/>
              <w:rPr>
                <w:sz w:val="22"/>
                <w:szCs w:val="22"/>
                <w:color w:val="auto"/>
              </w:rPr>
            </w:pPr>
          </w:p>
        </w:tc>
      </w:tr>
      <w:tr>
        <w:trPr>
          <w:trHeight w:val="228"/>
        </w:trPr>
        <w:tc>
          <w:tcPr>
            <w:tcW w:w="8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2640" w:type="dxa"/>
            <w:vAlign w:val="bottom"/>
            <w:gridSpan w:val="2"/>
          </w:tcPr>
          <w:p>
            <w:pPr>
              <w:jc w:val="right"/>
              <w:ind w:right="1071"/>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8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tax rate (% of pre-tax income attributable to Viper Energy, Inc.)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w:t>
            </w:r>
          </w:p>
        </w:tc>
      </w:tr>
      <w:tr>
        <w:trPr>
          <w:trHeight w:val="30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cash taxes (In millions)</w:t>
            </w:r>
            <w:r>
              <w:rPr>
                <w:rFonts w:ascii="Times New Roman" w:cs="Times New Roman" w:eastAsia="Times New Roman" w:hAnsi="Times New Roman"/>
                <w:sz w:val="23"/>
                <w:szCs w:val="23"/>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w:t>
            </w:r>
          </w:p>
        </w:tc>
      </w:tr>
    </w:tbl>
    <w:p>
      <w:pPr>
        <w:spacing w:after="0"/>
        <w:rPr>
          <w:sz w:val="20"/>
          <w:szCs w:val="20"/>
          <w:color w:val="auto"/>
        </w:rPr>
      </w:pPr>
      <w:r>
        <w:rPr>
          <w:rFonts w:ascii="Times New Roman" w:cs="Times New Roman" w:eastAsia="Times New Roman" w:hAnsi="Times New Roman"/>
          <w:sz w:val="18"/>
          <w:szCs w:val="18"/>
          <w:color w:val="auto"/>
        </w:rPr>
        <w:t>(1) Attributable to Viper Energy,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Operational Update</w:t>
      </w:r>
    </w:p>
    <w:p>
      <w:pPr>
        <w:spacing w:after="0" w:line="252"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As of December 31, 2024, there were 54 gross rigs operating on our mineral and royalty acreage, 10 of which are operated by Diamondback. We continue to deliver strong organic production growth on our legacy assets and successfully execute on our differentiated acquisition strategy.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gross well information as of December 31, 2024, unless otherwise specified: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Diamondback</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Third-Party Operated</w:t>
            </w:r>
          </w:p>
        </w:tc>
        <w:tc>
          <w:tcPr>
            <w:tcW w:w="13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686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15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860" w:type="dxa"/>
            <w:vAlign w:val="bottom"/>
            <w:tcBorders>
              <w:top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b w:val="1"/>
                <w:bCs w:val="1"/>
                <w:color w:val="auto"/>
              </w:rPr>
              <w:t>Horizontal wells turned to production (fourth quarter 2024)</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68"/>
        </w:trPr>
        <w:tc>
          <w:tcPr>
            <w:tcW w:w="68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8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Horizontal wells turned to production (year ended December 31, 2024)</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68"/>
        </w:trPr>
        <w:tc>
          <w:tcPr>
            <w:tcW w:w="6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producing well count: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68"/>
        </w:trPr>
        <w:tc>
          <w:tcPr>
            <w:tcW w:w="68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8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Horizontal active development well count</w:t>
            </w: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6"/>
                <w:szCs w:val="16"/>
                <w:b w:val="1"/>
                <w:bCs w:val="1"/>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8"/>
        </w:trPr>
        <w:tc>
          <w:tcPr>
            <w:tcW w:w="6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Line of sight wells</w:t>
            </w:r>
            <w:r>
              <w:rPr>
                <w:rFonts w:ascii="Times New Roman" w:cs="Times New Roman" w:eastAsia="Times New Roman" w:hAnsi="Times New Roman"/>
                <w:sz w:val="20"/>
                <w:szCs w:val="20"/>
                <w:b w:val="1"/>
                <w:bCs w:val="1"/>
                <w:color w:val="auto"/>
                <w:vertAlign w:val="superscript"/>
              </w:rPr>
              <w:t>(4)</w:t>
            </w:r>
            <w:r>
              <w:rPr>
                <w:rFonts w:ascii="Times New Roman" w:cs="Times New Roman" w:eastAsia="Times New Roman" w:hAnsi="Times New Roman"/>
                <w:sz w:val="16"/>
                <w:szCs w:val="16"/>
                <w:b w:val="1"/>
                <w:bCs w:val="1"/>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60" w:hanging="253"/>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10,818 feet.</w:t>
      </w:r>
    </w:p>
    <w:p>
      <w:pPr>
        <w:spacing w:after="0" w:line="13" w:lineRule="exact"/>
        <w:rPr>
          <w:rFonts w:ascii="Times New Roman" w:cs="Times New Roman" w:eastAsia="Times New Roman" w:hAnsi="Times New Roman"/>
          <w:sz w:val="18"/>
          <w:szCs w:val="18"/>
          <w:color w:val="auto"/>
        </w:rPr>
      </w:pPr>
    </w:p>
    <w:p>
      <w:pPr>
        <w:ind w:left="260" w:hanging="253"/>
        <w:spacing w:after="0" w:line="23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11,381 feet.</w:t>
      </w:r>
    </w:p>
    <w:p>
      <w:pPr>
        <w:ind w:left="240" w:hanging="233"/>
        <w:spacing w:after="0"/>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867 gross wells currently in the process of active development are those wells that have been spud and are expected to be turned to production within approximately the next six to eight months.</w:t>
      </w:r>
    </w:p>
    <w:p>
      <w:pPr>
        <w:spacing w:after="0" w:line="1" w:lineRule="exact"/>
        <w:rPr>
          <w:rFonts w:ascii="Times New Roman" w:cs="Times New Roman" w:eastAsia="Times New Roman" w:hAnsi="Times New Roman"/>
          <w:sz w:val="18"/>
          <w:szCs w:val="18"/>
          <w:color w:val="auto"/>
        </w:rPr>
      </w:pPr>
    </w:p>
    <w:p>
      <w:pPr>
        <w:jc w:val="both"/>
        <w:ind w:left="240" w:hanging="233"/>
        <w:spacing w:after="0"/>
        <w:tabs>
          <w:tab w:leader="none" w:pos="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1,191 line-of-sight wells are those that are not currently in the process of active development, but for which Viper has reason to believe will be turned to production within approximately the next 15 to 18 months. The expected timing of these line-of-sight wells is based primarily on permitting by third-party operators or Diamondback’s current expected completion schedule. Existing permits or active development of our net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52" w:lineRule="exact"/>
        <w:rPr>
          <w:sz w:val="20"/>
          <w:szCs w:val="20"/>
          <w:color w:val="auto"/>
        </w:rPr>
      </w:pPr>
    </w:p>
    <w:p>
      <w:pPr>
        <w:jc w:val="both"/>
        <w:ind w:firstLine="643"/>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discussion of the results of operations for the year ended December 31, 2023 as compared to the year ended December 31, 2022, please refer to </w:t>
      </w:r>
      <w:hyperlink r:id="rId57">
        <w:r>
          <w:rPr>
            <w:rFonts w:ascii="Times New Roman" w:cs="Times New Roman" w:eastAsia="Times New Roman" w:hAnsi="Times New Roman"/>
            <w:sz w:val="17"/>
            <w:szCs w:val="17"/>
            <w:u w:val="single" w:color="auto"/>
            <w:color w:val="0000FF"/>
          </w:rPr>
          <w:t>Part II, Item 7. Management's Discussion and Analysis of Financial Condition and Results of Operations in our 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2023 (filed with the SEC on February 22, 2024), which is incorporated in this report by reference from such prior report on Form 10-K.</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25"/>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 income</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619,181</w:t>
            </w:r>
          </w:p>
        </w:tc>
      </w:tr>
      <w:tr>
        <w:trPr>
          <w:trHeight w:val="22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28"/>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66,976</w:t>
            </w:r>
          </w:p>
        </w:tc>
      </w:tr>
      <w:tr>
        <w:trPr>
          <w:trHeight w:val="221"/>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Royalty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717,110</w:t>
            </w:r>
          </w:p>
        </w:tc>
      </w:tr>
      <w:tr>
        <w:trPr>
          <w:trHeight w:val="228"/>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107,823</w:t>
            </w:r>
          </w:p>
        </w:tc>
      </w:tr>
      <w:tr>
        <w:trPr>
          <w:trHeight w:val="22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bonus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8"/>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1"/>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827,697</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w:t>
            </w:r>
          </w:p>
        </w:tc>
      </w:tr>
      <w:tr>
        <w:trPr>
          <w:trHeight w:val="228"/>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Depletion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146,118</w:t>
            </w:r>
          </w:p>
        </w:tc>
      </w:tr>
      <w:tr>
        <w:trPr>
          <w:trHeight w:val="22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8"/>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2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1"/>
        </w:trPr>
        <w:tc>
          <w:tcPr>
            <w:tcW w:w="8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207,478</w:t>
            </w:r>
          </w:p>
        </w:tc>
      </w:tr>
      <w:tr>
        <w:trPr>
          <w:trHeight w:val="22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620,219</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w:t>
            </w:r>
          </w:p>
        </w:tc>
      </w:tr>
      <w:tr>
        <w:trPr>
          <w:trHeight w:val="228"/>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(25,793)</w:t>
            </w:r>
          </w:p>
        </w:tc>
      </w:tr>
      <w:tr>
        <w:trPr>
          <w:trHeight w:val="22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1"/>
        </w:trPr>
        <w:tc>
          <w:tcPr>
            <w:tcW w:w="8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(72,926)</w:t>
            </w:r>
          </w:p>
        </w:tc>
      </w:tr>
      <w:tr>
        <w:trPr>
          <w:trHeight w:val="22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547,293</w:t>
            </w:r>
          </w:p>
        </w:tc>
      </w:tr>
      <w:tr>
        <w:trPr>
          <w:trHeight w:val="228"/>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r>
      <w:tr>
        <w:trPr>
          <w:trHeight w:val="22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501,341</w:t>
            </w:r>
          </w:p>
        </w:tc>
      </w:tr>
      <w:tr>
        <w:trPr>
          <w:trHeight w:val="228"/>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301,253</w:t>
            </w:r>
          </w:p>
        </w:tc>
      </w:tr>
      <w:tr>
        <w:trPr>
          <w:trHeight w:val="24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5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r>
      <w:tr>
        <w:trPr>
          <w:trHeight w:val="25"/>
        </w:trPr>
        <w:tc>
          <w:tcPr>
            <w:tcW w:w="8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0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28"/>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2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24,606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19,130</w:t>
            </w:r>
          </w:p>
        </w:tc>
      </w:tr>
      <w:tr>
        <w:trPr>
          <w:trHeight w:val="228"/>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8"/>
        </w:trPr>
        <w:tc>
          <w:tcPr>
            <w:tcW w:w="81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14,324</w:t>
            </w:r>
          </w:p>
        </w:tc>
      </w:tr>
      <w:tr>
        <w:trPr>
          <w:trHeight w:val="254"/>
        </w:trPr>
        <w:tc>
          <w:tcPr>
            <w:tcW w:w="8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2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21,995</w:t>
            </w:r>
          </w:p>
        </w:tc>
      </w:tr>
      <w:tr>
        <w:trPr>
          <w:trHeight w:val="228"/>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49,784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39,244</w:t>
            </w:r>
          </w:p>
        </w:tc>
      </w:tr>
      <w:tr>
        <w:trPr>
          <w:trHeight w:val="254"/>
        </w:trPr>
        <w:tc>
          <w:tcPr>
            <w:tcW w:w="8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r>
      <w:tr>
        <w:trPr>
          <w:trHeight w:val="228"/>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28"/>
        </w:trPr>
        <w:tc>
          <w:tcPr>
            <w:tcW w:w="8140" w:type="dxa"/>
            <w:vAlign w:val="bottom"/>
          </w:tcPr>
          <w:p>
            <w:pPr>
              <w:ind w:left="180"/>
              <w:spacing w:after="0" w:line="228" w:lineRule="exact"/>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54"/>
        </w:trPr>
        <w:tc>
          <w:tcPr>
            <w:tcW w:w="8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8"/>
        </w:trPr>
        <w:tc>
          <w:tcPr>
            <w:tcW w:w="8140" w:type="dxa"/>
            <w:vAlign w:val="bottom"/>
          </w:tcPr>
          <w:p>
            <w:pPr>
              <w:ind w:left="180"/>
              <w:spacing w:after="0" w:line="228"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28"/>
        </w:trPr>
        <w:tc>
          <w:tcPr>
            <w:tcW w:w="81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8"/>
        </w:trPr>
        <w:tc>
          <w:tcPr>
            <w:tcW w:w="8140" w:type="dxa"/>
            <w:vAlign w:val="bottom"/>
          </w:tcPr>
          <w:p>
            <w:pPr>
              <w:ind w:left="180"/>
              <w:spacing w:after="0" w:line="228"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28"/>
        </w:trPr>
        <w:tc>
          <w:tcPr>
            <w:tcW w:w="81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r>
    </w:tbl>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Average costs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-114300</wp:posOffset>
            </wp:positionV>
            <wp:extent cx="7068820" cy="135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068820" cy="135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8" w:lineRule="exact"/>
        <w:rPr>
          <w:sz w:val="20"/>
          <w:szCs w:val="20"/>
          <w:color w:val="auto"/>
        </w:rPr>
      </w:pPr>
    </w:p>
    <w:tbl>
      <w:tblPr>
        <w:tblLayout w:type="fixed"/>
        <w:tblInd w:w="380" w:type="dxa"/>
        <w:tblCellMar>
          <w:top w:w="0" w:type="dxa"/>
          <w:left w:w="0" w:type="dxa"/>
          <w:bottom w:w="0" w:type="dxa"/>
          <w:right w:w="0" w:type="dxa"/>
        </w:tblCellMar>
      </w:tblPr>
      <w:tr>
        <w:trPr>
          <w:trHeight w:val="2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21"/>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7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4"/>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Depletion</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-909320</wp:posOffset>
            </wp:positionV>
            <wp:extent cx="7068820"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068820" cy="14478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-288925</wp:posOffset>
            </wp:positionV>
            <wp:extent cx="7068820"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068820" cy="14478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-594995</wp:posOffset>
            </wp:positionV>
            <wp:extent cx="7068820" cy="161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68820" cy="161290"/>
                    </a:xfrm>
                    <a:prstGeom prst="rect">
                      <a:avLst/>
                    </a:prstGeom>
                    <a:noFill/>
                  </pic:spPr>
                </pic:pic>
              </a:graphicData>
            </a:graphic>
          </wp:anchor>
        </w:drawing>
      </w:r>
    </w:p>
    <w:p>
      <w:pPr>
        <w:spacing w:after="0" w:line="55"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on our matured commodity derivative transactions on our average sales prices.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100" w:hanging="1100"/>
        <w:spacing w:after="0"/>
        <w:tabs>
          <w:tab w:leader="none" w:pos="1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3.52</w:t>
      </w:r>
    </w:p>
    <w:p>
      <w:pPr>
        <w:spacing w:after="0" w:line="49" w:lineRule="exact"/>
        <w:rPr>
          <w:rFonts w:ascii="Times New Roman" w:cs="Times New Roman" w:eastAsia="Times New Roman" w:hAnsi="Times New Roman"/>
          <w:sz w:val="16"/>
          <w:szCs w:val="16"/>
          <w:color w:val="auto"/>
        </w:rPr>
      </w:pPr>
    </w:p>
    <w:p>
      <w:pPr>
        <w:ind w:left="1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887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32" w:lineRule="exact"/>
        <w:rPr>
          <w:sz w:val="20"/>
          <w:szCs w:val="20"/>
          <w:color w:val="auto"/>
        </w:rPr>
      </w:pPr>
    </w:p>
    <w:p>
      <w:pPr>
        <w:ind w:left="1100" w:hanging="1100"/>
        <w:spacing w:after="0"/>
        <w:tabs>
          <w:tab w:leader="none" w:pos="11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31115</wp:posOffset>
            </wp:positionV>
            <wp:extent cx="887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305" w:lineRule="exact"/>
        <w:rPr>
          <w:sz w:val="20"/>
          <w:szCs w:val="20"/>
          <w:color w:val="auto"/>
        </w:rPr>
      </w:pPr>
    </w:p>
    <w:p>
      <w:pPr>
        <w:ind w:left="1100" w:hanging="1100"/>
        <w:spacing w:after="0"/>
        <w:tabs>
          <w:tab w:leader="none" w:pos="1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0.09</w:t>
      </w:r>
    </w:p>
    <w:p>
      <w:pPr>
        <w:spacing w:after="0" w:line="49" w:lineRule="exact"/>
        <w:rPr>
          <w:sz w:val="20"/>
          <w:szCs w:val="20"/>
          <w:color w:val="auto"/>
        </w:rPr>
      </w:pPr>
    </w:p>
    <w:p>
      <w:pPr>
        <w:ind w:left="1100" w:hanging="1100"/>
        <w:spacing w:after="0"/>
        <w:tabs>
          <w:tab w:leader="none" w:pos="1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3.31</w:t>
      </w:r>
    </w:p>
    <w:p>
      <w:pPr>
        <w:spacing w:after="0" w:line="43" w:lineRule="exact"/>
        <w:rPr>
          <w:rFonts w:ascii="Times New Roman" w:cs="Times New Roman" w:eastAsia="Times New Roman" w:hAnsi="Times New Roman"/>
          <w:sz w:val="16"/>
          <w:szCs w:val="16"/>
          <w:color w:val="auto"/>
        </w:rPr>
      </w:pPr>
    </w:p>
    <w:p>
      <w:pPr>
        <w:ind w:left="1000" w:hanging="1000"/>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10.20</w:t>
      </w:r>
    </w:p>
    <w:p>
      <w:pPr>
        <w:spacing w:after="0" w:line="972" w:lineRule="exact"/>
        <w:rPr>
          <w:sz w:val="20"/>
          <w:szCs w:val="20"/>
          <w:color w:val="auto"/>
        </w:rPr>
      </w:pPr>
    </w:p>
    <w:p>
      <w:pPr>
        <w:sectPr>
          <w:pgSz w:w="11900" w:h="16838" w:orient="portrait"/>
          <w:cols w:equalWidth="0" w:num="2">
            <w:col w:w="9840" w:space="120"/>
            <w:col w:w="1380"/>
          </w:cols>
          <w:pgMar w:left="320" w:top="121" w:right="239" w:bottom="1440" w:gutter="0" w:footer="0" w:header="0"/>
          <w:type w:val="continuous"/>
        </w:sectPr>
      </w:pPr>
    </w:p>
    <w:p>
      <w:pPr>
        <w:spacing w:after="0" w:line="25" w:lineRule="exact"/>
        <w:rPr>
          <w:sz w:val="20"/>
          <w:szCs w:val="20"/>
          <w:color w:val="auto"/>
        </w:rPr>
      </w:pPr>
    </w:p>
    <w:p>
      <w:pPr>
        <w:jc w:val="both"/>
        <w:ind w:right="100" w:firstLine="643"/>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Income. </w:t>
      </w:r>
      <w:r>
        <w:rPr>
          <w:rFonts w:ascii="Times New Roman" w:cs="Times New Roman" w:eastAsia="Times New Roman" w:hAnsi="Times New Roman"/>
          <w:sz w:val="18"/>
          <w:szCs w:val="18"/>
          <w:color w:val="auto"/>
        </w:rPr>
        <w:t>Our royalty income is a function of oil, natural gas and natural gas liquids production volumes sold and average prices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those volumes.</w:t>
      </w:r>
    </w:p>
    <w:p>
      <w:pPr>
        <w:spacing w:after="0" w:line="185" w:lineRule="exact"/>
        <w:rPr>
          <w:sz w:val="20"/>
          <w:szCs w:val="20"/>
          <w:color w:val="auto"/>
        </w:rPr>
      </w:pPr>
    </w:p>
    <w:p>
      <w:pPr>
        <w:jc w:val="both"/>
        <w:ind w:right="100" w:firstLine="643"/>
        <w:spacing w:after="0" w:line="263" w:lineRule="auto"/>
        <w:rPr>
          <w:sz w:val="20"/>
          <w:szCs w:val="20"/>
          <w:color w:val="auto"/>
        </w:rPr>
      </w:pPr>
      <w:r>
        <w:rPr>
          <w:rFonts w:ascii="Times New Roman" w:cs="Times New Roman" w:eastAsia="Times New Roman" w:hAnsi="Times New Roman"/>
          <w:sz w:val="18"/>
          <w:szCs w:val="18"/>
          <w:color w:val="auto"/>
        </w:rPr>
        <w:t>Royalty income increased $136.5 million during the year ended December 31, 2024 compared to the same period in 2023. This net increase consisted of an additional $179.4 million in royalty income from the 27% growth in production, partially offset by a decrease of $42.9 million due to lower average oil, natural gas and natural gas liquids prices received from our production during 2024 compared to the same period in 2023.</w:t>
      </w:r>
    </w:p>
    <w:p>
      <w:pPr>
        <w:spacing w:after="0" w:line="203" w:lineRule="exact"/>
        <w:rPr>
          <w:sz w:val="20"/>
          <w:szCs w:val="20"/>
          <w:color w:val="auto"/>
        </w:rPr>
      </w:pPr>
    </w:p>
    <w:p>
      <w:pPr>
        <w:jc w:val="both"/>
        <w:ind w:right="100" w:firstLine="643"/>
        <w:spacing w:after="0" w:line="259" w:lineRule="auto"/>
        <w:rPr>
          <w:sz w:val="20"/>
          <w:szCs w:val="20"/>
          <w:color w:val="auto"/>
        </w:rPr>
      </w:pPr>
      <w:r>
        <w:rPr>
          <w:rFonts w:ascii="Times New Roman" w:cs="Times New Roman" w:eastAsia="Times New Roman" w:hAnsi="Times New Roman"/>
          <w:sz w:val="18"/>
          <w:szCs w:val="18"/>
          <w:color w:val="auto"/>
        </w:rPr>
        <w:t>Approximately 64% of the overall increase in production is attributable to the GRP Acquisition and approximately 12% is attributable to the Tumbleweed Acquisitions. The remainder of the growth comes from new wells added between periods. 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in Item</w:t>
      </w:r>
    </w:p>
    <w:p>
      <w:pPr>
        <w:spacing w:after="0" w:line="1" w:lineRule="exact"/>
        <w:rPr>
          <w:sz w:val="20"/>
          <w:szCs w:val="20"/>
          <w:color w:val="auto"/>
        </w:rPr>
      </w:pPr>
    </w:p>
    <w:p>
      <w:pPr>
        <w:ind w:left="180" w:hanging="173"/>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 of this report for definition and further discussion of our acquisitions.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Lease Bonus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Related Party. </w:t>
      </w:r>
      <w:r>
        <w:rPr>
          <w:rFonts w:ascii="Times New Roman" w:cs="Times New Roman" w:eastAsia="Times New Roman" w:hAnsi="Times New Roman"/>
          <w:sz w:val="18"/>
          <w:szCs w:val="18"/>
          <w:color w:val="auto"/>
        </w:rPr>
        <w:t>Lease bonus income from Diamondback decreased $107.6 million during the year ended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receiving payment for three new leases covering approximately 85 acres in Martin County Texas, compared to (i) one lease of $95.8 million in our Spanish Trail prospect in Midland County, Texas, (ii) nine other new leases in Martin, Midland, Pecos and Wheeler Counties; Texas, and (iii) two lease extensions in Martin County, Texas, in the same period in 2023.</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Taxes. </w:t>
      </w:r>
      <w:r>
        <w:rPr>
          <w:rFonts w:ascii="Times New Roman" w:cs="Times New Roman" w:eastAsia="Times New Roman" w:hAnsi="Times New Roman"/>
          <w:sz w:val="18"/>
          <w:szCs w:val="18"/>
          <w:color w:val="auto"/>
        </w:rPr>
        <w:t>The following table presents production and ad valorem taxes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Percentage of Royalty</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5.0 %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28"/>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7.1 %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7.0 %</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year ended December 31, 2024 remained consistent with 2023.</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Ad valorem taxes for the year ended December 31, 2024 remained consistent with 2023 as a percentage of royalty income and on a per BOE basis.</w:t>
      </w:r>
    </w:p>
    <w:p>
      <w:pPr>
        <w:spacing w:after="0" w:line="186"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Depletion. </w:t>
      </w:r>
      <w:r>
        <w:rPr>
          <w:rFonts w:ascii="Times New Roman" w:cs="Times New Roman" w:eastAsia="Times New Roman" w:hAnsi="Times New Roman"/>
          <w:sz w:val="18"/>
          <w:szCs w:val="18"/>
          <w:color w:val="auto"/>
        </w:rPr>
        <w:t>The increase in depletion expense of $68.3 million for the year ended December 31, 2024 compared to the same period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consisted primarily of (i) $39.7 million from growth in production volumes, and (ii) $28.6 million due to an increase in the depletion rate to $11.77 per BOE for the year ended December 31, 2024, resulting primarily from the addition of leasehold costs and reserves from the GRP Acquisition and the Tumbleweed Acquisitions compared to $10.20 per BOE for the same period in 2023.</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The following table shows general and administrative expenses for the periods presented: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08"/>
        </w:trPr>
        <w:tc>
          <w:tcPr>
            <w:tcW w:w="7600" w:type="dxa"/>
            <w:vAlign w:val="bottom"/>
            <w:tcBorders>
              <w:bottom w:val="single" w:sz="8" w:color="CCEEFF"/>
            </w:tcBorders>
          </w:tcPr>
          <w:p>
            <w:pPr>
              <w:spacing w:after="0"/>
              <w:rPr>
                <w:sz w:val="18"/>
                <w:szCs w:val="18"/>
                <w:color w:val="auto"/>
              </w:rPr>
            </w:pPr>
          </w:p>
        </w:tc>
        <w:tc>
          <w:tcPr>
            <w:tcW w:w="364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(In thousands, except per BOE amounts)</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21"/>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r>
      <w:tr>
        <w:trPr>
          <w:trHeight w:val="201"/>
        </w:trPr>
        <w:tc>
          <w:tcPr>
            <w:tcW w:w="7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 per BOE)</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bl>
    <w:p>
      <w:pPr>
        <w:spacing w:after="0" w:line="30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$8.0 million increase in general and administrative expenses for the year ended December 31, 2024 compared to 2023 consists of (i) a $6.8 million increase in expenses billed by Diamondback as discussed below, and (ii) a $1.2 million net increase of non-cash compensation related to unvested employee restricted stock units.</w:t>
      </w:r>
    </w:p>
    <w:p>
      <w:pPr>
        <w:spacing w:after="0" w:line="20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Prior to 2024, we reimbursed Diamondback a flat quarterly fee for management and administrative services provided to us by Diamondback. Beginning in 2024, Diamondback began billing us for estimated actual salary and benefit costs incurred for services provided to us by seconded employees under the services and secondment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6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$26.5 million for the year ended December 31, 2024, compared to the same period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The increase primarily consisted of (i) approximately $23.7 million due to recording a full year of interest expense for our 2031 Notes, which were issued in October 2023, (ii) approximately $1.8 million in additional interest expense on our revolving credit facility, and (iii) other individually insignificant changes. 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in Item 8. Financial Statements and Supplementary Data of this report for definition and additional discussion of our 2031 Notes.</w:t>
      </w:r>
    </w:p>
    <w:p>
      <w:pPr>
        <w:spacing w:after="0" w:line="204" w:lineRule="exact"/>
        <w:rPr>
          <w:sz w:val="20"/>
          <w:szCs w:val="20"/>
          <w:color w:val="auto"/>
        </w:rPr>
      </w:pPr>
    </w:p>
    <w:p>
      <w:pPr>
        <w:jc w:val="both"/>
        <w:ind w:firstLine="643"/>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following table shows the net gain (loss) on derivative instruments and the net cash receipts (payments) on derivatives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periods presented: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9"/>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8"/>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18"/>
                <w:szCs w:val="18"/>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11,386</w:t>
            </w:r>
          </w:p>
        </w:tc>
        <w:tc>
          <w:tcPr>
            <w:tcW w:w="5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r>
      <w:tr>
        <w:trPr>
          <w:trHeight w:val="23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(2,978)</w:t>
            </w:r>
          </w:p>
        </w:tc>
        <w:tc>
          <w:tcPr>
            <w:tcW w:w="5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r>
    </w:tbl>
    <w:p>
      <w:pPr>
        <w:spacing w:after="0" w:line="298"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change to a gain on derivative instruments from a loss on derivative instruments for the year ended December 31, 2024 compared to 2023 is primarily due to an increase in the differential between prices for Waha Hub and Henry Hub resulting in a gain on our natural gas basis swaps in the year ended December 31, 2024 compared to a loss in 2023. 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in Item 8. Financial Statements and Supplementary Data of this report for additional discussion of our open contracts at December 31, 2024.</w:t>
      </w:r>
    </w:p>
    <w:p>
      <w:pPr>
        <w:spacing w:after="0" w:line="204"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We recorded an income tax benefit of $99.7 million and an income tax expense of $46.0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2024 and 2023, respectively. This change is primarily due to the release of our remaining valuation allowance of $155.9 million during the fourth quarter of 2024. This was slightly offset by an increase in taxable income attributable to Viper Energy, Inc. in 2024. See Note 9—</w:t>
      </w:r>
      <w:r>
        <w:rPr>
          <w:rFonts w:ascii="Times New Roman" w:cs="Times New Roman" w:eastAsia="Times New Roman" w:hAnsi="Times New Roman"/>
          <w:sz w:val="18"/>
          <w:szCs w:val="18"/>
          <w:u w:val="single" w:color="auto"/>
          <w:color w:val="0000FF"/>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Item 8. Financial Statements and Supplementary Data of this report for further details.</w:t>
      </w:r>
    </w:p>
    <w:p>
      <w:pPr>
        <w:spacing w:after="0" w:line="201"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Attributable to Non-controlling Interest. </w:t>
      </w:r>
      <w:r>
        <w:rPr>
          <w:rFonts w:ascii="Times New Roman" w:cs="Times New Roman" w:eastAsia="Times New Roman" w:hAnsi="Times New Roman"/>
          <w:sz w:val="18"/>
          <w:szCs w:val="18"/>
          <w:color w:val="auto"/>
        </w:rPr>
        <w:t>The $56.9 million decrease in net income attributable to non-controlling interest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compared to the same period in 2023 is primarily due to a reduction in Diamondback’s ownership in the Operating Company following the completion of the Diamondback Offering and the 2024 Equity Offering in which Viper received additional OpCo Units from the Operating Company in exchange for the proceeds of the 2024 Equity Offering.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 of Sources and Uses of Cash</w:t>
      </w:r>
    </w:p>
    <w:p>
      <w:pPr>
        <w:spacing w:after="0" w:line="25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the Operating Company’s revolving credit facility. Our primary uses of cash have been dividends to our stockholders, Operating Company distributions to the holders of OpCo Units, repayments of debt, capital expenditures for the acquisition of our mineral and royalty interests in oil and natural gas properties, including the Tumbleweed Acquisitions and repurchases of our Class A Common Stock. At December 31, 2024, we had approximately $1.0 billion of liquidity consisting of $26.9 million in cash and cash equivalents and $989.0 million available under the Operating Company’s revolving credit facility. As noted above in "—</w:t>
      </w:r>
      <w:r>
        <w:rPr>
          <w:rFonts w:ascii="Times New Roman" w:cs="Times New Roman" w:eastAsia="Times New Roman" w:hAnsi="Times New Roman"/>
          <w:sz w:val="18"/>
          <w:szCs w:val="18"/>
          <w:u w:val="single" w:color="auto"/>
          <w:color w:val="0000FF"/>
        </w:rPr>
        <w:t>Recent Developments</w:t>
      </w:r>
      <w:r>
        <w:rPr>
          <w:rFonts w:ascii="Times New Roman" w:cs="Times New Roman" w:eastAsia="Times New Roman" w:hAnsi="Times New Roman"/>
          <w:sz w:val="18"/>
          <w:szCs w:val="18"/>
          <w:color w:val="auto"/>
        </w:rPr>
        <w:t>,” in February 2025 we raised an additional $1.2 billion in net cash proceeds from the 2025 Equity Offering, which will be used to fund the cash portion of the Pending 2025 Drop Down, if it closes. If the Pending 2025 Drop Down does not close, then the $1.2 billion in net cash proceeds from the 2025 Equity Offering will be used for general corporate purposes. See further discussion of changes in our sources of cash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Capital Resources</w:t>
      </w:r>
      <w:r>
        <w:rPr>
          <w:rFonts w:ascii="Times New Roman" w:cs="Times New Roman" w:eastAsia="Times New Roman" w:hAnsi="Times New Roman"/>
          <w:sz w:val="18"/>
          <w:szCs w:val="18"/>
          <w:color w:val="auto"/>
        </w:rPr>
        <w:t>” below.</w:t>
      </w:r>
    </w:p>
    <w:p>
      <w:pPr>
        <w:spacing w:after="0" w:line="216"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7"/>
          <w:szCs w:val="17"/>
          <w:color w:val="auto"/>
        </w:rPr>
        <w:t>Our working capital requirements are supported by our cash and cash equivalents and the Operating Company’s revolving 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future acquisitions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mineral and royalty interests, dividends, debt service obligations, repayment of debt maturities, repurchases of our Class A Common Stock or any of our Notes, and any amounts that may ultimately be paid in connection with contingencies.</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 xml:space="preserve">In order to mitigate volatility in oil and natural gas prices, we have entered into commodity derivative contracts as discussed further in </w:t>
      </w:r>
      <w:r>
        <w:rPr>
          <w:rFonts w:ascii="Times New Roman" w:cs="Times New Roman" w:eastAsia="Times New Roman" w:hAnsi="Times New Roman"/>
          <w:sz w:val="18"/>
          <w:szCs w:val="18"/>
          <w:u w:val="single" w:color="auto"/>
          <w:color w:val="0000FF"/>
        </w:rPr>
        <w:t>Part II.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7A. Quantitative and Qualitative Disclosures About Market Risk</w:t>
      </w:r>
      <w:r>
        <w:rPr>
          <w:rFonts w:ascii="Times New Roman" w:cs="Times New Roman" w:eastAsia="Times New Roman" w:hAnsi="Times New Roman"/>
          <w:sz w:val="18"/>
          <w:szCs w:val="18"/>
          <w:color w:val="000000"/>
        </w:rPr>
        <w:t>—Commodity Price Risk of this report.</w:t>
      </w:r>
    </w:p>
    <w:p>
      <w:pPr>
        <w:spacing w:after="0" w:line="19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Continued prolonged volatility in the capital, financial and/or credit markets due to the war in Ukraine, the Israel-Hamas War and other conflicts in the Middle East, and/or adverse macroeconomic conditions, including higher interest rates, global supply chain disruptions and actions taken by OPEC members and other exporting nations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2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619,608</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638,192</w:t>
            </w:r>
          </w:p>
        </w:tc>
      </w:tr>
      <w:tr>
        <w:trPr>
          <w:trHeight w:val="228"/>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(908,365)</w:t>
            </w:r>
          </w:p>
        </w:tc>
      </w:tr>
      <w:tr>
        <w:trPr>
          <w:trHeight w:val="228"/>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277,863</w:t>
            </w:r>
          </w:p>
        </w:tc>
      </w:tr>
      <w:tr>
        <w:trPr>
          <w:trHeight w:val="24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0"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17"/>
          <w:szCs w:val="17"/>
          <w:color w:val="auto"/>
        </w:rPr>
        <w:t>Our operating cash flow is sensitive to many variables, the most significant of which are the volatility of prices for oil and natural gas and the volumes of oil and natural gas sold by our producers. The decrease in net cash provided by operating activities during the year ended December 31, 2024 compared to the same period in 2023 was primarily driven by (i) a reduction in related party lease bonus income, (ii) an increase in cash paid for interest expense due to the issuance of our 2031 Notes in the fourth quarter of 2023, (iii) changes in our working capital accounts, (iv) an increase in cash costs for production and ad valorem taxes and payments to Diamondback related to the change in the Pre-Conversion reimbursement methodology contemplated by the services and secondment agreement beginning on January 1, 2024, and (v) an increase in cash paid for taxes. These decreases in cash flow were offset by</w:t>
      </w:r>
    </w:p>
    <w:p>
      <w:pPr>
        <w:spacing w:after="0" w:line="4" w:lineRule="exact"/>
        <w:rPr>
          <w:sz w:val="20"/>
          <w:szCs w:val="20"/>
          <w:color w:val="auto"/>
        </w:rPr>
      </w:pPr>
    </w:p>
    <w:p>
      <w:pPr>
        <w:ind w:firstLine="7"/>
        <w:spacing w:after="0" w:line="256" w:lineRule="auto"/>
        <w:tabs>
          <w:tab w:leader="none" w:pos="2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royalty income, and (ii) a decrease in cash paid for derivatives. See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color w:val="auto"/>
        </w:rPr>
        <w:t>” above for further discussion of significant changes in our income and expenses.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primarily related to acquisitions of oil and natural gas interests from third parties, which includes $654.3 million in cash paid for the Tumbleweed Acquisitions, partially offset by proceeds of $87.7 million primarily from the divestiture of non-Permian oil and natural gas interests.</w:t>
      </w:r>
    </w:p>
    <w:p>
      <w:pPr>
        <w:spacing w:after="0" w:line="20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primarily related to acquisitions of oil and natural gas interests from third parties, which includes $747.5 million in cash paid for the GRP Acquisition, and $74.5 million in cash paid for the acquisition of other oil and natural gas interests in the 2023 Drop Down.</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0" w:lineRule="exact"/>
        <w:rPr>
          <w:sz w:val="20"/>
          <w:szCs w:val="20"/>
          <w:color w:val="auto"/>
        </w:rPr>
      </w:pPr>
    </w:p>
    <w:p>
      <w:pPr>
        <w:jc w:val="both"/>
        <w:ind w:right="20" w:firstLine="643"/>
        <w:spacing w:after="0" w:line="263"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2024 was primarily attributable to $481.0 million of dividends paid to stockholders and the Operating Company’s unitholders and net repayments of $2.0 million on the Operating Company’s revolving credit facility, offset by proceeds of $475.9 million from the 2024 Equity Offering.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primarily resulted from (i) net proceeds from the 2031 Notes of $394.0 million, (ii) proceeds from the 2023 Viper Issuance of $200.0 million, and (iii) net borrowings of $111.0 million under the Operating Company’s revolving credit facility. These cash inflows were partially offset by dividends paid to stockholders of $324.8 million and $95.2 million of Class A Common Stock repurchases. 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in Item 8. Financial Statements and Supplementary Data of this report for additional discussion of the 2023 Viper Issuance.</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The Operating Company’s Revolving Credit Facility</w:t>
      </w:r>
    </w:p>
    <w:p>
      <w:pPr>
        <w:spacing w:after="0" w:line="250" w:lineRule="exact"/>
        <w:rPr>
          <w:sz w:val="20"/>
          <w:szCs w:val="20"/>
          <w:color w:val="auto"/>
        </w:rPr>
      </w:pPr>
    </w:p>
    <w:p>
      <w:pPr>
        <w:jc w:val="both"/>
        <w:ind w:left="40" w:firstLine="643"/>
        <w:spacing w:after="0" w:line="263" w:lineRule="auto"/>
        <w:rPr>
          <w:sz w:val="20"/>
          <w:szCs w:val="20"/>
          <w:color w:val="auto"/>
        </w:rPr>
      </w:pPr>
      <w:r>
        <w:rPr>
          <w:rFonts w:ascii="Times New Roman" w:cs="Times New Roman" w:eastAsia="Times New Roman" w:hAnsi="Times New Roman"/>
          <w:sz w:val="18"/>
          <w:szCs w:val="18"/>
          <w:color w:val="auto"/>
        </w:rPr>
        <w:t>On November 22, 2024, the Operating Company entered into a thirteenth amendment to the existing credit facility, which, (i) maintained the maximum credit amount of $2.0 billion, (ii) maintained the borrowing base of $1.3 billion, and (iii) increased the aggregate elected commitment amount from $850.0 million to $1.3 billion.</w:t>
      </w:r>
    </w:p>
    <w:p>
      <w:pPr>
        <w:spacing w:after="0" w:line="20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Operating Company had $261.0 million in outstanding borrowings and $989.0 million of availability on its revolving credit facility at December 31, 2024.</w:t>
      </w:r>
    </w:p>
    <w:p>
      <w:pPr>
        <w:spacing w:after="0" w:line="19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As of December 31, 2024, the Operating Company was in compliance, and expects to be in compliance, with all financial maintenance covenants under its credit facility. 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in Item 8. Financial Statements and Supplementary Data of this report for additional discussion of our outstanding debt at December 31, 2024.</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Pending 2025 Drop Down</w:t>
      </w:r>
    </w:p>
    <w:p>
      <w:pPr>
        <w:spacing w:after="0" w:line="2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January 30, 2025, in connection with the Pending 2025 Drop Down, we entered into a definitive equity purchase agreement with Endeavor and the Endeavor Subsidiaries, pursuant to which and subject to the terms and conditions of such equity purchase agreement, we are obligated to pay Diamondback $1.0 billion in cash at the closing of, and as part of the total consideration for, the Pending 2025 Drop Down, which is expected to close during the second quarter of 2025.</w:t>
      </w:r>
    </w:p>
    <w:p>
      <w:pPr>
        <w:spacing w:after="0" w:line="208"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in Item 8. Financial Statements and Supplementary Data of this report for additional information on the Pending 2025 Drop Down.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At December 31, 2024, we have total principal payments due on our outstanding Notes of $430.4 million in 2027 and $400.0 million in 2031. Additionally, we have a remaining aggregate interest expense obligation of $275.9 million on the Notes with $52.6 million due in 2025, an aggregate of $105.3 million due for years 2026 to 2027, an aggregate of $59.0 million due for years 2028 to 2029, and $59.0 million due thereafter. The Notes are not subject to any mandatory redemption or sinking fund requirements. 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in Item 8. Financial Statements and Supplementary Data of this report for further information on the Notes.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Repurchases of Securities</w:t>
      </w:r>
    </w:p>
    <w:p>
      <w:pPr>
        <w:spacing w:after="0" w:line="250" w:lineRule="exact"/>
        <w:rPr>
          <w:sz w:val="20"/>
          <w:szCs w:val="20"/>
          <w:color w:val="auto"/>
        </w:rPr>
      </w:pPr>
    </w:p>
    <w:p>
      <w:pPr>
        <w:jc w:val="both"/>
        <w:ind w:firstLine="643"/>
        <w:spacing w:after="0" w:line="286" w:lineRule="auto"/>
        <w:rPr>
          <w:sz w:val="20"/>
          <w:szCs w:val="20"/>
          <w:color w:val="auto"/>
        </w:rPr>
      </w:pPr>
      <w:r>
        <w:rPr>
          <w:rFonts w:ascii="Times New Roman" w:cs="Times New Roman" w:eastAsia="Times New Roman" w:hAnsi="Times New Roman"/>
          <w:sz w:val="17"/>
          <w:szCs w:val="17"/>
          <w:color w:val="auto"/>
        </w:rPr>
        <w:t>Under our current common stock repurchase program, the board of directors has authorized us to acquire up to $750.0 million of our Common Stock, excluding excise tax. As of December 31, 2024, $434.2 million remains available for use to repurchase shares under this repurchase program. See Note 7—</w:t>
      </w:r>
      <w:r>
        <w:rPr>
          <w:rFonts w:ascii="Times New Roman" w:cs="Times New Roman" w:eastAsia="Times New Roman" w:hAnsi="Times New Roman"/>
          <w:sz w:val="17"/>
          <w:szCs w:val="17"/>
          <w:u w:val="single" w:color="auto"/>
          <w:color w:val="0000FF"/>
        </w:rPr>
        <w:t>Stockholders' Equity</w:t>
      </w:r>
      <w:r>
        <w:rPr>
          <w:rFonts w:ascii="Times New Roman" w:cs="Times New Roman" w:eastAsia="Times New Roman" w:hAnsi="Times New Roman"/>
          <w:sz w:val="17"/>
          <w:szCs w:val="17"/>
          <w:color w:val="auto"/>
        </w:rPr>
        <w:t xml:space="preserve"> in Item 8. Financial Statements and Supplementary Data of this report for further discussion of the stock repurchase program.</w:t>
      </w:r>
    </w:p>
    <w:p>
      <w:pPr>
        <w:spacing w:after="0" w:line="18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We may also from time to time opportunistically repurchase some of the outstanding Notes in open market purchases or in privately negotiated transactions.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25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We paid a total of $481.0 million and $324.8 million in distributions or dividends, as applicable, on our common shares, OpCo Units and participating securities under the LTIP during 2024 and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dividend for the fourth quarter of 2024 is $0.65 per share of Class A Common Stock and $0.69 per OpCo Unit, and in each case is payable on March 13, 2025 to eligible holders of record at the close of business on March 6, 2025. The dividend on our Class A Common Stock consists of a base quarterly dividend of $0.30 per share and a variable quarterly dividend of $0.35 per share. 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in Item 8. Financial Statements and Supplementary Data of this report for further discussion of our dividends. We expect to continue paying quarterly cash dividends in respect of our common shares. Future base and variable dividends are not required and are at the discretion of the board of directors, who may change the dividend policies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GAAP.</w:t>
      </w:r>
    </w:p>
    <w:p>
      <w:pPr>
        <w:spacing w:after="0" w:line="19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spacing w:after="0" w:line="213"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We consider the following to be our most critical accounting estimates and have reviewed these critical accounting estimates with the Audit Committee of our Board of Directors.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and Revenue Recognition</w:t>
      </w:r>
    </w:p>
    <w:p>
      <w:pPr>
        <w:spacing w:after="0" w:line="252"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We record revenue in the month production is delivered to the purchaser. However, settlement statements for certain oil, natural gas and natural gas liquids sales from third-party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Company’s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producer. We have existing internal controls for our royalty income estimation process and related accruals, but actual third-party royalty income in future periods could differ materially from estimated amounts. At December 31, 2024, our accrual for third-party royalty income was approximately $102.8 million. Actual revenues received during 2024 for prior years’ production from third parties were approximately $7.3 million, or 9%, higher than the amount accrued at December 31, 2023.</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Accounting and Reserves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independent petroleum engineers, as of December 31, 2024, 2023 and 2022. The process of estimating oil and natural gas reserves is complex, requiring significant decisions in the evaluation of available geological, geophysical, engineering and economic data. Significant inputs included in the calculation of future net cash flows include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No impairments were recorded on our proved oil and natural gas properties during the years ended December 31, 2024, 2023 and 2022. Based on the historical 12-month average trailing SEC prices for oil and natural gas throughout 2024 and into 2025, we are not currently projecting a full cost ceiling impairment in the first quarter of 2025. Any future impairment could be material to our consolidated financial statements.</w:t>
      </w:r>
    </w:p>
    <w:p>
      <w:pPr>
        <w:spacing w:after="0" w:line="220"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monitoring information available from third-party operators of our acreage for future drilling plans, (ii) the success of operators drilling on our acreage, (iii) the assignment of proved reserves, and (iv) current market prices for mineral acreage within our primary basins. At December 31, 2024, our unevaluated properties totaled $2.2 billion. We did not record any impairment on our unevaluated properties during the year ended December 31, 2024, but any such future impairment could be material to our consolidated financial statements.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Mineral and Royalty Interests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Acquisitions of mineral and royalty interests are accounted for as asset acquisitions, whereby the purchase price and associated transaction costs are capitalized and allocated to the acquired mineral and royalty interests. The allocation is determined based on whether the interests acquired relate to proved or unproved oil and natural gas properties, utilizing the estimated fair value of proved reserves as of the date of acquisition. The valuation of proved reserves is based on a projection of future cash flows using objective future pricing assumptions and a discount rate consistent with our estimated cost of capital at the time of the acquisition.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2" w:lineRule="exact"/>
        <w:rPr>
          <w:sz w:val="20"/>
          <w:szCs w:val="20"/>
          <w:color w:val="auto"/>
        </w:rPr>
      </w:pPr>
    </w:p>
    <w:p>
      <w:pPr>
        <w:jc w:val="both"/>
        <w:ind w:firstLine="643"/>
        <w:spacing w:after="0" w:line="250" w:lineRule="auto"/>
        <w:rPr>
          <w:sz w:val="20"/>
          <w:szCs w:val="20"/>
          <w:color w:val="auto"/>
        </w:rPr>
      </w:pPr>
      <w:r>
        <w:rPr>
          <w:rFonts w:ascii="Times New Roman" w:cs="Times New Roman" w:eastAsia="Times New Roman" w:hAnsi="Times New Roman"/>
          <w:sz w:val="18"/>
          <w:szCs w:val="18"/>
          <w:color w:val="auto"/>
        </w:rPr>
        <w:t xml:space="preserve">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 These assumptions are discussed further in the critical accounting estimates titled </w:t>
      </w:r>
      <w:r>
        <w:rPr>
          <w:rFonts w:ascii="Times New Roman" w:cs="Times New Roman" w:eastAsia="Times New Roman" w:hAnsi="Times New Roman"/>
          <w:sz w:val="18"/>
          <w:szCs w:val="18"/>
          <w:i w:val="1"/>
          <w:iCs w:val="1"/>
          <w:color w:val="auto"/>
        </w:rPr>
        <w:t>“— Royalty Income and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 and “— Oil and Natural Gas Accounting and Reserves.” </w:t>
      </w:r>
      <w:r>
        <w:rPr>
          <w:rFonts w:ascii="Times New Roman" w:cs="Times New Roman" w:eastAsia="Times New Roman" w:hAnsi="Times New Roman"/>
          <w:sz w:val="18"/>
          <w:szCs w:val="18"/>
          <w:color w:val="auto"/>
        </w:rPr>
        <w:t>Due to the impact these various assumptions and estimates can have on our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taxable income, an estimate of the sensitivity to changes is not practicable.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In 2024, management’s assessment of all available evidence, both positive and negative, supporting realizability of the Company’s deferred tax assets as required by applicable accounting standards, resulted in recognition of a deferred income tax benefit of $149.1 million for an increase in the portion of the Company’s deferred tax assets considered more likely than not to be realized. A variety of positive evidence was assessed. The original recording of the valuation allowance was precipitated by the impact of the COVID-19 pandemic, which resulted in a collapse of worldwide oil prices that adversely affected the Company’s profitability and its ability to reliably forecast future commodity prices and the pattern of development of undeveloped reserves. Since that time, the Company has sustained continuous net income due in part to higher commodity prices resulting from strong and stable market conditions that have resumed in the four years since the onset of the pandemic. Further, the locations in which we operate have experienced a sustained and increasing pattern of development by a wide variety of operators, consistent with a resumption of more readily predictable development pattern for our properties. Along with price and market stabilization, the significant acquisitions completed by the Company, including the Tumbleweed Acquisitions, provide additional production capacity to generate future taxable income for utilization of our deferred tax assets. Based on these factors, the Company released its remaining valuation allowance on its deferred tax assets in the fourth quarter of 2024. As of December 31, 2024, the Company had a net deferred tax asset of $184.8 million.</w:t>
      </w:r>
    </w:p>
    <w:p>
      <w:pPr>
        <w:spacing w:after="0" w:line="21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in Item 8. Financial Statements and Supplementary Data of this report for discussion of recent accounting pronouncements and a full listing of our significant accounting policies.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currently have no off-balance sheet arrangements.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—Liquidity and Capital Resources—Overview of Sources and Uses of Cash</w:t>
      </w:r>
      <w:r>
        <w:rPr>
          <w:rFonts w:ascii="Times New Roman" w:cs="Times New Roman" w:eastAsia="Times New Roman" w:hAnsi="Times New Roman"/>
          <w:sz w:val="18"/>
          <w:szCs w:val="18"/>
          <w:color w:val="000000"/>
        </w:rPr>
        <w:t>. We cannot predict events that may lead to future price volatility and the near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energy outlook remains subject to heightened levels of uncertainty.</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in Item 8. Financial Statements and Supplementary Data of this report.</w:t>
      </w:r>
    </w:p>
    <w:p>
      <w:pPr>
        <w:spacing w:after="0" w:line="20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At December 31, 2024, we had a net asset derivative position related to our commodity price derivative contracts of $15.3 million. Utilizing actual derivative contractual volumes under our contracts as of December 31, 2024, a 10% increase in forward curves associated with the underlying commodity would have increased the net asset position by $0.8 million to approximately $16.1 million, while a 10% decrease in forward curves associated with the underlying commodity would not have changed our net asset position significantly. However, any cash derivative gain or loss may be substantially offset by a decrease or increase, respectively, in the actual sales value of production covered by the derivative instrument.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We are subject to risk resulting from the concentration of royalty income in producing oil and natural gas properties and receivables with a limited number of several significant purchasers. For the year ended December 31, 2024, no purchaser accounted for more than 10% of our income. For the years ended December 31, 2023 and 2022, two purchasers accounted for more than 10% of our income, respectively. See Note 2—</w:t>
      </w:r>
      <w:r>
        <w:rPr>
          <w:rFonts w:ascii="Times New Roman" w:cs="Times New Roman" w:eastAsia="Times New Roman" w:hAnsi="Times New Roman"/>
          <w:sz w:val="18"/>
          <w:szCs w:val="18"/>
          <w:u w:val="single" w:color="auto"/>
          <w:color w:val="0000FF"/>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Item 8. Financial Statements and Supplementary Data of this report for further details. We do not require collateral and the failure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the Operating Company’s revolving credit facility. The terms of the credit facility currently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December 31, 2024, we had $261.0 million in outstanding borrowings. During the year ended December 31, 2024, the weighted average interest rate was 7.34%.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5" w:lineRule="exact"/>
        <w:rPr>
          <w:sz w:val="20"/>
          <w:szCs w:val="20"/>
          <w:color w:val="auto"/>
        </w:rPr>
      </w:pPr>
    </w:p>
    <w:p>
      <w:pPr>
        <w:ind w:left="420" w:right="8340" w:hanging="395"/>
        <w:spacing w:after="0" w:line="267"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Documents included in this report: </w:t>
      </w:r>
      <w:r>
        <w:rPr>
          <w:rFonts w:ascii="Times New Roman" w:cs="Times New Roman" w:eastAsia="Times New Roman" w:hAnsi="Times New Roman"/>
          <w:sz w:val="18"/>
          <w:szCs w:val="18"/>
          <w:i w:val="1"/>
          <w:iCs w:val="1"/>
          <w:color w:val="auto"/>
        </w:rPr>
        <w:t>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8700" w:type="dxa"/>
            <w:vAlign w:val="bottom"/>
            <w:gridSpan w:val="25"/>
          </w:tcPr>
          <w:p>
            <w:pPr>
              <w:ind w:left="540"/>
              <w:spacing w:after="0" w:line="187"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Number </w:t>
            </w:r>
            <w:r>
              <w:rPr>
                <w:rFonts w:ascii="Times New Roman" w:cs="Times New Roman" w:eastAsia="Times New Roman" w:hAnsi="Times New Roman"/>
                <w:sz w:val="18"/>
                <w:szCs w:val="18"/>
                <w:color w:val="3051F2"/>
              </w:rPr>
              <w:t>248</w:t>
            </w:r>
            <w:r>
              <w:rPr>
                <w:rFonts w:ascii="Times New Roman" w:cs="Times New Roman" w:eastAsia="Times New Roman" w:hAnsi="Times New Roman"/>
                <w:sz w:val="18"/>
                <w:szCs w:val="18"/>
                <w:u w:val="single" w:color="auto"/>
                <w:color w:val="0000FF"/>
              </w:rPr>
              <w:t>)</w:t>
            </w:r>
          </w:p>
        </w:tc>
        <w:tc>
          <w:tcPr>
            <w:tcW w:w="2540" w:type="dxa"/>
            <w:vAlign w:val="bottom"/>
            <w:gridSpan w:val="3"/>
          </w:tcPr>
          <w:p>
            <w:pPr>
              <w:jc w:val="right"/>
              <w:ind w:right="320"/>
              <w:spacing w:after="0" w:line="187" w:lineRule="exact"/>
              <w:rPr>
                <w:sz w:val="20"/>
                <w:szCs w:val="20"/>
                <w:color w:val="auto"/>
              </w:rPr>
            </w:pPr>
            <w:r>
              <w:rPr>
                <w:rFonts w:ascii="Times New Roman" w:cs="Times New Roman" w:eastAsia="Times New Roman" w:hAnsi="Times New Roman"/>
                <w:sz w:val="18"/>
                <w:szCs w:val="18"/>
                <w:color w:val="0000FF"/>
              </w:rPr>
              <w:t>48</w:t>
            </w:r>
          </w:p>
        </w:tc>
      </w:tr>
      <w:tr>
        <w:trPr>
          <w:trHeight w:val="20"/>
        </w:trPr>
        <w:tc>
          <w:tcPr>
            <w:tcW w:w="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8700" w:type="dxa"/>
            <w:vAlign w:val="bottom"/>
            <w:gridSpan w:val="25"/>
            <w:shd w:val="clear" w:color="auto" w:fill="CCEEFF"/>
          </w:tcPr>
          <w:p>
            <w:pPr>
              <w:ind w:left="540"/>
              <w:spacing w:after="0" w:line="188"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540" w:type="dxa"/>
            <w:vAlign w:val="bottom"/>
            <w:gridSpan w:val="3"/>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51</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700" w:type="dxa"/>
            <w:vAlign w:val="bottom"/>
            <w:gridSpan w:val="25"/>
          </w:tcPr>
          <w:p>
            <w:pPr>
              <w:ind w:left="540"/>
              <w:spacing w:after="0" w:line="188"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52</w:t>
            </w:r>
          </w:p>
        </w:tc>
      </w:tr>
      <w:tr>
        <w:trPr>
          <w:trHeight w:val="20"/>
        </w:trPr>
        <w:tc>
          <w:tcPr>
            <w:tcW w:w="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8700" w:type="dxa"/>
            <w:vAlign w:val="bottom"/>
            <w:gridSpan w:val="25"/>
            <w:shd w:val="clear" w:color="auto" w:fill="CCEEFF"/>
          </w:tcPr>
          <w:p>
            <w:pPr>
              <w:ind w:left="540"/>
              <w:spacing w:after="0" w:line="188" w:lineRule="exact"/>
              <w:rPr>
                <w:sz w:val="20"/>
                <w:szCs w:val="20"/>
                <w:color w:val="auto"/>
              </w:rPr>
            </w:pPr>
            <w:r>
              <w:rPr>
                <w:rFonts w:ascii="Times New Roman" w:cs="Times New Roman" w:eastAsia="Times New Roman" w:hAnsi="Times New Roman"/>
                <w:sz w:val="18"/>
                <w:szCs w:val="18"/>
                <w:color w:val="0000FF"/>
              </w:rPr>
              <w:t>Consolidated Statement of Stockholders’ Equity</w:t>
            </w:r>
          </w:p>
        </w:tc>
        <w:tc>
          <w:tcPr>
            <w:tcW w:w="2540" w:type="dxa"/>
            <w:vAlign w:val="bottom"/>
            <w:gridSpan w:val="3"/>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700" w:type="dxa"/>
            <w:vAlign w:val="bottom"/>
            <w:gridSpan w:val="25"/>
          </w:tcPr>
          <w:p>
            <w:pPr>
              <w:ind w:left="540"/>
              <w:spacing w:after="0" w:line="188"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8700" w:type="dxa"/>
            <w:vAlign w:val="bottom"/>
            <w:gridSpan w:val="25"/>
            <w:shd w:val="clear" w:color="auto" w:fill="CCEEFF"/>
          </w:tcPr>
          <w:p>
            <w:pPr>
              <w:ind w:left="540"/>
              <w:spacing w:after="0" w:line="188"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540" w:type="dxa"/>
            <w:vAlign w:val="bottom"/>
            <w:gridSpan w:val="3"/>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36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0000FF"/>
              </w:rPr>
              <w:t>1.</w:t>
            </w:r>
          </w:p>
        </w:tc>
        <w:tc>
          <w:tcPr>
            <w:tcW w:w="7800" w:type="dxa"/>
            <w:vAlign w:val="bottom"/>
            <w:gridSpan w:val="22"/>
          </w:tcPr>
          <w:p>
            <w:pPr>
              <w:ind w:left="20"/>
              <w:spacing w:after="0" w:line="188" w:lineRule="exact"/>
              <w:rPr>
                <w:sz w:val="20"/>
                <w:szCs w:val="20"/>
                <w:color w:val="auto"/>
              </w:rPr>
            </w:pPr>
            <w:r>
              <w:rPr>
                <w:rFonts w:ascii="Times New Roman" w:cs="Times New Roman" w:eastAsia="Times New Roman" w:hAnsi="Times New Roman"/>
                <w:sz w:val="18"/>
                <w:szCs w:val="18"/>
                <w:color w:val="0000FF"/>
              </w:rPr>
              <w:t>Organization and Basis of Presentation</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7800" w:type="dxa"/>
            <w:vAlign w:val="bottom"/>
            <w:gridSpan w:val="2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2540" w:type="dxa"/>
            <w:vAlign w:val="bottom"/>
            <w:gridSpan w:val="3"/>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00FF"/>
              </w:rPr>
              <w:t>3.</w:t>
            </w:r>
          </w:p>
        </w:tc>
        <w:tc>
          <w:tcPr>
            <w:tcW w:w="3220" w:type="dxa"/>
            <w:vAlign w:val="bottom"/>
            <w:gridSpan w:val="19"/>
          </w:tcPr>
          <w:p>
            <w:pPr>
              <w:ind w:left="20"/>
              <w:spacing w:after="0" w:line="188" w:lineRule="exact"/>
              <w:rPr>
                <w:sz w:val="20"/>
                <w:szCs w:val="20"/>
                <w:color w:val="auto"/>
              </w:rPr>
            </w:pPr>
            <w:r>
              <w:rPr>
                <w:rFonts w:ascii="Times New Roman" w:cs="Times New Roman" w:eastAsia="Times New Roman" w:hAnsi="Times New Roman"/>
                <w:sz w:val="18"/>
                <w:szCs w:val="18"/>
                <w:color w:val="0000FF"/>
              </w:rPr>
              <w:t>Revenue from Contracts with Customers</w:t>
            </w:r>
          </w:p>
        </w:tc>
        <w:tc>
          <w:tcPr>
            <w:tcW w:w="4580" w:type="dxa"/>
            <w:vAlign w:val="bottom"/>
            <w:gridSpan w:val="3"/>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62</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4.</w:t>
            </w:r>
          </w:p>
        </w:tc>
        <w:tc>
          <w:tcPr>
            <w:tcW w:w="2140" w:type="dxa"/>
            <w:vAlign w:val="bottom"/>
            <w:gridSpan w:val="11"/>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w w:val="98"/>
              </w:rPr>
              <w:t>Acquisitions and Divestitures</w:t>
            </w:r>
          </w:p>
        </w:tc>
        <w:tc>
          <w:tcPr>
            <w:tcW w:w="5660" w:type="dxa"/>
            <w:vAlign w:val="bottom"/>
            <w:gridSpan w:val="11"/>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63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00FF"/>
              </w:rPr>
              <w:t>5.</w:t>
            </w:r>
          </w:p>
        </w:tc>
        <w:tc>
          <w:tcPr>
            <w:tcW w:w="2140" w:type="dxa"/>
            <w:vAlign w:val="bottom"/>
            <w:gridSpan w:val="11"/>
          </w:tcPr>
          <w:p>
            <w:pPr>
              <w:ind w:left="20"/>
              <w:spacing w:after="0" w:line="188" w:lineRule="exact"/>
              <w:rPr>
                <w:sz w:val="20"/>
                <w:szCs w:val="20"/>
                <w:color w:val="auto"/>
              </w:rPr>
            </w:pPr>
            <w:r>
              <w:rPr>
                <w:rFonts w:ascii="Times New Roman" w:cs="Times New Roman" w:eastAsia="Times New Roman" w:hAnsi="Times New Roman"/>
                <w:sz w:val="18"/>
                <w:szCs w:val="18"/>
                <w:color w:val="0000FF"/>
                <w:w w:val="99"/>
              </w:rPr>
              <w:t>Oil and Natural Gas Interests</w:t>
            </w:r>
          </w:p>
        </w:tc>
        <w:tc>
          <w:tcPr>
            <w:tcW w:w="5660" w:type="dxa"/>
            <w:vAlign w:val="bottom"/>
            <w:gridSpan w:val="11"/>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w w:val="97"/>
              </w:rPr>
              <w:t>Debt</w:t>
            </w:r>
          </w:p>
        </w:tc>
        <w:tc>
          <w:tcPr>
            <w:tcW w:w="7420" w:type="dxa"/>
            <w:vAlign w:val="bottom"/>
            <w:gridSpan w:val="20"/>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00FF"/>
              </w:rPr>
              <w:t>7.</w:t>
            </w:r>
          </w:p>
        </w:tc>
        <w:tc>
          <w:tcPr>
            <w:tcW w:w="7800" w:type="dxa"/>
            <w:vAlign w:val="bottom"/>
            <w:gridSpan w:val="22"/>
          </w:tcPr>
          <w:p>
            <w:pPr>
              <w:ind w:left="20"/>
              <w:spacing w:after="0" w:line="188" w:lineRule="exact"/>
              <w:rPr>
                <w:sz w:val="20"/>
                <w:szCs w:val="20"/>
                <w:color w:val="auto"/>
              </w:rPr>
            </w:pPr>
            <w:r>
              <w:rPr>
                <w:rFonts w:ascii="Times New Roman" w:cs="Times New Roman" w:eastAsia="Times New Roman" w:hAnsi="Times New Roman"/>
                <w:sz w:val="18"/>
                <w:szCs w:val="18"/>
                <w:color w:val="0000FF"/>
              </w:rPr>
              <w:t>Stockholders' Equity</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8.</w:t>
            </w:r>
          </w:p>
        </w:tc>
        <w:tc>
          <w:tcPr>
            <w:tcW w:w="7800" w:type="dxa"/>
            <w:vAlign w:val="bottom"/>
            <w:gridSpan w:val="2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Earnings Per Common Share</w:t>
            </w:r>
          </w:p>
        </w:tc>
        <w:tc>
          <w:tcPr>
            <w:tcW w:w="2540" w:type="dxa"/>
            <w:vAlign w:val="bottom"/>
            <w:gridSpan w:val="3"/>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70</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00FF"/>
              </w:rPr>
              <w:t>9.</w:t>
            </w:r>
          </w:p>
        </w:tc>
        <w:tc>
          <w:tcPr>
            <w:tcW w:w="2100" w:type="dxa"/>
            <w:vAlign w:val="bottom"/>
            <w:gridSpan w:val="10"/>
          </w:tcPr>
          <w:p>
            <w:pPr>
              <w:ind w:left="20"/>
              <w:spacing w:after="0" w:line="188" w:lineRule="exact"/>
              <w:rPr>
                <w:sz w:val="20"/>
                <w:szCs w:val="20"/>
                <w:color w:val="auto"/>
              </w:rPr>
            </w:pPr>
            <w:r>
              <w:rPr>
                <w:rFonts w:ascii="Times New Roman" w:cs="Times New Roman" w:eastAsia="Times New Roman" w:hAnsi="Times New Roman"/>
                <w:sz w:val="18"/>
                <w:szCs w:val="18"/>
                <w:color w:val="0000FF"/>
              </w:rPr>
              <w:t>Income Taxes</w:t>
            </w:r>
          </w:p>
        </w:tc>
        <w:tc>
          <w:tcPr>
            <w:tcW w:w="5700" w:type="dxa"/>
            <w:vAlign w:val="bottom"/>
            <w:gridSpan w:val="12"/>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71</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10.</w:t>
            </w:r>
          </w:p>
        </w:tc>
        <w:tc>
          <w:tcPr>
            <w:tcW w:w="84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w w:val="96"/>
              </w:rPr>
              <w:t>Derivatives</w:t>
            </w:r>
          </w:p>
        </w:tc>
        <w:tc>
          <w:tcPr>
            <w:tcW w:w="6860" w:type="dxa"/>
            <w:vAlign w:val="bottom"/>
            <w:gridSpan w:val="19"/>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73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60" w:type="dxa"/>
            <w:vAlign w:val="bottom"/>
            <w:gridSpan w:val="23"/>
          </w:tcPr>
          <w:p>
            <w:pPr>
              <w:spacing w:after="0" w:line="188" w:lineRule="exact"/>
              <w:rPr>
                <w:sz w:val="20"/>
                <w:szCs w:val="20"/>
                <w:color w:val="auto"/>
              </w:rPr>
            </w:pPr>
            <w:r>
              <w:rPr>
                <w:rFonts w:ascii="Times New Roman" w:cs="Times New Roman" w:eastAsia="Times New Roman" w:hAnsi="Times New Roman"/>
                <w:sz w:val="18"/>
                <w:szCs w:val="18"/>
                <w:color w:val="0000FF"/>
              </w:rPr>
              <w:t>11. Fair Value Measurements</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74</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12.</w:t>
            </w:r>
          </w:p>
        </w:tc>
        <w:tc>
          <w:tcPr>
            <w:tcW w:w="2400" w:type="dxa"/>
            <w:vAlign w:val="bottom"/>
            <w:gridSpan w:val="13"/>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w w:val="98"/>
              </w:rPr>
              <w:t>Commitments and Contingencies</w:t>
            </w:r>
          </w:p>
        </w:tc>
        <w:tc>
          <w:tcPr>
            <w:tcW w:w="5300" w:type="dxa"/>
            <w:vAlign w:val="bottom"/>
            <w:gridSpan w:val="8"/>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76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13.</w:t>
            </w:r>
          </w:p>
        </w:tc>
        <w:tc>
          <w:tcPr>
            <w:tcW w:w="2400" w:type="dxa"/>
            <w:vAlign w:val="bottom"/>
            <w:gridSpan w:val="13"/>
          </w:tcPr>
          <w:p>
            <w:pPr>
              <w:ind w:left="20"/>
              <w:spacing w:after="0" w:line="188" w:lineRule="exact"/>
              <w:rPr>
                <w:sz w:val="20"/>
                <w:szCs w:val="20"/>
                <w:color w:val="auto"/>
              </w:rPr>
            </w:pPr>
            <w:r>
              <w:rPr>
                <w:rFonts w:ascii="Times New Roman" w:cs="Times New Roman" w:eastAsia="Times New Roman" w:hAnsi="Times New Roman"/>
                <w:sz w:val="18"/>
                <w:szCs w:val="18"/>
                <w:color w:val="0000FF"/>
              </w:rPr>
              <w:t>Subsequent Events</w:t>
            </w:r>
          </w:p>
        </w:tc>
        <w:tc>
          <w:tcPr>
            <w:tcW w:w="5300" w:type="dxa"/>
            <w:vAlign w:val="bottom"/>
            <w:gridSpan w:val="8"/>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76</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74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14.</w:t>
            </w:r>
          </w:p>
        </w:tc>
        <w:tc>
          <w:tcPr>
            <w:tcW w:w="1540" w:type="dxa"/>
            <w:vAlign w:val="bottom"/>
            <w:gridSpan w:val="6"/>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w w:val="97"/>
              </w:rPr>
              <w:t>Segment Information</w:t>
            </w:r>
          </w:p>
        </w:tc>
        <w:tc>
          <w:tcPr>
            <w:tcW w:w="6160" w:type="dxa"/>
            <w:vAlign w:val="bottom"/>
            <w:gridSpan w:val="15"/>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w w:val="88"/>
              </w:rPr>
              <w:t>78</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40" w:type="dxa"/>
            <w:vAlign w:val="bottom"/>
            <w:gridSpan w:val="2"/>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15.</w:t>
            </w:r>
          </w:p>
        </w:tc>
        <w:tc>
          <w:tcPr>
            <w:tcW w:w="7700" w:type="dxa"/>
            <w:vAlign w:val="bottom"/>
            <w:gridSpan w:val="21"/>
          </w:tcPr>
          <w:p>
            <w:pPr>
              <w:ind w:left="20"/>
              <w:spacing w:after="0" w:line="188" w:lineRule="exact"/>
              <w:rPr>
                <w:sz w:val="20"/>
                <w:szCs w:val="20"/>
                <w:color w:val="auto"/>
              </w:rPr>
            </w:pPr>
            <w:r>
              <w:rPr>
                <w:rFonts w:ascii="Times New Roman" w:cs="Times New Roman" w:eastAsia="Times New Roman" w:hAnsi="Times New Roman"/>
                <w:sz w:val="18"/>
                <w:szCs w:val="18"/>
                <w:color w:val="0000FF"/>
              </w:rPr>
              <w:t>Supplemental Information on Oil and Natural Gas Operations (Unaudited)</w:t>
            </w:r>
          </w:p>
        </w:tc>
        <w:tc>
          <w:tcPr>
            <w:tcW w:w="254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color w:val="0000FF"/>
              </w:rPr>
              <w:t>79</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8"/>
        </w:trPr>
        <w:tc>
          <w:tcPr>
            <w:tcW w:w="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bl>
    <w:p>
      <w:pPr>
        <w:ind w:left="42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263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3590" cy="263525"/>
                    </a:xfrm>
                    <a:prstGeom prst="rect">
                      <a:avLst/>
                    </a:prstGeom>
                    <a:noFill/>
                  </pic:spPr>
                </pic:pic>
              </a:graphicData>
            </a:graphic>
          </wp:anchor>
        </w:drawing>
      </w:r>
    </w:p>
    <w:p>
      <w:pPr>
        <w:spacing w:after="0" w:line="1" w:lineRule="exact"/>
        <w:rPr>
          <w:sz w:val="20"/>
          <w:szCs w:val="20"/>
          <w:color w:val="auto"/>
        </w:rPr>
      </w:pPr>
    </w:p>
    <w:p>
      <w:pPr>
        <w:ind w:left="420" w:right="940"/>
        <w:spacing w:after="0" w:line="23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not applicable or the information required to be presented is included in the Company’s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Viper Energy, Inc. (a Delaware corporation) and subsidiaries (the “Company”) as of December 31, 2024 and 2023, the related consolidated statements of operations,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26, 2025 expressed an unqualified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Estimation of proved reserves as it relates to the calculation and recognition of depletion expense and the valuation of acquired reserves in connection with the mineral and royalty interests acquired in the Tumbleweed Acquisitions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the Company accounts for its oil and natural gas properties using the full cost method of accounting, which requires management to make estimates of proved reserve volumes and future revenues to calculate depletion expense. Additionally, as described in Note 4 to the consolidated financial statements, the Company acquired significant mineral and royalty interests during the year through the Tumbleweed Acquisitions. To estimate the volume of proved reserves and future revenues, management makes significant estimates and assumptions, including forecasting the timing and volumetric amounts of production and corresponding decline rate of producing properties associated with the operator’s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proved reserves of oil and natural gas interests, including acquired proved reserves in the Tumbleweed Acquisitions, due to its impact on depletion expense and acquisition accounting,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proved reserves is a critical audit matter are that changes in certain inputs and assumptions, which require a high degree of subjectivity, necessary to estimate the volume and future revenues of the Company’s proved reserves, could have a significant impact on the measurement of depletion expense and the fair value of proved oil and natural gas interests. In turn, auditing those inputs and assumptions required subjective and complex auditor judgment.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proved reserves included the following, among others.</w:t>
      </w:r>
    </w:p>
    <w:p>
      <w:pPr>
        <w:spacing w:after="0" w:line="248" w:lineRule="exact"/>
        <w:rPr>
          <w:sz w:val="20"/>
          <w:szCs w:val="20"/>
          <w:color w:val="auto"/>
        </w:rPr>
      </w:pPr>
    </w:p>
    <w:p>
      <w:pPr>
        <w:jc w:val="both"/>
        <w:ind w:left="640" w:hanging="312"/>
        <w:spacing w:after="0" w:line="26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relating to management’s estimation of proved reserves for the purpose of calculating depletion expense and management’s estimation of the fair value of the acquired oil and natural gas interests in the Tumbleweed Acquisitions.</w:t>
      </w:r>
    </w:p>
    <w:p>
      <w:pPr>
        <w:spacing w:after="0" w:line="203"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year-end reserve report audited by the independent petroleum engineering specialists.</w:t>
      </w:r>
    </w:p>
    <w:p>
      <w:pPr>
        <w:spacing w:after="0" w:line="203"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inputs and assumptions that were significant to the period end determination of proved reserve volumes and tested management’s process of determining the significant inputs and assumptions, as follows:</w:t>
      </w:r>
    </w:p>
    <w:p>
      <w:pPr>
        <w:spacing w:after="0" w:line="189" w:lineRule="exact"/>
        <w:rPr>
          <w:rFonts w:ascii="Times New Roman" w:cs="Times New Roman" w:eastAsia="Times New Roman" w:hAnsi="Times New Roman"/>
          <w:sz w:val="18"/>
          <w:szCs w:val="18"/>
          <w:color w:val="auto"/>
        </w:rPr>
      </w:pPr>
    </w:p>
    <w:p>
      <w:pPr>
        <w:ind w:left="1300" w:hanging="329"/>
        <w:spacing w:after="0" w:line="278" w:lineRule="auto"/>
        <w:tabs>
          <w:tab w:leader="none" w:pos="13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estimated pricing and pricing differentials used in the reserve report to realized prices related to revenue transactions recorded in the current year;</w:t>
      </w:r>
    </w:p>
    <w:p>
      <w:pPr>
        <w:spacing w:after="0" w:line="189"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Vouched, on a sample basis, the net revenue interests used in the reserve report to underlying land and division order records;</w:t>
      </w:r>
    </w:p>
    <w:p>
      <w:pPr>
        <w:spacing w:after="0" w:line="248" w:lineRule="exact"/>
        <w:rPr>
          <w:rFonts w:ascii="Times New Roman" w:cs="Times New Roman" w:eastAsia="Times New Roman" w:hAnsi="Times New Roman"/>
          <w:sz w:val="18"/>
          <w:szCs w:val="18"/>
          <w:color w:val="auto"/>
        </w:rPr>
      </w:pPr>
    </w:p>
    <w:p>
      <w:pPr>
        <w:jc w:val="both"/>
        <w:ind w:left="1300" w:hanging="329"/>
        <w:spacing w:after="0" w:line="263"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spacing w:after="0" w:line="203" w:lineRule="exact"/>
        <w:rPr>
          <w:rFonts w:ascii="Times New Roman" w:cs="Times New Roman" w:eastAsia="Times New Roman" w:hAnsi="Times New Roman"/>
          <w:sz w:val="18"/>
          <w:szCs w:val="18"/>
          <w:color w:val="auto"/>
        </w:rPr>
      </w:pPr>
    </w:p>
    <w:p>
      <w:pPr>
        <w:jc w:val="both"/>
        <w:ind w:left="1300" w:hanging="329"/>
        <w:spacing w:after="0" w:line="263"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assessment of operators’ development plans for proved undeveloped properties reflected in the reserve report and compared the Company’s historical conversion rates to evaluate the likelihood of development related to the proved undeveloped properties; and</w:t>
      </w:r>
    </w:p>
    <w:p>
      <w:pPr>
        <w:spacing w:after="0" w:line="203"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analytical procedures on inputs to the reserve report by comparing to historical actual results and to the prior year reserve report.</w:t>
      </w:r>
    </w:p>
    <w:p>
      <w:pPr>
        <w:spacing w:after="0" w:line="248"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inputs and assumptions that were significant to the estimated fair value of the acquired oil and natural gas interests in the Tumbleweed Acquisitions and tested management’s process of determining the significant inputs and assumptions, as follows:</w:t>
      </w:r>
    </w:p>
    <w:p>
      <w:pPr>
        <w:spacing w:after="0" w:line="189" w:lineRule="exact"/>
        <w:rPr>
          <w:rFonts w:ascii="Times New Roman" w:cs="Times New Roman" w:eastAsia="Times New Roman" w:hAnsi="Times New Roman"/>
          <w:sz w:val="18"/>
          <w:szCs w:val="18"/>
          <w:color w:val="auto"/>
        </w:rPr>
      </w:pPr>
    </w:p>
    <w:p>
      <w:pPr>
        <w:jc w:val="both"/>
        <w:ind w:left="1300" w:hanging="329"/>
        <w:spacing w:after="0" w:line="263"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fair value pricing, including pricing differentials, used in the fair value reserve reports by comparing the pricing forecast to published product pricing as of the acquisitions closing dates and pricing differentials to actual historical realized pricing of the acquired properties;</w:t>
      </w:r>
    </w:p>
    <w:p>
      <w:pPr>
        <w:spacing w:after="0" w:line="203" w:lineRule="exact"/>
        <w:rPr>
          <w:rFonts w:ascii="Times New Roman" w:cs="Times New Roman" w:eastAsia="Times New Roman" w:hAnsi="Times New Roman"/>
          <w:sz w:val="18"/>
          <w:szCs w:val="18"/>
          <w:color w:val="auto"/>
        </w:rPr>
      </w:pPr>
    </w:p>
    <w:p>
      <w:pPr>
        <w:ind w:left="1300" w:hanging="329"/>
        <w:spacing w:after="0" w:line="278"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discount rate used in the fair value reserve reports of proved reserves by comparing to the Company’s actual weighted average cost of capital;</w:t>
      </w:r>
    </w:p>
    <w:p>
      <w:pPr>
        <w:spacing w:after="0" w:line="189" w:lineRule="exact"/>
        <w:rPr>
          <w:rFonts w:ascii="Times New Roman" w:cs="Times New Roman" w:eastAsia="Times New Roman" w:hAnsi="Times New Roman"/>
          <w:sz w:val="18"/>
          <w:szCs w:val="18"/>
          <w:color w:val="auto"/>
        </w:rPr>
      </w:pPr>
    </w:p>
    <w:p>
      <w:pPr>
        <w:ind w:left="1300" w:hanging="329"/>
        <w:spacing w:after="0" w:line="278" w:lineRule="auto"/>
        <w:tabs>
          <w:tab w:leader="none" w:pos="13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on a sample basis, the net revenue interest used in the fair value reserve reports to the purchase and sale agreements or historical reserve reports;</w:t>
      </w:r>
    </w:p>
    <w:p>
      <w:pPr>
        <w:spacing w:after="0" w:line="189" w:lineRule="exact"/>
        <w:rPr>
          <w:rFonts w:ascii="Times New Roman" w:cs="Times New Roman" w:eastAsia="Times New Roman" w:hAnsi="Times New Roman"/>
          <w:sz w:val="18"/>
          <w:szCs w:val="18"/>
          <w:color w:val="auto"/>
        </w:rPr>
      </w:pPr>
    </w:p>
    <w:p>
      <w:pPr>
        <w:ind w:left="1300" w:hanging="329"/>
        <w:spacing w:after="0" w:line="278"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of forecasted production estimates in the fair value reserve reports by comparing forecasted production amounts to the actual historical production amounts and to the forecasted production in the year-end reserve report for a sample of individual wells;</w:t>
      </w:r>
    </w:p>
    <w:p>
      <w:pPr>
        <w:spacing w:after="0" w:line="189" w:lineRule="exact"/>
        <w:rPr>
          <w:rFonts w:ascii="Times New Roman" w:cs="Times New Roman" w:eastAsia="Times New Roman" w:hAnsi="Times New Roman"/>
          <w:sz w:val="18"/>
          <w:szCs w:val="18"/>
          <w:color w:val="auto"/>
        </w:rPr>
      </w:pPr>
    </w:p>
    <w:p>
      <w:pPr>
        <w:ind w:left="1300" w:right="20" w:hanging="329"/>
        <w:spacing w:after="0" w:line="278" w:lineRule="auto"/>
        <w:tabs>
          <w:tab w:leader="none" w:pos="13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analytical procedures on the fair value reserve reports’ forecasted production by comparing to the prior year reserve reports’ forecasted production and to the year-end reserve reports’ forecasted production of the acquired proved properties;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1119" w:firstLine="971"/>
        <w:spacing w:after="0" w:line="527" w:lineRule="auto"/>
        <w:tabs>
          <w:tab w:leader="none" w:pos="12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unproved acreage value allocated to other recent acquisitions in the same or similar locations. /s/ GRANT THORNTON LLP</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served as the Company’s auditor since 2013.</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25,869</w:t>
            </w: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Royalty income receivable (net of allowance for credit losses)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108,681</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Royalty income receivable—related party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 receivable</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2"/>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238,044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143,517</w:t>
            </w:r>
          </w:p>
        </w:tc>
        <w:tc>
          <w:tcPr>
            <w:tcW w:w="0" w:type="dxa"/>
            <w:vAlign w:val="bottom"/>
          </w:tcPr>
          <w:p>
            <w:pPr>
              <w:spacing w:after="0"/>
              <w:rPr>
                <w:sz w:val="1"/>
                <w:szCs w:val="1"/>
                <w:color w:val="auto"/>
              </w:rPr>
            </w:pPr>
          </w:p>
        </w:tc>
      </w:tr>
      <w:tr>
        <w:trPr>
          <w:trHeight w:val="19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340"/>
              <w:spacing w:after="0" w:line="163" w:lineRule="exact"/>
              <w:rPr>
                <w:sz w:val="20"/>
                <w:szCs w:val="20"/>
                <w:color w:val="auto"/>
              </w:rPr>
            </w:pPr>
            <w:r>
              <w:rPr>
                <w:rFonts w:ascii="Times New Roman" w:cs="Times New Roman" w:eastAsia="Times New Roman" w:hAnsi="Times New Roman"/>
                <w:sz w:val="16"/>
                <w:szCs w:val="16"/>
                <w:color w:val="auto"/>
              </w:rPr>
              <w:t>Oil and natural gas interests, full cost method of accounting ($2,179,837 and $1,769,341 excluded from depletion</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5,712,671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4,628,983</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at December 31, 2024 and December 31, 2023, respectively)</w:t>
            </w: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depletion and impairment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(1,080,764)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(866,352)</w:t>
            </w:r>
          </w:p>
        </w:tc>
        <w:tc>
          <w:tcPr>
            <w:tcW w:w="0" w:type="dxa"/>
            <w:vAlign w:val="bottom"/>
          </w:tcPr>
          <w:p>
            <w:pPr>
              <w:spacing w:after="0"/>
              <w:rPr>
                <w:sz w:val="1"/>
                <w:szCs w:val="1"/>
                <w:color w:val="auto"/>
              </w:rPr>
            </w:pPr>
          </w:p>
        </w:tc>
      </w:tr>
      <w:tr>
        <w:trPr>
          <w:trHeight w:val="205"/>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Property, net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4,637,595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3,768,319</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 of allowances)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56,656</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0" w:type="dxa"/>
            <w:vAlign w:val="bottom"/>
          </w:tcPr>
          <w:p>
            <w:pPr>
              <w:spacing w:after="0"/>
              <w:rPr>
                <w:sz w:val="1"/>
                <w:szCs w:val="1"/>
                <w:color w:val="auto"/>
              </w:rPr>
            </w:pPr>
          </w:p>
        </w:tc>
      </w:tr>
      <w:tr>
        <w:trPr>
          <w:trHeight w:val="210"/>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5,069,040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3,974,093</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6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payable—related party</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27,021</w:t>
            </w: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205"/>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1,082,979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1,083,082</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1,161,821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1,116,539</w:t>
            </w: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340"/>
              <w:spacing w:after="0" w:line="163" w:lineRule="exact"/>
              <w:rPr>
                <w:sz w:val="20"/>
                <w:szCs w:val="20"/>
                <w:color w:val="auto"/>
              </w:rPr>
            </w:pPr>
            <w:r>
              <w:rPr>
                <w:rFonts w:ascii="Times New Roman" w:cs="Times New Roman" w:eastAsia="Times New Roman" w:hAnsi="Times New Roman"/>
                <w:sz w:val="16"/>
                <w:szCs w:val="16"/>
                <w:color w:val="auto"/>
              </w:rPr>
              <w:t>Class A Common Stock, 0.000001 par value: 1,000,000,000 shares authorized; 102,977,142 and 86,144,273</w:t>
            </w:r>
          </w:p>
        </w:tc>
        <w:tc>
          <w:tcPr>
            <w:tcW w:w="3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issued and outstanding as of December 31, 2024 and December 31, 2023, respectively</w:t>
            </w:r>
          </w:p>
        </w:tc>
        <w:tc>
          <w:tcPr>
            <w:tcW w:w="38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66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Class B Common Stock, 0.000001 par value: 1,000,000,000 shares authorized; 85,431,453 and 90,709,946</w:t>
            </w:r>
          </w:p>
        </w:tc>
        <w:tc>
          <w:tcPr>
            <w:tcW w:w="380" w:type="dxa"/>
            <w:vAlign w:val="bottom"/>
          </w:tcPr>
          <w:p>
            <w:pPr>
              <w:spacing w:after="0"/>
              <w:rPr>
                <w:sz w:val="13"/>
                <w:szCs w:val="13"/>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issued and outstanding as of December 31, 2024 and December 31, 2023, respectively</w:t>
            </w:r>
          </w:p>
        </w:tc>
        <w:tc>
          <w:tcPr>
            <w:tcW w:w="3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1,031,078</w:t>
            </w:r>
          </w:p>
        </w:tc>
        <w:tc>
          <w:tcPr>
            <w:tcW w:w="0" w:type="dxa"/>
            <w:vAlign w:val="bottom"/>
          </w:tcPr>
          <w:p>
            <w:pPr>
              <w:spacing w:after="0"/>
              <w:rPr>
                <w:sz w:val="1"/>
                <w:szCs w:val="1"/>
                <w:color w:val="auto"/>
              </w:rPr>
            </w:pPr>
          </w:p>
        </w:tc>
      </w:tr>
      <w:tr>
        <w:trPr>
          <w:trHeight w:val="212"/>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Viper Energy, Inc. stockholders’ equity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1,687,004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1,014,292</w:t>
            </w:r>
          </w:p>
        </w:tc>
        <w:tc>
          <w:tcPr>
            <w:tcW w:w="0" w:type="dxa"/>
            <w:vAlign w:val="bottom"/>
          </w:tcPr>
          <w:p>
            <w:pPr>
              <w:spacing w:after="0"/>
              <w:rPr>
                <w:sz w:val="1"/>
                <w:szCs w:val="1"/>
                <w:color w:val="auto"/>
              </w:rPr>
            </w:pP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2,220,215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1,843,262</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3,907,219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2,857,554</w:t>
            </w:r>
          </w:p>
        </w:tc>
        <w:tc>
          <w:tcPr>
            <w:tcW w:w="0" w:type="dxa"/>
            <w:vAlign w:val="bottom"/>
          </w:tcPr>
          <w:p>
            <w:pPr>
              <w:spacing w:after="0"/>
              <w:rPr>
                <w:sz w:val="1"/>
                <w:szCs w:val="1"/>
                <w:color w:val="auto"/>
              </w:rPr>
            </w:pPr>
          </w:p>
        </w:tc>
      </w:tr>
      <w:tr>
        <w:trPr>
          <w:trHeight w:val="210"/>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5,069,040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3,974,093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18"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9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gridSpan w:val="7"/>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 income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667,281</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83,149</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87,546</w:t>
            </w:r>
          </w:p>
        </w:tc>
      </w:tr>
      <w:tr>
        <w:trPr>
          <w:trHeight w:val="221"/>
        </w:trPr>
        <w:tc>
          <w:tcPr>
            <w:tcW w:w="6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Royalty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837,976</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23,367</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bonus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1"/>
        </w:trPr>
        <w:tc>
          <w:tcPr>
            <w:tcW w:w="6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866,467</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Depletion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121,071</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185,985</w:t>
            </w:r>
          </w:p>
        </w:tc>
      </w:tr>
      <w:tr>
        <w:trPr>
          <w:trHeight w:val="22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680,482</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6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(58,131)</w:t>
            </w:r>
          </w:p>
        </w:tc>
      </w:tr>
      <w:tr>
        <w:trPr>
          <w:trHeight w:val="22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622,351</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(32,653)</w:t>
            </w:r>
          </w:p>
        </w:tc>
      </w:tr>
      <w:tr>
        <w:trPr>
          <w:trHeight w:val="22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655,004</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503,331</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shares: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75,612</w:t>
            </w:r>
          </w:p>
        </w:tc>
      </w:tr>
      <w:tr>
        <w:trPr>
          <w:trHeight w:val="233"/>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General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jc w:val="center"/>
              <w:ind w:right="227"/>
              <w:spacing w:after="0"/>
              <w:rPr>
                <w:sz w:val="20"/>
                <w:szCs w:val="20"/>
                <w:color w:val="auto"/>
              </w:rPr>
            </w:pPr>
            <w:r>
              <w:rPr>
                <w:rFonts w:ascii="Times New Roman" w:cs="Times New Roman" w:eastAsia="Times New Roman" w:hAnsi="Times New Roman"/>
                <w:sz w:val="15"/>
                <w:szCs w:val="15"/>
                <w:b w:val="1"/>
                <w:bCs w:val="1"/>
                <w:color w:val="auto"/>
              </w:rPr>
              <w:t>Non-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7"/>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Limited Partners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Controlling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7"/>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Partner</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5"/>
          </w:tcPr>
          <w:p>
            <w:pPr>
              <w:jc w:val="center"/>
              <w:ind w:left="12"/>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9"/>
              </w:rPr>
              <w:t>Units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center"/>
              <w:ind w:left="172"/>
              <w:spacing w:after="0"/>
              <w:rPr>
                <w:sz w:val="20"/>
                <w:szCs w:val="20"/>
                <w:color w:val="auto"/>
              </w:rPr>
            </w:pPr>
            <w:r>
              <w:rPr>
                <w:rFonts w:ascii="Times New Roman" w:cs="Times New Roman" w:eastAsia="Times New Roman" w:hAnsi="Times New Roman"/>
                <w:sz w:val="15"/>
                <w:szCs w:val="15"/>
                <w:b w:val="1"/>
                <w:bCs w:val="1"/>
                <w:color w:val="auto"/>
                <w:w w:val="99"/>
              </w:rPr>
              <w:t>Units</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78,546</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813,161</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90,710</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Unit-based 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Distribution equivalent rights payments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public</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(182,470)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Distributions to Diamondback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(232,219)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General Partner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auto"/>
              </w:rPr>
              <w:t>Change in ownership of consolidated subsidiaries,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58,253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Repurchased units as part of unit buyback</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(150,593)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151,673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503,331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689,178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2,321,525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6"/>
              </w:rPr>
              <w:t>General</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Limited Partners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Partner</w:t>
            </w:r>
          </w:p>
        </w:tc>
        <w:tc>
          <w:tcPr>
            <w:tcW w:w="10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Common Stock</w:t>
            </w:r>
            <w:r>
              <w:rPr>
                <w:rFonts w:ascii="Times New Roman" w:cs="Times New Roman" w:eastAsia="Times New Roman" w:hAnsi="Times New Roman"/>
                <w:sz w:val="15"/>
                <w:szCs w:val="15"/>
                <w:b w:val="1"/>
                <w:bCs w:val="1"/>
                <w:color w:val="auto"/>
                <w:w w:val="97"/>
                <w:vertAlign w:val="superscript"/>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44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3"/>
              </w:rPr>
              <w:t>Class B</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Additional Paid-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4"/>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Retained Earnings</w:t>
            </w:r>
          </w:p>
        </w:tc>
        <w:tc>
          <w:tcPr>
            <w:tcW w:w="100" w:type="dxa"/>
            <w:vAlign w:val="bottom"/>
          </w:tcPr>
          <w:p>
            <w:pPr>
              <w:spacing w:after="0"/>
              <w:rPr>
                <w:sz w:val="8"/>
                <w:szCs w:val="8"/>
                <w:color w:val="auto"/>
              </w:rPr>
            </w:pP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0"/>
                <w:szCs w:val="10"/>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720" w:type="dxa"/>
            <w:vAlign w:val="bottom"/>
            <w:gridSpan w:val="4"/>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(Accumulated</w:t>
            </w:r>
          </w:p>
        </w:tc>
        <w:tc>
          <w:tcPr>
            <w:tcW w:w="100" w:type="dxa"/>
            <w:vAlign w:val="bottom"/>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Units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2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689,178</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90,710</w:t>
            </w:r>
          </w:p>
        </w:tc>
        <w:tc>
          <w:tcPr>
            <w:tcW w:w="200" w:type="dxa"/>
            <w:vAlign w:val="bottom"/>
            <w:gridSpan w:val="3"/>
            <w:shd w:val="clear" w:color="auto" w:fill="CCEEFF"/>
          </w:tcPr>
          <w:p>
            <w:pPr>
              <w:jc w:val="center"/>
              <w:ind w:left="4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32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1,630,866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2,321,525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Conversion of Viper Energy</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Partnership Units to Viper Energy</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(78,126)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(937,468)</w:t>
            </w:r>
          </w:p>
        </w:tc>
        <w:tc>
          <w:tcPr>
            <w:tcW w:w="80" w:type="dxa"/>
            <w:vAlign w:val="bottom"/>
          </w:tcPr>
          <w:p>
            <w:pPr>
              <w:spacing w:after="0"/>
              <w:rPr>
                <w:sz w:val="11"/>
                <w:szCs w:val="1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(90,710)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78,126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90,710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938,225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 Common Shares</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Liquidation of General Partner</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Common shares/units issued for</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9,018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254,600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254,600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acquisition</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00" w:type="dxa"/>
            <w:vAlign w:val="bottom"/>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Common shares/units issued to</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related party</w:t>
            </w: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2"/>
              </w:rPr>
              <w:t>204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00" w:type="dxa"/>
            <w:vAlign w:val="bottom"/>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Vesting of restricted stock</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shares/units</w:t>
            </w: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Distribution equivalent rights</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payments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00" w:type="dxa"/>
            <w:vAlign w:val="bottom"/>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Dividends/distributions to</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(84,018)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(44,548)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shareholders</w:t>
            </w: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Dividends/distributions to</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(190,489)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(195,976)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Diamondback</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Distributions to General Partner</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Times New Roman" w:cs="Times New Roman" w:eastAsia="Times New Roman" w:hAnsi="Times New Roman"/>
                <w:sz w:val="13"/>
                <w:szCs w:val="13"/>
                <w:color w:val="auto"/>
              </w:rPr>
              <w:t>Change in ownership of</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31,668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(133,300)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101,632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consolidated subsidiaries, net</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00" w:type="dxa"/>
            <w:vAlign w:val="bottom"/>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Repurchases as part of share/unit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(67,181)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buyback</w:t>
            </w: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167,748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32,340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301,253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shd w:val="clear" w:color="auto" w:fill="CCEEFF"/>
          </w:tcPr>
          <w:p>
            <w:pPr>
              <w:jc w:val="center"/>
              <w:ind w:left="4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90,710</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1,031,078</w:t>
            </w:r>
          </w:p>
        </w:tc>
        <w:tc>
          <w:tcPr>
            <w:tcW w:w="600" w:type="dxa"/>
            <w:vAlign w:val="bottom"/>
            <w:gridSpan w:val="3"/>
            <w:shd w:val="clear" w:color="auto" w:fill="CCEEFF"/>
          </w:tcPr>
          <w:p>
            <w:pPr>
              <w:jc w:val="right"/>
              <w:ind w:right="3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(16,786)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par values of the outstanding shares of Class A Common Stock and Class B Common Stock each round to zero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 (Continued)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1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4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220" w:type="dxa"/>
            <w:vAlign w:val="bottom"/>
          </w:tcPr>
          <w:p>
            <w:pPr>
              <w:spacing w:after="0"/>
              <w:rPr>
                <w:sz w:val="13"/>
                <w:szCs w:val="13"/>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00" w:type="dxa"/>
            <w:vAlign w:val="bottom"/>
          </w:tcPr>
          <w:p>
            <w:pPr>
              <w:spacing w:after="0"/>
              <w:rPr>
                <w:sz w:val="18"/>
                <w:szCs w:val="18"/>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2,857,554</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converted in Diamondback 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from the issuance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475,906</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shares upon vesting of equity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410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Cash paid for tax withholding on vested equity</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OpCo Units issued for acquisition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468,346</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(219,072)</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Diamondback</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(254,216)</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other non-controlling interest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Change in ownership of consolidated subsidiaries, net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603,646</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1,568,560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3,907,219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par values of the outstanding shares of Class A Common Stock and Class B Common Stock each round to zero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1"/>
        </w:trPr>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603,646</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501,341</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655,004</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(49,656)</w:t>
            </w:r>
          </w:p>
        </w:tc>
      </w:tr>
      <w:tr>
        <w:trPr>
          <w:trHeight w:val="203"/>
        </w:trPr>
        <w:tc>
          <w:tcPr>
            <w:tcW w:w="7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Depletion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121,071</w:t>
            </w: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(Gain) loss on derivative instruments,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18,138</w:t>
            </w:r>
          </w:p>
        </w:tc>
      </w:tr>
      <w:tr>
        <w:trPr>
          <w:trHeight w:val="203"/>
        </w:trPr>
        <w:tc>
          <w:tcPr>
            <w:tcW w:w="7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Net cash receipts (payments) on derivatives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(31,319)</w:t>
            </w: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5,070</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Royalty income receivable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(13,089)</w:t>
            </w:r>
          </w:p>
        </w:tc>
      </w:tr>
      <w:tr>
        <w:trPr>
          <w:trHeight w:val="203"/>
        </w:trPr>
        <w:tc>
          <w:tcPr>
            <w:tcW w:w="7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Royalty income receivable—related party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(4,116)</w:t>
            </w: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203"/>
        </w:trPr>
        <w:tc>
          <w:tcPr>
            <w:tcW w:w="7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Accounts payable—related party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99"/>
        </w:trPr>
        <w:tc>
          <w:tcPr>
            <w:tcW w:w="71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Income taxes payable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r>
      <w:tr>
        <w:trPr>
          <w:trHeight w:val="203"/>
        </w:trPr>
        <w:tc>
          <w:tcPr>
            <w:tcW w:w="7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(2,204)</w:t>
            </w:r>
          </w:p>
        </w:tc>
      </w:tr>
      <w:tr>
        <w:trPr>
          <w:trHeight w:val="192"/>
        </w:trPr>
        <w:tc>
          <w:tcPr>
            <w:tcW w:w="710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619,608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638,192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699,796</w:t>
            </w:r>
          </w:p>
        </w:tc>
      </w:tr>
      <w:tr>
        <w:trPr>
          <w:trHeight w:val="20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Acquisitions of oil and natural gas interests—related party</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Acquisitions of oil and natural gas interests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(64,131)</w:t>
            </w:r>
          </w:p>
        </w:tc>
      </w:tr>
      <w:tr>
        <w:trPr>
          <w:trHeight w:val="19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Proceeds from sale of oil and natural gas interests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87,669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111,702</w:t>
            </w:r>
          </w:p>
        </w:tc>
      </w:tr>
      <w:tr>
        <w:trPr>
          <w:trHeight w:val="196"/>
        </w:trPr>
        <w:tc>
          <w:tcPr>
            <w:tcW w:w="7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(608,573)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(908,365)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47,571</w:t>
            </w:r>
          </w:p>
        </w:tc>
      </w:tr>
      <w:tr>
        <w:trPr>
          <w:trHeight w:val="199"/>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borrowings under credit facility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272,000</w:t>
            </w: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Repayment on credit facility</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(424,000)</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Notes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Repayment of Notes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(48,963)</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Net proceeds from public offering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475,906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public offering to Diamondback</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Repurchased shares/units under buyback program</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(150,593)</w:t>
            </w: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Dividends/distributions to stockholders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(219,465)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(128,777)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(182,835)</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Dividends/distributions to Diamondback</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(195,976)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(234,103)</w:t>
            </w: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Dividends to other non-controlling interest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192"/>
        </w:trPr>
        <w:tc>
          <w:tcPr>
            <w:tcW w:w="71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277,863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(768,636)</w:t>
            </w:r>
          </w:p>
        </w:tc>
      </w:tr>
      <w:tr>
        <w:trPr>
          <w:trHeight w:val="19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(21,269)</w:t>
            </w:r>
          </w:p>
        </w:tc>
      </w:tr>
      <w:tr>
        <w:trPr>
          <w:trHeight w:val="19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39,448</w:t>
            </w:r>
          </w:p>
        </w:tc>
      </w:tr>
      <w:tr>
        <w:trPr>
          <w:trHeight w:val="221"/>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9"/>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Interest paid</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(73,860)</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(40,187)</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(36,868)</w:t>
            </w:r>
          </w:p>
        </w:tc>
      </w:tr>
      <w:tr>
        <w:trPr>
          <w:trHeight w:val="20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(paid) received for income taxes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(56,125)</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(16,990)</w:t>
            </w:r>
          </w:p>
        </w:tc>
      </w:tr>
      <w:tr>
        <w:trPr>
          <w:trHeight w:val="182"/>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Class A Common Stock issued for acquisition</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1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OpCo Units issued for acquisition</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468,346</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ind w:right="6780" w:firstLine="7"/>
        <w:spacing w:after="0" w:line="530" w:lineRule="auto"/>
        <w:tabs>
          <w:tab w:leader="none" w:pos="31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Organization</w:t>
      </w: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Viper Energy, Inc. (the “Company”) is a publicly traded Delaware corporation focused on owning and acquiring mineral interests and royalty interests in oil and natural gas properties primarily in the Permian Basin. As of December 31, 2024, the Company owned approximately 52% of units representing limited liability company interests (“OpCo Units”) in its operating subsidiary Viper Energy Partners LLC (the “Operating Company”) and was the managing member of the Operating Company.</w:t>
      </w:r>
    </w:p>
    <w:p>
      <w:pPr>
        <w:spacing w:after="0" w:line="208"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Prior to March 8, 2024, the Company was a “controlled company” under the rules of the Nasdaq Stock Market LLC (the “Nasdaq Rules”). On March 8, 2024, the Company’s parent, Diamondback, completed an underwritten public offering in which it sold approximately 13.2 million shares of the Company’s Class A Common Stock (the “Diamondback Offering”). Following the Diamondback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 substantially in the same manner as those provided to the Company by the former General Partner prior to the Conversion.</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2024, Diamondback beneficially owned approximately 45% of the outstanding voting power of the Company’s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into Corporation</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Effective November 13, 2023 (the “Effective Time”), Viper Energy Partners LP (the “Partnership”) converted from a publicly traded Delaware limited partnership to a Delaware corporation pursuant to a plan of conversion (the “Conversion”) and changed names from Viper Energy Partners LP to Viper Energy, Inc. Additionally, the certificate of incorporation and the bylaws of Viper Energy, Inc. became effective. This report includes the results for the Partnership prior to the Conversion and the Company following the Conversion. References to the “Company” refer to (i) Viper Energy, Inc. and its consolidated subsidiaries following the Conversion, and (ii) the Partnership and its consolidated subsidiaries prior to the Conversion. References to shares or per share amounts prior to the Conversion refer to units or per unit amounts. Unless otherwise noted, all references to shares or per share amounts following the Conversion refer to shares or per share amounts of Common Stock, as defined in the paragraph below. References to dividends prior to the Conversion refer to distributions. There are no tax impacts resulting from the Conversion as the Partnership was treated as a corporation for tax purposes.</w:t>
      </w:r>
    </w:p>
    <w:p>
      <w:pPr>
        <w:spacing w:after="0" w:line="216"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At the Effective Time, (i) each common unit representing limited partnership interest in the Partnership issued and outstanding immediately prior to the Effective Time was converted, on a unit-for-unit basis, into one issued and outstanding, fully paid and nonassessable share of Class A Common Stock, $0.000001 par value per share (“Class A Common Stock”), of the Company, (ii) each Class B unit representing limited partnership interest in the Partnership issued and outstanding immediately prior to the Effective Time was converted, on a unit-for-unit basis, into one issued and outstanding, fully paid and nonassessable share of Class B Common Stock, $0.000001 par value per share, of the Company (“Class B Common Stock” and, together with Class A Common Stock, “Common Stock”), and (iii) the general partner interest issued and outstanding immediately prior to the Effective Time (100% owned by the General Partner) was cancelled and was no longer outstanding. At the Effective Time, as a result of the Conversion, holders of common units became holders of Class A Common Stock and holders of Class B units became holders of Class B Common Stock. Similar to Class B units before the Conversion, each share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Class B Common Stock is exchangeable, at the discretion of the holders of Class B Common Stock, together with one unit of the Operating Company, into one share of Class A Common Stock post-Conversion. Holders of Class B Common Stock have the same preferred dividend and liquidation preference rights as those provided to holders of Class B units under the Partnership Agreement. At the Effective Time, Diamondback Energy, Inc. (“Diamondback”) and its wholly owned subsidiary Diamondback E&amp;P LLC were the only holders of the Class B Common Stock and collectively owned approximately 56% of the outstanding shares of Common Stock.</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At the Effective Time, the Certificate of Incorporation and Bylaws of the Company generally provided stockholders of the Company with substantially the same or greater rights and substantially the same or lesser obligations, as those that limited partners had in the Partnership Agreement. Previously, limited partners were not generally entitled to vote with respect to governance of the Partnership, except for those few matters set forth in the Partnership Agreement. Following the Conversion, except as otherwise expressly provided in the Certificate of Incorporation, the holders of Common Stock are entitled to vote on all matters on which stockholders of a corporation are generally entitled to vote on under the DGCL, including the election of the board of directors of the Company.</w:t>
      </w:r>
    </w:p>
    <w:p>
      <w:pPr>
        <w:spacing w:after="0" w:line="21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Diamondback continues to provide personnel and general and administrative services to the Company, including the services of the executive officers and other employees, pursuant to the services and secondment agreement in a similar manner as Diamondback previously provided to the General Partner. In addition, for so long as Diamondback and any of its subsidiaries collectively beneficially own at least 25% of the outstanding Common Stock of the Company, (i) Diamondback will have the right to designate up to three persons to serve as directors of the Company, and (ii) the board of directors of the Company may not appoint any person other than a Diamondback seconded employee as an executive officer of the Company unless such appointment is approved, in advance, by either (x) Diamondback (which approval may not be unreasonably withheld or conditioned), or (y) the affirmative vote of the holders of at least 80% of the voting power of the capital stock of the Company. Currently, there are two Diamondback designees to the board of directors of the Company—Travis Stice and Kaes Van’t Hof.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thereto were prepared in conformity with accounting principles generally accepted in the United States (“GAAP”). All material intercompany balances and transactions are eliminated in consolidation. The Company reports its operations in one reportable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2"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186" w:lineRule="exact"/>
        <w:rPr>
          <w:sz w:val="20"/>
          <w:szCs w:val="20"/>
          <w:color w:val="auto"/>
        </w:rPr>
      </w:pPr>
    </w:p>
    <w:p>
      <w:pPr>
        <w:ind w:right="6260" w:firstLine="7"/>
        <w:spacing w:after="0" w:line="530" w:lineRule="auto"/>
        <w:tabs>
          <w:tab w:leader="none" w:pos="31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as of the date of the financial statements.</w:t>
      </w:r>
    </w:p>
    <w:p>
      <w:pPr>
        <w:spacing w:after="0" w:line="20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higher interest rates, global supply chain disruptions, and recent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Cash and cash equivalents represent unrestricted cash on hand and include all highly liquid investments purchased with a maturity of three months or less and money market funds. The Company maintains cash and cash equivalents in bank deposit accounts which, at times, may exceed the federally insured limits. The Company has not experienced any significant losses from such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Income Receivable</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Royalty income receivables consist of receivables for sales of oil, natural gas and natural gas liquids made by the Company’s third-party operators and Diamondback to third-party purchasers. The operators remit payment for production directly to the Company.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20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Royalty income receivables are stated at amounts due from purchasers, net of an allowance for expected losses as estimated by the Company when collection is deemed doubtful. Royalty income receivables outstanding longer than the contractual payment terms are considered past due. The Company determines its allowance utilizing the loss-rate method, which considers a number of factors, including the Company’s previous loss history, the debtor’s current ability to pay its obligation to the Company, and the condition of the general economy and the industry as a whole. The Company writes off specific royalty income receivables when they become uncollectible, and payments subsequently received on such receivables are credited to the allowance for expected losses. At December 31, 2024 and December 31, 2023, the Company’s allowance for expected losses was immaterial.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under the caption “Gain (loss) on derivative instruments, net.”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by the operator of the wells in which the Company owns a royalty interest. Royalty income is recognized at the point control of the product is transferred to the purchaser. Virtually all of the pricing provisions in the Company’s contracts are tied to a market index.</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from oil, natural gas and natural gas liquids sales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Company’s oil, natural gas and natural gas liquids sales contracts are generally structured whereby the operator of the properties in which the Company owns a royalty interest sells the Company’s proportionate share of oil, natural gas and natural gas liquids production to the purchaser and the Company collects its percentage royalty based on the revenue generated. In this scenario, the Company recognizes revenue when control transfers to the purchaser at the wellhead or at the gas processing facility based on the Company’s percentage ownership share of the revenue, net of any deductions for gathering and transportation.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Company’s right to royalty income does not originate until production occurs and, therefore, is not considered to exist beyond each day’s production. Therefore, there are no remaining performance obligations under any of the Company’s royalty income contracts.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Under the Company’s royalty income contracts, it generally has the right to receive its interest in the gross proceeds collected by the producer from third-party purchasers of the Company’s production once production has occurred, at which point payment is unconditional. Accordingly, the Company’s royalty income contracts do not give rise to contract assets or liabilities under Accounting Standards Codification 606.</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Prior-period performance obligations</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Company records revenue in the month production is delivered to the purchaser. However, settlement statements for certain oil, natural gas and natural gas liquids sales may not be received for 30 to 90 days after the date production is delivered, and as a result, the Company is required to estimate the amount of royalty income to be received based upon the Company’s interest. The Company records the differences between its estimates and the actual amounts received for royalties in the month that payment is received from the producer. Any identified differences between its revenue estimates and actual revenue received historically have not been significant.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oil and natural gas properties. Under this method, all acquisition costs are capitalized and amortized on a composite unit of production method based on proved oil, natural gas liquids and natural gas reserves.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2024 and 2023, the Company’s oil and natural gas properties consist solely of mineral interests in oil and natural gas properties.</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Depletion of evaluated oil and natural gas properties is computed on the units of production method, whereby capitalized costs are amortized over total proved reserves. The average depletion rate per barrel equivalent unit of production was $11.77, $10.20 and $9.86 for the years ended December 31, 2024, 2023 and 2022, respectively. Depletion for oil and natural gas properties was $214.4 million, $146.1 million and $121.1 million for the years ended December 31, 2024, 2023 and 2022, respectively.</w:t>
      </w:r>
    </w:p>
    <w:p>
      <w:pPr>
        <w:spacing w:after="0" w:line="208"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interests net of deferred income taxes, or the cost center ceiling. The cost center ceiling is defined as the sum of (i)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(ii) the cost of properties not being amortized, if any, and (iii)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w:t>
      </w:r>
      <w:r>
        <w:rPr>
          <w:rFonts w:ascii="Times New Roman" w:cs="Times New Roman" w:eastAsia="Times New Roman" w:hAnsi="Times New Roman"/>
          <w:sz w:val="18"/>
          <w:szCs w:val="18"/>
          <w:u w:val="single" w:color="auto"/>
          <w:color w:val="0000FF"/>
        </w:rPr>
        <w:t>Oil and Natural Gas Interests</w:t>
      </w:r>
      <w:r>
        <w:rPr>
          <w:rFonts w:ascii="Times New Roman" w:cs="Times New Roman" w:eastAsia="Times New Roman" w:hAnsi="Times New Roman"/>
          <w:sz w:val="18"/>
          <w:szCs w:val="18"/>
          <w:color w:val="auto"/>
        </w:rPr>
        <w:t xml:space="preserve"> for additional discussion of the Company’s oil and natural gas properties.</w:t>
      </w:r>
    </w:p>
    <w:p>
      <w:pPr>
        <w:spacing w:after="0" w:line="21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Costs associated with unevaluated properties are excluded from the full cost pool until the Company has made a determination as to the existence of proved reserves. The Company assesses all items classified as unevaluated property at least annually for possible impairment. The Company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Other assets include capitalized costs related to the credit facility of $18.3 million and $15.5 million, and accumulated amortization of those costs over the term of the credit facility of $11.3 million and $10.0 million as of December 31, 2024, and 2023, respectively.</w:t>
      </w:r>
    </w:p>
    <w:p>
      <w:pPr>
        <w:spacing w:after="0" w:line="19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Long-term debt includes capitalized costs related to the Company’s 5.375% senior notes due 2027 and 7.375% senior notes due 2031 (collectively, the “Notes”). The costs associated with the Notes are being netted against the Notes’ balances and amortized over the term of the Notes using the effective interest method. 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Receivable</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As of December 31, 2024 and December 31, 2023, Diamondback, either directly or through its consolidated subsidiaries, owed the Company $31.0 million and $3.3 million, respectively, for royalty income received from third parties for the Company’s production, which had not yet been remitted to the Company.</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Diamondback E&amp;P LLC paid the Operating Company $0.2 million of lease bonus income primarily related to new leases in the Midland Basin. During the year ended December 31, 2023, Diamondback E&amp;P LLC paid the Operating Company $107.8 million of lease bonus income, which includes a lease bonus payment of $95.8 million from a lease agreement with a subsidiary of Diamondback covering certain Permian Basin acreage on terms substantially identical to the Operating Company’s other lease arrangements with Diamondback. This transaction was considered and approved by the conflicts committee of the board of directors. During the year ended December 31, 2022, Diamondback, either directly or through its consolidated subsidiaries, paid the Company $23.4 million of lease bonus income primarily related to lease ratification and certain leases acquired in 2021.</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and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for significant related party acquisitions of oil and natural gas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for further details regarding equity transactions with related parties.</w:t>
      </w:r>
    </w:p>
    <w:p>
      <w:pPr>
        <w:spacing w:after="0" w:line="248"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All other related party transactions with Diamondback or its affiliates have been stated on the face of the consolidated financial statements or were insignificant for the years ended December 31, 2024,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accrued liabilities are financial instruments for which the carrying value approximates fair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instruments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adjustment accrual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27,021</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Company is subject to risk resulting from the concentration of the Company’s royalty income in producing oil and natural gas properties and receivables with several significant purchasers. For the year ended December 31, 2024, no purchaser accounted for more than 10% of royalty income. For the year ended December 31, 2023, two purchasers each accounted for more than 10% of royalty income: Vitol Midstream Pipeline LLC (16%) and DK Trading and Supply LLC (15%). For the year ended December 31, 2022, two purchasers each accounted for more than 10% of royalty income: Shell Trading (US) Company (14%) and Vitol Midstream Pipeline LLC (14%). The Company does not require collateral and does not believe the loss of any single purchaser would materially impact the Company’s operating results, as crude oil and natural gas are fungible products with well-established markets and numerous purchasers.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1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as interest expense and general and administrative expenses, respectively. During the years ended December 31, 2024, 2023 and 2022, there were no interest or penalties associated with uncertain tax positions recognized in the Company’s consolidated financial statements. See Note 9—</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52"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stockholders’ equity, tax effected, will occur. Because these changes in the Company’s ownership interest in the Operating Company did not result in a change of control, the transactions were accounted for as equity transactions under ASC Topic 810, “Consolidation.” This guidance requires that any differences between the carrying value of the Company’s basis in the Operating Company and the fair value of the consideration received are recognized directly in equity and attributed to the controlling interest. 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for further discussion of changes in ownership interest.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fiscal years beginning after December 15, 2023, and for interim periods within fiscal years beginning after December 15, 2024. The amendments should be applied retrospectively to all prior periods presented in the financial statements. Adoption of the update did not impact the Company’s financial position, results of operations or liquidity.</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52" w:lineRule="exact"/>
        <w:rPr>
          <w:sz w:val="20"/>
          <w:szCs w:val="20"/>
          <w:color w:val="auto"/>
        </w:rPr>
      </w:pPr>
    </w:p>
    <w:p>
      <w:pPr>
        <w:jc w:val="both"/>
        <w:ind w:firstLine="643"/>
        <w:spacing w:after="0" w:line="24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20"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1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discussed above were assessed and determined to be either not applicable, previously disclosed, or not material upon adoption.</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spacing w:after="0" w:line="208"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2024, 2023 and 2022, any revenues recognized in the current reporting period for performance obligations satisfied in prior reporting periods were not material.</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tables disaggregate the Company’s revenue from oil, natural gas and natural gas liquids by revenue generated from production on properties operated by Diamondback and revenue generated from production on properties operated by third parties: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Oil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Natural gas income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Natural gas liquids income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royalty income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60" w:type="dxa"/>
            <w:vAlign w:val="bottom"/>
            <w:tcBorders>
              <w:top w:val="single" w:sz="8" w:color="auto"/>
            </w:tcBorders>
            <w:gridSpan w:val="3"/>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1940" w:type="dxa"/>
            <w:vAlign w:val="bottom"/>
            <w:tcBorders>
              <w:top w:val="single" w:sz="8" w:color="auto"/>
            </w:tcBorders>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6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Diamondback Operated</w:t>
            </w: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Third-Party Operated</w:t>
            </w:r>
          </w:p>
        </w:tc>
        <w:tc>
          <w:tcPr>
            <w:tcW w:w="440" w:type="dxa"/>
            <w:vAlign w:val="bottom"/>
          </w:tcPr>
          <w:p>
            <w:pPr>
              <w:spacing w:after="0"/>
              <w:rPr>
                <w:sz w:val="13"/>
                <w:szCs w:val="13"/>
                <w:color w:val="auto"/>
              </w:rPr>
            </w:pPr>
          </w:p>
        </w:tc>
        <w:tc>
          <w:tcPr>
            <w:tcW w:w="1420" w:type="dxa"/>
            <w:vAlign w:val="bottom"/>
            <w:vMerge w:val="restart"/>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Properties</w:t>
            </w: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352,233</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750,243</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0" w:type="dxa"/>
            <w:vAlign w:val="bottom"/>
          </w:tcPr>
          <w:p>
            <w:pPr>
              <w:spacing w:after="0"/>
              <w:rPr>
                <w:sz w:val="1"/>
                <w:szCs w:val="1"/>
                <w:color w:val="auto"/>
              </w:rPr>
            </w:pPr>
          </w:p>
        </w:tc>
      </w:tr>
      <w:tr>
        <w:trPr>
          <w:trHeight w:val="233"/>
        </w:trPr>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0" w:type="dxa"/>
            <w:vAlign w:val="bottom"/>
          </w:tcPr>
          <w:p>
            <w:pPr>
              <w:spacing w:after="0"/>
              <w:rPr>
                <w:sz w:val="1"/>
                <w:szCs w:val="1"/>
                <w:color w:val="auto"/>
              </w:rPr>
            </w:pPr>
          </w:p>
        </w:tc>
      </w:tr>
      <w:tr>
        <w:trPr>
          <w:trHeight w:val="221"/>
        </w:trPr>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853,576</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-619760</wp:posOffset>
            </wp:positionV>
            <wp:extent cx="7133590" cy="1447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-330835</wp:posOffset>
            </wp:positionV>
            <wp:extent cx="7133590"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p>
      <w:pPr>
        <w:spacing w:after="0" w:line="27" w:lineRule="exact"/>
        <w:rPr>
          <w:sz w:val="20"/>
          <w:szCs w:val="20"/>
          <w:color w:val="auto"/>
        </w:rPr>
      </w:pPr>
    </w:p>
    <w:tbl>
      <w:tblPr>
        <w:tblLayout w:type="fixed"/>
        <w:tblInd w:w="5480" w:type="dxa"/>
        <w:tblCellMar>
          <w:top w:w="0" w:type="dxa"/>
          <w:left w:w="0" w:type="dxa"/>
          <w:bottom w:w="0" w:type="dxa"/>
          <w:right w:w="0" w:type="dxa"/>
        </w:tblCellMar>
      </w:tblPr>
      <w:tr>
        <w:trPr>
          <w:trHeight w:val="160"/>
        </w:trPr>
        <w:tc>
          <w:tcPr>
            <w:tcW w:w="19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2300" w:type="dxa"/>
            <w:vAlign w:val="bottom"/>
            <w:tcBorders>
              <w:top w:val="single" w:sz="8" w:color="auto"/>
            </w:tcBorders>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Diamondback Operated</w:t>
            </w:r>
          </w:p>
        </w:tc>
        <w:tc>
          <w:tcPr>
            <w:tcW w:w="2300" w:type="dxa"/>
            <w:vAlign w:val="bottom"/>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Third-Party Operated</w:t>
            </w: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Properties</w:t>
            </w:r>
          </w:p>
        </w:tc>
        <w:tc>
          <w:tcPr>
            <w:tcW w:w="23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17"/>
                <w:szCs w:val="17"/>
                <w:color w:val="auto"/>
              </w:rPr>
            </w:pPr>
          </w:p>
        </w:tc>
        <w:tc>
          <w:tcPr>
            <w:tcW w:w="2300" w:type="dxa"/>
            <w:vAlign w:val="bottom"/>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Oil income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Natural gas income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Natural gas liquids income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royalty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619,181</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0" w:type="dxa"/>
            <w:vAlign w:val="bottom"/>
          </w:tcPr>
          <w:p>
            <w:pPr>
              <w:spacing w:after="0"/>
              <w:rPr>
                <w:sz w:val="1"/>
                <w:szCs w:val="1"/>
                <w:color w:val="auto"/>
              </w:rPr>
            </w:pPr>
          </w:p>
        </w:tc>
      </w:tr>
      <w:tr>
        <w:trPr>
          <w:trHeight w:val="233"/>
        </w:trPr>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66,976</w:t>
            </w:r>
          </w:p>
        </w:tc>
        <w:tc>
          <w:tcPr>
            <w:tcW w:w="0" w:type="dxa"/>
            <w:vAlign w:val="bottom"/>
          </w:tcPr>
          <w:p>
            <w:pPr>
              <w:spacing w:after="0"/>
              <w:rPr>
                <w:sz w:val="1"/>
                <w:szCs w:val="1"/>
                <w:color w:val="auto"/>
              </w:rPr>
            </w:pPr>
          </w:p>
        </w:tc>
      </w:tr>
      <w:tr>
        <w:trPr>
          <w:trHeight w:val="221"/>
        </w:trPr>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717,110</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6"/>
        </w:trPr>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8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9"/>
              </w:rPr>
              <w:t>Revenue Generated from</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Diamondback Operated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Third-Party Operated</w:t>
            </w:r>
          </w:p>
        </w:tc>
        <w:tc>
          <w:tcPr>
            <w:tcW w:w="440" w:type="dxa"/>
            <w:vAlign w:val="bottom"/>
          </w:tcPr>
          <w:p>
            <w:pPr>
              <w:spacing w:after="0"/>
              <w:rPr>
                <w:sz w:val="13"/>
                <w:szCs w:val="13"/>
                <w:color w:val="auto"/>
              </w:rPr>
            </w:pPr>
          </w:p>
        </w:tc>
        <w:tc>
          <w:tcPr>
            <w:tcW w:w="1420" w:type="dxa"/>
            <w:vAlign w:val="bottom"/>
            <w:vMerge w:val="restart"/>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8"/>
              </w:rPr>
              <w:t>Properties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4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-1332230</wp:posOffset>
            </wp:positionV>
            <wp:extent cx="7133590"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-1043305</wp:posOffset>
            </wp:positionV>
            <wp:extent cx="7133590"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6556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655695" cy="8255"/>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47"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667,281</w:t>
            </w:r>
          </w:p>
        </w:tc>
      </w:tr>
      <w:tr>
        <w:trPr>
          <w:trHeight w:val="22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83,149</w:t>
            </w: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87,546</w:t>
            </w:r>
          </w:p>
        </w:tc>
      </w:tr>
      <w:tr>
        <w:trPr>
          <w:trHeight w:val="221"/>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royalty income</w:t>
            </w: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497,896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340,080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837,976</w:t>
            </w:r>
          </w:p>
        </w:tc>
      </w:tr>
      <w:tr>
        <w:trPr>
          <w:trHeight w:val="20"/>
        </w:trPr>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7800" w:firstLine="7"/>
        <w:spacing w:after="0" w:line="527" w:lineRule="auto"/>
        <w:tabs>
          <w:tab w:leader="none" w:pos="30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2024 Activity</w:t>
      </w:r>
    </w:p>
    <w:p>
      <w:pPr>
        <w:spacing w:after="0" w:line="1" w:lineRule="exact"/>
        <w:rPr>
          <w:rFonts w:ascii="Times New Roman" w:cs="Times New Roman" w:eastAsia="Times New Roman" w:hAnsi="Times New Roman"/>
          <w:sz w:val="18"/>
          <w:szCs w:val="18"/>
          <w:b w:val="1"/>
          <w:bCs w:val="1"/>
          <w:color w:val="auto"/>
        </w:rPr>
      </w:pPr>
    </w:p>
    <w:p>
      <w:pPr>
        <w:ind w:left="640" w:right="8780"/>
        <w:spacing w:after="0" w:line="5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i w:val="1"/>
          <w:iCs w:val="1"/>
          <w:color w:val="auto"/>
        </w:rPr>
        <w:t xml:space="preserve">Acquisitions </w:t>
      </w:r>
      <w:r>
        <w:rPr>
          <w:rFonts w:ascii="Times New Roman" w:cs="Times New Roman" w:eastAsia="Times New Roman" w:hAnsi="Times New Roman"/>
          <w:sz w:val="17"/>
          <w:szCs w:val="17"/>
          <w:i w:val="1"/>
          <w:iCs w:val="1"/>
          <w:color w:val="auto"/>
        </w:rPr>
        <w:t>Tumbleweed Acquisitions</w:t>
      </w:r>
    </w:p>
    <w:p>
      <w:pPr>
        <w:spacing w:after="0" w:line="1"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September and October of 2024, the Company completed a series of related acquisitions including the TWR Acquisition, the Q Acquisition and the M Acquisition, collectively the (“Tumbleweed Acquisitions”) as defined and discussed below.</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TWR Acquisition</w:t>
      </w:r>
    </w:p>
    <w:p>
      <w:pPr>
        <w:spacing w:after="0" w:line="250"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On October 1, 2024, (the “TWR Closing Date”), the Company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$464.2 million in cash, including transaction costs and certain customary post-closing adjustments, (ii) 10.09 million OpCo Units to TWR IV, (iii) an option (the “TWR Class B Option”) granted to TWR IV to acquire up to 10.09 million shares of the Company’s Class B Common Stock, and (iv) contingent cash consideration of up to $41.0 million, payable in January of 2026, based on the average price of WTI sweet crude oil prompt month futures contracts for the calendar year 2025 (the “WTI 2025 Average”). The contingent cash consideration payment will be (i) $16.4 million if the WTI 2025 Average is between $60.00 and $65.00, (ii) $24.6 million if the WTI 2025 Average is between $65.00 and $75.00, or (iii) $41.0 million if the WTI 2025 Average is greater than $75.00. The Company recorded the contingent cash consideration at its fair value of $21.3 million on the TWR Closing Date (the “TWR Contingent Liability”). Additionally, at the closing of the TWR Acquisition, the Company assumed from TWR IV a royalty income receivable of approximately $24.3 million.</w:t>
      </w:r>
    </w:p>
    <w:p>
      <w:pPr>
        <w:spacing w:after="0" w:line="219"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TWR IV can exchange some or all of the OpCo Units received for an equal number of shares of Class A Common Stock upon expiration of a six month lockup period, and any OpCo Units so exchanged will reduce the number of shares of Class B Common Stock subject to the TWR Class B Option. The mineral and royalty interests acquired in the TWR Acquisition represent approximately 3,067 net royalty acres located primarily in the Permian Basin. The Company funded the cash consideration for the TWR Acquisition through a combination of cash on hand, borrowings under the Operating Company’s revolving credit facility and proceeds from the 2024 Equity Offering, as defined and discussed in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Q Acquisition</w:t>
      </w:r>
    </w:p>
    <w:p>
      <w:pPr>
        <w:spacing w:after="0" w:line="2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On September 3, 2024 (the “Q Closing Date”), the Company acquired all of the issued and outstanding equity interests in Tumbleweed-Q Royalties, LLC (the “Q Acquisition”), pursuant to a definitive purchase and sale agreement for consideration consisting of (i) approximately $114.0 million in cash, including transaction costs and certain customary post-closing adjustments, and (ii) contingent cash consideration of up to $5.4 million, payable in January of 2026, based on the WTI 2025 Average. The contingent cash consideration payment will be (i) $2.2 million if the WTI 2025 Average is between $60.00 and $65.00, (ii) $3.2 million if the WTI 2025 Average is between $65.00 and $75.00, or (iii) $5.4 million if the WTI 2025 Average is greater than $75.00. The Company recorded the contingent cash consideration at its fair value of $2.9 million on the Q Closing Date (the “Q Contingent Liability”). The mineral and royalty interests acquired in the Q Acquisition represent approximately 406 net royalty acres located primarily in the Permian Basin. The cash consideration for the Q Acquisition was funded through a combination of cash on hand and borrowings under the Operating Company’s revolving credit facility.</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M Acquisition</w:t>
      </w:r>
    </w:p>
    <w:p>
      <w:pPr>
        <w:spacing w:after="0" w:line="2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On September 3, 2024 (the “M Closing Date”), the Company acquired all of the issued and outstanding equity interests in MC TWR Royalties, LP and MC TWR Intermediate, LLC (the “M Acquisition”), pursuant to a definitive purchase and sale agreement for consideration consisting of (i) approximately $76.1 million in cash, including transaction costs and certain customary post-closing adjustments, and (ii) contingent cash consideration of up to $3.6 million, payable in January of 2026, based on the WTI 2025 Average. The contingent cash consideration payment will be (i) $1.4 million if the WTI 2025 Average is between $60.00 and $65.00, (ii) $2.2 million if the WTI 2025 Average is between $65.00 and $75.00, or (iii) $3.6 million if the WTI 2025 Average is greater than $75.00. The Company recorded the contingent cash consideration at its fair value of $1.9 million on the M Closing Date (the “M Contingent Liability”). The mineral and royalty interests acquired in the M Acquisition represent approximately 267 net royalty acres located primarily in the Permian Basin. The cash consideration for the M Acquisition was funded through a combination of cash on hand and borrowings under the Operating Company’s revolving credit facility.</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At December 31, 2024, the aggregate estimated fair value of the Q Contingent Liability, the M Contingent Liability and the TWR Contingent Liability, (collectively, the “2026 WTI Contingent Liability“) was $29.8 million. 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and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discussion of the fair value of the 2026 WTI Contingent Liability.</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Additionally during the year ended December 31, 2024 the Company acquired, in individually insignificant transactions from unrelated third-party sellers, mineral and royalty interests representing 261 net royalty acres in the Permian Basin for an aggregate purchase price of approximately $54.2 million, including customary closing adjustments. The Company funded these acquisitions with cash on hand and borrowings under the Operating Company’s revolving credit facility.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In the second quarter of 2024, the Company divested all of its non-Permian assets for a purchase price of approximately $87.2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Activity</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GRP Acquisition</w:t>
      </w:r>
    </w:p>
    <w:p>
      <w:pPr>
        <w:spacing w:after="0" w:line="25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On November 1, 2023, the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units and $747.5 million in cash, including transaction costs and certain customary post-closing adjustments (the “GRP Acquisition”). The mineral and royalty interests acquired in the GRP Acquisition represent approximately 4,600 net royalty acres in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Permian Basin, plus approximately 2,700 additional net royalty acres in other major basins. The cash consideration for the GRP Acquisition was funded through a combination of cash on hand and held in escrow, borrowings under the Operating Company’s revolving credit facility, proceeds from the 2031 Notes (as defined in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and proceeds from the $200.0 million common unit issuance to Diamondback discussed further in Note 7— </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000000"/>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2023 Drop Down</w:t>
      </w:r>
    </w:p>
    <w:p>
      <w:pPr>
        <w:spacing w:after="0" w:line="250"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On March 8, 2023, the Company acquired certain mineral and royalty interests from subsidiaries of Diamondback for approximately $74.5 million in cash, including customary closing adjustments for net title benefits (the “2023 Drop Down”). The mineral and royalty interests acquired in the 2023 Drop Down represent approximately 660 net royalty acres in Ward County in the Southern Delaware Basin, 100% of which are operated by Diamondback, and have an average net royalty interest of approximately 7.2% and current production of approximately 300 BO/d. The Company funded the 2023 Drop Down through a combination of cash on hand and borrowings under the Operating Company’s revolving credit facility. The 2023 Drop Down was accounted for as a transaction between entities under common control with the properties acquired recorded at Diamondback’s historical carrying value in the Company’s consolidated balance sheet. The historical carrying value of the properties approximated the 2023 Drop Down purchase price.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$70.4 million, including customary closing adjustments. The Company funded these acquisitions with cash on hand and borrowings under the Operating Company’s revolving credit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in individually insignificant transactions, the Company acquired from unrelated third-party sellers mineral and royalty interests representing 375 net royalty acres in the Permian Basin for an aggregate net purchase price of approximately $65.8 million, including customary closing adjustments. The Company funded these acquisitions with cash on hand and borrowings under the Operating Company’s revolving credit facility.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the fourth quarter of 2022, the Company divested its entire position in the Eagle Ford Shale consisting of 681 net royalty acres of third-party operated acreage for an aggregate net sales price of $53.7 million, including customary closing adjustments.</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the third quarter of 2022, the Company divested 93 net royalty acres of third-party operated acreage located entirely in Loving county in the Delaware Basin for an aggregate net sales price of $29.9 million, including customary closing adjustments.</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 the first quarter of 2022, the Company divested 325 net royalty acres of third-party operated acreage located entirely in Upton and Reagan counties in the Midland Basin for an aggregate net sales price of $29.3 million, including customary closing adjustments.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OIL AND NATURAL GAS INTERESTS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Oil and natural gas interests include the following for the periods presented: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3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8"/>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Subject to depletion</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3,532,834</w:t>
            </w:r>
          </w:p>
        </w:tc>
        <w:tc>
          <w:tcPr>
            <w:tcW w:w="64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2,859,642</w:t>
            </w:r>
          </w:p>
        </w:tc>
      </w:tr>
      <w:tr>
        <w:trPr>
          <w:trHeight w:val="22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 subject to depletion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2,179,837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1,769,341</w:t>
            </w:r>
          </w:p>
        </w:tc>
      </w:tr>
      <w:tr>
        <w:trPr>
          <w:trHeight w:val="221"/>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5,712,671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4,628,983</w:t>
            </w:r>
          </w:p>
        </w:tc>
      </w:tr>
      <w:tr>
        <w:trPr>
          <w:trHeight w:val="22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(866,352)</w:t>
            </w:r>
          </w:p>
        </w:tc>
      </w:tr>
      <w:tr>
        <w:trPr>
          <w:trHeight w:val="221"/>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Oil and natural gas interests,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4,631,907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3,762,631</w:t>
            </w:r>
          </w:p>
        </w:tc>
      </w:tr>
      <w:tr>
        <w:trPr>
          <w:trHeight w:val="22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1"/>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net of accumulated depletion and impairment</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4,637,595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3,768,319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7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costs not subject to depletion:</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Incurred in 2024</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Incurred in 2023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Incurred in 2022</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Prior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771,917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6"/>
        </w:trPr>
        <w:tc>
          <w:tcPr>
            <w:tcW w:w="7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not subject to depletion</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2,179,837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0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As of December 31, 2024 and 2023, the Company had mineral and royalty interests representing approximately 35,671 and 34,217 net royalty acres, respectively.</w:t>
      </w:r>
    </w:p>
    <w:p>
      <w:pPr>
        <w:spacing w:after="0" w:line="19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Costs associated with unevaluated properties are excluded from the full cost pool until a determination as to the existence of proved reserves can be made. The inclusion of the Company’s unevaluated costs into the amortization base is expected to be completed within eight to ten years.</w:t>
      </w:r>
    </w:p>
    <w:p>
      <w:pPr>
        <w:spacing w:after="0" w:line="19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Based on the results of the quarterly ceiling tests, the Company was not required to record an impairment on the Company’s proved oil and natural gas interests for the years ended December 31, 2024, 2023 and 2022. In addition to commodity prices, the Company’s production rates, levels of proved reserves, transfers of unevaluated properties and other factors will determine its actual ceiling test limitations and impairment analysis in future periods. If the trailing 12-month commodity prices were to fall as compared to the commodity prices used in prior quarters, the Company could have write-downs in subsequent quarters, which may be material.</w:t>
      </w: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bottom w:val="single" w:sz="8" w:color="auto"/>
            </w:tcBorders>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7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40" w:type="dxa"/>
            <w:vAlign w:val="bottom"/>
          </w:tcPr>
          <w:p>
            <w:pPr>
              <w:spacing w:after="0"/>
              <w:rPr>
                <w:sz w:val="18"/>
                <w:szCs w:val="18"/>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2027</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430,350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430,350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1,082,979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1,083,082</w:t>
            </w:r>
          </w:p>
        </w:tc>
      </w:tr>
      <w:tr>
        <w:trPr>
          <w:trHeight w:val="20"/>
        </w:trPr>
        <w:tc>
          <w:tcPr>
            <w:tcW w:w="7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2031 Notes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October 19, 2023, the Company completed an offering of $400.0 million in aggregate principal amount of its 7.375% Senior Notes maturing on November 1, 2031 (the “2031 Notes”). The Company received net proceeds of approximately $394.0 million, after deducting the initial purchasers’ discount and transaction costs from the 2031 Notes. The Company loaned the gross proceeds to the Operating Company, which used the proceeds to partially fund the cash portion of the GRP Acquisition.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Notes are senior unsecured obligations of the Company, initially guaranteed on a senior unsecured basis by the Operating Company, and will pay interest semi-annually. Diamondback will not guarantee the Notes. In the future, each of the Company’s restricted subsidiaries that either (i) guarantees any of its or a guarantor’s indebtedness, or (ii) is a domestic restricted subsidiary and is an obligor with respect to any indebtedness under any credit facility will be required to guarantee the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Operating Company’s Revolving Credit Facility</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On November 22, 2024, the Operating Company, as borrower, and the Company, as parent guarantor, entered into a thirteenth amendment to the existing credit facility, which among other things, (i) maintained the maximum credit amount of $2.0 billion, (ii) maintained the borrowing base of $1.3 billion, and (iii) increased the elected commitment amount from $850.0 million to $1.3 billion.</w:t>
      </w:r>
    </w:p>
    <w:p>
      <w:pPr>
        <w:spacing w:after="0" w:line="20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As of December 31, 2024, the Operating Company had $261.0 million of outstanding borrowings and $989.0 million available for future borrowings under the Operating Company’s revolving credit facility. For the years ended December 31, 2024, 2023 and 2022, the weighted average interest rate on borrowings under the Operating Company’s revolving credit facility was 7.34%, 7.41%, and 4.22%, respectively. The revolving credit facility will mature on September 22, 2028.</w:t>
      </w:r>
    </w:p>
    <w:p>
      <w:pPr>
        <w:spacing w:after="0" w:line="208"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facility bear interest at a rate elected by the Operating Company that is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The credit facility is secured by substantially all the assets of the Company and the Operating Company.</w:t>
      </w:r>
    </w:p>
    <w:p>
      <w:pPr>
        <w:spacing w:after="0" w:line="21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credit facility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Covenant</w:t>
            </w:r>
          </w:p>
        </w:tc>
        <w:tc>
          <w:tcPr>
            <w:tcW w:w="4280" w:type="dxa"/>
            <w:vAlign w:val="bottom"/>
            <w:tcBorders>
              <w:bottom w:val="single" w:sz="8" w:color="auto"/>
            </w:tcBorders>
          </w:tcPr>
          <w:p>
            <w:pPr>
              <w:jc w:val="center"/>
              <w:ind w:left="1713"/>
              <w:spacing w:after="0"/>
              <w:rPr>
                <w:sz w:val="20"/>
                <w:szCs w:val="20"/>
                <w:color w:val="auto"/>
              </w:rPr>
            </w:pPr>
            <w:r>
              <w:rPr>
                <w:rFonts w:ascii="Times New Roman" w:cs="Times New Roman" w:eastAsia="Times New Roman" w:hAnsi="Times New Roman"/>
                <w:sz w:val="16"/>
                <w:szCs w:val="16"/>
                <w:b w:val="1"/>
                <w:bCs w:val="1"/>
                <w:color w:val="auto"/>
                <w:w w:val="98"/>
              </w:rPr>
              <w:t>Required Ratio</w:t>
            </w:r>
          </w:p>
        </w:tc>
      </w:tr>
      <w:tr>
        <w:trPr>
          <w:trHeight w:val="22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facility</w:t>
            </w:r>
          </w:p>
        </w:tc>
        <w:tc>
          <w:tcPr>
            <w:tcW w:w="4280" w:type="dxa"/>
            <w:vAlign w:val="bottom"/>
            <w:shd w:val="clear" w:color="auto" w:fill="CCEEFF"/>
          </w:tcPr>
          <w:p>
            <w:pPr>
              <w:jc w:val="center"/>
              <w:ind w:left="1713"/>
              <w:spacing w:after="0"/>
              <w:rPr>
                <w:sz w:val="20"/>
                <w:szCs w:val="20"/>
                <w:color w:val="auto"/>
              </w:rPr>
            </w:pPr>
            <w:r>
              <w:rPr>
                <w:rFonts w:ascii="Times New Roman" w:cs="Times New Roman" w:eastAsia="Times New Roman" w:hAnsi="Times New Roman"/>
                <w:sz w:val="18"/>
                <w:szCs w:val="18"/>
                <w:color w:val="auto"/>
                <w:w w:val="99"/>
              </w:rPr>
              <w:t>Not greater than 4.0 to 1.0</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facility</w:t>
            </w:r>
          </w:p>
        </w:tc>
        <w:tc>
          <w:tcPr>
            <w:tcW w:w="4280" w:type="dxa"/>
            <w:vAlign w:val="bottom"/>
          </w:tcPr>
          <w:p>
            <w:pPr>
              <w:jc w:val="center"/>
              <w:ind w:left="1713"/>
              <w:spacing w:after="0"/>
              <w:rPr>
                <w:sz w:val="20"/>
                <w:szCs w:val="20"/>
                <w:color w:val="auto"/>
              </w:rPr>
            </w:pPr>
            <w:r>
              <w:rPr>
                <w:rFonts w:ascii="Times New Roman" w:cs="Times New Roman" w:eastAsia="Times New Roman" w:hAnsi="Times New Roman"/>
                <w:sz w:val="18"/>
                <w:szCs w:val="18"/>
                <w:color w:val="auto"/>
                <w:w w:val="98"/>
              </w:rPr>
              <w:t>Not less than 1.0 to 1.0</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secured debt to EBITDAX, as defined in the credit facility</w:t>
            </w:r>
          </w:p>
        </w:tc>
        <w:tc>
          <w:tcPr>
            <w:tcW w:w="4280" w:type="dxa"/>
            <w:vAlign w:val="bottom"/>
            <w:shd w:val="clear" w:color="auto" w:fill="CCEEFF"/>
          </w:tcPr>
          <w:p>
            <w:pPr>
              <w:jc w:val="center"/>
              <w:ind w:left="1713"/>
              <w:spacing w:after="0"/>
              <w:rPr>
                <w:sz w:val="20"/>
                <w:szCs w:val="20"/>
                <w:color w:val="auto"/>
              </w:rPr>
            </w:pPr>
            <w:r>
              <w:rPr>
                <w:rFonts w:ascii="Times New Roman" w:cs="Times New Roman" w:eastAsia="Times New Roman" w:hAnsi="Times New Roman"/>
                <w:sz w:val="18"/>
                <w:szCs w:val="18"/>
                <w:color w:val="auto"/>
                <w:w w:val="99"/>
              </w:rPr>
              <w:t>Not greater than 2.5 to 1.0</w:t>
            </w:r>
          </w:p>
        </w:tc>
      </w:tr>
    </w:tbl>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2024, the Operating Company was in compliance with all financial maintenance covenants under its credit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amounts have been incurred and charged to interest expense for the years ended December 31, 2024, 2023 and 2022:</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6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66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74,373</w:t>
            </w: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 and expenses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1"/>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73,848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w:t>
            </w: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At December 31, 2024, the Company had a total of 102,977,142 shares of Class A Common Stock issued and outstanding and 85,431,453 shares of Class B Common Stock issued and outstanding. At December 31, 2024, all of the issued and outstanding shares of Class B Common Stock were beneficially owned by Diamondback, representing approximately 45% of the Company’s total Common Stock outstanding. Diamondback also beneficially owned 85,431,453 OpCo Units, representing a 43% non-controlling ownership interest in the Operating Company, TWR IV beneficially owned 10,093,670 OpCo Units, representing a 5% non-controlling ownership interest in the Operating Company, and the Company owned the remaining 102,977,142 OpCo Units. The OpCo Units and the Company’s Class B Common Stock beneficially owned by Diamondback are exchangeable from time to time for the Company’s Class A Common Stock (that is, one OpCo Unit and one share of the Company’s Class B Common Stock, together, are exchangeable for one share of the Company’s Class A Common Stock).</w:t>
      </w:r>
    </w:p>
    <w:p>
      <w:pPr>
        <w:spacing w:after="0" w:line="216"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In addition to the outstanding shares of the Company’s Class B Common Stock, TWR IV was granted the TWR Class B Option to acquire 10.09 million shares of Class B Common Stock. The OpCo Units and, subject to the exercise of the TWR Class B Option, any shares of Class B Common Stock beneficially owned by TWR IV are under lockup until April 1, 2025, at which time each OpCo Unit and, subject to TWR IV’s exercise of the TWR Class B Option, an equal number of shares of Class B Common Stock will become exchangeable by TWR IV for one share of the Company’s Class A Common Stock. Any shares of Class A Common Stock issued to TWR IV in exchange for OpCo Units and an equal number of shares of Class B Common Stock will reduce the number of shares of Class B Common Stock available to TWR IV under the TWR Class B Option.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Equity Offering</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September 13, 2024, the Company completed an underwritten public offering of approximately 11.50 million shares of its Class A Common Stock, which included 1.50 million shares issued pursuant to an option to purchase additional shares of Class A Common Stock granted to the underwriters, at a price to the public of $42.50 per share for total net proceeds of approximately $475.9 million, after the underwriters’ discount and transaction costs (the “2024 Equity Offering”). The net proceeds were used to fund a portion of the cash consideration for the TWR Acquisition.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Viper Issuance of Common Units to Diamondback</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Company issued approximately 7.22 million of its common units to Diamondback at a price of $27.72 per unit for total net proceeds of approximately $200.0 million (the “2023 Viper Issuance”). The net proceeds were used to fund a portion of the cash consideration for the GRP Acquisition. During 2024, Diamondback sold all of its shares of the Company’s Class A Common Stock in the Diamondback Offering discussed in Note 1— </w:t>
      </w:r>
      <w:r>
        <w:rPr>
          <w:rFonts w:ascii="Times New Roman" w:cs="Times New Roman" w:eastAsia="Times New Roman" w:hAnsi="Times New Roman"/>
          <w:sz w:val="18"/>
          <w:szCs w:val="18"/>
          <w:u w:val="single" w:color="auto"/>
          <w:color w:val="0000FF"/>
        </w:rPr>
        <w:t>Organization and Basis of Presentation</w:t>
      </w:r>
      <w:r>
        <w:rPr>
          <w:rFonts w:ascii="Times New Roman" w:cs="Times New Roman" w:eastAsia="Times New Roman" w:hAnsi="Times New Roman"/>
          <w:sz w:val="18"/>
          <w:szCs w:val="18"/>
          <w:color w:val="000000"/>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Company’s board of directors has authorized a $750.0 million common stock repurchase program, with respect to the repurchase of the Company’s Class A Common Stock, excluding excise tax, over an indefinite period of time. The Company has and intends to continue to purchase shares of Class A Common Stock under the repurchase program</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opportunistically with funds from cash on hand, free cash flow from operations and potential liquidity events such as the sale of assets. This repurchase program may be suspended from time to time, modified, extended or discontinued by the Company’s board of directors at any time.</w:t>
      </w:r>
    </w:p>
    <w:p>
      <w:pPr>
        <w:spacing w:after="0" w:line="190"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there were no repurchases under the repurchase program. Repurchases of $95.2 million for the year ended December 31, 2023 include approximately $28.7 million for the repurchase of 1.0 million shares of Class A Common Stock from GRP in a privately negotiated transaction in the fourth quarter of 2023. Repurchases of $150.6 million for the year ended December 31, 2022 include approximately $37.3 million for the repurchase of 1.5 million shares of Class A Common Stock from a significant stockholder in a privately negotiated transaction. As of December 31, 2024, $434.2 million remains available under the repurchase program, excluding excise tax.</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Ownership of Consolidated Subsidiaries</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Non-controlling interest in the accompanying consolidated financial statements represents Diamondback’s and TWR IV’s ownership in the net assets of the Operating Company. The non-controlling interests’ relative ownership in the Operating Company can change due to the purchase or sale of the Company’s Common Stock, the Company’s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Class A Common Stock and distribution equivalent rights paid on the Company’s Class A Common Stock. These changes in ownership percentage result in adjustments to non-controlling interest and stockholders’ equity, tax effected, but do not impact earnings.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equity due to changes in ownership interest during the period: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151,673</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58,253</w:t>
            </w:r>
          </w:p>
        </w:tc>
        <w:tc>
          <w:tcPr>
            <w:tcW w:w="0" w:type="dxa"/>
            <w:vAlign w:val="bottom"/>
          </w:tcPr>
          <w:p>
            <w:pPr>
              <w:spacing w:after="0"/>
              <w:rPr>
                <w:sz w:val="1"/>
                <w:szCs w:val="1"/>
                <w:color w:val="auto"/>
              </w:rPr>
            </w:pPr>
          </w:p>
        </w:tc>
      </w:tr>
      <w:tr>
        <w:trPr>
          <w:trHeight w:val="154"/>
        </w:trPr>
        <w:tc>
          <w:tcPr>
            <w:tcW w:w="67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Change from net income (loss) attributable to the Company's stockholders and transfers with</w:t>
            </w:r>
          </w:p>
        </w:tc>
        <w:tc>
          <w:tcPr>
            <w:tcW w:w="34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417,958</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209,926</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has established a dividend policy, consistent with the pre-Conversion distribution policy, whereby the Operating Company distributes all or a portion of its available cash on a quarterly basis to its unitholders (including Diamondback, the Company and, following the TWR Acquisition completed on October 1, 2024, TWR IV). The Company in turn distributes all or a portion of the available cash it receives from the Operating Company to holders of its Class A Common Stock through base and variable dividends. The Company currently intends to pay quarterly variable dividends of at least 75% of its available cash less the base dividend declared and the amount paid in stock repurchases as part of the Company’s buyback program for the applicable quarter. Additionally, the Company’s board of directors may approve certain one-time discretionary adjustments to the calculation of cash available for distribution.</w:t>
      </w:r>
    </w:p>
    <w:p>
      <w:pPr>
        <w:spacing w:after="0" w:line="21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Company’s available cash and the available cash of the Operating Company for each quarter, a non-GAAP measure, is determined by the Company’s board of directors following the end of such quarter. 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distribution equivalent rights payments, preferred distributions, and an adjustment for changes in ownership interests that occurred subsequent to the quarter, if any.</w:t>
      </w:r>
    </w:p>
    <w:p>
      <w:pPr>
        <w:spacing w:after="0" w:line="21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percentage of cash available for distribution by the Operating Company pursuant to the distribution policy may change quarterly to enable the Operating Company to retain cash flow to help strengthen the Company’s balance sheet while also expanding the return of capital program through the Company’s stock repurchase program. The Company is not required to pay dividends to the holders of its Class A Common Stock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Company is also required to pay a quarterly preferred dividend in respect of its Class B Common Stock in the aggregate amount of $20,000 per quarter, which is consistent with the Partnership’s pre-Conversion preferred distribution requirement. Other than the preferred dividend requirement, the Company is not required to pay dividends to the holders of its Common Stock on a quarterly or other basis, and declaration of any other dividends in the future will be solely in the discretion of the Company’s board of directors.</w:t>
      </w:r>
    </w:p>
    <w:p>
      <w:pPr>
        <w:spacing w:after="0" w:line="208" w:lineRule="exact"/>
        <w:rPr>
          <w:sz w:val="20"/>
          <w:szCs w:val="20"/>
          <w:color w:val="auto"/>
        </w:rPr>
      </w:pPr>
    </w:p>
    <w:p>
      <w:pPr>
        <w:ind w:right="20"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regarding cash distributions and dividends paid during the years ended December 31, 2024, 2023 and 2022 (in thousands, except for per unit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Distributions to</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72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94"/>
        </w:trPr>
        <w:tc>
          <w:tcPr>
            <w:tcW w:w="1040" w:type="dxa"/>
            <w:vAlign w:val="bottom"/>
            <w:gridSpan w:val="2"/>
            <w:vMerge w:val="continue"/>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Company Unit</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Diamondback</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9"/>
                <w:szCs w:val="9"/>
                <w:b w:val="1"/>
                <w:bCs w:val="1"/>
                <w:color w:val="auto"/>
              </w:rPr>
              <w:t>(1)(2)</w:t>
            </w:r>
          </w:p>
        </w:tc>
        <w:tc>
          <w:tcPr>
            <w:tcW w:w="16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Q4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62,590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February 15, 2024</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March 5,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12, 2024</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59,803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April 25, 2024</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15,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22, 2024</w:t>
            </w: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Q2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64,927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August 1, 2024</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15,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22, 2024</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62,366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October 31, 2024</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14,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21, 2024</w:t>
            </w:r>
          </w:p>
        </w:tc>
        <w:tc>
          <w:tcPr>
            <w:tcW w:w="0" w:type="dxa"/>
            <w:vAlign w:val="bottom"/>
          </w:tcPr>
          <w:p>
            <w:pPr>
              <w:spacing w:after="0"/>
              <w:rPr>
                <w:sz w:val="1"/>
                <w:szCs w:val="1"/>
                <w:color w:val="auto"/>
              </w:rPr>
            </w:pPr>
          </w:p>
        </w:tc>
      </w:tr>
      <w:tr>
        <w:trPr>
          <w:trHeight w:val="194"/>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Q4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48,983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35,683</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February 15, 2023</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March 3,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10, 2023</w:t>
            </w: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38,097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April 26, 2023</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11,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18, 2023</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39,912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July 25, 2023</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August 10,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17, 2023</w:t>
            </w: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Q3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63,497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November 2, 2023</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16,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24, 2023</w:t>
            </w:r>
          </w:p>
        </w:tc>
        <w:tc>
          <w:tcPr>
            <w:tcW w:w="0" w:type="dxa"/>
            <w:vAlign w:val="bottom"/>
          </w:tcPr>
          <w:p>
            <w:pPr>
              <w:spacing w:after="0"/>
              <w:rPr>
                <w:sz w:val="1"/>
                <w:szCs w:val="1"/>
                <w:color w:val="auto"/>
              </w:rPr>
            </w:pPr>
          </w:p>
        </w:tc>
      </w:tr>
      <w:tr>
        <w:trPr>
          <w:trHeight w:val="203"/>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Q4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42,634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February 16, 2022</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March 4,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11, 2022</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April 27, 2022</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12,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19, 2022</w:t>
            </w: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Q2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78,918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July 26, 2022</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16,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23, 2022</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Q3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47,170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November 3, 2022</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17,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25, 2022</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20" w:hanging="313"/>
        <w:spacing w:after="0" w:line="255" w:lineRule="auto"/>
        <w:tabs>
          <w:tab w:leader="none" w:pos="3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the first quarter of 2024 include amounts paid to Diamondback for the 7,946,507 shares of Class A Common Stock then beneficially owned by Diamondback and distributions equivalent rights payments. As of March 31, 2024, Diamondback did not beneficially own any shares of Class A Common Stock.</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distributions paid in 2023, includes amounts paid to Diamondback for the 731,500 common units then beneficially owned by Diamondback.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dividends will be made to the common stockholders of record on the applicable record date, generally within 60 days after the end of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Net Incom</w:t>
      </w:r>
      <w:r>
        <w:rPr>
          <w:rFonts w:ascii="Times New Roman" w:cs="Times New Roman" w:eastAsia="Times New Roman" w:hAnsi="Times New Roman"/>
          <w:sz w:val="18"/>
          <w:szCs w:val="18"/>
          <w:color w:val="auto"/>
        </w:rPr>
        <w:t>e</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Partnership, as the previous managing member of the Operating Company, had an agreement, as amended on December 28, 2021, whereby special allocations of the Operating Company’s income and gains over losses and deductions (but before depletion) were made to Diamondback through December 31, 2022. These special income allocations reduced the taxable income allocated to the Partnership’s common unitholders during 2022.</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net income (loss) per common share on the consolidated statements of operations is based on the net income (loss) attributable to the Company’s Class A Common Stock for the years ended December 31, 2024 and 2023 and common units for the year ended December 31, 2022. For the year ended December 31, 2022, the Partnership’s net income (loss) was allocated wholly to the common unitholders, as the General Partner did not have an economic interest. Payments made to the Company’s stockholders are determined in relation to the cash dividend policy described in Note 7—</w:t>
      </w:r>
      <w:r>
        <w:rPr>
          <w:rFonts w:ascii="Times New Roman" w:cs="Times New Roman" w:eastAsia="Times New Roman" w:hAnsi="Times New Roman"/>
          <w:sz w:val="18"/>
          <w:szCs w:val="18"/>
          <w:u w:val="single" w:color="auto"/>
          <w:color w:val="0000FF"/>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8"/>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359,245</w:t>
            </w:r>
          </w:p>
        </w:tc>
        <w:tc>
          <w:tcPr>
            <w:tcW w:w="4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151,673</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Less: net income (loss) allocated to participating securities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75,612</w:t>
            </w:r>
          </w:p>
        </w:tc>
        <w:tc>
          <w:tcPr>
            <w:tcW w:w="0" w:type="dxa"/>
            <w:vAlign w:val="bottom"/>
          </w:tcPr>
          <w:p>
            <w:pPr>
              <w:spacing w:after="0"/>
              <w:rPr>
                <w:sz w:val="1"/>
                <w:szCs w:val="1"/>
                <w:color w:val="auto"/>
              </w:rPr>
            </w:pPr>
          </w:p>
        </w:tc>
      </w:tr>
      <w:tr>
        <w:trPr>
          <w:trHeight w:val="228"/>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660"/>
              <w:spacing w:after="0" w:line="228" w:lineRule="exact"/>
              <w:rPr>
                <w:sz w:val="20"/>
                <w:szCs w:val="20"/>
                <w:color w:val="auto"/>
              </w:rPr>
            </w:pPr>
            <w:r>
              <w:rPr>
                <w:rFonts w:ascii="Times New Roman" w:cs="Times New Roman" w:eastAsia="Times New Roman" w:hAnsi="Times New Roman"/>
                <w:sz w:val="18"/>
                <w:szCs w:val="18"/>
                <w:color w:val="auto"/>
              </w:rPr>
              <w:t>Potential common shares issuable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1"/>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75,679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3"/>
        <w:spacing w:after="0" w:line="259" w:lineRule="auto"/>
        <w:tabs>
          <w:tab w:leader="none" w:pos="5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units and performance restricted stock units that contain non-forfeitable distribution equivalent rights are considered participating securities and are therefore included in the earnings per share calculation pursuant to the two-class method.</w:t>
      </w:r>
    </w:p>
    <w:p>
      <w:pPr>
        <w:ind w:left="320" w:hanging="313"/>
        <w:spacing w:after="0" w:line="256"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2023 and 2022 no significant potential common shares were excluded from the computation of diluted earnings per common share.</w:t>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Company’s total income tax benefit for the year ended December 31, 2024, differed from amounts computed by applying the United States federal statutory tax rate to pre-tax income for the period primarily due to the release of the remaining valuation allowance during the fourth quarter and net income attributable to non-controlling interests. For the years ended December 31, 2023 and 2022, respectively, total income tax expense differed from amounts computed by applying the United States federal statutory rate to pre-tax income for the period primarily due to net income attributable to the non-controlling interest and the impact of reductions to the valuation allowance.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the provision for income taxes and effective tax rates for the years ended December 31, 2024, 2023 and 2022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6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8"/>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47,264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50,414</w:t>
            </w:r>
          </w:p>
        </w:tc>
        <w:tc>
          <w:tcPr>
            <w:tcW w:w="8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15,929</w:t>
            </w:r>
          </w:p>
        </w:tc>
      </w:tr>
      <w:tr>
        <w:trPr>
          <w:trHeight w:val="228"/>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1,074</w:t>
            </w:r>
          </w:p>
        </w:tc>
      </w:tr>
      <w:tr>
        <w:trPr>
          <w:trHeight w:val="221"/>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52,952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17,003</w:t>
            </w: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8"/>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(148,439)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(49,656)</w:t>
            </w:r>
          </w:p>
        </w:tc>
      </w:tr>
      <w:tr>
        <w:trPr>
          <w:trHeight w:val="228"/>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 income tax provision (benefit)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(149,085)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(49,656)</w:t>
            </w:r>
          </w:p>
        </w:tc>
      </w:tr>
      <w:tr>
        <w:trPr>
          <w:trHeight w:val="24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from income taxes</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(99,711)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45,952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(32,653)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the statutory federal income tax amount to the recorded expense is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 (21%)</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105,826</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130,694</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nontaxable noncontrolling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(105,699)</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 (benefit), net of federal tax effect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1"/>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(32,653)</w:t>
            </w: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as of December 31, 2024 and 2023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8"/>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and capital loss carryforwards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the Operating Company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170,164</w:t>
            </w:r>
          </w:p>
        </w:tc>
      </w:tr>
      <w:tr>
        <w:trPr>
          <w:trHeight w:val="221"/>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170,179</w:t>
            </w:r>
          </w:p>
        </w:tc>
      </w:tr>
      <w:tr>
        <w:trPr>
          <w:trHeight w:val="228"/>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(113,523)</w:t>
            </w:r>
          </w:p>
        </w:tc>
      </w:tr>
      <w:tr>
        <w:trPr>
          <w:trHeight w:val="221"/>
        </w:trPr>
        <w:tc>
          <w:tcPr>
            <w:tcW w:w="7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56,656</w:t>
            </w: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8"/>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184,849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At December 31, 2024, the Company has net deferred tax assets of approximately $184.8 million, including immaterial federal capital loss carryforwards expiring in 2026 and immaterial state operating loss carryforwards. Deferred taxes are provided on the difference between the Company’s basis for financial accounting purposes and basis for federal income tax purposes in its investment in the Operating Company.</w:t>
      </w:r>
    </w:p>
    <w:p>
      <w:pPr>
        <w:spacing w:after="0" w:line="203"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released its remaining valuation allowance of $155.9 million as a result of management’s assessment of the realizability of future taxable income, which primarily contributed to the discrete income tax benefit of $149.1 million for the year ended December 31, 2024. During the years ended December 31, 2023 and 2022, the Company recognized discrete income tax benefits of $7.0 million and $49.7 million, respectively, related to a partial release of its beginning-of-the-year valuation allowance, based on a change in judgment about the realizability of its deferred tax assets in future years.</w:t>
      </w:r>
    </w:p>
    <w:p>
      <w:pPr>
        <w:spacing w:after="0" w:line="21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In March 2024, as part of the Diamondback Offering, Diamondback converted approximately 5.28 million shares of the Company’s Class B Common Stock along with 5.28 million OpCo Units into an equivalent number of shares of Class A Common Stock. In connection with this transaction, the Company recognized a $28.2 million increase in its deferred tax asset and a $10.8 million increase in its valuation allowance through additional paid-in capital.</w:t>
      </w:r>
    </w:p>
    <w:p>
      <w:pPr>
        <w:spacing w:after="0" w:line="208"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Company principally operates in the state of Texas. For the years ended December 31, 2024 and 2023, the Company recognized $2.1 million and $2.5 million, respectively, in state income tax expense primarily for its share of Texas margin tax attributable to the Company’s results which are included in a combined tax return filed by Diamondback. At December 31, 2024, the Company did not have any significant uncertain tax positions requiring recognition in the financial statements. The Company’s 2021 through 2024 tax years remain open to examination by tax authorities.</w:t>
      </w:r>
    </w:p>
    <w:p>
      <w:pPr>
        <w:spacing w:after="0" w:line="2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During 2024, the Company used fixed price swap contracts, fixed price basis swap contracts and costless collars with corresponding put and call options to reduce price volatility associated with certain of its royalty income. At December 31, 2024, the Company has puts, costless collars and fixed price basis swap contracts outstanding.</w:t>
      </w:r>
    </w:p>
    <w:p>
      <w:pPr>
        <w:spacing w:after="0" w:line="203"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spacing w:after="0" w:line="216"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 Market risks involved in our use of derivative instruments relate to our potential inability to realize the benefits of any increases in commodity prices above the prices established by our derivative contracts.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As of December 31, 2024, the Company had the following outstanding derivative contracts. When aggregating multiple contracts, the weighted average contract price is disclosed.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234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Collars</w:t>
            </w:r>
          </w:p>
        </w:tc>
        <w:tc>
          <w:tcPr>
            <w:tcW w:w="10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Puts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Bbls/MMBtu</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45"/>
        </w:trPr>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94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Average Floor</w:t>
            </w: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Ceiling</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Strike Price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Month</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60" w:type="dxa"/>
            <w:vAlign w:val="bottom"/>
            <w:gridSpan w:val="2"/>
            <w:vMerge w:val="continue"/>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Day</w:t>
            </w:r>
          </w:p>
        </w:tc>
        <w:tc>
          <w:tcPr>
            <w:tcW w:w="136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Differential</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3"/>
            <w:vMerge w:val="continue"/>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200"/>
        </w:trPr>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Jan. - Mar.</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20,000</w:t>
            </w: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WTI Cushing</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7"/>
                <w:szCs w:val="17"/>
                <w:color w:val="auto"/>
                <w:w w:val="96"/>
              </w:rPr>
              <w:t>$(1.62)</w:t>
            </w:r>
          </w:p>
        </w:tc>
        <w:tc>
          <w:tcPr>
            <w:tcW w:w="0" w:type="dxa"/>
            <w:vAlign w:val="bottom"/>
          </w:tcPr>
          <w:p>
            <w:pPr>
              <w:spacing w:after="0"/>
              <w:rPr>
                <w:sz w:val="1"/>
                <w:szCs w:val="1"/>
                <w:color w:val="auto"/>
              </w:rPr>
            </w:pPr>
          </w:p>
        </w:tc>
      </w:tr>
      <w:tr>
        <w:trPr>
          <w:trHeight w:val="232"/>
        </w:trPr>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Apr. - Jun.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Puts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20,000</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WTI Cushing</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$55.00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6"/>
              </w:rPr>
              <w:t>$(1.61)</w:t>
            </w:r>
          </w:p>
        </w:tc>
        <w:tc>
          <w:tcPr>
            <w:tcW w:w="0" w:type="dxa"/>
            <w:vAlign w:val="bottom"/>
          </w:tcPr>
          <w:p>
            <w:pPr>
              <w:spacing w:after="0"/>
              <w:rPr>
                <w:sz w:val="1"/>
                <w:szCs w:val="1"/>
                <w:color w:val="auto"/>
              </w:rPr>
            </w:pPr>
          </w:p>
        </w:tc>
      </w:tr>
      <w:tr>
        <w:trPr>
          <w:trHeight w:val="194"/>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Jan. - Dec.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Basis Swaps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60,000</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Waha Hub</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Jan.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Costless Collar</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60,000</w:t>
            </w: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Henry Hub</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$2.50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$4.93</w:t>
            </w:r>
          </w:p>
        </w:tc>
        <w:tc>
          <w:tcPr>
            <w:tcW w:w="100" w:type="dxa"/>
            <w:vAlign w:val="bottom"/>
          </w:tcPr>
          <w:p>
            <w:pPr>
              <w:spacing w:after="0"/>
              <w:rPr>
                <w:sz w:val="19"/>
                <w:szCs w:val="19"/>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Offsetting of Derivative Assets and Liabilities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Losses on Derivative Instruments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included in the consolidated statements of operations and the net cash receipts (payments) on derivatives for the periods presented: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670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Gain (loss) on derivative instruments</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11,386</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(25,793)</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r>
      <w:tr>
        <w:trPr>
          <w:trHeight w:val="3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r>
              <w:rPr>
                <w:rFonts w:ascii="Times New Roman" w:cs="Times New Roman" w:eastAsia="Times New Roman" w:hAnsi="Times New Roman"/>
                <w:sz w:val="23"/>
                <w:szCs w:val="23"/>
                <w:color w:val="auto"/>
                <w:vertAlign w:val="superscript"/>
              </w:rPr>
              <w:t>(2)</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(2,978)</w:t>
            </w: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(13,319)</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(31,319)</w:t>
            </w:r>
          </w:p>
        </w:tc>
      </w:tr>
    </w:tbl>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2024 includes an unrealized loss of $3.6 million for the change in fair value of the 2026 WTI Contingent Liability.</w:t>
      </w:r>
    </w:p>
    <w:p>
      <w:pPr>
        <w:spacing w:after="0" w:line="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2022 includes cash paid on commodity contracts terminated prior to their contractual maturity of $6.6 million.</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0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48"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on the Company’s consolidated balance sheets, including the Company’s commodity derivative instruments and the 2026 WTI Contingent Liability. The 2026 WTI Contingent Liability is recorded in “Other long-term liabilities” on the Company’s consolidated balance sheet at December 31, 2024, with the change in fair value being recognized in “Gain (loss) on derivative instruments, net” on the Company’s consolidated statements of operations for the year ended December 31, 2024.</w:t>
      </w:r>
    </w:p>
    <w:p>
      <w:pPr>
        <w:spacing w:after="0" w:line="208"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fair values of the Company’s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is estimated using observable market data and a Monte Carlo pricing model, which are considered Level 2 inputs in the fair value hierarchy.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6" w:lineRule="exact"/>
        <w:rPr>
          <w:sz w:val="20"/>
          <w:szCs w:val="20"/>
          <w:color w:val="auto"/>
        </w:rPr>
      </w:pPr>
    </w:p>
    <w:p>
      <w:pPr>
        <w:ind w:firstLine="7"/>
        <w:spacing w:after="0" w:line="256"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in the Company’s consolidated balance sheets as of December 31, 2024 and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 Gross Fair</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60" w:type="dxa"/>
            <w:vAlign w:val="bottom"/>
          </w:tcPr>
          <w:p>
            <w:pPr>
              <w:spacing w:after="0"/>
              <w:rPr>
                <w:sz w:val="11"/>
                <w:szCs w:val="11"/>
                <w:color w:val="auto"/>
              </w:rPr>
            </w:pPr>
          </w:p>
        </w:tc>
        <w:tc>
          <w:tcPr>
            <w:tcW w:w="1400" w:type="dxa"/>
            <w:vAlign w:val="bottom"/>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9"/>
              <w:spacing w:after="0" w:line="145" w:lineRule="exact"/>
              <w:rPr>
                <w:sz w:val="20"/>
                <w:szCs w:val="20"/>
                <w:color w:val="auto"/>
              </w:rPr>
            </w:pPr>
            <w:r>
              <w:rPr>
                <w:rFonts w:ascii="Times New Roman" w:cs="Times New Roman" w:eastAsia="Times New Roman" w:hAnsi="Times New Roman"/>
                <w:sz w:val="14"/>
                <w:szCs w:val="14"/>
                <w:b w:val="1"/>
                <w:bCs w:val="1"/>
                <w:color w:val="auto"/>
              </w:rPr>
              <w:t>Presented in Balance</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Balance Sheet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93"/>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23,816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23,816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8,501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2026 WTI Contingent Liability</w:t>
            </w:r>
          </w:p>
        </w:tc>
        <w:tc>
          <w:tcPr>
            <w:tcW w:w="74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29,762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29,762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0" w:type="dxa"/>
            <w:vAlign w:val="bottom"/>
          </w:tcPr>
          <w:p>
            <w:pPr>
              <w:spacing w:after="0"/>
              <w:rPr>
                <w:sz w:val="1"/>
                <w:szCs w:val="1"/>
                <w:color w:val="auto"/>
              </w:rPr>
            </w:pPr>
          </w:p>
        </w:tc>
      </w:tr>
      <w:tr>
        <w:trPr>
          <w:trHeight w:val="532"/>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 Gross Fair</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60" w:type="dxa"/>
            <w:vAlign w:val="bottom"/>
          </w:tcPr>
          <w:p>
            <w:pPr>
              <w:spacing w:after="0"/>
              <w:rPr>
                <w:sz w:val="11"/>
                <w:szCs w:val="11"/>
                <w:color w:val="auto"/>
              </w:rPr>
            </w:pPr>
          </w:p>
        </w:tc>
        <w:tc>
          <w:tcPr>
            <w:tcW w:w="140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4"/>
                <w:szCs w:val="14"/>
                <w:b w:val="1"/>
                <w:bCs w:val="1"/>
                <w:color w:val="auto"/>
              </w:rPr>
              <w:t>Presented in Balance</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Balance Sheet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9,643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1,378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Recorded at Fair Value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3140" w:type="dxa"/>
            <w:vAlign w:val="bottom"/>
            <w:gridSpan w:val="3"/>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4"/>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11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261,000</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263,000</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263,000</w:t>
            </w:r>
          </w:p>
        </w:tc>
      </w:tr>
      <w:tr>
        <w:trPr>
          <w:trHeight w:val="228"/>
        </w:trPr>
        <w:tc>
          <w:tcPr>
            <w:tcW w:w="44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5.375% senior notes due 2027</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427,049</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425,949</w:t>
            </w:r>
          </w:p>
        </w:tc>
        <w:tc>
          <w:tcPr>
            <w:tcW w:w="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422,122</w:t>
            </w:r>
          </w:p>
        </w:tc>
      </w:tr>
      <w:tr>
        <w:trPr>
          <w:trHeight w:val="30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7.375% senior notes due 2031</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394,930</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420,108</w:t>
            </w:r>
          </w:p>
        </w:tc>
        <w:tc>
          <w:tcPr>
            <w:tcW w:w="10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394,133</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418,408</w:t>
            </w:r>
          </w:p>
        </w:tc>
      </w:tr>
    </w:tbl>
    <w:p>
      <w:pPr>
        <w:spacing w:after="0"/>
        <w:rPr>
          <w:sz w:val="20"/>
          <w:szCs w:val="20"/>
          <w:color w:val="auto"/>
        </w:rPr>
      </w:pPr>
      <w:r>
        <w:rPr>
          <w:rFonts w:ascii="Times New Roman" w:cs="Times New Roman" w:eastAsia="Times New Roman" w:hAnsi="Times New Roman"/>
          <w:sz w:val="18"/>
          <w:szCs w:val="18"/>
          <w:color w:val="auto"/>
        </w:rPr>
        <w:t>(1) The carrying value includes associated deferred loan costs and any discount.</w:t>
      </w:r>
    </w:p>
    <w:p>
      <w:pPr>
        <w:spacing w:after="0" w:line="247"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spacing w:after="0" w:line="20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and Note 5—</w:t>
      </w:r>
      <w:r>
        <w:rPr>
          <w:rFonts w:ascii="Times New Roman" w:cs="Times New Roman" w:eastAsia="Times New Roman" w:hAnsi="Times New Roman"/>
          <w:sz w:val="18"/>
          <w:szCs w:val="18"/>
          <w:u w:val="single" w:color="auto"/>
          <w:color w:val="0000FF"/>
        </w:rPr>
        <w:t>Oil and Natural Gas Interests</w:t>
      </w:r>
      <w:r>
        <w:rPr>
          <w:rFonts w:ascii="Times New Roman" w:cs="Times New Roman" w:eastAsia="Times New Roman" w:hAnsi="Times New Roman"/>
          <w:sz w:val="18"/>
          <w:szCs w:val="18"/>
          <w:color w:val="auto"/>
        </w:rPr>
        <w:t xml:space="preserve"> for further discussion of non-recurring fair value adjustments.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Assets</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Company has other financial instruments consisting of cash and cash equivalents, royalty income receivable, income tax receivable, prepaid expenses and other current assets, accounts payable, accrued liabilities and income taxes payable. The carrying value of these instruments approximate their fair value because of the short-term nature of the instruments.</w:t>
      </w:r>
    </w:p>
    <w:p>
      <w:pPr>
        <w:spacing w:after="0" w:line="1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jc w:val="both"/>
        <w:ind w:firstLine="643"/>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routine legal proceedings, disputes and claims from time to time arising in the ordinary course of its business. While the ultimate outcome of any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9" w:lineRule="exact"/>
        <w:rPr>
          <w:sz w:val="20"/>
          <w:szCs w:val="20"/>
          <w:color w:val="auto"/>
        </w:rPr>
      </w:pPr>
    </w:p>
    <w:p>
      <w:pPr>
        <w:ind w:right="8880" w:firstLine="7"/>
        <w:spacing w:after="0" w:line="561" w:lineRule="auto"/>
        <w:tabs>
          <w:tab w:leader="none" w:pos="401"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Morita Ranches Acquisition</w:t>
      </w:r>
    </w:p>
    <w:p>
      <w:pPr>
        <w:spacing w:after="0" w:line="1"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$211.0 million in cash and (ii) 2.40 million OpCo Units together with an equal number of shares of the Company’s Class B Common Stock issued to certain affiliate designees of Morita Ranches (the “Morita Ranches Equity Recipients”), subject to certain transaction costs and post-closing adjustments. At the closing of the Morita Ranches Acquisition, the Morita Ranches Equity Recipients (i) became parties to the Third Amended and Restated Limited Liability Agreement of OpCo, dated as of October 1, 2024, as amended, and (ii)</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entered into an Exchange Agreement with the Company and the Operating Company to provide for the right to exchange the OpCo Units and shares of our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with the Morita Ranches Equity Recipients,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spacing w:after="0" w:line="21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mineral and royalty interests included in the Morita Ranches Acquisition represent approximately 1,691 net royalty acres in the Permian Basin, 75% of which are operated by Diamondback, and have an average net royalty interest of approximately 8.6% and current production of approximately 768 BO/d. The Company funded the cash consideration for the Morita Ranches Acquisition with cash on hand.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Offering</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On February 3, 2025, the Company completed an underwritten public offering of approximately 28.34 million shares of Class A Common Stock, which included approximately 3.70 million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w:t>
      </w:r>
    </w:p>
    <w:p>
      <w:pPr>
        <w:spacing w:after="0" w:line="208"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Company intends to use the net proceeds from the 2025 Equity Offering to fund the cash consideration for Pending 2025 Drop Down (defined below), if it closes, and the remaining net proceeds will be used for general corporate purposes. If the Pending 2025 Drop Down does not close, the Company will use the net proceeds from the 2025 Equity Offering for general corporate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2025 Drop Down Transaction</w:t>
      </w:r>
    </w:p>
    <w:p>
      <w:pPr>
        <w:spacing w:after="0" w:line="252"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18"/>
          <w:szCs w:val="18"/>
          <w:color w:val="auto"/>
        </w:rPr>
        <w:t>On January 30, 2025, the Company and the Operating Company, as buyer parties, entered into a definitive equity purchase agreement with Endeavor Energy Resources, LP (“Endeavor”) and 1979 Royalties, LP and 1979 Royalties GP, LLC (collectively, the “Endeavor Subsidiaries”), each of which is a subsidiary of Diamondback, to acquire the Endeavor Subsidiaries from Endeavor for consideration consisting of (i) $1.0 billion in cash and (ii) the issuance of 69.63 million OpCo Units and an equivalent number of shares of the Company’s Class B Common Stock (collectively, the “Equity Issuance”), in each case subject to customary closing adjustments, including, among other things, for net title benefits (such transaction, the “Pending 2025 Drop Down”). The OpCo Units and the Class B Common Stock to be issued in the Pending 2025 Drop Down, as well as the OpCo Units and Class B Common Stock otherwise beneficially owned by Diamondback, are exchangeable from time to time for shares of our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to be issued at the closing of the Pending 2025 Drop Down, are subject to our existing registration rights agreement with Diamondback, dated as of November 13, 2023, previously filed by us with the SEC.</w:t>
      </w:r>
    </w:p>
    <w:p>
      <w:pPr>
        <w:spacing w:after="0" w:line="216"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mineral and royalty interests owned by the Endeavor Subsidiaries and to be acquired in the Pending 2025 Drop Down represent approximately 22,847 net royalty acres in the Permian Basin, 69% of which are operated by Diamondback, and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Diamondback), 116 gross completed wells and 394 gross drilled but uncompleted wells, all of which are principally concentrated in the Midland Basin, with the balance located primarily in the Delaware and Williston Basins.</w:t>
      </w:r>
    </w:p>
    <w:p>
      <w:pPr>
        <w:spacing w:after="0" w:line="21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 audit committee of the Company’s board of directors, comprised of all independent directors and advised by its legal counsel and financial advisor, negotiated and approved the Pending 2025 Drop Down and the transactions contemplated thereby, and recommended that the board of directors approve the Pending 2025 Drop Down and the transactions contemplated thereby, in each case, subject to the Company’s receipt of the requisite stockholder and regulatory approvals and the satisfaction or waiver of other closing conditions discussed below. Based on that recommendation, and subject to the same approvals and conditions, the board of directors also approved the Pending 2025 Drop Down on January 30,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The completion of the Pending 2025 Drop Down is subject to (i) the approval of the Pending 2025 Drop Down by (a) the holders of a majority of the voting power of the Company’s Common Stock entitled to vote on such proposal, voting together as a single class, at the special meeting of our stockholders, excluding the shares beneficially owned by Diamondback and its subsidiaries, and (b) the holders of a majority of the Company’s outstanding Common Stock, in each case, as required by Delaware law, (ii) regulatory clearance under the Hart-Scott-Rodino Antitrust Improvement Act and (iii) the satisfaction or waiver of other customary closing conditions. In addition, the Equity Issuance is subject to the approval by the Company’s stockholders representing a majority of the total votes cast at the special meeting on such proposal, as required by the rules of Nasdaq Stock Market LLC. The Company expects to hold the special meeting of its stockholders and, subject to the satisfaction or waiver of the foregoing conditions, close the Pending 2025 Drop Down during the second quarter of 2025.</w:t>
      </w:r>
    </w:p>
    <w:p>
      <w:pPr>
        <w:spacing w:after="0" w:line="216"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After giving effect to the 2025 Equity Offering and the Morita Ranches Acquisition, the Company currently estimates that following the closing of the Pending 2025 Drop Down, Diamondback will beneficially own approximately 52% of the Company’s outstanding Common Stock, on a fully diluted basis.</w:t>
      </w:r>
    </w:p>
    <w:p>
      <w:pPr>
        <w:spacing w:after="0" w:line="20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Company intends to fund the cash consideration for the Pending 2025 Drop Down with the proceeds from the 2025 Equity Offering. The Pending 2025 Drop Down will be accounted for as a transaction between entities under common control with the acquired properties recorded at Endeavor’s historical carrying value in the Company’s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w:t>
      </w:r>
    </w:p>
    <w:p>
      <w:pPr>
        <w:spacing w:after="0" w:line="25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On January 30, 2025, the board of directors of the Company approved a cash dividend for the fourth quarter of 2024 of $0.65 per share of Class A Common Stock and $0.69 per OpCo Unit, in each case, payable on March 13, 2025, to holders of record at the close of business on March 6, 2025. The dividend on Class A Common Stock consists of a base quarterly dividend of $0.30 per share and a variable quarterly dividend of $0.35 per share.</w:t>
      </w:r>
    </w:p>
    <w:p>
      <w:pPr>
        <w:spacing w:after="0" w:line="1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39" w:lineRule="exact"/>
        <w:rPr>
          <w:sz w:val="20"/>
          <w:szCs w:val="20"/>
          <w:color w:val="auto"/>
        </w:rPr>
      </w:pPr>
    </w:p>
    <w:p>
      <w:pPr>
        <w:jc w:val="both"/>
        <w:ind w:firstLine="643"/>
        <w:spacing w:after="0" w:line="242" w:lineRule="auto"/>
        <w:rPr>
          <w:sz w:val="20"/>
          <w:szCs w:val="20"/>
          <w:color w:val="auto"/>
        </w:rPr>
      </w:pPr>
      <w:r>
        <w:rPr>
          <w:rFonts w:ascii="Times New Roman" w:cs="Times New Roman" w:eastAsia="Times New Roman" w:hAnsi="Times New Roman"/>
          <w:sz w:val="18"/>
          <w:szCs w:val="18"/>
          <w:color w:val="auto"/>
        </w:rPr>
        <w:t xml:space="preserve">As of December 31, 2024, the Company is managed on a consolidated basis as a single operating and reportable segment which is focused on owning and acquiring mineral and royalty interests primarily in the Permian Basin in West Texas. The Company’s operating segment derives its revenue from customers through the receipt of royalty income on the sale of oil and natural gas products as well as other immaterial service contracts. See Note 3— </w:t>
      </w:r>
      <w:r>
        <w:rPr>
          <w:rFonts w:ascii="Times New Roman" w:cs="Times New Roman" w:eastAsia="Times New Roman" w:hAnsi="Times New Roman"/>
          <w:sz w:val="18"/>
          <w:szCs w:val="18"/>
          <w:u w:val="single" w:color="auto"/>
          <w:color w:val="0000FF"/>
        </w:rPr>
        <w:t>Revenue from Contracts with Customers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discussion of the Company’s sources of revenue.</w:t>
      </w:r>
    </w:p>
    <w:p>
      <w:pPr>
        <w:spacing w:after="0" w:line="22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a senior executive committee that is comprised of the Company’s Chief Executive Officer and President. The CODM uses the Company’s consolidated financial results to assess performance, allocate resources and make key operating decisions, obtaining the board’s approval as required.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6" w:lineRule="exact"/>
        <w:rPr>
          <w:sz w:val="20"/>
          <w:szCs w:val="20"/>
          <w:color w:val="auto"/>
        </w:rPr>
      </w:pPr>
    </w:p>
    <w:p>
      <w:pPr>
        <w:ind w:left="640" w:right="3120" w:hanging="633"/>
        <w:spacing w:after="0" w:line="558" w:lineRule="auto"/>
        <w:tabs>
          <w:tab w:leader="none" w:pos="399"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SUPPLEMENTAL INFORMATION ON OIL AND NATURAL GAS OPERATIONS (Unaudited) </w:t>
      </w:r>
      <w:r>
        <w:rPr>
          <w:rFonts w:ascii="Times New Roman" w:cs="Times New Roman" w:eastAsia="Times New Roman" w:hAnsi="Times New Roman"/>
          <w:sz w:val="17"/>
          <w:szCs w:val="17"/>
          <w:color w:val="auto"/>
        </w:rPr>
        <w:t>The Company’s oil and natural gas reserves are attributable solely to properties within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oil and natural gas costs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Aggregate capitalized costs related to oil and natural gas production activities with applicable accumulated depreciation, depletion and amortization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3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8"/>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Proved</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3,532,834</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2,859,642</w:t>
            </w:r>
          </w:p>
        </w:tc>
      </w:tr>
      <w:tr>
        <w:trPr>
          <w:trHeight w:val="22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Unproved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9"/>
              </w:rPr>
              <w:t>2,179,837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1,769,341</w:t>
            </w:r>
          </w:p>
        </w:tc>
      </w:tr>
      <w:tr>
        <w:trPr>
          <w:trHeight w:val="221"/>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oil and natural gas interests</w:t>
            </w:r>
          </w:p>
        </w:tc>
        <w:tc>
          <w:tcPr>
            <w:tcW w:w="400" w:type="dxa"/>
            <w:vAlign w:val="bottom"/>
          </w:tcPr>
          <w:p>
            <w:pPr>
              <w:spacing w:after="0"/>
              <w:rPr>
                <w:sz w:val="19"/>
                <w:szCs w:val="19"/>
                <w:color w:val="auto"/>
              </w:rPr>
            </w:pPr>
          </w:p>
        </w:tc>
        <w:tc>
          <w:tcPr>
            <w:tcW w:w="12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5,712,671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4,628,983</w:t>
            </w:r>
          </w:p>
        </w:tc>
      </w:tr>
      <w:tr>
        <w:trPr>
          <w:trHeight w:val="22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9"/>
              </w:rPr>
              <w:t>(1,080,764)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(866,352)</w:t>
            </w:r>
          </w:p>
        </w:tc>
      </w:tr>
      <w:tr>
        <w:trPr>
          <w:trHeight w:val="221"/>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oil and natural gas interests capitalized</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9"/>
              </w:rPr>
              <w:t>4,631,907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3,762,631</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incurred in oil and natural gas activities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Costs incurred in oil and natural gas property acquisition activities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6380" w:type="dxa"/>
            <w:vAlign w:val="bottom"/>
            <w:shd w:val="clear" w:color="auto" w:fill="CCEEFF"/>
          </w:tcPr>
          <w:p>
            <w:pPr>
              <w:jc w:val="center"/>
              <w:ind w:right="4971"/>
              <w:spacing w:after="0"/>
              <w:rPr>
                <w:sz w:val="20"/>
                <w:szCs w:val="20"/>
                <w:color w:val="auto"/>
              </w:rPr>
            </w:pPr>
            <w:r>
              <w:rPr>
                <w:rFonts w:ascii="Times New Roman" w:cs="Times New Roman" w:eastAsia="Times New Roman" w:hAnsi="Times New Roman"/>
                <w:sz w:val="18"/>
                <w:szCs w:val="18"/>
                <w:color w:val="auto"/>
                <w:w w:val="98"/>
              </w:rPr>
              <w:t>Acquisition costs:</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8"/>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Proved properties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340,907</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402,659</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46,307</w:t>
            </w:r>
          </w:p>
        </w:tc>
      </w:tr>
      <w:tr>
        <w:trPr>
          <w:trHeight w:val="228"/>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Unproved properties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21"/>
        </w:trPr>
        <w:tc>
          <w:tcPr>
            <w:tcW w:w="6380" w:type="dxa"/>
            <w:vAlign w:val="bottom"/>
          </w:tcPr>
          <w:p>
            <w:pPr>
              <w:jc w:val="center"/>
              <w:ind w:right="4991"/>
              <w:spacing w:after="0"/>
              <w:rPr>
                <w:sz w:val="20"/>
                <w:szCs w:val="20"/>
                <w:color w:val="auto"/>
              </w:rPr>
            </w:pPr>
            <w:r>
              <w:rPr>
                <w:rFonts w:ascii="Times New Roman" w:cs="Times New Roman" w:eastAsia="Times New Roman" w:hAnsi="Times New Roman"/>
                <w:sz w:val="18"/>
                <w:szCs w:val="18"/>
                <w:color w:val="auto"/>
                <w:w w:val="99"/>
              </w:rPr>
              <w:t>Total</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62,931</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from Oil and Natural Gas Producing Activities</w:t>
      </w:r>
    </w:p>
    <w:p>
      <w:pPr>
        <w:spacing w:after="0" w:line="250" w:lineRule="exact"/>
        <w:rPr>
          <w:sz w:val="20"/>
          <w:szCs w:val="20"/>
          <w:color w:val="auto"/>
        </w:rPr>
      </w:pPr>
    </w:p>
    <w:p>
      <w:pPr>
        <w:jc w:val="both"/>
        <w:ind w:right="20" w:firstLine="643"/>
        <w:spacing w:after="0" w:line="280" w:lineRule="auto"/>
        <w:rPr>
          <w:sz w:val="20"/>
          <w:szCs w:val="20"/>
          <w:color w:val="auto"/>
        </w:rPr>
      </w:pPr>
      <w:r>
        <w:rPr>
          <w:rFonts w:ascii="Times New Roman" w:cs="Times New Roman" w:eastAsia="Times New Roman" w:hAnsi="Times New Roman"/>
          <w:sz w:val="18"/>
          <w:szCs w:val="18"/>
          <w:color w:val="auto"/>
        </w:rPr>
        <w:t>Substantially all of the Company’s producing activities are from oil and natural gas activities and are included in the “—</w:t>
      </w:r>
      <w:r>
        <w:rPr>
          <w:rFonts w:ascii="Times New Roman" w:cs="Times New Roman" w:eastAsia="Times New Roman" w:hAnsi="Times New Roman"/>
          <w:sz w:val="18"/>
          <w:szCs w:val="18"/>
          <w:i w:val="1"/>
          <w:iCs w:val="1"/>
          <w:u w:val="single" w:color="auto"/>
          <w:color w:val="0000FF"/>
        </w:rPr>
        <w:t>Consolidated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Operations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Reserves</w:t>
      </w:r>
    </w:p>
    <w:p>
      <w:pPr>
        <w:spacing w:after="0" w:line="252"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color w:val="auto"/>
        </w:rPr>
        <w:t>Proved oil and natural gas reserve estimates and their associated future net cash flows were prepared by our internal reservoir engineers and audited by Ryder Scott Company, L.P., independent petroleum engineers, as of December 31, 2024, 2023 and 2022. The reserve estimates represent the Company’s net revenue interest in the Company’s properties. Proved reserves were estimated in accordance with guidelines established by the SEC, which require that reserve estimates be prepared under existing economic and operating conditions based upon SEC Prices for the periods ended December 31, 2024, 2023 and 2022, respectively. Reserve estimates do not include any value for probable or possible reserves that may exist, nor do they include any value for undeveloped acreage. All of the Company’s proved reserves included in the reserve reports are located in the continental United States. Although the estimates are believed to be reasonable, actual future production, cash flows, taxes, development expenditures, operating expenses and quantities of recoverable oil and natural gas reserves may vary substantially from these estimates.</w:t>
      </w:r>
    </w:p>
    <w:p>
      <w:pPr>
        <w:spacing w:after="0" w:line="216"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changes in estimated proved reserves, which were prepared in accordance with the rules and regulations of the SEC:</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Oil</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 Liquids</w:t>
            </w:r>
          </w:p>
        </w:tc>
        <w:tc>
          <w:tcPr>
            <w:tcW w:w="13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(MBOE)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127,888</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Divestitures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0" w:type="dxa"/>
            <w:vAlign w:val="bottom"/>
          </w:tcPr>
          <w:p>
            <w:pPr>
              <w:spacing w:after="0"/>
              <w:rPr>
                <w:sz w:val="1"/>
                <w:szCs w:val="1"/>
                <w:color w:val="auto"/>
              </w:rPr>
            </w:pPr>
          </w:p>
        </w:tc>
      </w:tr>
      <w:tr>
        <w:trPr>
          <w:trHeight w:val="22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148,900</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8"/>
        </w:trPr>
        <w:tc>
          <w:tcPr>
            <w:tcW w:w="5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0" w:type="dxa"/>
            <w:vAlign w:val="bottom"/>
          </w:tcPr>
          <w:p>
            <w:pPr>
              <w:spacing w:after="0"/>
              <w:rPr>
                <w:sz w:val="1"/>
                <w:szCs w:val="1"/>
                <w:color w:val="auto"/>
              </w:rPr>
            </w:pPr>
          </w:p>
        </w:tc>
      </w:tr>
      <w:tr>
        <w:trPr>
          <w:trHeight w:val="24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263,578</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40" w:type="dxa"/>
            <w:vAlign w:val="bottom"/>
            <w:vMerge w:val="continue"/>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7,891</w:t>
            </w:r>
          </w:p>
        </w:tc>
        <w:tc>
          <w:tcPr>
            <w:tcW w:w="12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14,941</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Divestitures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8"/>
        </w:trPr>
        <w:tc>
          <w:tcPr>
            <w:tcW w:w="5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0" w:type="dxa"/>
            <w:vAlign w:val="bottom"/>
          </w:tcPr>
          <w:p>
            <w:pPr>
              <w:spacing w:after="0"/>
              <w:rPr>
                <w:sz w:val="1"/>
                <w:szCs w:val="1"/>
                <w:color w:val="auto"/>
              </w:rPr>
            </w:pPr>
          </w:p>
        </w:tc>
      </w:tr>
      <w:tr>
        <w:trPr>
          <w:trHeight w:val="24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107,291</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143,371</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163,865</w:t>
            </w: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0" w:type="dxa"/>
            <w:vAlign w:val="bottom"/>
          </w:tcPr>
          <w:p>
            <w:pPr>
              <w:spacing w:after="0"/>
              <w:rPr>
                <w:sz w:val="1"/>
                <w:szCs w:val="1"/>
                <w:color w:val="auto"/>
              </w:rPr>
            </w:pPr>
          </w:p>
        </w:tc>
      </w:tr>
      <w:tr>
        <w:trPr>
          <w:trHeight w:val="22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35,878</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3"/>
        <w:spacing w:after="0" w:line="278" w:lineRule="auto"/>
        <w:tabs>
          <w:tab w:leader="none" w:pos="4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total proved reserves of 84,226 MBOE, 91,417 MBOE, 81,895 MBOE and 69,060 MBOE as of December 31, 2024, 2023, 2022 and 2021, respectively, attributable to a non-controlling interest in the Company.</w:t>
      </w:r>
    </w:p>
    <w:p>
      <w:pPr>
        <w:spacing w:after="0" w:line="190"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03"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Company’s total extensions and discoveries of 24,936 MBOE resulted primarily from the drilling of 1,170 new wells and from 447 new proved undeveloped locations added. The Company’s total downward revisions of previous estimated quantities of 2,894 MBOE were primarily attributable to negative revisions of (i) 6,539 MBOE associated with lower commodity prices, and (ii) 2,936 MBOE due primarily to PUD downgrades partially offset by positive revisions of 6,580 MBOE primarily attributable to performance revisions. Total purchases of reserves in place of 14,941 MBOE resulted primarily from the Tumbleweed Acquisitions and other acquisitions of certain mineral and royalty interests. Divestitures of 2,138 MBOE related primarily to non-core mineral and royalty interests.</w:t>
      </w:r>
    </w:p>
    <w:p>
      <w:pPr>
        <w:spacing w:after="0" w:line="21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Company’s total extensions and discoveries of 25,558 MBOE resulted primarily from the drilling of 904 new wells and from 179 new proved undeveloped locations added. The Company’s total positive revisions of previous estimated quantities of 138 MBOE consist of positive revisions of 5,688 MBOE primarily attributable to performance revisions which were largely offset by PUD downgrades of 5,548 MBOE. Total purchases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in place of 18,977 MBOE resulted primarily from the GRP Acquisition and other acquisitions of certain mineral and royalty interests.</w:t>
      </w:r>
    </w:p>
    <w:p>
      <w:pPr>
        <w:spacing w:after="0" w:line="248"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Company’s total extensions and discoveries of 25,858 MBOE resulted primarily from the drilling of 636 new wells and from 199 new proved undeveloped locations added. The Company’s total positive revisions of previous estimated quantities of 8,477 MBOE were due to positive revisions of 15,484 MBOE attributable to price and performance revisions which were partially offset by PUD downgrades of 7,007 MBOE. Total purchases of reserves in place of 1,006 MBOE resulted from multiple acquisitions of certain mineral and royalty interests.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p>
      <w:pPr>
        <w:spacing w:after="0" w:line="252"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Company’s PUD reserves totaled 17,543 MBbls of oil, 39,353 MMcf of natural gas and 7,907 MBbls of natural gas liquids, for a total of 32,009 MBOE. PUDs will be converted from undeveloped to developed as the applicable wells begin production. The Company’s PUD reserves were from 837 horizontal wells, all of which Diamondback operates. Of the horizontal locations, 219 are Middle Spraberry/Jo Mill wells, 212 are Wolfcamp A wells, 195 are Lower Spraberry wells, 144 are Wolfcamp B wells, 44 are Bone Spring wells, 16 are Dean wells and seven are Wolfcamp D wells.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includes the changes in PUD reserves for 2024: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(MBOE)</w:t>
            </w:r>
          </w:p>
        </w:tc>
      </w:tr>
      <w:tr>
        <w:trPr>
          <w:trHeight w:val="224"/>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proved undeveloped reserves at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35,878</w:t>
            </w:r>
          </w:p>
        </w:tc>
      </w:tr>
      <w:tr>
        <w:trPr>
          <w:trHeight w:val="228"/>
        </w:trPr>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Undeveloped reserves transferred to developed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r>
      <w:tr>
        <w:trPr>
          <w:trHeight w:val="228"/>
        </w:trPr>
        <w:tc>
          <w:tcPr>
            <w:tcW w:w="9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8"/>
        </w:trPr>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28"/>
        </w:trPr>
        <w:tc>
          <w:tcPr>
            <w:tcW w:w="9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r>
      <w:tr>
        <w:trPr>
          <w:trHeight w:val="221"/>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proved undeveloped reserves at December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32,009</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decrease in PUD reserves was primarily attributable to the conversion of 16,696 MBOE of PUD reserves into proved developed reserves and downward revisions of 1,934 MBOE primarily attributable to PUD downgrades of 2,642 MBOE. These reductions in PUD reserves were partially offset by positive additions of 9,848 MBOE, primarily from 447 new horizontal well locations attributable to extensions resulting from strategic drilling of wells to delineate our acreage position and acquisitions of 4,913 MBOE.</w:t>
      </w:r>
    </w:p>
    <w:p>
      <w:pPr>
        <w:spacing w:after="0" w:line="208"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All of the Company’s PUD drilling locations are scheduled to be drilled within five years from the date they were initially recorded. As of December 31, 2024, none of the Company’s total proved reserves were classified as proved developed non-producing.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Standardized Measure of Discounted Future Net Cash Flows</w:t>
      </w:r>
    </w:p>
    <w:p>
      <w:pPr>
        <w:spacing w:after="0" w:line="252"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is based on SEC Prices.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ind w:right="20"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standardized measure of discounted future net cash flows attributable to the Company’s proved oil and natural gas reserves as of December 31, 2024, 2023 and 2022:</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cash inflows</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8,322,795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10,072,969</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production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(729,256)</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(1,465,160)</w:t>
            </w:r>
          </w:p>
        </w:tc>
      </w:tr>
      <w:tr>
        <w:trPr>
          <w:trHeight w:val="221"/>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6,965,385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7,878,553</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discount to reflect timing of cash flows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(3,676,566)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(4,424,457)</w:t>
            </w:r>
          </w:p>
        </w:tc>
      </w:tr>
      <w:tr>
        <w:trPr>
          <w:trHeight w:val="221"/>
        </w:trPr>
        <w:tc>
          <w:tcPr>
            <w:tcW w:w="6060" w:type="dxa"/>
            <w:vAlign w:val="bottom"/>
          </w:tcPr>
          <w:p>
            <w:pPr>
              <w:ind w:left="220"/>
              <w:spacing w:after="0" w:line="221" w:lineRule="exact"/>
              <w:rPr>
                <w:sz w:val="20"/>
                <w:szCs w:val="20"/>
                <w:color w:val="auto"/>
              </w:rPr>
            </w:pPr>
            <w:r>
              <w:rPr>
                <w:rFonts w:ascii="Times New Roman" w:cs="Times New Roman" w:eastAsia="Times New Roman" w:hAnsi="Times New Roman"/>
                <w:sz w:val="18"/>
                <w:szCs w:val="18"/>
                <w:color w:val="auto"/>
              </w:rPr>
              <w:t>Standardized measure of discounted future net cash flows</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3,319,544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3,186,886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3,454,096</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a 43%, 51% and 55% non-controlling interest in the Company at December 31, 2024, 2023 and 2022, respectively.</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SEC Prices as adjusted for differentials and contractual arrangements utilized in the computation of future cash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(per Bbl)</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(per Mcf)</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(per Bbl)</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r>
    </w:tbl>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Principal changes in the standardized measure of discounted future net cash flows attributable to the Company’s proved reserves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4"/>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Standardized measure of discounted future net cash flows at the beginning of the period</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3,186,886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2,093,117</w:t>
            </w:r>
          </w:p>
        </w:tc>
      </w:tr>
      <w:tr>
        <w:trPr>
          <w:trHeight w:val="228"/>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minerals in place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30,331</w:t>
            </w:r>
          </w:p>
        </w:tc>
      </w:tr>
      <w:tr>
        <w:trPr>
          <w:trHeight w:val="22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Divestiture of reserves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r>
      <w:tr>
        <w:trPr>
          <w:trHeight w:val="228"/>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of oil and natural gas, net of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(781,604)</w:t>
            </w:r>
          </w:p>
        </w:tc>
      </w:tr>
      <w:tr>
        <w:trPr>
          <w:trHeight w:val="22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Extensions and discoveries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844,010</w:t>
            </w:r>
          </w:p>
        </w:tc>
      </w:tr>
      <w:tr>
        <w:trPr>
          <w:trHeight w:val="228"/>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changes in prices and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1,131,202</w:t>
            </w:r>
          </w:p>
        </w:tc>
      </w:tr>
      <w:tr>
        <w:trPr>
          <w:trHeight w:val="22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Revisions of previous quantity estimates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309,338</w:t>
            </w:r>
          </w:p>
        </w:tc>
      </w:tr>
      <w:tr>
        <w:trPr>
          <w:trHeight w:val="228"/>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changes in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(393,652)</w:t>
            </w:r>
          </w:p>
        </w:tc>
      </w:tr>
      <w:tr>
        <w:trPr>
          <w:trHeight w:val="22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discount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234,717</w:t>
            </w:r>
          </w:p>
        </w:tc>
      </w:tr>
      <w:tr>
        <w:trPr>
          <w:trHeight w:val="22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changes in timing of production and 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16,713</w:t>
            </w:r>
          </w:p>
        </w:tc>
      </w:tr>
      <w:tr>
        <w:trPr>
          <w:trHeight w:val="246"/>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Standardized measure of discounted future net cash flows at the end of the period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3,186,886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3,454,096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0" w:lineRule="exact"/>
        <w:rPr>
          <w:sz w:val="20"/>
          <w:szCs w:val="20"/>
          <w:color w:val="auto"/>
        </w:rPr>
      </w:pPr>
    </w:p>
    <w:p>
      <w:pPr>
        <w:jc w:val="both"/>
        <w:ind w:firstLine="643"/>
        <w:spacing w:after="0" w:line="252"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Under the direction of our Chief Executive Officer and Chief Financial Officer,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As of December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2024, our disclosure controls and procedures are effective.</w:t>
      </w:r>
    </w:p>
    <w:p>
      <w:pPr>
        <w:spacing w:after="0" w:line="206" w:lineRule="exact"/>
        <w:rPr>
          <w:sz w:val="20"/>
          <w:szCs w:val="20"/>
          <w:color w:val="auto"/>
        </w:rPr>
      </w:pPr>
    </w:p>
    <w:p>
      <w:pPr>
        <w:jc w:val="both"/>
        <w:ind w:right="20" w:firstLine="643"/>
        <w:spacing w:after="0" w:line="26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December 31, 2024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61"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The management of our Company is responsible for establishing and maintaining adequate internal control over financial reporting of the Company.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08"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7"/>
          <w:szCs w:val="17"/>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2024.</w:t>
      </w:r>
    </w:p>
    <w:p>
      <w:pPr>
        <w:spacing w:after="0" w:line="19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right="20" w:firstLine="643"/>
        <w:spacing w:after="0" w:line="258"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2024. The report, which expresses an unqualified opinion on the effectiveness of the Company’s internal control over financial reporting at December 31, 2024,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Viper Energy,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February 26,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Information as to Item 10 will be set forth in our definitive proxy statement, which is to be filed pursuant to Regulation 14A with the SEC within 120 days after the close of the year ended December 31, 2024.</w:t>
      </w:r>
    </w:p>
    <w:p>
      <w:pPr>
        <w:spacing w:after="0" w:line="190"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https://www.viperenergy.com.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Information as to Item 11 will be set forth in our definitive proxy statement, which is to be filed pursuant to Regulation 14A with the SEC within 120 days after the close of the year ended December 31, 2024.</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Information as to Item 12 will be set forth in our definitive proxy statement, which is to be filed pursuant to Regulation 14A with the SEC within 120 days after the close of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Information as to Item 13 will be set forth in our definitive proxy statement, which is to be filed pursuant to Regulation 14A with the SEC within 120 days after the close of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2"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Information as to Item 14 will be set forth in our definitive proxy statement, which is to be filed pursuant to Regulation 14A with the SEC within 120 days after the close of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during our fiscal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10140" w:type="dxa"/>
            <w:vAlign w:val="bottom"/>
            <w:gridSpan w:val="4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13"/>
        </w:trPr>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1"/>
        </w:trPr>
        <w:tc>
          <w:tcPr>
            <w:tcW w:w="1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42"/>
            <w:shd w:val="clear" w:color="auto" w:fill="CCEEFF"/>
          </w:tcPr>
          <w:p>
            <w:pPr>
              <w:spacing w:after="0" w:line="181"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Purchase and Sale Agreement, dated as of September 11, 2024, by and among Tumbleweed Royalty IV, LLC, TWR IV Sellco Parent</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LLC (collectively, as sellers), Viper Energy Partners LLC (as buyer) and Viper Energy, Inc. (as parent) (incorporated by reference to</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8"/>
        </w:trPr>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640" w:type="dxa"/>
            <w:vAlign w:val="bottom"/>
            <w:tcBorders>
              <w:top w:val="single" w:sz="8" w:color="0000FF"/>
              <w:bottom w:val="single" w:sz="8" w:color="0000FF"/>
            </w:tcBorders>
            <w:gridSpan w:val="15"/>
            <w:shd w:val="clear" w:color="auto" w:fill="CCEEFF"/>
          </w:tcPr>
          <w:p>
            <w:pPr>
              <w:spacing w:after="0" w:line="168"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Exhibit 2.1 of the Company’s Current Report on Form 8-K (File 001-36505) filed on September 11, 2024).</w:t>
              </w:r>
            </w:hyperlink>
          </w:p>
        </w:tc>
        <w:tc>
          <w:tcPr>
            <w:tcW w:w="21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Equity Purchase Agreement, dated as of January 30, 2025, by and among Endeavor Energy Resources, LP, as seller, 1979 Royalties LP</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and 1979 Royalties GP, LLC, as companies, Viper Energy Partners LLC, as buyer, and Viper Energy, Inc., as parent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27"/>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reference to Exhibit 2.1 of the Company’s Current Report on Form 8-K (File 001-36505) filed on January 30,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Certificate of Conversion of Viper Energy Partners LP (incorporated by reference to Exhibit 99.2 to the Current Report on Form 8-K,</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36"/>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filed by Viper Energy Partners LP with the SEC on November 2,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Incorporation of Viper Energy, Inc. (incorporated by reference to Exhibit 99.3 to the Current Report on Form 8-K, filed</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by Viper Energy Partners LP with the SEC on November 2,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Bylaws of Viper Energy Inc. (incorporated by reference to Exhibit 3.1 to the Company’s Current Report on</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2"/>
            <w:shd w:val="clear" w:color="auto" w:fill="CCEEFF"/>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8-K (File 001-36505), filed on December 9,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Third Amended and Restated Limited Liability Company Agreement of Viper Energy Partners LLC, dated as of October 1, 2024</w:t>
              </w:r>
            </w:hyperlink>
          </w:p>
        </w:tc>
      </w:tr>
      <w:tr>
        <w:trPr>
          <w:trHeight w:val="174"/>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(incorporated by reference to Exhibit 3.7 of the Company’s Current Report on Form 10-Q (File 001-36505), filed on November 7,</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7"/>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spacing w:after="0" w:line="148"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2024).</w:t>
              </w:r>
            </w:hyperlink>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6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0000FF"/>
            </w:tcBorders>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Description of Securities of the Company.</w:t>
            </w:r>
          </w:p>
        </w:tc>
        <w:tc>
          <w:tcPr>
            <w:tcW w:w="7120" w:type="dxa"/>
            <w:vAlign w:val="bottom"/>
            <w:tcBorders>
              <w:bottom w:val="single" w:sz="8" w:color="CCEEFF"/>
            </w:tcBorders>
            <w:gridSpan w:val="36"/>
            <w:shd w:val="clear" w:color="auto" w:fill="CCEEFF"/>
          </w:tcPr>
          <w:p>
            <w:pPr>
              <w:spacing w:after="0"/>
              <w:rPr>
                <w:sz w:val="18"/>
                <w:szCs w:val="18"/>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Second Amended and Restated Registration Rights Agreement, dated as of November 10, 2023, effective as of November 13, 2023, by</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and between Viper Energy Partners LP and Diamondback Energy, Inc. (incorporated by reference to Exhibit 10.3 of the Company’s</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22"/>
          </w:tcPr>
          <w:p>
            <w:pPr>
              <w:spacing w:after="0" w:line="16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Current Report on form 8-K (File 001-36505) filed on November 13,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Registration Rights Agreement, dated as of October 1, 2024, by and between Viper Energy, Inc. and Tumbleweed Royalty IV, LLC</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u w:val="single" w:color="auto"/>
                  <w:color w:val="0000FF"/>
                </w:rPr>
                <w:t>(incorporated</w:t>
              </w:r>
              <w:r>
                <w:rPr>
                  <w:rFonts w:ascii="Times New Roman" w:cs="Times New Roman" w:eastAsia="Times New Roman" w:hAnsi="Times New Roman"/>
                  <w:sz w:val="17"/>
                  <w:szCs w:val="17"/>
                  <w:color w:val="0000FF"/>
                </w:rPr>
                <w:t xml:space="preserve"> by reference to Exhibit 4.3 of the Company’s Current Report on Form 8-K (File 001-36505) filed on October 2, 2024).</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sz w:val="20"/>
                <w:szCs w:val="20"/>
                <w:color w:val="auto"/>
              </w:rPr>
            </w:pPr>
            <w:r>
              <w:rPr>
                <w:rFonts w:ascii="Times New Roman" w:cs="Times New Roman" w:eastAsia="Times New Roman" w:hAnsi="Times New Roman"/>
                <w:sz w:val="18"/>
                <w:szCs w:val="18"/>
                <w:color w:val="0000FF"/>
              </w:rPr>
              <w:t>Registration Rights Agreement, dated as of February 14, 2025, by and among Viper Energy, Inc. and certain affiliates of Morita</w:t>
            </w:r>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41"/>
          </w:tcPr>
          <w:p>
            <w:pPr>
              <w:spacing w:after="0" w:line="154" w:lineRule="exact"/>
              <w:rPr>
                <w:sz w:val="20"/>
                <w:szCs w:val="20"/>
                <w:color w:val="auto"/>
              </w:rPr>
            </w:pPr>
            <w:r>
              <w:rPr>
                <w:rFonts w:ascii="Times New Roman" w:cs="Times New Roman" w:eastAsia="Times New Roman" w:hAnsi="Times New Roman"/>
                <w:sz w:val="17"/>
                <w:szCs w:val="17"/>
                <w:color w:val="0000FF"/>
              </w:rPr>
              <w:t>Ranches Minerals, LLC.</w:t>
            </w:r>
          </w:p>
        </w:tc>
        <w:tc>
          <w:tcPr>
            <w:tcW w:w="20" w:type="dxa"/>
            <w:vAlign w:val="bottom"/>
          </w:tcPr>
          <w:p>
            <w:pPr>
              <w:spacing w:after="0"/>
              <w:rPr>
                <w:sz w:val="13"/>
                <w:szCs w:val="13"/>
                <w:color w:val="auto"/>
              </w:rPr>
            </w:pPr>
          </w:p>
        </w:tc>
      </w:tr>
      <w:tr>
        <w:trPr>
          <w:trHeight w:val="34"/>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Exchange Agreement, dated as of February 14, 2025, by and among the Company, Viper Energy Partners LLC and certain affiliates of</w:t>
            </w:r>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Morita Ranches Minerals, LLC.</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34"/>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Class B Common Stock Option Agreement, dated as of October 1, 2024, by and between Viper Energy, Inc., Viper Energy Partners</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LLC and Tumbleweed Royalty IV, LLC (incorporated by reference to Exhibit 4.1 of the Company’s Current Report on Form 8-K (File</w:t>
              </w:r>
            </w:hyperlink>
          </w:p>
        </w:tc>
        <w:tc>
          <w:tcPr>
            <w:tcW w:w="40" w:type="dxa"/>
            <w:vAlign w:val="bottom"/>
            <w:gridSpan w:val="2"/>
          </w:tcPr>
          <w:p>
            <w:pPr>
              <w:spacing w:after="0"/>
              <w:rPr>
                <w:sz w:val="13"/>
                <w:szCs w:val="13"/>
                <w:color w:val="auto"/>
              </w:rPr>
            </w:pPr>
          </w:p>
        </w:tc>
      </w:tr>
      <w:tr>
        <w:trPr>
          <w:trHeight w:val="167"/>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001-36505) filed on October 2, 2024).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Second Amended and Restated Exchange Agreement, dated October 1, 2024, by and among Viper Energy, Inc., Viper Energy Partners</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39"/>
            <w:shd w:val="clear" w:color="auto" w:fill="CCEEFF"/>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LLC, Diamondback E&amp;P LLC, Diamondback Energy, Inc. and Tumbleweed Royalty IV, LLC (incorporated by reference to Exhibit 4.2</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7"/>
        </w:trPr>
        <w:tc>
          <w:tcPr>
            <w:tcW w:w="1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4"/>
            <w:shd w:val="clear" w:color="auto" w:fill="CCEEFF"/>
          </w:tcPr>
          <w:p>
            <w:pPr>
              <w:spacing w:after="0" w:line="16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of the Company’s Current Report on Form 8-K (File 001-36505) filed on October 2, 2024).</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Supplemental Indenture, dated as of November 13, 2023, among Viper Energy, Inc., as successor issuer to Viper Energy Partners</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LP, and Computershare Trust Company, National Association, as trustee, relating to 5.375% Senior Notes due 2027 (incorporated by</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7"/>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33"/>
          </w:tcPr>
          <w:p>
            <w:pPr>
              <w:spacing w:after="0" w:line="16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10.2 of the Partnership’s Current Report on Form 8-K (File 001-36505) filed on November 17, 2023).</w:t>
              </w:r>
            </w:hyperlink>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3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42"/>
            <w:shd w:val="clear" w:color="auto" w:fill="CCEEFF"/>
          </w:tcPr>
          <w:p>
            <w:pPr>
              <w:spacing w:after="0" w:line="18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Indenture, dated as of October 16, 2019, among Viper Energy Partners LP, as issuer, Viper Energy Partners LLC, as guarantor and</w:t>
              </w:r>
            </w:hyperlink>
          </w:p>
        </w:tc>
      </w:tr>
      <w:tr>
        <w:trPr>
          <w:trHeight w:val="154"/>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38"/>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Computershare Trust Company National Association, as successor trustee to Wells Fargo Bank, National Association, (including the</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67"/>
        </w:trPr>
        <w:tc>
          <w:tcPr>
            <w:tcW w:w="1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8"/>
            <w:shd w:val="clear" w:color="auto" w:fill="CCEEFF"/>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Viper Energy Partners LP’s 5.375% Senior Notes due 2027) (incorporated by reference to Exhibit 4.1 of the Partnership’s</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r>
      <w:tr>
        <w:trPr>
          <w:trHeight w:val="174"/>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300" w:type="dxa"/>
            <w:vAlign w:val="bottom"/>
            <w:tcBorders>
              <w:top w:val="single" w:sz="8" w:color="0000FF"/>
              <w:bottom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Current Report on Form 8-K (File 001-36505) filed on October 17, 2019).</w:t>
              </w:r>
            </w:hyperlink>
          </w:p>
        </w:tc>
        <w:tc>
          <w:tcPr>
            <w:tcW w:w="446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9"/>
            <w:shd w:val="clear" w:color="auto" w:fill="CCEEFF"/>
          </w:tcPr>
          <w:p>
            <w:pPr>
              <w:spacing w:after="0"/>
              <w:rPr>
                <w:sz w:val="15"/>
                <w:szCs w:val="15"/>
                <w:color w:val="auto"/>
              </w:rPr>
            </w:pPr>
          </w:p>
        </w:tc>
      </w:tr>
      <w:tr>
        <w:trPr>
          <w:trHeight w:val="187"/>
        </w:trPr>
        <w:tc>
          <w:tcPr>
            <w:tcW w:w="13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gridSpan w:val="42"/>
          </w:tcPr>
          <w:p>
            <w:pPr>
              <w:spacing w:after="0" w:line="18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Indenture, dated as of October 19, 2023, among Viper Energy Partners LP, as issuer, Viper Energy Partners LLC, as guarantor and</w:t>
              </w:r>
            </w:hyperlink>
          </w:p>
        </w:tc>
      </w:t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Computershare Trust Company National Association, as trustee (including the form of Viper Energy Partners LP’s 7.375% Senior</w:t>
              </w:r>
            </w:hyperlink>
          </w:p>
        </w:tc>
        <w:tc>
          <w:tcPr>
            <w:tcW w:w="8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-2405380</wp:posOffset>
            </wp:positionV>
            <wp:extent cx="374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ind w:left="1500" w:right="20"/>
        <w:spacing w:after="0" w:line="225"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Notes due 2031) (incorporated by reference to Exhibit 4.1 of the Partnership’s Current Report on Form 8-K (File 001-36505) filed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October 25, 2023).</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160" w:type="dxa"/>
            <w:vAlign w:val="bottom"/>
            <w:gridSpan w:val="4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Supplemental Indenture, dated as of November 13, 2023, by and between Viper Energy, Inc., as the successor issuer to Viper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37"/>
            <w:shd w:val="clear" w:color="auto" w:fill="CCEEFF"/>
          </w:tcPr>
          <w:p>
            <w:pPr>
              <w:spacing w:after="0" w:line="16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Energy Partners LP, and Computershare Trust Company, National Association, as trustee, relating to 7.375% Senior Notes due 2031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9920" w:type="dxa"/>
            <w:vAlign w:val="bottom"/>
            <w:tcBorders>
              <w:top w:val="single" w:sz="8" w:color="0000FF"/>
              <w:bottom w:val="single" w:sz="8" w:color="0000FF"/>
            </w:tcBorders>
            <w:gridSpan w:val="31"/>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(incorporated by reference to Exhibit 10.3 to the Company’s Current Report on Form 8-K (File 001-36505) filed on November 17,</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0000FF"/>
            </w:tcBorders>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2023).</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4.12</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Supplemental Indenture, dated as of October 16, 2024, among King Snake Royalty LLC, Sidewinder Snake Royalty LLC, as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20" w:type="dxa"/>
            <w:vAlign w:val="bottom"/>
            <w:tcBorders>
              <w:top w:val="single" w:sz="8" w:color="0000FF"/>
            </w:tcBorders>
            <w:gridSpan w:val="36"/>
          </w:tcPr>
          <w:p>
            <w:pPr>
              <w:spacing w:after="0" w:line="16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guaranteeing subsidiaries, Viper Energy, Inc., Viper Energy Partners LLC, Queen Snake Royalty LLC, Mamba Royalty LP, Moccasin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Royalty LLC and Computershare Trust Company, National Association (successor to Wells Fargo Bank, National Association),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960" w:type="dxa"/>
            <w:vAlign w:val="bottom"/>
            <w:tcBorders>
              <w:bottom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trustee under the indenture, dated as of October 16, 2019, providing for the issuance of 5.375% Senior Notes due 2027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140" w:type="dxa"/>
            <w:vAlign w:val="bottom"/>
            <w:gridSpan w:val="41"/>
          </w:tcPr>
          <w:p>
            <w:pPr>
              <w:spacing w:after="0" w:line="16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reference to Exhibit 4.5 to the Company’s Current Report on form 10-Q (File 001-36505) filed on November 7, 2024).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4.13</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Third Supplemental Indenture, dated as of October 16, 2024, among King Snake Royalty LLC, Sidewinder Snake Royalty LLC, as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36"/>
            <w:shd w:val="clear" w:color="auto" w:fill="CCEEFF"/>
          </w:tcPr>
          <w:p>
            <w:pPr>
              <w:spacing w:after="0" w:line="16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guaranteeing subsidiaries, Viper Energy, Inc., Viper Energy Partners LLC, Queen Snake Royalty LLC, Mamba Royalty LP, Moccasin</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Royalty LLC and Computershare Trust Company, National Association (successor to Wells Fargo Bank, National Association),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9960" w:type="dxa"/>
            <w:vAlign w:val="bottom"/>
            <w:tcBorders>
              <w:top w:val="single" w:sz="8" w:color="0000FF"/>
              <w:bottom w:val="single" w:sz="8" w:color="0000FF"/>
            </w:tcBorders>
            <w:gridSpan w:val="33"/>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trustee under the indenture, dated as of October 19, 2023, providing for the issuance of 7.375% Senior Notes due 2031 (incorporated by</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reference to Exhibit 4.6 to the Company’s Current Report on form 10-Q (File 001-36505) filed on November 7, 2024).</w:t>
              </w:r>
            </w:hyperlink>
          </w:p>
        </w:tc>
        <w:tc>
          <w:tcPr>
            <w:tcW w:w="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Services and Secondment Agreement, dated as of November 2, 2023, by and among Diamondback E&amp;P LLC, Viper Energy Partners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LP, Viper Energy Partners GP LLC and Viper Energy Partners LLC (incorporated by reference to Exhibit 10.1 to the Current Report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8-K, filed by Viper Energy Partners LP with the SEC on November 2,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Amended and Restated Credit Agreement, dated as of July 20, 2018, by and among, Viper Energy Partners LLC, as borrower, Viper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35"/>
            <w:shd w:val="clear" w:color="auto" w:fill="CCEEFF"/>
          </w:tcPr>
          <w:p>
            <w:pPr>
              <w:spacing w:after="0" w:line="16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Energy Partners LP, as guarantor, Wells Fargo Bank, National Association, as administrative agent, and the lenders party thereto</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9500" w:type="dxa"/>
            <w:vAlign w:val="bottom"/>
            <w:tcBorders>
              <w:top w:val="single" w:sz="8" w:color="0000FF"/>
              <w:bottom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(incorporated by reference to Exhibit 10.1 of the Partnership’s Current Report on Form 8-K (File 001-36505) filed on July 26, 2018).</w:t>
              </w:r>
            </w:hyperlink>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Viper Energy, Inc. Amended and Restated 2014 Long Term Incentive Plan (incorporated by reference to Exhibit 10.5 of the Company’s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80" w:type="dxa"/>
            <w:vAlign w:val="bottom"/>
            <w:tcBorders>
              <w:top w:val="single" w:sz="8" w:color="0000FF"/>
            </w:tcBorders>
            <w:gridSpan w:val="29"/>
          </w:tcPr>
          <w:p>
            <w:pPr>
              <w:spacing w:after="0" w:line="16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Current Report on Form 8-K (File No. 001-36505) filed on November 13, 2023).</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Amendment to Amended and Restated 2014 Long Term Incentive Plan (incorporated by reference to Exhibit 10.4 to the Form 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5520" w:type="dxa"/>
            <w:vAlign w:val="bottom"/>
            <w:tcBorders>
              <w:top w:val="single" w:sz="8" w:color="0000FF"/>
            </w:tcBorders>
            <w:gridSpan w:val="13"/>
            <w:shd w:val="clear" w:color="auto" w:fill="CCEEFF"/>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K (File 001-36505) filed on February 22, 2024).</w:t>
              </w:r>
            </w:hyperlink>
          </w:p>
        </w:tc>
        <w:tc>
          <w:tcPr>
            <w:tcW w:w="4200" w:type="dxa"/>
            <w:vAlign w:val="bottom"/>
            <w:tcBorders>
              <w:top w:val="single" w:sz="8" w:color="0000FF"/>
            </w:tcBorders>
            <w:gridSpan w:val="8"/>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gridSpan w:val="4"/>
            <w:shd w:val="clear" w:color="auto" w:fill="CCEEFF"/>
          </w:tcPr>
          <w:p>
            <w:pPr>
              <w:spacing w:after="0"/>
              <w:rPr>
                <w:sz w:val="12"/>
                <w:szCs w:val="12"/>
                <w:color w:val="auto"/>
              </w:rPr>
            </w:pPr>
          </w:p>
        </w:tc>
        <w:tc>
          <w:tcPr>
            <w:tcW w:w="40" w:type="dxa"/>
            <w:vAlign w:val="bottom"/>
            <w:tcBorders>
              <w:top w:val="single" w:sz="8" w:color="0000FF"/>
            </w:tcBorders>
            <w:gridSpan w:val="2"/>
            <w:shd w:val="clear" w:color="auto" w:fill="CCEEFF"/>
          </w:tcPr>
          <w:p>
            <w:pPr>
              <w:spacing w:after="0"/>
              <w:rPr>
                <w:sz w:val="12"/>
                <w:szCs w:val="12"/>
                <w:color w:val="auto"/>
              </w:rPr>
            </w:pPr>
          </w:p>
        </w:tc>
        <w:tc>
          <w:tcPr>
            <w:tcW w:w="40" w:type="dxa"/>
            <w:vAlign w:val="bottom"/>
            <w:tcBorders>
              <w:top w:val="single" w:sz="8" w:color="0000FF"/>
            </w:tcBorders>
            <w:gridSpan w:val="2"/>
            <w:shd w:val="clear" w:color="auto" w:fill="CCEEFF"/>
          </w:tcPr>
          <w:p>
            <w:pPr>
              <w:spacing w:after="0"/>
              <w:rPr>
                <w:sz w:val="12"/>
                <w:szCs w:val="12"/>
                <w:color w:val="auto"/>
              </w:rPr>
            </w:pPr>
          </w:p>
        </w:tc>
        <w:tc>
          <w:tcPr>
            <w:tcW w:w="40" w:type="dxa"/>
            <w:vAlign w:val="bottom"/>
            <w:tcBorders>
              <w:top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Viper Energy, Inc. 2024 Amended and Restated Long Term Incentive Plan (incorporated by reference to Appendix A to Schedule DEF</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780" w:type="dxa"/>
            <w:vAlign w:val="bottom"/>
            <w:tcBorders>
              <w:top w:val="single" w:sz="8" w:color="0000FF"/>
            </w:tcBorders>
            <w:gridSpan w:val="24"/>
          </w:tcPr>
          <w:p>
            <w:pPr>
              <w:spacing w:after="0" w:line="168"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14A filed by the Company with the SEC on April 25, 2024).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Indemnification Agreement (incorporated by reference to Exhibit 10.5 to the Form 10-K (File 001-36505) filed on February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0000FF"/>
            </w:tcBorders>
            <w:gridSpan w:val="3"/>
            <w:shd w:val="clear" w:color="auto" w:fill="CCEEFF"/>
          </w:tcPr>
          <w:p>
            <w:pPr>
              <w:spacing w:after="0" w:line="168"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22, 2024).</w:t>
              </w:r>
            </w:hyperlink>
          </w:p>
        </w:tc>
        <w:tc>
          <w:tcPr>
            <w:tcW w:w="114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5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10.7</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Tax Sharing Agreement, dated as of November 10, 2023, effective as of November 13, 2023, by and between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980" w:type="dxa"/>
            <w:vAlign w:val="bottom"/>
            <w:tcBorders>
              <w:top w:val="single" w:sz="8" w:color="0000FF"/>
            </w:tcBorders>
            <w:gridSpan w:val="34"/>
          </w:tcPr>
          <w:p>
            <w:pPr>
              <w:spacing w:after="0" w:line="168"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the Viper Energy Partners LLC and Diamondback Energy, Inc. (incorporated by reference to Exhibit 10.2 of the Company’s Current</w:t>
              </w:r>
            </w:hyperlink>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Report on Form 8-K (File No. 001-36505) filed on November 13,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 Agreement (incorporated by reference to Exhibit 10.7 to the Form 10-K (File 001-36505) filed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0000FF"/>
              <w:bottom w:val="single" w:sz="8" w:color="0000FF"/>
            </w:tcBorders>
            <w:gridSpan w:val="3"/>
            <w:shd w:val="clear" w:color="auto" w:fill="CCEEFF"/>
          </w:tcPr>
          <w:p>
            <w:pPr>
              <w:spacing w:after="0" w:line="168"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February 22, 2024).</w:t>
              </w:r>
            </w:hyperlink>
          </w:p>
        </w:tc>
        <w:tc>
          <w:tcPr>
            <w:tcW w:w="8660" w:type="dxa"/>
            <w:vAlign w:val="bottom"/>
            <w:tcBorders>
              <w:top w:val="single" w:sz="8" w:color="0000FF"/>
              <w:bottom w:val="single" w:sz="8" w:color="CCEEFF"/>
            </w:tcBorders>
            <w:gridSpan w:val="36"/>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Performance-based Restricted Stock Unit Agreement (incorporated by reference to Exhibit 10.8 to the Form 10-K (File 001-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60" w:type="dxa"/>
            <w:vAlign w:val="bottom"/>
            <w:tcBorders>
              <w:top w:val="single" w:sz="8" w:color="0000FF"/>
            </w:tcBorders>
            <w:gridSpan w:val="10"/>
          </w:tcPr>
          <w:p>
            <w:pPr>
              <w:spacing w:after="0" w:line="168"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36505) filed on February 22, 2024).</w:t>
              </w:r>
            </w:hyperlink>
          </w:p>
        </w:tc>
        <w:tc>
          <w:tcPr>
            <w:tcW w:w="40" w:type="dxa"/>
            <w:vAlign w:val="bottom"/>
            <w:tcBorders>
              <w:top w:val="single" w:sz="8" w:color="0000FF"/>
            </w:tcBorders>
          </w:tcPr>
          <w:p>
            <w:pPr>
              <w:spacing w:after="0"/>
              <w:rPr>
                <w:sz w:val="14"/>
                <w:szCs w:val="14"/>
                <w:color w:val="auto"/>
              </w:rPr>
            </w:pPr>
          </w:p>
        </w:tc>
        <w:tc>
          <w:tcPr>
            <w:tcW w:w="4740" w:type="dxa"/>
            <w:vAlign w:val="bottom"/>
            <w:tcBorders>
              <w:top w:val="single" w:sz="8" w:color="0000FF"/>
            </w:tcBorders>
            <w:gridSpan w:val="11"/>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gridSpan w:val="4"/>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gridSpan w:val="4"/>
          </w:tcPr>
          <w:p>
            <w:pPr>
              <w:spacing w:after="0"/>
              <w:rPr>
                <w:sz w:val="14"/>
                <w:szCs w:val="14"/>
                <w:color w:val="auto"/>
              </w:rPr>
            </w:pPr>
          </w:p>
        </w:tc>
        <w:tc>
          <w:tcPr>
            <w:tcW w:w="160" w:type="dxa"/>
            <w:vAlign w:val="bottom"/>
            <w:tcBorders>
              <w:top w:val="single" w:sz="8" w:color="0000FF"/>
            </w:tcBorders>
            <w:gridSpan w:val="8"/>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10.10+*</w:t>
            </w:r>
          </w:p>
        </w:tc>
        <w:tc>
          <w:tcPr>
            <w:tcW w:w="4960" w:type="dxa"/>
            <w:vAlign w:val="bottom"/>
            <w:tcBorders>
              <w:bottom w:val="single" w:sz="8" w:color="0000FF"/>
            </w:tcBorders>
            <w:gridSpan w:val="1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2025 Form of Time Vesting Restricted Stock Unit Award Agreement.</w:t>
            </w:r>
          </w:p>
        </w:tc>
        <w:tc>
          <w:tcPr>
            <w:tcW w:w="5180" w:type="dxa"/>
            <w:vAlign w:val="bottom"/>
            <w:tcBorders>
              <w:bottom w:val="single" w:sz="8" w:color="CCEEFF"/>
              <w:right w:val="single" w:sz="8" w:color="CCEEFF"/>
            </w:tcBorders>
            <w:gridSpan w:val="31"/>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41"/>
          </w:tcPr>
          <w:p>
            <w:pPr>
              <w:spacing w:after="0" w:line="188" w:lineRule="exact"/>
              <w:rPr>
                <w:sz w:val="20"/>
                <w:szCs w:val="20"/>
                <w:color w:val="auto"/>
              </w:rPr>
            </w:pPr>
            <w:r>
              <w:rPr>
                <w:rFonts w:ascii="Times New Roman" w:cs="Times New Roman" w:eastAsia="Times New Roman" w:hAnsi="Times New Roman"/>
                <w:sz w:val="18"/>
                <w:szCs w:val="18"/>
                <w:color w:val="0000FF"/>
              </w:rPr>
              <w:t>2025 Form of Performance-Vesting Restricted Stock Unit Agreement.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Phantom Unit Agreement (incorporated by reference to Exhibit 10.8 of the Partnership’s Annual Report on Form 10-K (File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3200" w:type="dxa"/>
            <w:vAlign w:val="bottom"/>
            <w:tcBorders>
              <w:top w:val="single" w:sz="8" w:color="0000FF"/>
              <w:bottom w:val="single" w:sz="8" w:color="0000FF"/>
            </w:tcBorders>
            <w:gridSpan w:val="5"/>
            <w:shd w:val="clear" w:color="auto" w:fill="CCEEFF"/>
          </w:tcPr>
          <w:p>
            <w:pPr>
              <w:spacing w:after="0" w:line="168"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No. 001-36505) filed on February 18, 2020).</w:t>
              </w:r>
            </w:hyperlink>
          </w:p>
        </w:tc>
        <w:tc>
          <w:tcPr>
            <w:tcW w:w="656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gridSpan w:val="9"/>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10140" w:type="dxa"/>
            <w:vAlign w:val="bottom"/>
            <w:gridSpan w:val="41"/>
          </w:tcPr>
          <w:p>
            <w:pPr>
              <w:spacing w:after="0" w:line="188"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Amendment to Amended and Restated Senior Secured Revolving Credit Agreement, dated as of September 24, 2019, among</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60" w:type="dxa"/>
            <w:vAlign w:val="bottom"/>
            <w:tcBorders>
              <w:top w:val="single" w:sz="8" w:color="0000FF"/>
            </w:tcBorders>
            <w:gridSpan w:val="38"/>
          </w:tcPr>
          <w:p>
            <w:pPr>
              <w:spacing w:after="0" w:line="168"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Viper Energy Partners LLC, as borrower, Viper Energy Partners LP, as parent guarantor, Wells Fargo Bank, National Association, as</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administrative agent, and the lender party thereto (incorporated by reference to Exhibit 10.1 of the Partnership’s Current Report 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40" w:type="dxa"/>
            <w:vAlign w:val="bottom"/>
            <w:gridSpan w:val="27"/>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8-K (File 001-36505) filed on September 30,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right w:val="single" w:sz="8" w:color="CCEEFF"/>
            </w:tcBorders>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Third Amendment to Amended and Restated Senior Secured Revolving Credit Agreement, dated as of October 8, 2019, among Viper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32"/>
            <w:shd w:val="clear" w:color="auto" w:fill="CCEEFF"/>
          </w:tcPr>
          <w:p>
            <w:pPr>
              <w:spacing w:after="0" w:line="168"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Energy Partners LLC, as borrower, Viper Energy Partners LP, as parent guarantor, Wells Fargo Bank, National Association, as</w:t>
              </w:r>
            </w:hyperlink>
          </w:p>
        </w:tc>
        <w:tc>
          <w:tcPr>
            <w:tcW w:w="200" w:type="dxa"/>
            <w:vAlign w:val="bottom"/>
            <w:tcBorders>
              <w:top w:val="single" w:sz="8" w:color="CCEEFF"/>
              <w:right w:val="single" w:sz="8" w:color="CCEEFF"/>
            </w:tcBorders>
            <w:gridSpan w:val="9"/>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administrative agent, and the lender party thereto (incorporated by reference to Exhibit 10.1 of the Partnership’s Current Report on</w:t>
              </w:r>
            </w:hyperlink>
          </w:p>
        </w:tc>
        <w:tc>
          <w:tcPr>
            <w:tcW w:w="280" w:type="dxa"/>
            <w:vAlign w:val="bottom"/>
            <w:tcBorders>
              <w:top w:val="single" w:sz="8" w:color="CCEEFF"/>
              <w:right w:val="single" w:sz="8" w:color="CCEEFF"/>
            </w:tcBorders>
            <w:gridSpan w:val="1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396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8-K (File 001-36505) filed on October 10, 2019).</w:t>
              </w:r>
            </w:hyperlink>
          </w:p>
        </w:tc>
        <w:tc>
          <w:tcPr>
            <w:tcW w:w="588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300" w:type="dxa"/>
            <w:vAlign w:val="bottom"/>
            <w:tcBorders>
              <w:top w:val="single" w:sz="8" w:color="CCEEFF"/>
              <w:bottom w:val="single" w:sz="8" w:color="CCEEFF"/>
              <w:right w:val="single" w:sz="8" w:color="CCEEFF"/>
            </w:tcBorders>
            <w:gridSpan w:val="14"/>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20" w:type="dxa"/>
            <w:vAlign w:val="bottom"/>
            <w:gridSpan w:val="9"/>
          </w:tcPr>
          <w:p>
            <w:pPr>
              <w:ind w:left="404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120" w:type="dxa"/>
            <w:vAlign w:val="bottom"/>
            <w:gridSpan w:val="33"/>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0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0120" w:type="dxa"/>
            <w:vAlign w:val="bottom"/>
            <w:gridSpan w:val="3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Fourth Amendment to Amended and Restated Senior Secured Revolving Credit Agreement, dated as of November 29, 2019, among</w:t>
              </w:r>
            </w:hyperlink>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900" w:type="dxa"/>
            <w:vAlign w:val="bottom"/>
            <w:tcBorders>
              <w:top w:val="single" w:sz="8" w:color="0000FF"/>
            </w:tcBorders>
            <w:gridSpan w:val="23"/>
          </w:tcPr>
          <w:p>
            <w:pPr>
              <w:spacing w:after="0" w:line="168"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Viper Energy Partners LLC, as borrower, Viper Energy Partners LP, as parent guarantor, Wells Fargo Bank, National Association,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administrative agent, and the lenders party thereto (incorporated by reference to Exhibit 10.1 of the Partnership’s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80" w:type="dxa"/>
            <w:vAlign w:val="bottom"/>
            <w:gridSpan w:val="22"/>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8-K (File No. 001-36505) filed on December 5,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right w:val="single" w:sz="8" w:color="CCEEFF"/>
            </w:tcBorders>
            <w:gridSpan w:val="32"/>
            <w:shd w:val="clear" w:color="auto" w:fill="CCEEFF"/>
          </w:tcPr>
          <w:p>
            <w:pPr>
              <w:spacing w:after="0" w:line="188"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Fifth Amendment to Amended and Restated Senior Secured Revolving Credit Agreement, dated as of May 11, 2020, among Viper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Energy Partners LLC, as borrower, Viper Energy Partners LP, as parent guarantor, Wells Fargo Bank, National Association, as</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administrative agent, and the lenders party thereto (incorporated by reference to Exhibit 10.1 of the Partnership’s Current Report 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8-K (File 001-36505) filed on May 15, 2020).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32"/>
          </w:tcPr>
          <w:p>
            <w:pPr>
              <w:spacing w:after="0" w:line="188"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Sixth Amendment to Amended and Restated Senior Secured Revolving Credit Agreement, dated as of November 6, 2020, among Viper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Energy Partners LLC, as borrower, Viper Energy Partners LP, as parent guarantor, Wells Fargo Bank, National Association,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administrative agent, and the lenders party thereto (incorporated by reference to Exhibit 10.1 of the Partnership’s Current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8-K (File No. 001-36505) filed on November 12,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right w:val="single" w:sz="8" w:color="CCEEFF"/>
            </w:tcBorders>
            <w:gridSpan w:val="32"/>
            <w:shd w:val="clear" w:color="auto" w:fill="CCEEFF"/>
          </w:tcPr>
          <w:p>
            <w:pPr>
              <w:spacing w:after="0" w:line="188"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Seventh Amendment to Amended and Restated Senior Secured Revolving Credit Agreement and Second Amendment to Guaranty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9940" w:type="dxa"/>
            <w:vAlign w:val="bottom"/>
            <w:tcBorders>
              <w:top w:val="single" w:sz="8" w:color="0000FF"/>
              <w:bottom w:val="single" w:sz="8" w:color="0000FF"/>
            </w:tcBorders>
            <w:gridSpan w:val="25"/>
            <w:shd w:val="clear" w:color="auto" w:fill="CCEEFF"/>
          </w:tcPr>
          <w:p>
            <w:pPr>
              <w:spacing w:after="0" w:line="168"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Collateral Agreement, dated as of June 2, 2021, by and among Viper Energy Partners LLC, as borrower, Viper Energy Partners LP, as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20" w:type="dxa"/>
            <w:vAlign w:val="bottom"/>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parent guarantor, Wells Fargo Bank, National Association, as administrative agent, and the lenders party thereto (incorporated by</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reference to Exhibit 10.1 of the Partnership’s Current Report on Form 8-K (File 001-36505) filed on June 8,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3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32"/>
          </w:tcPr>
          <w:p>
            <w:pPr>
              <w:spacing w:after="0" w:line="188"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Eighth Amendment to Amended and Restated Senior Secured Revolving Credit Agreement and Second Amendment to Guaranty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Collateral Agreement, dated as of November 15, 2021, by and among Viper Energy Partners LLC, as borrower, Viper Energy Partners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00" w:type="dxa"/>
            <w:vAlign w:val="bottom"/>
            <w:tcBorders>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LP, as parent guarantor, Wells Fargo Bank, National Association,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40" w:type="dxa"/>
            <w:vAlign w:val="bottom"/>
            <w:gridSpan w:val="30"/>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reference to Exhibit 10.1 of the Partnership’s Current Report on Form 8-K (File No. 001-36505) filed on November 18,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right w:val="single" w:sz="8" w:color="CCEEFF"/>
            </w:tcBorders>
            <w:gridSpan w:val="32"/>
            <w:shd w:val="clear" w:color="auto" w:fill="CCEEFF"/>
          </w:tcPr>
          <w:p>
            <w:pPr>
              <w:spacing w:after="0" w:line="188"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Ninth Amendment to Amended and Restated Senior Secured Revolving Credit Agreement and Second Amendment to Guaranty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060" w:type="dxa"/>
            <w:vAlign w:val="bottom"/>
            <w:tcBorders>
              <w:top w:val="single" w:sz="8" w:color="0000FF"/>
            </w:tcBorders>
            <w:gridSpan w:val="31"/>
            <w:shd w:val="clear" w:color="auto" w:fill="CCEEFF"/>
          </w:tcPr>
          <w:p>
            <w:pPr>
              <w:spacing w:after="0" w:line="168"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Collateral Agreement, dated as of November 18, 2022, by and among Viper Energy Partners LLC, as borrower, Viper Energy Partners</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LP, as parent guarantor, Wells Fargo Bank, National Association, as administrative agent, and the lenders party thereto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8800" w:type="dxa"/>
            <w:vAlign w:val="bottom"/>
            <w:tcBorders>
              <w:top w:val="single" w:sz="8" w:color="0000FF"/>
              <w:bottom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reference to Exhibit 10.18 of the Partnership’s Current Report on Form 10-K (File 001-36505) filed on February 23, 2023).</w:t>
              </w:r>
            </w:hyperlink>
          </w:p>
        </w:tc>
        <w:tc>
          <w:tcPr>
            <w:tcW w:w="124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32"/>
          </w:tcPr>
          <w:p>
            <w:pPr>
              <w:spacing w:after="0" w:line="188"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Tenth Amendment to Amended and Restated Senior Secured Revolving Credit Agreement and Second Amendment to Guaranty and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980" w:type="dxa"/>
            <w:vAlign w:val="bottom"/>
            <w:tcBorders>
              <w:top w:val="single" w:sz="8" w:color="0000FF"/>
            </w:tcBorders>
            <w:gridSpan w:val="27"/>
          </w:tcPr>
          <w:p>
            <w:pPr>
              <w:spacing w:after="0" w:line="168"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Collateral Agreement, dated as of May 31, 2023, by and among Viper Energy Partners LLC, as borrower, Viper Energy Partners LP, as</w:t>
              </w:r>
            </w:hyperlink>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parent guarantor, Wells Fargo Bank, National Association, as administrative agent, and the lenders party thereto (incorporated by</w:t>
              </w:r>
            </w:hyperlink>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reference to Exhibit 10.1 of the Partnership's Current Report on Form 8-K (File No. 001-36505) filed on June 6, 2023).</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right w:val="single" w:sz="8" w:color="CCEEFF"/>
            </w:tcBorders>
            <w:gridSpan w:val="32"/>
            <w:shd w:val="clear" w:color="auto" w:fill="CCEEFF"/>
          </w:tcPr>
          <w:p>
            <w:pPr>
              <w:spacing w:after="0" w:line="188"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Eleventh Amendment to Amended and Restated Senior Secured Revolving Credit Agreement dated as of September 22, 2023, by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19"/>
            <w:shd w:val="clear" w:color="auto" w:fill="CCEEFF"/>
          </w:tcPr>
          <w:p>
            <w:pPr>
              <w:spacing w:after="0" w:line="168"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among Viper Energy Partners LLC, as borrower, Viper Energy Partners LP, as parent guarantor, Wells Fargo Bank, National</w:t>
              </w:r>
            </w:hyperlink>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140" w:type="dxa"/>
            <w:vAlign w:val="bottom"/>
            <w:tcBorders>
              <w:top w:val="single" w:sz="8" w:color="CCEEFF"/>
              <w:right w:val="single" w:sz="8" w:color="CCEEFF"/>
            </w:tcBorders>
            <w:gridSpan w:val="6"/>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27"/>
            <w:shd w:val="clear" w:color="auto" w:fill="CCEEFF"/>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Association, as administrative agent, and the lenders party thereto (incorporated by reference to Exhibit 10.1 of the Partnership’s</w:t>
              </w:r>
            </w:hyperlink>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580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Current Report on Form 8-K (File No. 001-36505) filed on September 28, 2023)</w:t>
              </w:r>
            </w:hyperlink>
            <w:hyperlink r:id="rId164">
              <w:r>
                <w:rPr>
                  <w:rFonts w:ascii="Times New Roman" w:cs="Times New Roman" w:eastAsia="Times New Roman" w:hAnsi="Times New Roman"/>
                  <w:sz w:val="17"/>
                  <w:szCs w:val="17"/>
                  <w:color w:val="0000FF"/>
                </w:rPr>
                <w:t>.</w:t>
              </w:r>
            </w:hyperlink>
          </w:p>
        </w:tc>
        <w:tc>
          <w:tcPr>
            <w:tcW w:w="392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gridSpan w:val="6"/>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32"/>
          </w:tcPr>
          <w:p>
            <w:pPr>
              <w:spacing w:after="0" w:line="188"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Twelfth Amendment to Amended and Restated Senior Secured Revolving Credit Agreement dated as of September 22, 2023, by and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76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among Viper Energy Partners LLC, as borrower, Viper Energy Partners LP, as parent guarantor, Wells Fargo Bank, National</w:t>
              </w:r>
            </w:hyperlink>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Association, as administrative agent, and the lenders party thereto (incorporated by reference to Exhibit 10.2 of the Partnership’s</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Current Report on Form 8-K (File No. 001-36505) filed on September 28, 2023)</w:t>
              </w:r>
            </w:hyperlink>
            <w:hyperlink r:id="rId166">
              <w:r>
                <w:rPr>
                  <w:rFonts w:ascii="Times New Roman" w:cs="Times New Roman" w:eastAsia="Times New Roman" w:hAnsi="Times New Roman"/>
                  <w:sz w:val="17"/>
                  <w:szCs w:val="17"/>
                  <w:color w:val="0000FF"/>
                </w:rPr>
                <w: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right w:val="single" w:sz="8" w:color="CCEEFF"/>
            </w:tcBorders>
            <w:gridSpan w:val="3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Thirteenth Amendment to Amended and Restated Senior Secured Revolving Credit Agreement and Third Amendment to Guaranty and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9920" w:type="dxa"/>
            <w:vAlign w:val="bottom"/>
            <w:tcBorders>
              <w:top w:val="single" w:sz="8" w:color="0000FF"/>
              <w:bottom w:val="single" w:sz="8" w:color="0000FF"/>
            </w:tcBorders>
            <w:gridSpan w:val="24"/>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Collateral Agreement dated as of November 22, 2024, by and among Viper Energy Partners LLC, as borrow, Viper Energy, Inc., as</w:t>
            </w: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0000FF"/>
              <w:right w:val="single" w:sz="8" w:color="CCEEFF"/>
            </w:tcBorders>
            <w:gridSpan w:val="6"/>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100" w:type="dxa"/>
            <w:vAlign w:val="bottom"/>
            <w:tcBorders>
              <w:right w:val="single" w:sz="8" w:color="CCEEFF"/>
            </w:tcBorders>
            <w:gridSpan w:val="3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parent guarantor, Wells Fargo Bank, National Association, as administrative agent.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gridSpan w:val="32"/>
          </w:tcPr>
          <w:p>
            <w:pPr>
              <w:spacing w:after="0" w:line="18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Subordinated Promissory Note, dated as of October 16, 2019, by Viper Energy Partners LLC in favor of Viper Energy Partners LP</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960" w:type="dxa"/>
            <w:vAlign w:val="bottom"/>
            <w:tcBorders>
              <w:top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10.2 of the Partnership’s Current Report on Form 8-K (File 001-36505) filed on October 17,</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2019).</w:t>
              </w:r>
            </w:hyperlink>
          </w:p>
        </w:tc>
        <w:tc>
          <w:tcPr>
            <w:tcW w:w="8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right w:val="single" w:sz="8" w:color="CCEEFF"/>
            </w:tcBorders>
            <w:gridSpan w:val="32"/>
            <w:shd w:val="clear" w:color="auto" w:fill="CCEEFF"/>
          </w:tcPr>
          <w:p>
            <w:pPr>
              <w:spacing w:after="0" w:line="188"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Subordinated Promissory Note, dated as of October 19, 2023, made by Viper Energy Partners LLC payable to Viper Energy Partners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29"/>
            <w:shd w:val="clear" w:color="auto" w:fill="CCEEFF"/>
          </w:tcPr>
          <w:p>
            <w:pPr>
              <w:spacing w:after="0" w:line="168"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LP (incorporated by reference to Exhibit 10.2 of the Partnership’s Current Report on Form 8-K (File 001-36505) filed on October 25,</w:t>
              </w:r>
            </w:hyperlink>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2023).</w:t>
              </w:r>
            </w:hyperlink>
          </w:p>
        </w:tc>
        <w:tc>
          <w:tcPr>
            <w:tcW w:w="980" w:type="dxa"/>
            <w:vAlign w:val="bottom"/>
            <w:tcBorders>
              <w:top w:val="single" w:sz="8" w:color="0000FF"/>
              <w:bottom w:val="single" w:sz="8" w:color="CCEEFF"/>
            </w:tcBorders>
            <w:shd w:val="clear" w:color="auto" w:fill="CCEEFF"/>
          </w:tcPr>
          <w:p>
            <w:pPr>
              <w:spacing w:after="0"/>
              <w:rPr>
                <w:sz w:val="15"/>
                <w:szCs w:val="15"/>
                <w:color w:val="auto"/>
              </w:rPr>
            </w:pPr>
          </w:p>
        </w:tc>
        <w:tc>
          <w:tcPr>
            <w:tcW w:w="820" w:type="dxa"/>
            <w:vAlign w:val="bottom"/>
            <w:tcBorders>
              <w:top w:val="single" w:sz="8" w:color="0000FF"/>
              <w:bottom w:val="single" w:sz="8" w:color="CCEEFF"/>
            </w:tcBorders>
            <w:shd w:val="clear" w:color="auto" w:fill="CCEEFF"/>
          </w:tcPr>
          <w:p>
            <w:pPr>
              <w:spacing w:after="0"/>
              <w:rPr>
                <w:sz w:val="15"/>
                <w:szCs w:val="15"/>
                <w:color w:val="auto"/>
              </w:rPr>
            </w:pPr>
          </w:p>
        </w:tc>
        <w:tc>
          <w:tcPr>
            <w:tcW w:w="1440" w:type="dxa"/>
            <w:vAlign w:val="bottom"/>
            <w:tcBorders>
              <w:top w:val="single" w:sz="8" w:color="0000FF"/>
              <w:bottom w:val="single" w:sz="8" w:color="CCEEFF"/>
            </w:tcBorders>
            <w:shd w:val="clear" w:color="auto" w:fill="CCEEFF"/>
          </w:tcPr>
          <w:p>
            <w:pPr>
              <w:spacing w:after="0"/>
              <w:rPr>
                <w:sz w:val="15"/>
                <w:szCs w:val="15"/>
                <w:color w:val="auto"/>
              </w:rPr>
            </w:pPr>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136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30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6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32"/>
          </w:tcPr>
          <w:p>
            <w:pPr>
              <w:spacing w:after="0" w:line="188" w:lineRule="exact"/>
              <w:rPr>
                <w:sz w:val="20"/>
                <w:szCs w:val="20"/>
                <w:color w:val="auto"/>
              </w:rPr>
            </w:pPr>
            <w:r>
              <w:rPr>
                <w:rFonts w:ascii="Times New Roman" w:cs="Times New Roman" w:eastAsia="Times New Roman" w:hAnsi="Times New Roman"/>
                <w:sz w:val="18"/>
                <w:szCs w:val="18"/>
                <w:color w:val="0000FF"/>
              </w:rPr>
              <w:t>General Insider Trading Policy.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19.2*</w:t>
            </w:r>
          </w:p>
        </w:tc>
        <w:tc>
          <w:tcPr>
            <w:tcW w:w="10100" w:type="dxa"/>
            <w:vAlign w:val="bottom"/>
            <w:tcBorders>
              <w:right w:val="single" w:sz="8" w:color="CCEEFF"/>
            </w:tcBorders>
            <w:gridSpan w:val="3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Sixth Amended and Restated Supplemental Policy Concerning Trading in Securities of the Company and its Subsidiaries by Certain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8200" w:type="dxa"/>
            <w:vAlign w:val="bottom"/>
            <w:tcBorders>
              <w:top w:val="single" w:sz="8" w:color="0000FF"/>
            </w:tcBorders>
            <w:gridSpan w:val="9"/>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Designated Persons.</w:t>
            </w:r>
          </w:p>
        </w:tc>
        <w:tc>
          <w:tcPr>
            <w:tcW w:w="1640" w:type="dxa"/>
            <w:vAlign w:val="bottom"/>
            <w:tcBorders>
              <w:top w:val="single" w:sz="8" w:color="0000FF"/>
            </w:tcBorders>
            <w:gridSpan w:val="11"/>
            <w:shd w:val="clear" w:color="auto" w:fill="CCEEFF"/>
          </w:tcPr>
          <w:p>
            <w:pPr>
              <w:spacing w:after="0"/>
              <w:rPr>
                <w:sz w:val="16"/>
                <w:szCs w:val="16"/>
                <w:color w:val="auto"/>
              </w:rPr>
            </w:pPr>
          </w:p>
        </w:tc>
        <w:tc>
          <w:tcPr>
            <w:tcW w:w="260" w:type="dxa"/>
            <w:vAlign w:val="bottom"/>
            <w:tcBorders>
              <w:top w:val="single" w:sz="8" w:color="CCEEFF"/>
              <w:right w:val="single" w:sz="8" w:color="CCEEFF"/>
            </w:tcBorders>
            <w:gridSpan w:val="1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1440" w:type="dxa"/>
            <w:vAlign w:val="bottom"/>
            <w:tcBorders>
              <w:top w:val="single" w:sz="8" w:color="0000FF"/>
            </w:tcBorders>
            <w:gridSpan w:val="2"/>
          </w:tcPr>
          <w:p>
            <w:pPr>
              <w:spacing w:after="0"/>
              <w:rPr>
                <w:sz w:val="24"/>
                <w:szCs w:val="24"/>
                <w:color w:val="auto"/>
              </w:rPr>
            </w:pPr>
          </w:p>
        </w:tc>
        <w:tc>
          <w:tcPr>
            <w:tcW w:w="288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780" w:type="dxa"/>
            <w:vAlign w:val="bottom"/>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0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List of Significant Subsidiaries of Viper Energy Inc.</w:t>
            </w: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23.1*</w:t>
            </w:r>
          </w:p>
        </w:tc>
        <w:tc>
          <w:tcPr>
            <w:tcW w:w="9780" w:type="dxa"/>
            <w:vAlign w:val="bottom"/>
            <w:gridSpan w:val="1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23.2*</w:t>
            </w:r>
          </w:p>
        </w:tc>
        <w:tc>
          <w:tcPr>
            <w:tcW w:w="9780" w:type="dxa"/>
            <w:vAlign w:val="bottom"/>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Consent of Ryder Scott Company, LP.</w:t>
            </w: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1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promulgated under the Securities Exchange Act of 1934, as</w:t>
            </w:r>
          </w:p>
        </w:tc>
      </w:tr>
      <w:tr>
        <w:trPr>
          <w:trHeight w:val="167"/>
        </w:trPr>
        <w:tc>
          <w:tcPr>
            <w:tcW w:w="148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9780" w:type="dxa"/>
            <w:vAlign w:val="bottom"/>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promulgated under the Securities Exchange Act of 1934, as</w:t>
            </w:r>
          </w:p>
        </w:tc>
      </w:tr>
      <w:tr>
        <w:trPr>
          <w:trHeight w:val="167"/>
        </w:trPr>
        <w:tc>
          <w:tcPr>
            <w:tcW w:w="1480" w:type="dxa"/>
            <w:vAlign w:val="bottom"/>
          </w:tcPr>
          <w:p>
            <w:pPr>
              <w:spacing w:after="0"/>
              <w:rPr>
                <w:sz w:val="14"/>
                <w:szCs w:val="14"/>
                <w:color w:val="auto"/>
              </w:rPr>
            </w:pPr>
          </w:p>
        </w:tc>
        <w:tc>
          <w:tcPr>
            <w:tcW w:w="9760" w:type="dxa"/>
            <w:vAlign w:val="bottom"/>
            <w:tcBorders>
              <w:top w:val="single" w:sz="8" w:color="0000FF"/>
            </w:tcBorders>
            <w:gridSpan w:val="11"/>
          </w:tcPr>
          <w:p>
            <w:pPr>
              <w:spacing w:after="0" w:line="168"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1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Rule 13a-14(b) promulgated under the Securities</w:t>
            </w:r>
          </w:p>
        </w:tc>
      </w:tr>
      <w:tr>
        <w:trPr>
          <w:trHeight w:val="188"/>
        </w:trPr>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7600" w:type="dxa"/>
            <w:vAlign w:val="bottom"/>
            <w:tcBorders>
              <w:top w:val="single" w:sz="8" w:color="0000FF"/>
              <w:bottom w:val="single" w:sz="8" w:color="0000FF"/>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8"/>
              </w:rPr>
              <w:t>Exchange Act of 1934, as amended, and Section 1350 of Chapter 63 of Title 18 of the United States Code.</w:t>
            </w:r>
          </w:p>
        </w:tc>
        <w:tc>
          <w:tcPr>
            <w:tcW w:w="214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7"/>
        </w:trPr>
        <w:tc>
          <w:tcPr>
            <w:tcW w:w="14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97.1</w:t>
            </w:r>
          </w:p>
        </w:tc>
        <w:tc>
          <w:tcPr>
            <w:tcW w:w="9780" w:type="dxa"/>
            <w:vAlign w:val="bottom"/>
            <w:gridSpan w:val="12"/>
          </w:tcPr>
          <w:p>
            <w:pPr>
              <w:spacing w:after="0" w:line="188"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Viper Energy, Inc. Clawback Policy (incorporated by reference to Exhibit 97.1 to the Form 10-K (File 001-36505) filed on February 22,</w:t>
              </w:r>
            </w:hyperlink>
          </w:p>
        </w:tc>
      </w:tr>
      <w:tr>
        <w:trPr>
          <w:trHeight w:val="167"/>
        </w:trPr>
        <w:tc>
          <w:tcPr>
            <w:tcW w:w="1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2024).</w:t>
              </w:r>
            </w:hyperlink>
          </w:p>
        </w:tc>
        <w:tc>
          <w:tcPr>
            <w:tcW w:w="2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48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99.1*</w:t>
            </w:r>
          </w:p>
        </w:tc>
        <w:tc>
          <w:tcPr>
            <w:tcW w:w="9780" w:type="dxa"/>
            <w:vAlign w:val="bottom"/>
            <w:gridSpan w:val="1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Audit Report of Ryder Scott Company, L.P. dated January 13, 2025, with respect to an audit of the proved reserves, future production</w:t>
            </w:r>
          </w:p>
        </w:tc>
      </w:tr>
      <w:tr>
        <w:trPr>
          <w:trHeight w:val="167"/>
        </w:trPr>
        <w:tc>
          <w:tcPr>
            <w:tcW w:w="148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9"/>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and income attributable to certain royalty interests of Viper Energy, Inc. as of December 31, 2024.</w:t>
            </w: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32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jc w:val="both"/>
        <w:ind w:left="1500" w:right="60" w:hanging="1462"/>
        <w:spacing w:after="0" w:line="227"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December 31, 2024, formatted in Inline XBRL: (i) Consolidated Balance Sheets, (ii) Consolidated Statements of Operations, (iii) Consolidated Statement of Changes in Stockholders’ Equity, (iv) Consolidated Statements of Cash Flows and (v) Notes to Consolidated Financial Statements.</w:t>
      </w:r>
    </w:p>
    <w:p>
      <w:pPr>
        <w:spacing w:after="0" w:line="37"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6445" cy="212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16445" cy="212725"/>
                    </a:xfrm>
                    <a:prstGeom prst="rect">
                      <a:avLst/>
                    </a:prstGeom>
                    <a:noFill/>
                  </pic:spPr>
                </pic:pic>
              </a:graphicData>
            </a:graphic>
          </wp:anchor>
        </w:drawing>
      </w:r>
    </w:p>
    <w:p>
      <w:pPr>
        <w:spacing w:after="0" w:line="282" w:lineRule="exact"/>
        <w:rPr>
          <w:sz w:val="20"/>
          <w:szCs w:val="20"/>
          <w:color w:val="auto"/>
        </w:rPr>
      </w:pPr>
    </w:p>
    <w:p>
      <w:pPr>
        <w:ind w:left="500" w:hanging="435"/>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28" w:lineRule="exact"/>
        <w:rPr>
          <w:sz w:val="20"/>
          <w:szCs w:val="20"/>
          <w:color w:val="auto"/>
        </w:rPr>
      </w:pPr>
    </w:p>
    <w:p>
      <w:pPr>
        <w:ind w:left="500" w:hanging="435"/>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128" w:lineRule="exact"/>
        <w:rPr>
          <w:sz w:val="20"/>
          <w:szCs w:val="20"/>
          <w:color w:val="auto"/>
        </w:rPr>
      </w:pPr>
    </w:p>
    <w:p>
      <w:pPr>
        <w:jc w:val="both"/>
        <w:ind w:left="500" w:right="80" w:hanging="435"/>
        <w:spacing w:after="0" w:line="229"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04" w:lineRule="exact"/>
        <w:rPr>
          <w:sz w:val="20"/>
          <w:szCs w:val="20"/>
          <w:color w:val="auto"/>
        </w:rPr>
      </w:pPr>
    </w:p>
    <w:p>
      <w:pPr>
        <w:ind w:left="500" w:right="80" w:hanging="435"/>
        <w:spacing w:after="0" w:line="23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similar attachments) have been omitted pursuant to Item 601(a)(5) of Regulation S-K and will be provided to the Securities and Exchange Commission upon request.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right="20" w:firstLine="643"/>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2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5260" w:type="dxa"/>
            <w:vAlign w:val="bottom"/>
          </w:tcPr>
          <w:p>
            <w:pPr>
              <w:spacing w:after="0"/>
              <w:rPr>
                <w:sz w:val="19"/>
                <w:szCs w:val="19"/>
                <w:color w:val="auto"/>
              </w:rPr>
            </w:pPr>
          </w:p>
        </w:tc>
      </w:tr>
      <w:tr>
        <w:trPr>
          <w:trHeight w:val="233"/>
        </w:trPr>
        <w:tc>
          <w:tcPr>
            <w:tcW w:w="59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82"/>
        </w:trPr>
        <w:tc>
          <w:tcPr>
            <w:tcW w:w="59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6"/>
        </w:trPr>
        <w:tc>
          <w:tcPr>
            <w:tcW w:w="59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3"/>
        </w:trPr>
        <w:tc>
          <w:tcPr>
            <w:tcW w:w="59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16"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14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1"/>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Kaes Van’t Hof</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Teresa L. Dick</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Steven E. West</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Steven E. West</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Wesley Perry</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Wesley Perry</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Spencer D. Armour</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Spencer D. Armour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L. Rubin</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L. Rubin</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Frank C. Hu</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Frank C. Hu</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6"/>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Laurie H. Argo</w:t>
            </w: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jc w:val="center"/>
              <w:ind w:left="1411"/>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Laurie H. Argo</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9" w:name="page100"/>
    <w:bookmarkEnd w:id="99"/>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23" w:lineRule="exact"/>
        <w:rPr>
          <w:sz w:val="20"/>
          <w:szCs w:val="20"/>
          <w:color w:val="auto"/>
        </w:rPr>
      </w:pPr>
    </w:p>
    <w:p>
      <w:pPr>
        <w:jc w:val="center"/>
        <w:ind w:left="340" w:right="120"/>
        <w:spacing w:after="0" w:line="283"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55" w:lineRule="exact"/>
        <w:rPr>
          <w:sz w:val="20"/>
          <w:szCs w:val="20"/>
          <w:color w:val="auto"/>
        </w:rPr>
      </w:pPr>
    </w:p>
    <w:p>
      <w:pPr>
        <w:ind w:right="120" w:firstLine="6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following is a summary of Class A Common Stock of Viper Energy, Inc. (the “Company,” “we,” “us,” and “our”), which is the only class of securities registered under Section 12 of the Securities Exchange Act of 1934, as amended. The following summary is not complete. You should refer to the applicable provisions of our Certificate of Incorporation, as amended by any subsequent amendments thereto (collectively, “our certificate of incorporation”), our Bylaws and any subsequent amendments and restatements thereto (collectively, “our bylaws”) and the Delaware General Corporation Law (the “DGCL”) for a complete statement of the terms and rights of our common stock. Our certificate of incorporation is filed with the Securities and Exchange Commission (the “SEC”) as Exhibits 99.3 to the Current Report on Form 8-K on November 2, 2023, and our Amended and Restated Bylaws are filed with the SEC as Exhibit 3.1 to our Current Report on Form 8-K on December 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5" w:lineRule="exact"/>
        <w:rPr>
          <w:sz w:val="20"/>
          <w:szCs w:val="20"/>
          <w:color w:val="auto"/>
        </w:rPr>
      </w:pPr>
    </w:p>
    <w:p>
      <w:pPr>
        <w:ind w:firstLine="643"/>
        <w:spacing w:after="0" w:line="255" w:lineRule="auto"/>
        <w:rPr>
          <w:sz w:val="20"/>
          <w:szCs w:val="20"/>
          <w:color w:val="auto"/>
        </w:rPr>
      </w:pPr>
      <w:r>
        <w:rPr>
          <w:rFonts w:ascii="Times New Roman" w:cs="Times New Roman" w:eastAsia="Times New Roman" w:hAnsi="Times New Roman"/>
          <w:sz w:val="18"/>
          <w:szCs w:val="18"/>
          <w:color w:val="auto"/>
        </w:rPr>
        <w:t>As of the date of this report, our authorized capital stock consists of (i) 1,000,000,000 shares of Class A common stock, with par value of $0.000001 per share, (ii) 1,000,000,000 shares of Class B common stock, with par value of $0.000001 per share (together with the Class A common stock, the “common stock”), and (iii) 100,000,000 shares of preferred stock, par value $0.000001 per share. Each share of Class B common stock is exchangeable, at the discretion of the holder of such share of Class B common stock, together with one membership unit of the Company’s operating subsidiary Viper Energy Partners LLC, into one share of Class A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firstLine="643"/>
        <w:spacing w:after="0" w:line="254" w:lineRule="auto"/>
        <w:rPr>
          <w:sz w:val="20"/>
          <w:szCs w:val="20"/>
          <w:color w:val="auto"/>
        </w:rPr>
      </w:pPr>
      <w:r>
        <w:rPr>
          <w:rFonts w:ascii="Times New Roman" w:cs="Times New Roman" w:eastAsia="Times New Roman" w:hAnsi="Times New Roman"/>
          <w:sz w:val="18"/>
          <w:szCs w:val="18"/>
          <w:color w:val="auto"/>
        </w:rPr>
        <w:t>Holders of shares of common stock are entitled to one vote per share on all matters submitted to a vote of stockholders. Holders of Class A common stock and Class B common stock vote together as a single class.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85" w:lineRule="exact"/>
        <w:rPr>
          <w:sz w:val="20"/>
          <w:szCs w:val="20"/>
          <w:color w:val="auto"/>
        </w:rPr>
      </w:pPr>
    </w:p>
    <w:p>
      <w:pPr>
        <w:ind w:firstLine="643"/>
        <w:spacing w:after="0" w:line="25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remaining assets of the Company available for distribution shall (i) first be distributed, pari passu, to the holders of Class B common stock, ratably in proportion to the number of shares of Class B common stock, until the holders of all outstanding Class B common stock have received $0.014 (which amount is adjusted accordingly in the case of any stock split, subdivision or combination with respect to Class B common stock) in respect of each share of Class B common stock then outstanding and (ii) then be distributed, pari passu, to the holders of all outstanding shares of Class A common stock, ratably in proportion to the number of shares of Class A common stock.</w:t>
      </w:r>
    </w:p>
    <w:p>
      <w:pPr>
        <w:spacing w:after="0" w:line="186" w:lineRule="exact"/>
        <w:rPr>
          <w:sz w:val="20"/>
          <w:szCs w:val="20"/>
          <w:color w:val="auto"/>
        </w:rPr>
      </w:pPr>
    </w:p>
    <w:p>
      <w:pPr>
        <w:ind w:right="80" w:firstLine="643"/>
        <w:spacing w:after="0" w:line="254" w:lineRule="auto"/>
        <w:rPr>
          <w:sz w:val="20"/>
          <w:szCs w:val="20"/>
          <w:color w:val="auto"/>
        </w:rPr>
      </w:pPr>
      <w:r>
        <w:rPr>
          <w:rFonts w:ascii="Times New Roman" w:cs="Times New Roman" w:eastAsia="Times New Roman" w:hAnsi="Times New Roman"/>
          <w:sz w:val="18"/>
          <w:szCs w:val="18"/>
          <w:color w:val="auto"/>
        </w:rPr>
        <w:t>Holders of record of shares of Class A common stock are entitled to receive dividends when and if declared by the board of directors out of any assets legally available for such dividends, subject to (i) the rights of all outstanding shares of capital stock ranking senior to the common stock in respect of dividends and (ii) to any dividend restrictions contained in debt agreements. Holders of Class B common stock are entitled to receive a mandatory cash dividend, paid quarterly, in an amount per share of Class B common stock equal to (A) $20,000 divided by (B) the number of shares of Class B common stock then outstanding. All outstanding shares of Class A common stock and Class B common stock are fully paid and nonassessable. As of February 21, 2025, there were 131,313,142 shares of Class A common stock and 87,831,750 shares of Class B common stock outstanding.</w:t>
      </w:r>
    </w:p>
    <w:p>
      <w:pPr>
        <w:sectPr>
          <w:pgSz w:w="11900" w:h="16838" w:orient="portrait"/>
          <w:cols w:equalWidth="0" w:num="1">
            <w:col w:w="11240"/>
          </w:cols>
          <w:pgMar w:left="320" w:top="140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33" w:lineRule="exact"/>
        <w:rPr>
          <w:sz w:val="20"/>
          <w:szCs w:val="20"/>
          <w:color w:val="auto"/>
        </w:rPr>
      </w:pPr>
    </w:p>
    <w:p>
      <w:pPr>
        <w:ind w:right="240" w:firstLine="643"/>
        <w:spacing w:after="0" w:line="278" w:lineRule="auto"/>
        <w:rPr>
          <w:sz w:val="20"/>
          <w:szCs w:val="20"/>
          <w:color w:val="auto"/>
        </w:rPr>
      </w:pPr>
      <w:r>
        <w:rPr>
          <w:rFonts w:ascii="Times New Roman" w:cs="Times New Roman" w:eastAsia="Times New Roman" w:hAnsi="Times New Roman"/>
          <w:sz w:val="18"/>
          <w:szCs w:val="18"/>
          <w:color w:val="auto"/>
        </w:rPr>
        <w:t>Our board of directors is authorized to issue up to 100,000,000 shares of preferred stock in one or more series. The board of directors may fix for each series:</w:t>
      </w:r>
    </w:p>
    <w:p>
      <w:pPr>
        <w:spacing w:after="0" w:line="190" w:lineRule="exact"/>
        <w:rPr>
          <w:sz w:val="20"/>
          <w:szCs w:val="20"/>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248"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248"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248"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248"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248"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248" w:lineRule="exact"/>
        <w:rPr>
          <w:rFonts w:ascii="Times New Roman" w:cs="Times New Roman" w:eastAsia="Times New Roman" w:hAnsi="Times New Roman"/>
          <w:sz w:val="18"/>
          <w:szCs w:val="18"/>
          <w:color w:val="auto"/>
        </w:rPr>
      </w:pPr>
    </w:p>
    <w:p>
      <w:pPr>
        <w:ind w:left="980" w:right="620" w:hanging="330"/>
        <w:spacing w:after="0" w:line="278"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corporation; and</w:t>
      </w:r>
    </w:p>
    <w:p>
      <w:pPr>
        <w:spacing w:after="0" w:line="189"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board of directors is legally authorized to fix or alter.</w:t>
      </w:r>
    </w:p>
    <w:p>
      <w:pPr>
        <w:spacing w:after="0" w:line="221" w:lineRule="exact"/>
        <w:rPr>
          <w:sz w:val="20"/>
          <w:szCs w:val="20"/>
          <w:color w:val="auto"/>
        </w:rPr>
      </w:pPr>
    </w:p>
    <w:p>
      <w:pPr>
        <w:ind w:right="140" w:firstLine="643"/>
        <w:spacing w:after="0" w:line="254" w:lineRule="auto"/>
        <w:rPr>
          <w:sz w:val="20"/>
          <w:szCs w:val="20"/>
          <w:color w:val="auto"/>
        </w:rPr>
      </w:pPr>
      <w:r>
        <w:rPr>
          <w:rFonts w:ascii="Times New Roman" w:cs="Times New Roman" w:eastAsia="Times New Roman" w:hAnsi="Times New Roman"/>
          <w:sz w:val="18"/>
          <w:szCs w:val="18"/>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Subject to the limitations of applicable law, our certificate of incorporation, among other things:</w:t>
      </w:r>
    </w:p>
    <w:p>
      <w:pPr>
        <w:spacing w:after="0" w:line="248" w:lineRule="exact"/>
        <w:rPr>
          <w:sz w:val="20"/>
          <w:szCs w:val="20"/>
          <w:color w:val="auto"/>
        </w:rPr>
      </w:pPr>
    </w:p>
    <w:p>
      <w:pPr>
        <w:ind w:left="980" w:hanging="330"/>
        <w:spacing w:after="0" w:line="278"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189" w:lineRule="exact"/>
        <w:rPr>
          <w:rFonts w:ascii="Times New Roman" w:cs="Times New Roman" w:eastAsia="Times New Roman" w:hAnsi="Times New Roman"/>
          <w:sz w:val="18"/>
          <w:szCs w:val="18"/>
          <w:color w:val="auto"/>
        </w:rPr>
      </w:pPr>
    </w:p>
    <w:p>
      <w:pPr>
        <w:ind w:left="980" w:right="20" w:hanging="330"/>
        <w:spacing w:after="0" w:line="278"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certain of our stockholders, officers and directors, including our non-employee directors, to conduct business that competes with us and to make investments in any kind of property in which we may make investments; and</w:t>
      </w:r>
    </w:p>
    <w:p>
      <w:pPr>
        <w:spacing w:after="0" w:line="189" w:lineRule="exact"/>
        <w:rPr>
          <w:rFonts w:ascii="Times New Roman" w:cs="Times New Roman" w:eastAsia="Times New Roman" w:hAnsi="Times New Roman"/>
          <w:sz w:val="18"/>
          <w:szCs w:val="18"/>
          <w:color w:val="auto"/>
        </w:rPr>
      </w:pPr>
    </w:p>
    <w:p>
      <w:pPr>
        <w:ind w:left="980" w:hanging="330"/>
        <w:spacing w:after="0" w:line="254"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certain of our officers or directors, including our non-employee directors, becomes aware of a potential business opportunity, 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ectPr>
          <w:pgSz w:w="11900" w:h="16838" w:orient="portrait"/>
          <w:cols w:equalWidth="0" w:num="1">
            <w:col w:w="11240"/>
          </w:cols>
          <w:pgMar w:left="320" w:top="140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and Our Bylaws</w:t>
      </w:r>
    </w:p>
    <w:p>
      <w:pPr>
        <w:spacing w:after="0" w:line="333" w:lineRule="exact"/>
        <w:rPr>
          <w:sz w:val="20"/>
          <w:szCs w:val="20"/>
          <w:color w:val="auto"/>
        </w:rPr>
      </w:pPr>
    </w:p>
    <w:p>
      <w:pPr>
        <w:ind w:firstLine="643"/>
        <w:spacing w:after="0" w:line="254" w:lineRule="auto"/>
        <w:rPr>
          <w:sz w:val="20"/>
          <w:szCs w:val="20"/>
          <w:color w:val="auto"/>
        </w:rPr>
      </w:pPr>
      <w:r>
        <w:rPr>
          <w:rFonts w:ascii="Times New Roman" w:cs="Times New Roman" w:eastAsia="Times New Roman" w:hAnsi="Times New Roman"/>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81" w:lineRule="exact"/>
        <w:rPr>
          <w:sz w:val="20"/>
          <w:szCs w:val="20"/>
          <w:color w:val="auto"/>
        </w:rPr>
      </w:pPr>
    </w:p>
    <w:p>
      <w:pPr>
        <w:ind w:firstLine="6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Undesignated preferred stock. </w:t>
      </w:r>
      <w:r>
        <w:rPr>
          <w:rFonts w:ascii="Times New Roman" w:cs="Times New Roman" w:eastAsia="Times New Roman" w:hAnsi="Times New Roman"/>
          <w:sz w:val="18"/>
          <w:szCs w:val="18"/>
          <w:color w:val="auto"/>
        </w:rPr>
        <w:t>The ability to authorize and issue undesignated preferred stock may enable our board of directors to render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77" w:lineRule="exact"/>
        <w:rPr>
          <w:sz w:val="20"/>
          <w:szCs w:val="20"/>
          <w:color w:val="auto"/>
        </w:rPr>
      </w:pPr>
    </w:p>
    <w:p>
      <w:pPr>
        <w:ind w:right="140" w:firstLine="64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meetings. </w:t>
      </w:r>
      <w:r>
        <w:rPr>
          <w:rFonts w:ascii="Times New Roman" w:cs="Times New Roman" w:eastAsia="Times New Roman" w:hAnsi="Times New Roman"/>
          <w:sz w:val="18"/>
          <w:szCs w:val="18"/>
          <w:color w:val="auto"/>
        </w:rPr>
        <w:t>Our certificate of incorporation and bylaws provide that a special meeting of stockholders may be called only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the Chief Executive Officer, by a resolution adopted by a majority of our board of directors, assuming there are no vacancies or by the Chairman of the Board following receipt of a written request of one or more stockholders that together have continuously held, for their own accounts, beneficial ownership of at least 20% aggregate “net long position” (as such term is defined in the Company’s bylaws) of the issued and outstanding voting stock of the Company entitled to vote generally in the election of directors for at least one year prior to the date such request is delivered to the Company and at the special meeting date.</w:t>
      </w:r>
    </w:p>
    <w:p>
      <w:pPr>
        <w:spacing w:after="0" w:line="207" w:lineRule="exact"/>
        <w:rPr>
          <w:sz w:val="20"/>
          <w:szCs w:val="20"/>
          <w:color w:val="auto"/>
        </w:rPr>
      </w:pPr>
    </w:p>
    <w:p>
      <w:pPr>
        <w:jc w:val="both"/>
        <w:ind w:right="80" w:firstLine="64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 advance notice requirements and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documentary, information and other procedures with respect to stockholder proposals and the nomination of candidates for election as directors, other than nominations made by or at the direction of the board of directors.</w:t>
      </w:r>
    </w:p>
    <w:p>
      <w:pPr>
        <w:spacing w:after="0" w:line="171" w:lineRule="exact"/>
        <w:rPr>
          <w:sz w:val="20"/>
          <w:szCs w:val="20"/>
          <w:color w:val="auto"/>
        </w:rPr>
      </w:pPr>
    </w:p>
    <w:p>
      <w:pPr>
        <w:ind w:right="780" w:firstLine="643"/>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Designees. </w:t>
      </w:r>
      <w:r>
        <w:rPr>
          <w:rFonts w:ascii="Times New Roman" w:cs="Times New Roman" w:eastAsia="Times New Roman" w:hAnsi="Times New Roman"/>
          <w:sz w:val="18"/>
          <w:szCs w:val="18"/>
          <w:color w:val="auto"/>
        </w:rPr>
        <w:t>Pursuant to our bylaws, Diamondback has the right to designate up to three persons to serve as directors for so long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Diamondback along with its affiliates collectively own at least 25% of the outstanding common stock.</w:t>
      </w:r>
    </w:p>
    <w:p>
      <w:pPr>
        <w:spacing w:after="0" w:line="155" w:lineRule="exact"/>
        <w:rPr>
          <w:sz w:val="20"/>
          <w:szCs w:val="20"/>
          <w:color w:val="auto"/>
        </w:rPr>
      </w:pPr>
    </w:p>
    <w:p>
      <w:pPr>
        <w:ind w:right="100" w:firstLine="643"/>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 action by written consent. </w:t>
      </w:r>
      <w:r>
        <w:rPr>
          <w:rFonts w:ascii="Times New Roman" w:cs="Times New Roman" w:eastAsia="Times New Roman" w:hAnsi="Times New Roman"/>
          <w:sz w:val="17"/>
          <w:szCs w:val="17"/>
          <w:color w:val="auto"/>
        </w:rPr>
        <w:t>Our certificate of incorporation provides that, except as may otherwise be provided with respect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a majority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65" w:lineRule="exact"/>
        <w:rPr>
          <w:sz w:val="20"/>
          <w:szCs w:val="20"/>
          <w:color w:val="auto"/>
        </w:rPr>
      </w:pPr>
    </w:p>
    <w:p>
      <w:pPr>
        <w:ind w:right="80" w:firstLine="6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the bylaws. </w:t>
      </w:r>
      <w:r>
        <w:rPr>
          <w:rFonts w:ascii="Times New Roman" w:cs="Times New Roman" w:eastAsia="Times New Roman" w:hAnsi="Times New Roman"/>
          <w:sz w:val="18"/>
          <w:szCs w:val="18"/>
          <w:color w:val="auto"/>
        </w:rPr>
        <w:t>Under Delaware law, the power to adopt, amend or repeal bylaws is conferred upon the stockholders.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w:t>
      </w:r>
    </w:p>
    <w:p>
      <w:pPr>
        <w:sectPr>
          <w:pgSz w:w="11900" w:h="16838" w:orient="portrait"/>
          <w:cols w:equalWidth="0" w:num="1">
            <w:col w:w="11200"/>
          </w:cols>
          <w:pgMar w:left="320" w:top="1402" w:right="379" w:bottom="1440" w:gutter="0" w:footer="0" w:header="0"/>
        </w:sectPr>
      </w:pPr>
    </w:p>
    <w:bookmarkStart w:id="102" w:name="page103"/>
    <w:bookmarkEnd w:id="102"/>
    <w:p>
      <w:pPr>
        <w:ind w:right="160"/>
        <w:spacing w:after="0" w:line="278" w:lineRule="auto"/>
        <w:rPr>
          <w:sz w:val="20"/>
          <w:szCs w:val="20"/>
          <w:color w:val="auto"/>
        </w:rPr>
      </w:pPr>
      <w:r>
        <w:rPr>
          <w:rFonts w:ascii="Times New Roman" w:cs="Times New Roman" w:eastAsia="Times New Roman" w:hAnsi="Times New Roman"/>
          <w:sz w:val="18"/>
          <w:szCs w:val="18"/>
          <w:color w:val="auto"/>
        </w:rPr>
        <w:t>majority of the voting power of all then outstanding shares of capital stock entitled to vote generally in the election of directors, voting together as a single class.</w:t>
      </w:r>
    </w:p>
    <w:p>
      <w:pPr>
        <w:spacing w:after="0" w:line="159" w:lineRule="exact"/>
        <w:rPr>
          <w:sz w:val="20"/>
          <w:szCs w:val="20"/>
          <w:color w:val="auto"/>
        </w:rPr>
      </w:pPr>
    </w:p>
    <w:p>
      <w:pPr>
        <w:ind w:right="20" w:firstLine="64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 </w:t>
      </w:r>
      <w:r>
        <w:rPr>
          <w:rFonts w:ascii="Times New Roman" w:cs="Times New Roman" w:eastAsia="Times New Roman" w:hAnsi="Times New Roman"/>
          <w:sz w:val="18"/>
          <w:szCs w:val="18"/>
          <w:color w:val="auto"/>
        </w:rPr>
        <w:t>Our certificate of incorporation provides that members of our board of directors may only be removed by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holders of a majority of the voting power of all then outstanding shares of capital stock entitled to vote generally in the election of directors, voting together as a single class.</w:t>
      </w:r>
    </w:p>
    <w:p>
      <w:pPr>
        <w:spacing w:after="0" w:line="175" w:lineRule="exact"/>
        <w:rPr>
          <w:sz w:val="20"/>
          <w:szCs w:val="20"/>
          <w:color w:val="auto"/>
        </w:rPr>
      </w:pPr>
    </w:p>
    <w:p>
      <w:pPr>
        <w:ind w:firstLine="223"/>
        <w:spacing w:after="0" w:line="258"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 However, our board of directors does not intend or view the proposed increase in authorized common stock as an anti-takeover measure and did not propose the increase in response to any attempt or plan to obtain control of the company.</w:t>
      </w:r>
    </w:p>
    <w:p>
      <w:pPr>
        <w:spacing w:after="0" w:line="288" w:lineRule="exact"/>
        <w:rPr>
          <w:sz w:val="20"/>
          <w:szCs w:val="20"/>
          <w:color w:val="auto"/>
        </w:rPr>
      </w:pPr>
    </w:p>
    <w:p>
      <w:pPr>
        <w:ind w:right="40" w:firstLine="643"/>
        <w:spacing w:after="0" w:line="258"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5" w:lineRule="exact"/>
        <w:rPr>
          <w:sz w:val="20"/>
          <w:szCs w:val="20"/>
          <w:color w:val="auto"/>
        </w:rPr>
      </w:pPr>
    </w:p>
    <w:p>
      <w:pPr>
        <w:ind w:right="60" w:firstLine="643"/>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“VNOM.”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Computershare Trust Company, National Association is the transfer agent and registrar for our common stock.</w:t>
      </w:r>
    </w:p>
    <w:p>
      <w:pPr>
        <w:sectPr>
          <w:pgSz w:w="11900" w:h="16838" w:orient="portrait"/>
          <w:cols w:equalWidth="0" w:num="1">
            <w:col w:w="11200"/>
          </w:cols>
          <w:pgMar w:left="320" w:top="1407" w:right="3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27" w:lineRule="exact"/>
        <w:rPr>
          <w:sz w:val="20"/>
          <w:szCs w:val="20"/>
          <w:color w:val="auto"/>
        </w:rPr>
      </w:pPr>
    </w:p>
    <w:p>
      <w:pPr>
        <w:jc w:val="both"/>
        <w:ind w:firstLine="643"/>
        <w:spacing w:after="0" w:line="270"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dated as of February 14,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among Viper Energy, Inc., a publicly traded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EnCap Energy Capital Fund X, L.P., a Texas limited partnership (“</w:t>
      </w:r>
      <w:r>
        <w:rPr>
          <w:rFonts w:ascii="Times New Roman" w:cs="Times New Roman" w:eastAsia="Times New Roman" w:hAnsi="Times New Roman"/>
          <w:sz w:val="21"/>
          <w:szCs w:val="21"/>
          <w:u w:val="single" w:color="auto"/>
          <w:color w:val="auto"/>
        </w:rPr>
        <w:t>EnCap</w:t>
      </w:r>
      <w:r>
        <w:rPr>
          <w:rFonts w:ascii="Times New Roman" w:cs="Times New Roman" w:eastAsia="Times New Roman" w:hAnsi="Times New Roman"/>
          <w:sz w:val="21"/>
          <w:szCs w:val="21"/>
          <w:color w:val="auto"/>
        </w:rPr>
        <w:t>”) and NGU Management LLC, a Texas limited liability company (“</w:t>
      </w:r>
      <w:r>
        <w:rPr>
          <w:rFonts w:ascii="Times New Roman" w:cs="Times New Roman" w:eastAsia="Times New Roman" w:hAnsi="Times New Roman"/>
          <w:sz w:val="21"/>
          <w:szCs w:val="21"/>
          <w:u w:val="single" w:color="auto"/>
          <w:color w:val="auto"/>
        </w:rPr>
        <w:t>NGU</w:t>
      </w:r>
      <w:r>
        <w:rPr>
          <w:rFonts w:ascii="Times New Roman" w:cs="Times New Roman" w:eastAsia="Times New Roman" w:hAnsi="Times New Roman"/>
          <w:sz w:val="21"/>
          <w:szCs w:val="21"/>
          <w:color w:val="auto"/>
        </w:rPr>
        <w:t>”, together with EnCap, the “</w:t>
      </w:r>
      <w:r>
        <w:rPr>
          <w:rFonts w:ascii="Times New Roman" w:cs="Times New Roman" w:eastAsia="Times New Roman" w:hAnsi="Times New Roman"/>
          <w:sz w:val="21"/>
          <w:szCs w:val="21"/>
          <w:u w:val="single" w:color="auto"/>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Holders</w:t>
      </w:r>
      <w:r>
        <w:rPr>
          <w:rFonts w:ascii="Times New Roman" w:cs="Times New Roman" w:eastAsia="Times New Roman" w:hAnsi="Times New Roman"/>
          <w:sz w:val="21"/>
          <w:szCs w:val="21"/>
          <w:color w:val="auto"/>
        </w:rPr>
        <w:t>”, and each individually, an “</w:t>
      </w:r>
      <w:r>
        <w:rPr>
          <w:rFonts w:ascii="Times New Roman" w:cs="Times New Roman" w:eastAsia="Times New Roman" w:hAnsi="Times New Roman"/>
          <w:sz w:val="21"/>
          <w:szCs w:val="21"/>
          <w:u w:val="single" w:color="auto"/>
          <w:color w:val="auto"/>
        </w:rPr>
        <w:t>Initial Holder</w:t>
      </w:r>
      <w:r>
        <w:rPr>
          <w:rFonts w:ascii="Times New Roman" w:cs="Times New Roman" w:eastAsia="Times New Roman" w:hAnsi="Times New Roman"/>
          <w:sz w:val="21"/>
          <w:szCs w:val="21"/>
          <w:color w:val="auto"/>
        </w:rPr>
        <w:t>”) and the other Holders (as defined herein) from time to time party hereto.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3"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as of January 30, 2025, the Company, as parent, and its operating subsidiary Viper Energy Partners LLC,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limited liability company (“</w:t>
      </w:r>
      <w:r>
        <w:rPr>
          <w:rFonts w:ascii="Times New Roman" w:cs="Times New Roman" w:eastAsia="Times New Roman" w:hAnsi="Times New Roman"/>
          <w:sz w:val="21"/>
          <w:szCs w:val="21"/>
          <w:u w:val="single" w:color="auto"/>
          <w:color w:val="auto"/>
        </w:rPr>
        <w:t>OpCo</w:t>
      </w:r>
      <w:r>
        <w:rPr>
          <w:rFonts w:ascii="Times New Roman" w:cs="Times New Roman" w:eastAsia="Times New Roman" w:hAnsi="Times New Roman"/>
          <w:sz w:val="21"/>
          <w:szCs w:val="21"/>
          <w:color w:val="auto"/>
        </w:rPr>
        <w:t>”), as buyer, entered into that certain Purchase and Sale Agreement (the “</w:t>
      </w:r>
      <w:r>
        <w:rPr>
          <w:rFonts w:ascii="Times New Roman" w:cs="Times New Roman" w:eastAsia="Times New Roman" w:hAnsi="Times New Roman"/>
          <w:sz w:val="21"/>
          <w:szCs w:val="21"/>
          <w:u w:val="single" w:color="auto"/>
          <w:color w:val="auto"/>
        </w:rPr>
        <w:t>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with Morita Ranches Minerals, LLC, a Delaware limited liability company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connection with the closing of the transactions contemplated by the Purchase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contemporaneously herewith, (i) EnCap, an Affiliate of Seller, was issued 1,968,244 units representing limited liability company interests (“</w:t>
      </w:r>
      <w:r>
        <w:rPr>
          <w:rFonts w:ascii="Times New Roman" w:cs="Times New Roman" w:eastAsia="Times New Roman" w:hAnsi="Times New Roman"/>
          <w:sz w:val="21"/>
          <w:szCs w:val="21"/>
          <w:u w:val="single" w:color="auto"/>
          <w:color w:val="auto"/>
        </w:rPr>
        <w:t>OpCo Units</w:t>
      </w:r>
      <w:r>
        <w:rPr>
          <w:rFonts w:ascii="Times New Roman" w:cs="Times New Roman" w:eastAsia="Times New Roman" w:hAnsi="Times New Roman"/>
          <w:sz w:val="21"/>
          <w:szCs w:val="21"/>
          <w:color w:val="auto"/>
        </w:rPr>
        <w:t>”) in OpCo and an equal number of Class B Shares (defined herein), and (ii) NGU, an Affiliate of Seller, was issued 432,053 OpCo Units and an equal number of Class B Shares;</w:t>
      </w:r>
    </w:p>
    <w:p>
      <w:pPr>
        <w:spacing w:after="0" w:line="161" w:lineRule="exact"/>
        <w:rPr>
          <w:sz w:val="20"/>
          <w:szCs w:val="20"/>
          <w:color w:val="auto"/>
        </w:rPr>
      </w:pPr>
    </w:p>
    <w:p>
      <w:pPr>
        <w:jc w:val="both"/>
        <w:ind w:right="20" w:firstLine="643"/>
        <w:spacing w:after="0" w:line="28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contemporaneously herewith each Initial Holder entered into (a) the Exchange Agreement (defined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 an Adoption Agreement to the Third Amended and Restated Limited Liability Company Agreement of OpCo (the “</w:t>
      </w:r>
      <w:r>
        <w:rPr>
          <w:rFonts w:ascii="Times New Roman" w:cs="Times New Roman" w:eastAsia="Times New Roman" w:hAnsi="Times New Roman"/>
          <w:sz w:val="21"/>
          <w:szCs w:val="21"/>
          <w:u w:val="single" w:color="auto"/>
          <w:color w:val="auto"/>
        </w:rPr>
        <w:t>OpCo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LLCA</w:t>
      </w:r>
      <w:r>
        <w:rPr>
          <w:rFonts w:ascii="Times New Roman" w:cs="Times New Roman" w:eastAsia="Times New Roman" w:hAnsi="Times New Roman"/>
          <w:sz w:val="21"/>
          <w:szCs w:val="21"/>
          <w:color w:val="auto"/>
        </w:rPr>
        <w:t>”), whereby each Initial Holder agrees to be bound by the terms of the OpCo LLCA (the “</w:t>
      </w:r>
      <w:r>
        <w:rPr>
          <w:rFonts w:ascii="Times New Roman" w:cs="Times New Roman" w:eastAsia="Times New Roman" w:hAnsi="Times New Roman"/>
          <w:sz w:val="21"/>
          <w:szCs w:val="21"/>
          <w:u w:val="single" w:color="auto"/>
          <w:color w:val="auto"/>
        </w:rPr>
        <w:t>Adoption Agreement</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the terms of the Exchange Agreement and the OpCo LLCA, the Initial Holders may, from time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exchange some or all of their respective OpCo Units, together with an equal number of Class B Shares, for an equal number of Class A Shares; and</w:t>
      </w:r>
    </w:p>
    <w:p>
      <w:pPr>
        <w:spacing w:after="0" w:line="167" w:lineRule="exact"/>
        <w:rPr>
          <w:sz w:val="20"/>
          <w:szCs w:val="20"/>
          <w:color w:val="auto"/>
        </w:rPr>
      </w:pPr>
    </w:p>
    <w:p>
      <w:pPr>
        <w:jc w:val="both"/>
        <w:ind w:firstLine="643"/>
        <w:spacing w:after="0" w:line="28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resale by the Holders of Class A Shares may be required to be registered under the Securities Act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state securities laws, depending upon the status of a Holder or the intended method of distribution of such Class A Shares.</w:t>
      </w:r>
    </w:p>
    <w:p>
      <w:pPr>
        <w:spacing w:after="0" w:line="200" w:lineRule="exact"/>
        <w:rPr>
          <w:sz w:val="20"/>
          <w:szCs w:val="20"/>
          <w:color w:val="auto"/>
        </w:rPr>
      </w:pPr>
    </w:p>
    <w:p>
      <w:pPr>
        <w:spacing w:after="0" w:line="206"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mutual covenants and agreements hereinafter contained 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good and valuable consideration, the receipt and sufficiency of which are hereby acknowledged, the parties hereto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 xml:space="preserve">ARTICLE I </w:t>
      </w:r>
      <w:r>
        <w:rPr>
          <w:rFonts w:ascii="Times New Roman" w:cs="Times New Roman" w:eastAsia="Times New Roman" w:hAnsi="Times New Roman"/>
          <w:sz w:val="21"/>
          <w:szCs w:val="21"/>
          <w:b w:val="1"/>
          <w:bCs w:val="1"/>
          <w:color w:val="000000"/>
        </w:rPr>
        <w:t>- DEFINITIONS</w:t>
      </w:r>
    </w:p>
    <w:p>
      <w:pPr>
        <w:spacing w:after="0" w:line="22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560" w:firstLine="1295"/>
        <w:spacing w:after="0" w:line="290" w:lineRule="auto"/>
        <w:tabs>
          <w:tab w:leader="none" w:pos="2338"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purposes of this Agreement, the following terms shall have the meanings specified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capitalized terms used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1" w:right="339" w:bottom="1440" w:gutter="0" w:footer="0" w:header="0"/>
        </w:sectPr>
      </w:pPr>
    </w:p>
    <w:bookmarkStart w:id="104" w:name="page105"/>
    <w:bookmarkEnd w:id="104"/>
    <w:p>
      <w:pPr>
        <w:ind w:left="560"/>
        <w:spacing w:after="0"/>
        <w:rPr>
          <w:sz w:val="20"/>
          <w:szCs w:val="20"/>
          <w:color w:val="auto"/>
        </w:rPr>
      </w:pPr>
      <w:r>
        <w:rPr>
          <w:rFonts w:ascii="Times New Roman" w:cs="Times New Roman" w:eastAsia="Times New Roman" w:hAnsi="Times New Roman"/>
          <w:sz w:val="21"/>
          <w:szCs w:val="21"/>
          <w:color w:val="auto"/>
        </w:rPr>
        <w:t>not defined herein shall have the meaning ascribed to such terms in the Purchase Agreement.</w:t>
      </w:r>
    </w:p>
    <w:p>
      <w:pPr>
        <w:spacing w:after="0" w:line="227" w:lineRule="exact"/>
        <w:rPr>
          <w:sz w:val="20"/>
          <w:szCs w:val="20"/>
          <w:color w:val="auto"/>
        </w:rPr>
      </w:pPr>
    </w:p>
    <w:p>
      <w:pPr>
        <w:jc w:val="both"/>
        <w:ind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any Person who, directly or indirectly through one or more intermediaries, controls, is controlled by or is under common control with any Person.</w:t>
      </w:r>
    </w:p>
    <w:p>
      <w:pPr>
        <w:spacing w:after="0" w:line="153" w:lineRule="exact"/>
        <w:rPr>
          <w:sz w:val="20"/>
          <w:szCs w:val="20"/>
          <w:color w:val="auto"/>
        </w:rPr>
      </w:pPr>
    </w:p>
    <w:p>
      <w:pPr>
        <w:jc w:val="both"/>
        <w:ind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Automatic Shelf Registration Statement</w:t>
      </w:r>
      <w:r>
        <w:rPr>
          <w:rFonts w:ascii="Times New Roman" w:cs="Times New Roman" w:eastAsia="Times New Roman" w:hAnsi="Times New Roman"/>
          <w:sz w:val="21"/>
          <w:szCs w:val="21"/>
          <w:color w:val="auto"/>
        </w:rPr>
        <w:t>” means an “Automatic Shelf Registration Statement,” as defined in Rule 405 under the Securities Act.</w:t>
      </w:r>
    </w:p>
    <w:p>
      <w:pPr>
        <w:spacing w:after="0" w:line="139" w:lineRule="exact"/>
        <w:rPr>
          <w:sz w:val="20"/>
          <w:szCs w:val="20"/>
          <w:color w:val="auto"/>
        </w:rPr>
      </w:pPr>
    </w:p>
    <w:p>
      <w:pPr>
        <w:jc w:val="both"/>
        <w:ind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w:t>
      </w:r>
      <w:r>
        <w:rPr>
          <w:rFonts w:ascii="Times New Roman" w:cs="Times New Roman" w:eastAsia="Times New Roman" w:hAnsi="Times New Roman"/>
          <w:sz w:val="21"/>
          <w:szCs w:val="21"/>
          <w:color w:val="auto"/>
        </w:rPr>
        <w:t>” and terms of similar import shall be as defined under and determined pursuant to Rule 13d-3 promulgated under the Exchange Act.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on which Nasdaq is open for trading.</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Shares</w:t>
      </w:r>
      <w:r>
        <w:rPr>
          <w:rFonts w:ascii="Times New Roman" w:cs="Times New Roman" w:eastAsia="Times New Roman" w:hAnsi="Times New Roman"/>
          <w:sz w:val="21"/>
          <w:szCs w:val="21"/>
          <w:color w:val="auto"/>
        </w:rPr>
        <w:t>” means shares of Class A common stock, par value $0.000001 per share, of the Company.</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B Shares</w:t>
      </w:r>
      <w:r>
        <w:rPr>
          <w:rFonts w:ascii="Times New Roman" w:cs="Times New Roman" w:eastAsia="Times New Roman" w:hAnsi="Times New Roman"/>
          <w:sz w:val="21"/>
          <w:szCs w:val="21"/>
          <w:color w:val="auto"/>
        </w:rPr>
        <w:t>” means shares of Class B common stock, par value $0.000001 per share, of the Company.</w:t>
      </w:r>
    </w:p>
    <w:p>
      <w:pPr>
        <w:spacing w:after="0" w:line="227" w:lineRule="exact"/>
        <w:rPr>
          <w:sz w:val="20"/>
          <w:szCs w:val="20"/>
          <w:color w:val="auto"/>
        </w:rPr>
      </w:pPr>
    </w:p>
    <w:p>
      <w:pPr>
        <w:jc w:val="both"/>
        <w:ind w:right="20" w:firstLine="120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or any similar federal statute, and the rules and regulations promulgated by the SEC thereunder.</w:t>
      </w:r>
    </w:p>
    <w:p>
      <w:pPr>
        <w:spacing w:after="0" w:line="139" w:lineRule="exact"/>
        <w:rPr>
          <w:sz w:val="20"/>
          <w:szCs w:val="20"/>
          <w:color w:val="auto"/>
        </w:rPr>
      </w:pPr>
    </w:p>
    <w:p>
      <w:pPr>
        <w:jc w:val="both"/>
        <w:ind w:firstLine="1205"/>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Agreement</w:t>
      </w:r>
      <w:r>
        <w:rPr>
          <w:rFonts w:ascii="Times New Roman" w:cs="Times New Roman" w:eastAsia="Times New Roman" w:hAnsi="Times New Roman"/>
          <w:sz w:val="21"/>
          <w:szCs w:val="21"/>
          <w:color w:val="auto"/>
        </w:rPr>
        <w:t>” means that certain Exchange Agreement, dated as of the date hereof, among the Company, OpCo, and the Initial Holders, pursuant to which the Initial Holders can tender OpCo Units, together with Class B Shares, in exchange for Class A Shares.</w:t>
      </w:r>
    </w:p>
    <w:p>
      <w:pPr>
        <w:spacing w:after="0" w:line="152" w:lineRule="exact"/>
        <w:rPr>
          <w:sz w:val="20"/>
          <w:szCs w:val="20"/>
          <w:color w:val="auto"/>
        </w:rPr>
      </w:pPr>
    </w:p>
    <w:p>
      <w:pPr>
        <w:jc w:val="both"/>
        <w:ind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Holders</w:t>
      </w:r>
      <w:r>
        <w:rPr>
          <w:rFonts w:ascii="Times New Roman" w:cs="Times New Roman" w:eastAsia="Times New Roman" w:hAnsi="Times New Roman"/>
          <w:sz w:val="21"/>
          <w:szCs w:val="21"/>
          <w:color w:val="auto"/>
        </w:rPr>
        <w:t>” means any securityholder who has registration rights pursuant to the Existing Registration Rights Agreements.</w:t>
      </w:r>
    </w:p>
    <w:p>
      <w:pPr>
        <w:spacing w:after="0" w:line="139" w:lineRule="exact"/>
        <w:rPr>
          <w:sz w:val="20"/>
          <w:szCs w:val="20"/>
          <w:color w:val="auto"/>
        </w:rPr>
      </w:pPr>
    </w:p>
    <w:p>
      <w:pPr>
        <w:jc w:val="both"/>
        <w:ind w:firstLine="1285"/>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Registration Rights Agreements</w:t>
      </w:r>
      <w:r>
        <w:rPr>
          <w:rFonts w:ascii="Times New Roman" w:cs="Times New Roman" w:eastAsia="Times New Roman" w:hAnsi="Times New Roman"/>
          <w:sz w:val="21"/>
          <w:szCs w:val="21"/>
          <w:color w:val="auto"/>
        </w:rPr>
        <w:t>” means collectively, (i) that certain Second Amended and Restated Registration Rights Agreement dated as of November 10, 2023 by and among the Company and the holders of Registrable Securities listed on the signature page thereto and (ii) the TWR RRA, in each case, as may be amended from time to time.</w:t>
      </w:r>
    </w:p>
    <w:p>
      <w:pPr>
        <w:spacing w:after="0" w:line="152" w:lineRule="exact"/>
        <w:rPr>
          <w:sz w:val="20"/>
          <w:szCs w:val="20"/>
          <w:color w:val="auto"/>
        </w:rPr>
      </w:pPr>
    </w:p>
    <w:p>
      <w:pPr>
        <w:jc w:val="both"/>
        <w:ind w:firstLine="1285"/>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xml:space="preserve">” means (i) each Initial Holder, (ii) any direct or indirect transferee of any such securityholder, including any securityholder that receives Registrable Securities upon a distribution or liquidation of a Holder, who has been assigned the rights of the transferor Holder under this Agreement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and (iii) where applicable, any “Holder” as such term is defined in the TWR RRA.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Global Select Market.</w:t>
      </w:r>
    </w:p>
    <w:p>
      <w:pPr>
        <w:spacing w:after="0" w:line="227" w:lineRule="exact"/>
        <w:rPr>
          <w:sz w:val="20"/>
          <w:szCs w:val="20"/>
          <w:color w:val="auto"/>
        </w:rPr>
      </w:pPr>
    </w:p>
    <w:p>
      <w:pPr>
        <w:jc w:val="both"/>
        <w:ind w:firstLine="1285"/>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partnership, limited liability company, joint venture, association, joint-stock company, trust, unincorporated organization or government or other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11" w:right="339" w:bottom="1440" w:gutter="0" w:footer="0" w:header="0"/>
        </w:sectPr>
      </w:pPr>
    </w:p>
    <w:bookmarkStart w:id="105" w:name="page106"/>
    <w:bookmarkEnd w:id="105"/>
    <w:p>
      <w:pPr>
        <w:jc w:val="both"/>
        <w:ind w:firstLine="1285"/>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Prospectus</w:t>
      </w:r>
      <w:r>
        <w:rPr>
          <w:rFonts w:ascii="Times New Roman" w:cs="Times New Roman" w:eastAsia="Times New Roman" w:hAnsi="Times New Roman"/>
          <w:sz w:val="21"/>
          <w:szCs w:val="21"/>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173" w:lineRule="exact"/>
        <w:rPr>
          <w:sz w:val="20"/>
          <w:szCs w:val="20"/>
          <w:color w:val="auto"/>
        </w:rPr>
      </w:pPr>
    </w:p>
    <w:p>
      <w:pPr>
        <w:jc w:val="both"/>
        <w:ind w:firstLine="1285"/>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registered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registration</w:t>
      </w:r>
      <w:r>
        <w:rPr>
          <w:rFonts w:ascii="Times New Roman" w:cs="Times New Roman" w:eastAsia="Times New Roman" w:hAnsi="Times New Roman"/>
          <w:sz w:val="21"/>
          <w:szCs w:val="21"/>
          <w:color w:val="auto"/>
        </w:rPr>
        <w:t>” refer to a registration effected by preparing and filing a Registration Statement in compliance with the Securities Act, and the declaration or ordering of the effectiveness of such Registration Statement.</w:t>
      </w:r>
    </w:p>
    <w:p>
      <w:pPr>
        <w:spacing w:after="0" w:line="200" w:lineRule="exact"/>
        <w:rPr>
          <w:sz w:val="20"/>
          <w:szCs w:val="20"/>
          <w:color w:val="auto"/>
        </w:rPr>
      </w:pPr>
    </w:p>
    <w:p>
      <w:pPr>
        <w:spacing w:after="0" w:line="212" w:lineRule="exact"/>
        <w:rPr>
          <w:sz w:val="20"/>
          <w:szCs w:val="20"/>
          <w:color w:val="auto"/>
        </w:rPr>
      </w:pPr>
    </w:p>
    <w:p>
      <w:pPr>
        <w:jc w:val="both"/>
        <w:ind w:firstLine="1285"/>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xml:space="preserve">” means, at any time, (i) any Class A Shares acquired (or that may be acquired) by the Initial Holder or any subsequent permitted Holder pursuant to the terms of the Exchange Agreement and the OpCo LLCA and (ii) any securities issued or issuable with respect to any such Class A Shares by way of conversion, concession, dividend in the form of Class A Shares or split or other distribution, recapitalization or reclassification or similar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Registrable Securities shall cease to be Registrable Securities when (x) they have been distributed to the public pursuant to an offering registered under the Securities Act or (y) the later of (1) the date they have all been distributed, or may all legally be distributed in one transaction, to the public pursuant to Rule 144 without volume or manner of sale restrictions or the need for “current public information” or (2) the date that all Holders collectively own a number of OpCo Units and Class A Shares for which OpCo Units were exchanged that is less than 50% of the aggregate of the number of OpCo Units issued to the Initial Holders on the Closing Date plus the number of OpCo Units issued to the TWR Holder on the closing date of the Purchase and Sale Agreement by and among the Company, OpCo, the TWR Holder and TWR IV SellCo Parent, LLC, dated as of September 11, 2024 (as such number may be adjusted pursuant to (ii) above).</w:t>
      </w:r>
    </w:p>
    <w:p>
      <w:pPr>
        <w:spacing w:after="0" w:line="179" w:lineRule="exact"/>
        <w:rPr>
          <w:sz w:val="20"/>
          <w:szCs w:val="20"/>
          <w:color w:val="auto"/>
        </w:rPr>
      </w:pPr>
    </w:p>
    <w:p>
      <w:pPr>
        <w:jc w:val="both"/>
        <w:ind w:firstLine="1285"/>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xml:space="preserve">” means all expenses (other than Selling Expenses) arising from or incident to the Company’s performance of or compliance with this Agreement, including, without limitation: (i) SEC, stock exchange, Financial Industry Regulatory Authority, Inc. and other registration and filing fees; (ii) all fees and 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reserve engineers, and any other accounting and legal fees, charges and expenses incurred by the Company (including, without limitation, any expenses arising from any special audits or “comfort” letters required in connection with or incident to any registration); (v) the fees and expenses incurred in connection with the listing of the Registrable Securities on Nasdaq (or the New York Stock Exchange or any other national securities exchange on which the Class A Shares may then be listed) or the quotation of Registrable Securities on any inter-dealer quotation system; (vi) the fees and expenses incurred by the Company in connection with the road show, if any, for a Marketed Underwritten Shelf Takedown; and (vii) reasonable fees and expenses of counsel to the Holders in connection with the filing or amendment of any Registration Statement or Prospectus hereunder;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with respect to any offering, Registration Expenses shall only include such fees and expenses (not to exceed $100,000 in the aggregate) of one counsel to the Holders and one local counsel per jurisdiction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11" w:right="339" w:bottom="1440" w:gutter="0" w:footer="0" w:header="0"/>
        </w:sectPr>
      </w:pPr>
    </w:p>
    <w:bookmarkStart w:id="106" w:name="page107"/>
    <w:bookmarkEnd w:id="106"/>
    <w:p>
      <w:pPr>
        <w:jc w:val="both"/>
        <w:spacing w:after="0" w:line="290" w:lineRule="auto"/>
        <w:rPr>
          <w:sz w:val="20"/>
          <w:szCs w:val="20"/>
          <w:color w:val="auto"/>
        </w:rPr>
      </w:pPr>
      <w:r>
        <w:rPr>
          <w:rFonts w:ascii="Times New Roman" w:cs="Times New Roman" w:eastAsia="Times New Roman" w:hAnsi="Times New Roman"/>
          <w:sz w:val="21"/>
          <w:szCs w:val="21"/>
          <w:color w:val="auto"/>
        </w:rPr>
        <w:t>any offering (which, in each case, shall be chosen by the Holders of a majority of Registrable Securities to be included in such offering).</w:t>
      </w:r>
    </w:p>
    <w:p>
      <w:pPr>
        <w:spacing w:after="0" w:line="139" w:lineRule="exact"/>
        <w:rPr>
          <w:sz w:val="20"/>
          <w:szCs w:val="20"/>
          <w:color w:val="auto"/>
        </w:rPr>
      </w:pPr>
    </w:p>
    <w:p>
      <w:pPr>
        <w:jc w:val="both"/>
        <w:ind w:firstLine="1285"/>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Holders</w:t>
      </w:r>
      <w:r>
        <w:rPr>
          <w:rFonts w:ascii="Times New Roman" w:cs="Times New Roman" w:eastAsia="Times New Roman" w:hAnsi="Times New Roman"/>
          <w:sz w:val="21"/>
          <w:szCs w:val="21"/>
          <w:color w:val="auto"/>
        </w:rPr>
        <w:t>” means Holders who then own beneficially more than 50% of the Registrable Securities.</w:t>
      </w:r>
    </w:p>
    <w:p>
      <w:pPr>
        <w:spacing w:after="0" w:line="241" w:lineRule="exact"/>
        <w:rPr>
          <w:sz w:val="20"/>
          <w:szCs w:val="20"/>
          <w:color w:val="auto"/>
        </w:rPr>
      </w:pPr>
    </w:p>
    <w:p>
      <w:pPr>
        <w:jc w:val="both"/>
        <w:ind w:firstLine="1285"/>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means Rule 144 promulgated by the SEC pursuant to the Securities Act, as such rule may be amended from time to time, or any similar rule or regulation hereafter adopted by the SEC as a replacement thereto having substantially the same effect as such rule.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 or any other Federal agency at the time administering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Act.</w:t>
      </w:r>
    </w:p>
    <w:p>
      <w:pPr>
        <w:spacing w:after="0" w:line="203" w:lineRule="exact"/>
        <w:rPr>
          <w:sz w:val="20"/>
          <w:szCs w:val="20"/>
          <w:color w:val="auto"/>
        </w:rPr>
      </w:pPr>
    </w:p>
    <w:p>
      <w:pPr>
        <w:jc w:val="both"/>
        <w:ind w:firstLine="1285"/>
        <w:spacing w:after="0" w:line="30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or any similar Federal statute, and the rules and regulations promulgated by the SEC thereunder.</w:t>
      </w:r>
    </w:p>
    <w:p>
      <w:pPr>
        <w:spacing w:after="0" w:line="127" w:lineRule="exact"/>
        <w:rPr>
          <w:sz w:val="20"/>
          <w:szCs w:val="20"/>
          <w:color w:val="auto"/>
        </w:rPr>
      </w:pPr>
    </w:p>
    <w:p>
      <w:pPr>
        <w:jc w:val="both"/>
        <w:ind w:firstLine="1285"/>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Selling Expenses</w:t>
      </w:r>
      <w:r>
        <w:rPr>
          <w:rFonts w:ascii="Times New Roman" w:cs="Times New Roman" w:eastAsia="Times New Roman" w:hAnsi="Times New Roman"/>
          <w:sz w:val="21"/>
          <w:szCs w:val="21"/>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179" w:lineRule="exact"/>
        <w:rPr>
          <w:sz w:val="20"/>
          <w:szCs w:val="20"/>
          <w:color w:val="auto"/>
        </w:rPr>
      </w:pPr>
    </w:p>
    <w:p>
      <w:pPr>
        <w:jc w:val="both"/>
        <w:ind w:firstLine="1285"/>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Shelf Registration Statement</w:t>
      </w:r>
      <w:r>
        <w:rPr>
          <w:rFonts w:ascii="Times New Roman" w:cs="Times New Roman" w:eastAsia="Times New Roman" w:hAnsi="Times New Roman"/>
          <w:sz w:val="21"/>
          <w:szCs w:val="21"/>
          <w:color w:val="auto"/>
        </w:rPr>
        <w:t xml:space="preserve">” means a “shelf” registration statement of the Company that covers all the Registrable Securities (and may cover other securities of the Company) on Form S-3 and under Rule 415 under the Securities Act or, if the Company is not then eligible to file on Form S-3, on Form S-1 or any other appropriate form under the Securities Act, or any successor rule that may be adopted by the SEC, including without limitation any such registration statement filed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TWR Registrable Securities</w:t>
      </w:r>
      <w:r>
        <w:rPr>
          <w:rFonts w:ascii="Times New Roman" w:cs="Times New Roman" w:eastAsia="Times New Roman" w:hAnsi="Times New Roman"/>
          <w:sz w:val="21"/>
          <w:szCs w:val="21"/>
          <w:color w:val="auto"/>
        </w:rPr>
        <w:t>” means “Registrable Securities” as defined in the TWR RRA.</w:t>
      </w:r>
    </w:p>
    <w:p>
      <w:pPr>
        <w:spacing w:after="0" w:line="227" w:lineRule="exact"/>
        <w:rPr>
          <w:sz w:val="20"/>
          <w:szCs w:val="20"/>
          <w:color w:val="auto"/>
        </w:rPr>
      </w:pPr>
    </w:p>
    <w:p>
      <w:pPr>
        <w:jc w:val="both"/>
        <w:ind w:right="20"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TWR RRA</w:t>
      </w:r>
      <w:r>
        <w:rPr>
          <w:rFonts w:ascii="Times New Roman" w:cs="Times New Roman" w:eastAsia="Times New Roman" w:hAnsi="Times New Roman"/>
          <w:sz w:val="21"/>
          <w:szCs w:val="21"/>
          <w:color w:val="auto"/>
        </w:rPr>
        <w:t>” means that certain Registration Rights Agreement dated as of October 1, 2024 by and among the Company and the holders of Registrable Securities listed on the signature page thereto,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11" w:right="339" w:bottom="1440" w:gutter="0" w:footer="0" w:header="0"/>
        </w:sectPr>
      </w:pPr>
    </w:p>
    <w:bookmarkStart w:id="107" w:name="page108"/>
    <w:bookmarkEnd w:id="107"/>
    <w:p>
      <w:pPr>
        <w:ind w:right="20" w:firstLine="128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underwriter</w:t>
      </w:r>
      <w:r>
        <w:rPr>
          <w:rFonts w:ascii="Times New Roman" w:cs="Times New Roman" w:eastAsia="Times New Roman" w:hAnsi="Times New Roman"/>
          <w:sz w:val="21"/>
          <w:szCs w:val="21"/>
          <w:color w:val="auto"/>
        </w:rPr>
        <w:t>” means a securities dealer who purchases any Registrable Securities as principal in an Underwritten Offering and not as part of such dealer’s market-making activities.</w:t>
      </w:r>
    </w:p>
    <w:p>
      <w:pPr>
        <w:spacing w:after="0" w:line="139" w:lineRule="exact"/>
        <w:rPr>
          <w:sz w:val="20"/>
          <w:szCs w:val="20"/>
          <w:color w:val="auto"/>
        </w:rPr>
      </w:pPr>
    </w:p>
    <w:p>
      <w:pPr>
        <w:ind w:firstLine="1285"/>
        <w:spacing w:after="0" w:line="30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Underwritten Registration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Underwritten Offering</w:t>
      </w:r>
      <w:r>
        <w:rPr>
          <w:rFonts w:ascii="Times New Roman" w:cs="Times New Roman" w:eastAsia="Times New Roman" w:hAnsi="Times New Roman"/>
          <w:sz w:val="21"/>
          <w:szCs w:val="21"/>
          <w:color w:val="auto"/>
        </w:rPr>
        <w:t>” means a registration in which securities of the Company are sold to an underwriter in a firm commitment underwriting for distribution to the public.</w:t>
      </w:r>
    </w:p>
    <w:p>
      <w:pPr>
        <w:spacing w:after="0" w:line="127"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21"/>
          <w:szCs w:val="21"/>
          <w:color w:val="010000"/>
        </w:rPr>
        <w:t>(b)</w:t>
      </w:r>
      <w:r>
        <w:rPr>
          <w:sz w:val="20"/>
          <w:szCs w:val="20"/>
          <w:color w:val="auto"/>
        </w:rPr>
        <w:tab/>
      </w:r>
      <w:r>
        <w:rPr>
          <w:rFonts w:ascii="Times New Roman" w:cs="Times New Roman" w:eastAsia="Times New Roman" w:hAnsi="Times New Roman"/>
          <w:sz w:val="21"/>
          <w:szCs w:val="21"/>
          <w:color w:val="auto"/>
        </w:rPr>
        <w:t>For purposes of this Agreement, the following terms have the meanings set forth in the sections</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indicated: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w w:val="96"/>
              </w:rPr>
              <w:t>Term</w:t>
            </w:r>
          </w:p>
        </w:tc>
        <w:tc>
          <w:tcPr>
            <w:tcW w:w="4080" w:type="dxa"/>
            <w:vAlign w:val="bottom"/>
          </w:tcPr>
          <w:p>
            <w:pPr>
              <w:spacing w:after="0"/>
              <w:rPr>
                <w:sz w:val="21"/>
                <w:szCs w:val="21"/>
                <w:color w:val="auto"/>
              </w:rPr>
            </w:pP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Section</w:t>
            </w:r>
          </w:p>
        </w:tc>
      </w:tr>
      <w:tr>
        <w:trPr>
          <w:trHeight w:val="20"/>
        </w:trPr>
        <w:tc>
          <w:tcPr>
            <w:tcW w:w="4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87"/>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Adoption Agreement</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Advice</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2.4(a)</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Blackout Period</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2.3(s)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Buyer Parties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Notice</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2.1(c)</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Demand Request</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2.1(c)</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EnCap</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Filing Date</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2.1(a)</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Holder</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Marketed Underwritten Shelf Takedown</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2.1(b)</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Maximum Number of Securities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2.1(e)</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NGU</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Introductory Paragraph</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OpCo</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OpCo LLCA</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OpCo Units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Opt-Out Notice</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2.2(e)</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Participating Majority</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2.1(d)</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Piggyback Registration</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2.2(a)</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 Agreement</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Records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2.3(l)</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Requesting Holder</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2.1(c)</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Required Financial Statements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2.1(a)</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Seller</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Recitals</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Seller Affiliates</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2.6(a)</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Suspension Period</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2.1(f)</w:t>
            </w:r>
          </w:p>
        </w:tc>
      </w:tr>
      <w:tr>
        <w:trPr>
          <w:trHeight w:val="268"/>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Suspension Notice</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2.4(a)</w:t>
            </w:r>
          </w:p>
        </w:tc>
      </w:tr>
      <w:tr>
        <w:trPr>
          <w:trHeight w:val="279"/>
        </w:trPr>
        <w:tc>
          <w:tcPr>
            <w:tcW w:w="4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Underwritten Shelf Takedown</w:t>
            </w:r>
          </w:p>
        </w:tc>
        <w:tc>
          <w:tcPr>
            <w:tcW w:w="30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2.1(b)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1" w:right="339" w:bottom="1440" w:gutter="0" w:footer="0" w:header="0"/>
        </w:sectPr>
      </w:pPr>
    </w:p>
    <w:bookmarkStart w:id="108" w:name="page109"/>
    <w:bookmarkEnd w:id="108"/>
    <w:p>
      <w:pPr>
        <w:ind w:firstLine="643"/>
        <w:spacing w:after="0" w:line="293" w:lineRule="auto"/>
        <w:rPr>
          <w:sz w:val="20"/>
          <w:szCs w:val="20"/>
          <w:color w:val="auto"/>
        </w:rPr>
      </w:pPr>
      <w:r>
        <w:rPr>
          <w:rFonts w:ascii="Times New Roman" w:cs="Times New Roman" w:eastAsia="Times New Roman" w:hAnsi="Times New Roman"/>
          <w:sz w:val="21"/>
          <w:szCs w:val="21"/>
          <w:color w:val="010000"/>
        </w:rPr>
        <w:t xml:space="preserve">1.2 </w:t>
      </w:r>
      <w:r>
        <w:rPr>
          <w:rFonts w:ascii="Times New Roman" w:cs="Times New Roman" w:eastAsia="Times New Roman" w:hAnsi="Times New Roman"/>
          <w:sz w:val="21"/>
          <w:szCs w:val="21"/>
          <w:b w:val="1"/>
          <w:bCs w:val="1"/>
          <w:u w:val="single" w:color="auto"/>
          <w:color w:val="000000"/>
        </w:rPr>
        <w:t>Other Definitional and Interpretive Matters</w:t>
      </w:r>
      <w:r>
        <w:rPr>
          <w:rFonts w:ascii="Times New Roman" w:cs="Times New Roman" w:eastAsia="Times New Roman" w:hAnsi="Times New Roman"/>
          <w:sz w:val="21"/>
          <w:szCs w:val="21"/>
          <w:color w:val="000000"/>
        </w:rPr>
        <w:t>. Unless otherwise expressly provided or the context otherwise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requires, for purposes of this Agreement the following rules of interpretation apply.</w:t>
      </w:r>
    </w:p>
    <w:p>
      <w:pPr>
        <w:spacing w:after="0" w:line="137" w:lineRule="exact"/>
        <w:rPr>
          <w:sz w:val="20"/>
          <w:szCs w:val="20"/>
          <w:color w:val="auto"/>
        </w:rPr>
      </w:pPr>
    </w:p>
    <w:p>
      <w:pPr>
        <w:jc w:val="both"/>
        <w:ind w:left="560" w:firstLine="1295"/>
        <w:spacing w:after="0" w:line="278" w:lineRule="auto"/>
        <w:tabs>
          <w:tab w:leader="none" w:pos="2364"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p>
    <w:p>
      <w:pPr>
        <w:spacing w:after="0" w:line="151" w:lineRule="exact"/>
        <w:rPr>
          <w:rFonts w:ascii="Times New Roman" w:cs="Times New Roman" w:eastAsia="Times New Roman" w:hAnsi="Times New Roman"/>
          <w:sz w:val="21"/>
          <w:szCs w:val="21"/>
          <w:color w:val="010000"/>
        </w:rPr>
      </w:pPr>
    </w:p>
    <w:p>
      <w:pPr>
        <w:ind w:left="2320" w:hanging="465"/>
        <w:spacing w:after="0"/>
        <w:tabs>
          <w:tab w:leader="none" w:pos="2320"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reference in this Agreement to $ means U.S. dollars.</w:t>
      </w:r>
    </w:p>
    <w:p>
      <w:pPr>
        <w:spacing w:after="0" w:line="227" w:lineRule="exact"/>
        <w:rPr>
          <w:rFonts w:ascii="Times New Roman" w:cs="Times New Roman" w:eastAsia="Times New Roman" w:hAnsi="Times New Roman"/>
          <w:sz w:val="21"/>
          <w:szCs w:val="21"/>
          <w:color w:val="010000"/>
        </w:rPr>
      </w:pPr>
    </w:p>
    <w:p>
      <w:pPr>
        <w:ind w:left="560" w:firstLine="1295"/>
        <w:spacing w:after="0" w:line="290" w:lineRule="auto"/>
        <w:tabs>
          <w:tab w:leader="none" w:pos="2418"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reference in this Agreement to gender includes all genders, and words imparting the singular number also include the plural and vice versa.</w:t>
      </w:r>
    </w:p>
    <w:p>
      <w:pPr>
        <w:spacing w:after="0" w:line="152" w:lineRule="exact"/>
        <w:rPr>
          <w:rFonts w:ascii="Times New Roman" w:cs="Times New Roman" w:eastAsia="Times New Roman" w:hAnsi="Times New Roman"/>
          <w:sz w:val="21"/>
          <w:szCs w:val="21"/>
          <w:color w:val="010000"/>
        </w:rPr>
      </w:pPr>
    </w:p>
    <w:p>
      <w:pPr>
        <w:jc w:val="both"/>
        <w:ind w:left="560" w:firstLine="1295"/>
        <w:spacing w:after="0" w:line="271" w:lineRule="auto"/>
        <w:tabs>
          <w:tab w:leader="none" w:pos="2430"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division of this Agreement into Articles, Sections and other subdivisions and the insertion of headings are for convenience of reference only and do not affect, and should not be utilized in, the construction or interpretation of this Agreement.</w:t>
      </w:r>
    </w:p>
    <w:p>
      <w:pPr>
        <w:spacing w:after="0" w:line="159" w:lineRule="exact"/>
        <w:rPr>
          <w:rFonts w:ascii="Times New Roman" w:cs="Times New Roman" w:eastAsia="Times New Roman" w:hAnsi="Times New Roman"/>
          <w:sz w:val="21"/>
          <w:szCs w:val="21"/>
          <w:color w:val="010000"/>
        </w:rPr>
      </w:pPr>
    </w:p>
    <w:p>
      <w:pPr>
        <w:ind w:left="560" w:right="20" w:firstLine="1295"/>
        <w:spacing w:after="0" w:line="290" w:lineRule="auto"/>
        <w:tabs>
          <w:tab w:leader="none" w:pos="2418"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references in this Agreement to any “Article” or “Section” are to the corresponding Article or Section of this Agreement.</w:t>
      </w:r>
    </w:p>
    <w:p>
      <w:pPr>
        <w:spacing w:after="0" w:line="139" w:lineRule="exact"/>
        <w:rPr>
          <w:rFonts w:ascii="Times New Roman" w:cs="Times New Roman" w:eastAsia="Times New Roman" w:hAnsi="Times New Roman"/>
          <w:sz w:val="21"/>
          <w:szCs w:val="21"/>
          <w:color w:val="010000"/>
        </w:rPr>
      </w:pPr>
    </w:p>
    <w:p>
      <w:pPr>
        <w:ind w:left="560" w:firstLine="1295"/>
        <w:spacing w:after="0" w:line="303" w:lineRule="auto"/>
        <w:tabs>
          <w:tab w:leader="none" w:pos="2341"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words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hereinafter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refer to this Agreement as a whole and not merely to a subdivision in which such words appear unless the context otherwise requires.</w:t>
      </w:r>
    </w:p>
    <w:p>
      <w:pPr>
        <w:spacing w:after="0" w:line="126" w:lineRule="exact"/>
        <w:rPr>
          <w:rFonts w:ascii="Times New Roman" w:cs="Times New Roman" w:eastAsia="Times New Roman" w:hAnsi="Times New Roman"/>
          <w:sz w:val="21"/>
          <w:szCs w:val="21"/>
          <w:color w:val="010000"/>
        </w:rPr>
      </w:pPr>
    </w:p>
    <w:p>
      <w:pPr>
        <w:ind w:left="560" w:firstLine="1295"/>
        <w:spacing w:after="0" w:line="290" w:lineRule="auto"/>
        <w:tabs>
          <w:tab w:leader="none" w:pos="2323"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word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or any variation thereof means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but not limited to</w:t>
      </w:r>
      <w:r>
        <w:rPr>
          <w:rFonts w:ascii="Times New Roman" w:cs="Times New Roman" w:eastAsia="Times New Roman" w:hAnsi="Times New Roman"/>
          <w:sz w:val="21"/>
          <w:szCs w:val="21"/>
          <w:color w:val="auto"/>
        </w:rPr>
        <w:t>,” and does not limit any general statement that it follows to the specific or similar items or matters immediately following it.</w:t>
      </w:r>
    </w:p>
    <w:p>
      <w:pPr>
        <w:spacing w:after="0" w:line="139" w:lineRule="exact"/>
        <w:rPr>
          <w:rFonts w:ascii="Times New Roman" w:cs="Times New Roman" w:eastAsia="Times New Roman" w:hAnsi="Times New Roman"/>
          <w:sz w:val="21"/>
          <w:szCs w:val="21"/>
          <w:color w:val="010000"/>
        </w:rPr>
      </w:pPr>
    </w:p>
    <w:p>
      <w:pPr>
        <w:jc w:val="both"/>
        <w:ind w:left="560" w:firstLine="1295"/>
        <w:spacing w:after="0" w:line="269" w:lineRule="auto"/>
        <w:tabs>
          <w:tab w:leader="none" w:pos="2390"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avoidance of doubt, unless otherwise explicitly contemplated by this Agreement, all Registrable Securities (including TWR Registrable Securities) held by Persons (including, for avoidance of doubt, the TWR Holders and the Holders) that are Affiliates of one another as of any applicable determination date shall be aggregated together for the purpose of determining the availability of any rights under this Agreement.</w:t>
      </w:r>
    </w:p>
    <w:p>
      <w:pPr>
        <w:spacing w:after="0" w:line="1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b w:val="1"/>
          <w:bCs w:val="1"/>
          <w:color w:val="010000"/>
        </w:rPr>
        <w:t xml:space="preserve">ARTICLE II </w:t>
      </w:r>
      <w:r>
        <w:rPr>
          <w:rFonts w:ascii="Times New Roman" w:cs="Times New Roman" w:eastAsia="Times New Roman" w:hAnsi="Times New Roman"/>
          <w:sz w:val="21"/>
          <w:szCs w:val="21"/>
          <w:b w:val="1"/>
          <w:bCs w:val="1"/>
          <w:color w:val="000000"/>
        </w:rPr>
        <w:t>- REGISTRATION RIGHTS</w:t>
      </w:r>
    </w:p>
    <w:p>
      <w:pPr>
        <w:spacing w:after="0" w:line="22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2.1</w:t>
      </w:r>
      <w:r>
        <w:rPr>
          <w:sz w:val="20"/>
          <w:szCs w:val="20"/>
          <w:color w:val="auto"/>
        </w:rPr>
        <w:tab/>
      </w:r>
      <w:r>
        <w:rPr>
          <w:rFonts w:ascii="Times New Roman" w:cs="Times New Roman" w:eastAsia="Times New Roman" w:hAnsi="Times New Roman"/>
          <w:sz w:val="21"/>
          <w:szCs w:val="21"/>
          <w:b w:val="1"/>
          <w:bCs w:val="1"/>
          <w:u w:val="single" w:color="auto"/>
          <w:color w:val="auto"/>
        </w:rPr>
        <w:t>Shelf Registration and Underwritten Offerings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560" w:firstLine="1295"/>
        <w:spacing w:after="0" w:line="269" w:lineRule="auto"/>
        <w:tabs>
          <w:tab w:leader="none" w:pos="2338"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will prepare and file as promptly as reasonably practicable to facilitate effectiveness on or before April 1, 2025 (the “</w:t>
      </w:r>
      <w:r>
        <w:rPr>
          <w:rFonts w:ascii="Times New Roman" w:cs="Times New Roman" w:eastAsia="Times New Roman" w:hAnsi="Times New Roman"/>
          <w:sz w:val="21"/>
          <w:szCs w:val="21"/>
          <w:u w:val="single" w:color="auto"/>
          <w:color w:val="auto"/>
        </w:rPr>
        <w:t>Filing Date</w:t>
      </w:r>
      <w:r>
        <w:rPr>
          <w:rFonts w:ascii="Times New Roman" w:cs="Times New Roman" w:eastAsia="Times New Roman" w:hAnsi="Times New Roman"/>
          <w:sz w:val="21"/>
          <w:szCs w:val="21"/>
          <w:color w:val="auto"/>
        </w:rPr>
        <w:t>”), a Shelf Registration Statement (which Shelf Registration Statement shall be an Automatic Shelf Registration Statement if the Company is then eligible to file an Automatic Shelf Registration Statement), registering for resale the Registrable Securities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07" w:right="339" w:bottom="1440" w:gutter="0" w:footer="0" w:header="0"/>
        </w:sectPr>
      </w:pPr>
    </w:p>
    <w:bookmarkStart w:id="109" w:name="page110"/>
    <w:bookmarkEnd w:id="109"/>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Securities Act subject to (i) compliance by the Holders of the Registrable Securities with their obligations under this Agreement, including specifically those obligations set forth in </w:t>
      </w:r>
      <w:r>
        <w:rPr>
          <w:rFonts w:ascii="Times New Roman" w:cs="Times New Roman" w:eastAsia="Times New Roman" w:hAnsi="Times New Roman"/>
          <w:sz w:val="21"/>
          <w:szCs w:val="21"/>
          <w:u w:val="single" w:color="auto"/>
          <w:color w:val="auto"/>
        </w:rPr>
        <w:t>Section 2.1(h)</w:t>
      </w:r>
      <w:r>
        <w:rPr>
          <w:rFonts w:ascii="Times New Roman" w:cs="Times New Roman" w:eastAsia="Times New Roman" w:hAnsi="Times New Roman"/>
          <w:sz w:val="21"/>
          <w:szCs w:val="21"/>
          <w:color w:val="auto"/>
        </w:rPr>
        <w:t xml:space="preserve"> and (ii) to the extent required by SEC rules in order to facilitate the filing and/or effectiveness of the Shelf Registration Statement, Seller’s delivery to the Company of the financial statements required by Section 5.5 of the Purchase Agreement to enable the Company to comply with the obligations under the Securities Act and other applicable law in connection with the filing of a Shelf Registration Statement contemplated by this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Required Financial Statements</w:t>
      </w:r>
      <w:r>
        <w:rPr>
          <w:rFonts w:ascii="Times New Roman" w:cs="Times New Roman" w:eastAsia="Times New Roman" w:hAnsi="Times New Roman"/>
          <w:sz w:val="21"/>
          <w:szCs w:val="21"/>
          <w:color w:val="auto"/>
        </w:rPr>
        <w:t>”); provided, further, that in the event Seller fails to deliver the Required Financial Statements to the Company at or prior to the date of this Agreement, the Filing Date shall be the 5th day following the date the Required Financial Statements have been so delivered by Seller to the Company. The plan of distribution indicated in the Shelf Registration Statement will include all such methods of sale as any Holder may reasonably request in writing at least five Business Days prior to the filing of the Shelf Registration Statement and that can be included in the Shelf Registration Statement under the rules and regulations of the SEC. Until such time as all Registrable Securities cease to be Registrable Securities or the Company is no longer eligible to maintain a Shelf Registration Statement, the Company shall use its reasonable best efforts to keep current and effective such Shelf Registration Statement and file such supplements or amendments to such Shelf Registration Statement (or file a new Shelf Registration Statement (which Shelf Registration Statement shall be an Automatic Shelf Registration Statement if the Company is then eligible to file an Automatic Shelf Registration Statement) when such preceding Shelf Registration Statement expires pursuant to the rules of the SEC) as may be necessary or appropriate to keep such Shelf Registration Statement continuously effective and useable for the resale of all Registrable Securities under the Securities Act. Any Shelf Registration Statement when declared effective (including the documents incorporated therein by reference) will comply in all material respects as to form with all applicable requirements of the Securities Act and the Exchange Act and will not contain an untrue statement of a material fact or omit to state a material fact required to be stated therein or necessary to make the statements therein not misleading.</w:t>
      </w:r>
    </w:p>
    <w:p>
      <w:pPr>
        <w:spacing w:after="0" w:line="200" w:lineRule="exact"/>
        <w:rPr>
          <w:sz w:val="20"/>
          <w:szCs w:val="20"/>
          <w:color w:val="auto"/>
        </w:rPr>
      </w:pPr>
    </w:p>
    <w:p>
      <w:pPr>
        <w:spacing w:after="0" w:line="234" w:lineRule="exact"/>
        <w:rPr>
          <w:sz w:val="20"/>
          <w:szCs w:val="20"/>
          <w:color w:val="auto"/>
        </w:rPr>
      </w:pPr>
    </w:p>
    <w:p>
      <w:pPr>
        <w:jc w:val="both"/>
        <w:ind w:firstLine="1295"/>
        <w:spacing w:after="0" w:line="259" w:lineRule="auto"/>
        <w:tabs>
          <w:tab w:leader="none" w:pos="1870"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one or more Holders of Registrable Securities may request to sell all or any portion of their Registrable Securities in an underwritten offering that is registered pursuant to the Shelf Registration Statement (each, an “</w:t>
      </w:r>
      <w:r>
        <w:rPr>
          <w:rFonts w:ascii="Times New Roman" w:cs="Times New Roman" w:eastAsia="Times New Roman" w:hAnsi="Times New Roman"/>
          <w:sz w:val="21"/>
          <w:szCs w:val="21"/>
          <w:u w:val="single" w:color="auto"/>
          <w:color w:val="auto"/>
        </w:rPr>
        <w:t>Underwritten Shelf Takedown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Holders and TWR Holders, in the aggregate, will be entitled to make a demand for a total of three Underwritten Shelf Takedowns and the aggregate amount of Registrable Securities included in any such Underwritten Shelf Takedown must be at least the lesser of the amount reasonably expected to result in aggregate gross proceeds of $100 million (before the deduction of underwriting discounts) and the remainder of the Registrable Securities held by all Holders. At the request of such Holders, the plan of distribution for any Underwritten Shelf Takedown shall include a customary “road show” (including an “electronic road show”) or other substantial marketing effort by the Company and the underwriters over a period not to exceed 24 hours (a “</w:t>
      </w:r>
      <w:r>
        <w:rPr>
          <w:rFonts w:ascii="Times New Roman" w:cs="Times New Roman" w:eastAsia="Times New Roman" w:hAnsi="Times New Roman"/>
          <w:sz w:val="21"/>
          <w:szCs w:val="21"/>
          <w:u w:val="single" w:color="auto"/>
          <w:color w:val="auto"/>
        </w:rPr>
        <w:t>Marketed Underwritten Shelf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Takedown</w:t>
      </w:r>
      <w:r>
        <w:rPr>
          <w:rFonts w:ascii="Times New Roman" w:cs="Times New Roman" w:eastAsia="Times New Roman" w:hAnsi="Times New Roman"/>
          <w:sz w:val="21"/>
          <w:szCs w:val="21"/>
          <w:color w:val="auto"/>
        </w:rPr>
        <w:t>”). Subject to the other limitations contained in this Agreement, the Company shall not be obligated hereunder to effect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80"/>
          </w:cols>
          <w:pgMar w:left="880" w:top="1411" w:right="339" w:bottom="1440" w:gutter="0" w:footer="0" w:header="0"/>
        </w:sectPr>
      </w:pPr>
    </w:p>
    <w:bookmarkStart w:id="110" w:name="page111"/>
    <w:bookmarkEnd w:id="110"/>
    <w:p>
      <w:pPr>
        <w:jc w:val="both"/>
        <w:spacing w:after="0" w:line="267" w:lineRule="auto"/>
        <w:rPr>
          <w:sz w:val="20"/>
          <w:szCs w:val="20"/>
          <w:color w:val="auto"/>
        </w:rPr>
      </w:pPr>
      <w:r>
        <w:rPr>
          <w:rFonts w:ascii="Times New Roman" w:cs="Times New Roman" w:eastAsia="Times New Roman" w:hAnsi="Times New Roman"/>
          <w:sz w:val="21"/>
          <w:szCs w:val="21"/>
          <w:color w:val="auto"/>
        </w:rPr>
        <w:t>Underwritten Shelf Takedown within 60 days after the closing of an Underwritten Shelf Takedown or any other underwritten public offering of Class A Shares effected by the Company. If an Underwritten Shelf Takedown is not a Marketed Underwritten Shelf Takedown, the Company and its management will not be required to participate in a roadshow or other marketing effort. For the avoidance of doubt, an Underwritten Shelf Takedown shall not include an “at the market” program.</w:t>
      </w:r>
    </w:p>
    <w:p>
      <w:pPr>
        <w:spacing w:after="0" w:line="200" w:lineRule="exact"/>
        <w:rPr>
          <w:sz w:val="20"/>
          <w:szCs w:val="20"/>
          <w:color w:val="auto"/>
        </w:rPr>
      </w:pPr>
    </w:p>
    <w:p>
      <w:pPr>
        <w:spacing w:after="0" w:line="225" w:lineRule="exact"/>
        <w:rPr>
          <w:sz w:val="20"/>
          <w:szCs w:val="20"/>
          <w:color w:val="auto"/>
        </w:rPr>
      </w:pPr>
    </w:p>
    <w:p>
      <w:pPr>
        <w:jc w:val="both"/>
        <w:ind w:firstLine="1295"/>
        <w:spacing w:after="0" w:line="258" w:lineRule="auto"/>
        <w:tabs>
          <w:tab w:leader="none" w:pos="1737"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request (a “</w:t>
      </w:r>
      <w:r>
        <w:rPr>
          <w:rFonts w:ascii="Times New Roman" w:cs="Times New Roman" w:eastAsia="Times New Roman" w:hAnsi="Times New Roman"/>
          <w:sz w:val="21"/>
          <w:szCs w:val="21"/>
          <w:u w:val="single" w:color="auto"/>
          <w:color w:val="auto"/>
        </w:rPr>
        <w:t>Demand Request</w:t>
      </w:r>
      <w:r>
        <w:rPr>
          <w:rFonts w:ascii="Times New Roman" w:cs="Times New Roman" w:eastAsia="Times New Roman" w:hAnsi="Times New Roman"/>
          <w:sz w:val="21"/>
          <w:szCs w:val="21"/>
          <w:color w:val="auto"/>
        </w:rPr>
        <w:t>”) for an Underwritten Shelf Takedown shall be made by the Holder or Holders making such request (the “</w:t>
      </w:r>
      <w:r>
        <w:rPr>
          <w:rFonts w:ascii="Times New Roman" w:cs="Times New Roman" w:eastAsia="Times New Roman" w:hAnsi="Times New Roman"/>
          <w:sz w:val="21"/>
          <w:szCs w:val="21"/>
          <w:u w:val="single" w:color="auto"/>
          <w:color w:val="auto"/>
        </w:rPr>
        <w:t>Requesting Holder</w:t>
      </w:r>
      <w:r>
        <w:rPr>
          <w:rFonts w:ascii="Times New Roman" w:cs="Times New Roman" w:eastAsia="Times New Roman" w:hAnsi="Times New Roman"/>
          <w:sz w:val="21"/>
          <w:szCs w:val="21"/>
          <w:color w:val="auto"/>
        </w:rPr>
        <w:t>”) by giving written notice to the Company. The Demand Request shall specify the approximate number of Registrable Securities to be sold in such Underwritten Shelf Takedown, the expected price range of securities to be sold in such Underwritten Shelf Takedown, the proposed managing underwriter or underwriters and the approximate date of such Underwritten Shelf Takedown. Within two Business Days after receipt of any Demand Request, the Company shall send written notice of such requested Underwritten Shelf Takedown (the “</w:t>
      </w:r>
      <w:r>
        <w:rPr>
          <w:rFonts w:ascii="Times New Roman" w:cs="Times New Roman" w:eastAsia="Times New Roman" w:hAnsi="Times New Roman"/>
          <w:sz w:val="21"/>
          <w:szCs w:val="21"/>
          <w:u w:val="single" w:color="auto"/>
          <w:color w:val="auto"/>
        </w:rPr>
        <w:t>Company Notice</w:t>
      </w:r>
      <w:r>
        <w:rPr>
          <w:rFonts w:ascii="Times New Roman" w:cs="Times New Roman" w:eastAsia="Times New Roman" w:hAnsi="Times New Roman"/>
          <w:sz w:val="21"/>
          <w:szCs w:val="21"/>
          <w:color w:val="auto"/>
        </w:rPr>
        <w:t xml:space="preserve">”) to all other Holders of Registrable Securities and shall consummate the Underwritten Shelf Takedown in accordance with the terms and conditions of the Demand Request and include all Registrable Securities with respect to which the Company has received written requests for inclusion therein within five Business Days after receipt of the Demand Request. For the avoidance of doubt, if the Company receives a Demand Request prior to the effective date of the Shelf Registration Statement filed pursuant to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then the Company shall use its reasonable best efforts to file an Automatic Shelf Registration Statement to effect the Underwritten Shelf Takedown.</w:t>
      </w:r>
    </w:p>
    <w:p>
      <w:pPr>
        <w:spacing w:after="0" w:line="178" w:lineRule="exact"/>
        <w:rPr>
          <w:rFonts w:ascii="Times New Roman" w:cs="Times New Roman" w:eastAsia="Times New Roman" w:hAnsi="Times New Roman"/>
          <w:sz w:val="21"/>
          <w:szCs w:val="21"/>
          <w:color w:val="010000"/>
        </w:rPr>
      </w:pPr>
    </w:p>
    <w:p>
      <w:pPr>
        <w:jc w:val="both"/>
        <w:ind w:firstLine="1295"/>
        <w:spacing w:after="0" w:line="259" w:lineRule="auto"/>
        <w:tabs>
          <w:tab w:leader="none" w:pos="1749"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select, with the written consent of the Participating Majority, a nationally prominent firm or firms of investment bankers to act as the managing underwriter or underwriters in connection with such Underwritten Shelf Takedown. The “</w:t>
      </w:r>
      <w:r>
        <w:rPr>
          <w:rFonts w:ascii="Times New Roman" w:cs="Times New Roman" w:eastAsia="Times New Roman" w:hAnsi="Times New Roman"/>
          <w:sz w:val="21"/>
          <w:szCs w:val="21"/>
          <w:u w:val="single" w:color="auto"/>
          <w:color w:val="auto"/>
        </w:rPr>
        <w:t>Participating Majority</w:t>
      </w:r>
      <w:r>
        <w:rPr>
          <w:rFonts w:ascii="Times New Roman" w:cs="Times New Roman" w:eastAsia="Times New Roman" w:hAnsi="Times New Roman"/>
          <w:sz w:val="21"/>
          <w:szCs w:val="21"/>
          <w:color w:val="auto"/>
        </w:rPr>
        <w:t xml:space="preserve">” shall mean, with respect to an Underwritten Shelf Takedown, the Holder(s) of a majority of the Registrable Securities requested to be included in such Underwritten Shelf Takedown. All Holders proposing to distribute their securities through such underwriting shall enter into an underwriting agreement with such underwriter or underwriters in accordance with </w:t>
      </w:r>
      <w:r>
        <w:rPr>
          <w:rFonts w:ascii="Times New Roman" w:cs="Times New Roman" w:eastAsia="Times New Roman" w:hAnsi="Times New Roman"/>
          <w:sz w:val="21"/>
          <w:szCs w:val="21"/>
          <w:u w:val="single" w:color="auto"/>
          <w:color w:val="auto"/>
        </w:rPr>
        <w:t>Section 2.1(g)</w:t>
      </w:r>
      <w:r>
        <w:rPr>
          <w:rFonts w:ascii="Times New Roman" w:cs="Times New Roman" w:eastAsia="Times New Roman" w:hAnsi="Times New Roman"/>
          <w:sz w:val="21"/>
          <w:szCs w:val="21"/>
          <w:color w:val="auto"/>
        </w:rPr>
        <w:t>. The Company will use its reasonable best efforts to cause members of senior management to cooperate with the underwriter(s) in connection with an Underwritten Shelf Takedown and make themselves available to participate in the marketing process in connection with such Underwritten Shelf Takedown as requested by the managing underwriter(s) and providing such additional information reasonably requested by the managing underwriter(s) (in addition to the minimum information required by law, rule or regulation) in any prospectus relating to an Underwritten Shelf Takedown.</w:t>
      </w:r>
    </w:p>
    <w:p>
      <w:pPr>
        <w:spacing w:after="0" w:line="172" w:lineRule="exact"/>
        <w:rPr>
          <w:rFonts w:ascii="Times New Roman" w:cs="Times New Roman" w:eastAsia="Times New Roman" w:hAnsi="Times New Roman"/>
          <w:sz w:val="21"/>
          <w:szCs w:val="21"/>
          <w:color w:val="010000"/>
        </w:rPr>
      </w:pPr>
    </w:p>
    <w:p>
      <w:pPr>
        <w:jc w:val="both"/>
        <w:ind w:right="20" w:firstLine="1295"/>
        <w:spacing w:after="0" w:line="278" w:lineRule="auto"/>
        <w:tabs>
          <w:tab w:leader="none" w:pos="1871"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managing underwriter(s) for an Underwritten Shelf Takedown advise the Company and the participating Holders in writing that, in their opinion, marketing factors require a limitation of the amount of securities to be underwritten (including Registrable Securities) because the amount of securities to be underwritten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680"/>
          </w:cols>
          <w:pgMar w:left="880" w:top="1411" w:right="33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1"/>
          <w:szCs w:val="21"/>
          <w:color w:val="auto"/>
        </w:rPr>
        <w:t>likely to have an adverse effect on the marketability of the offering (such maximum dollar amount or maximum number of such securities, as applicable, the “</w:t>
      </w:r>
      <w:r>
        <w:rPr>
          <w:rFonts w:ascii="Times New Roman" w:cs="Times New Roman" w:eastAsia="Times New Roman" w:hAnsi="Times New Roman"/>
          <w:sz w:val="21"/>
          <w:szCs w:val="21"/>
          <w:u w:val="single" w:color="auto"/>
          <w:color w:val="auto"/>
        </w:rPr>
        <w:t>Maximum Number of Securities</w:t>
      </w:r>
      <w:r>
        <w:rPr>
          <w:rFonts w:ascii="Times New Roman" w:cs="Times New Roman" w:eastAsia="Times New Roman" w:hAnsi="Times New Roman"/>
          <w:sz w:val="21"/>
          <w:szCs w:val="21"/>
          <w:color w:val="auto"/>
        </w:rPr>
        <w:t xml:space="preserve">”), then the Company shall so advise all Holders of Registrable Securities and the Existing Holders which would otherwise be underwritten pursuant hereto, and the amount of Registrable Securities that may be included in the underwriting shall be allocated among the participating Holders and participating Existing Holders, (i)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among the participating Holders as nearly as possible on a pro rata basis based on the total amount of Registrable Securities held by such Holders requested to be included in such underwriting,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the extent all Registrable Securities requested to be included in such underwriting by the participating Holders have been included, to any participating Existing Holders and other Persons pursuant to contractual registration rights as nearly as possible on a pro rata basis based on the total amount of Registrable Securities (as defined in the Existing Registration Rights Agreements and other contractual registration rights) held by such Existing Holders and other Persons requested to be included in such underwriting and (iii)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to the extent all Registrable Securities requested to be included in such underwriting pursuant to the foregoing clauses (i) and (ii) have been included, all Class A Shares or other equity securities that the Company desires to include in such underwriting. The Company shall prepare preliminary and final prospectus supplements for use in connection with the Underwritten Shelf Takedown, containing such additional information as may be reasonably requested by the underwriter(s). Notwithstanding the foregoing, in the event that the Maximum Number of Securities is exceeded and the managing underwriter(s) advise that the number of Registrable Securities held by the participating Holders to be included in such Underwritten Shelf Takedown be reduced by fifty percent (50%) or more, the participating Holders shall have the right to withdraw the Demand Request prior to the effectiveness of the Registration Statement filed with the Commission with respect to such Demand Request and such withdrawn Underwritten Shelf Takedown shall not qualify as an Underwritten Shelf Takedown for purposes of the limitations set forth in the proviso in the first sentence of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8" w:lineRule="exact"/>
        <w:rPr>
          <w:sz w:val="20"/>
          <w:szCs w:val="20"/>
          <w:color w:val="auto"/>
        </w:rPr>
      </w:pPr>
    </w:p>
    <w:p>
      <w:pPr>
        <w:jc w:val="both"/>
        <w:ind w:firstLine="1295"/>
        <w:spacing w:after="0" w:line="258" w:lineRule="auto"/>
        <w:tabs>
          <w:tab w:leader="none" w:pos="1740"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written notice to the Holders of Registrable Securities, the Company shall be entitled to suspend, for a period of time not to exceed the periods specified in </w:t>
      </w:r>
      <w:r>
        <w:rPr>
          <w:rFonts w:ascii="Times New Roman" w:cs="Times New Roman" w:eastAsia="Times New Roman" w:hAnsi="Times New Roman"/>
          <w:sz w:val="21"/>
          <w:szCs w:val="21"/>
          <w:u w:val="single" w:color="auto"/>
          <w:color w:val="auto"/>
        </w:rPr>
        <w:t>Section 2.3(s)</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Suspension Period</w:t>
      </w:r>
      <w:r>
        <w:rPr>
          <w:rFonts w:ascii="Times New Roman" w:cs="Times New Roman" w:eastAsia="Times New Roman" w:hAnsi="Times New Roman"/>
          <w:sz w:val="21"/>
          <w:szCs w:val="21"/>
          <w:color w:val="auto"/>
        </w:rPr>
        <w:t>”), the use of any Registration Statement or Prospectus and shall not be required to amend or supplement the Registration Statement, any related Prospectus or any document incorporated therein by reference if: (i) the Company receives any request by the SEC or any other federal or state governmental authority for amendments or supplements to such Registration Statement or Prospectus or for additional information that pertains to such Holders as sellers of Registrable Securities; (ii) the SEC issues any stop order suspending the effectiveness of the Registration Statement covering any or all of the Registrable Securities or the initiation of any proceedings for that purpose; (iii) the Company receives any notification with respect to the suspension of the qualification or exemption from qualification of any of the Registrable Securities for sale in any jurisdiction, or the initiation or threatening of any proceeding for such purpose; or (iv) the board of directors, chief executive officer or chief financial officer of the Company determines in its or his or her reasonable good faith judgment that the Registration Statement or any Prospectus may contain an untrue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80"/>
          </w:cols>
          <w:pgMar w:left="880" w:top="1411" w:right="339" w:bottom="1440" w:gutter="0" w:footer="0" w:header="0"/>
        </w:sectPr>
      </w:pPr>
    </w:p>
    <w:bookmarkStart w:id="112" w:name="page113"/>
    <w:bookmarkEnd w:id="112"/>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statement of a material fact or may omit any fact necessary to make the statements in the Registration Statement or Prospectus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 The Holders acknowledge and agree that written notice of any Suspension Period may constitute material non-public information regarding the Company and shall keep the existence and contents of any such written notice confidential.</w:t>
      </w:r>
    </w:p>
    <w:p>
      <w:pPr>
        <w:spacing w:after="0" w:line="172" w:lineRule="exact"/>
        <w:rPr>
          <w:sz w:val="20"/>
          <w:szCs w:val="20"/>
          <w:color w:val="auto"/>
        </w:rPr>
      </w:pPr>
    </w:p>
    <w:p>
      <w:pPr>
        <w:jc w:val="both"/>
        <w:ind w:firstLine="1295"/>
        <w:spacing w:after="0" w:line="257" w:lineRule="auto"/>
        <w:tabs>
          <w:tab w:leader="none" w:pos="1803"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requested by the managing underwriter(s) for an Underwritten Shelf Takedown, the Company shall enter into an underwriting agreement with the underwriters for such offering, such agreement to be in form and substance (including with respect to representations and warranties by the Company) as is customarily given by the Company to underwriters in an underwritten public offering, and to contain indemnities generally to the effect and to the extent provided in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The Holders of Registrable Securities participating in such Underwritten Shelf Takedown shall be parties to such underwriting agreement and shall be required to make customary representations and warranties, in each case subject to the requirements of the managing underwriter(s), in connection with any such registration or transfer, including that, at such time, (i) such Holder owns his, her or its Registrable Securities to be sold or transferred free and clear of all liens, claims and encumbrances, (ii) such Holder has power and authority to effect such transfer or sale, (iii) such transfer or sale by such Holder contemplated by such underwriting agreement, and such Holder’s entry into such underwriting agreement, will not constitute a breach of any agreements to which such Holder is a party or by which such Holder is bound, (iv) such transfer or sale contemplated by such underwriting agreement, and such Holder’s entry into such underwriting agreement, shall not constitute a breach or violation of such Holder’s organizational documents, if the Holder is an entity, or any law applicable to such Holder and (v) such matters pertaining to compliance with securities laws as may be reasonably requested. No Holder may participate in an Underwritten Shelf Takedown unless such Holder agrees to sell its Registrable Securities on the basis provided in such underwriting agreement and completes and executes all questionnaires, Beneficial Ownership information, powers of attorney, customary indemnities and other documents reasonably required by the managing underwriter(s) under the terms of such underwriting agreement. Each participating Holder may, at its option, require that any or all of the conditions precedent to the obligations of such underwriters under such underwriting agreement also be conditions precedent to its obligations.</w:t>
      </w:r>
    </w:p>
    <w:p>
      <w:pPr>
        <w:spacing w:after="0" w:line="184" w:lineRule="exact"/>
        <w:rPr>
          <w:rFonts w:ascii="Times New Roman" w:cs="Times New Roman" w:eastAsia="Times New Roman" w:hAnsi="Times New Roman"/>
          <w:sz w:val="21"/>
          <w:szCs w:val="21"/>
          <w:color w:val="010000"/>
        </w:rPr>
      </w:pPr>
    </w:p>
    <w:p>
      <w:pPr>
        <w:jc w:val="both"/>
        <w:ind w:firstLine="1295"/>
        <w:spacing w:after="0" w:line="265" w:lineRule="auto"/>
        <w:tabs>
          <w:tab w:leader="none" w:pos="1749"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Holders hereby agrees (i)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(ii) to the extent required by the Securities Act, to deliver or cause delivery of the Prospectus contained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680"/>
          </w:cols>
          <w:pgMar w:left="880" w:top="1411" w:right="339" w:bottom="1440" w:gutter="0" w:footer="0" w:header="0"/>
        </w:sectPr>
      </w:pPr>
    </w:p>
    <w:bookmarkStart w:id="113" w:name="page114"/>
    <w:bookmarkEnd w:id="113"/>
    <w:p>
      <w:pPr>
        <w:jc w:val="both"/>
        <w:spacing w:after="0" w:line="271" w:lineRule="auto"/>
        <w:rPr>
          <w:sz w:val="20"/>
          <w:szCs w:val="20"/>
          <w:color w:val="auto"/>
        </w:rPr>
      </w:pPr>
      <w:r>
        <w:rPr>
          <w:rFonts w:ascii="Times New Roman" w:cs="Times New Roman" w:eastAsia="Times New Roman" w:hAnsi="Times New Roman"/>
          <w:sz w:val="21"/>
          <w:szCs w:val="21"/>
          <w:color w:val="auto"/>
        </w:rPr>
        <w:t>Statement, any amendment or supplement thereto, to any purchaser of Registrable Securities covered by the Registration Statement from the Holder and (iii) if requested by the Company, to notify the Company of any sale of Registrable Securities by such Holder.</w:t>
      </w:r>
    </w:p>
    <w:p>
      <w:pPr>
        <w:spacing w:after="0" w:line="169"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21"/>
          <w:szCs w:val="21"/>
          <w:color w:val="010000"/>
        </w:rPr>
        <w:t>2.2</w:t>
      </w:r>
      <w:r>
        <w:rPr>
          <w:sz w:val="20"/>
          <w:szCs w:val="20"/>
          <w:color w:val="auto"/>
        </w:rPr>
        <w:tab/>
      </w:r>
      <w:r>
        <w:rPr>
          <w:rFonts w:ascii="Times New Roman" w:cs="Times New Roman" w:eastAsia="Times New Roman" w:hAnsi="Times New Roman"/>
          <w:sz w:val="21"/>
          <w:szCs w:val="21"/>
          <w:b w:val="1"/>
          <w:bCs w:val="1"/>
          <w:u w:val="single" w:color="auto"/>
          <w:color w:val="auto"/>
        </w:rPr>
        <w:t>Piggyback Registrations</w:t>
      </w:r>
      <w:r>
        <w:rPr>
          <w:rFonts w:ascii="Times New Roman" w:cs="Times New Roman" w:eastAsia="Times New Roman" w:hAnsi="Times New Roman"/>
          <w:sz w:val="21"/>
          <w:szCs w:val="21"/>
          <w:b w:val="1"/>
          <w:bCs w:val="1"/>
          <w:color w:val="auto"/>
        </w:rPr>
        <w:t>.</w:t>
      </w:r>
    </w:p>
    <w:p>
      <w:pPr>
        <w:spacing w:after="0" w:line="231" w:lineRule="exact"/>
        <w:rPr>
          <w:sz w:val="20"/>
          <w:szCs w:val="20"/>
          <w:color w:val="auto"/>
        </w:rPr>
      </w:pPr>
    </w:p>
    <w:p>
      <w:pPr>
        <w:jc w:val="both"/>
        <w:ind w:firstLine="1295"/>
        <w:spacing w:after="0" w:line="256" w:lineRule="auto"/>
        <w:tabs>
          <w:tab w:leader="none" w:pos="1804"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at any time,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 other than a Registration Statement (i) filed in connection with any employee equity plan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21"/>
          <w:szCs w:val="21"/>
          <w:u w:val="single" w:color="auto"/>
          <w:color w:val="auto"/>
        </w:rPr>
        <w:t>Piggyback Registration</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in the event that (1) a Registration Statement covering the resale of Registrable Securities by the Holders thereof has already been filed with and declared effective by the SEC, (2) no stop orders exist with respect to such preceding Registration Statement and (3) such preceding Registration Statement is not subject to expiration pursuant to the rules of the SEC and is otherwise available for use by the Holders of such Registrable Securities, in each case, at such time as the Company proposes to file a new Registration Statement under the Securities Act, the Company shall not be required to provide advance notice of the filing of such new Registration Statement contemplated by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and, in lieu thereof, the Company shall give notice to all of the Holders of Registrable Securities of any proposed Underwritten Offering, and offer such Holders the opportunity to register the sale of their Registrable Securities, not less than five (5) days prior to any such proposed Underwritten Offering,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Holders’ request to include any of their Registrable Securities into a Piggyback Registration must be received by the Company at least two (2) days prior to any such proposed Underwritten Offering and must specify in writing the requested number of Registrable Securities to be included in such Piggyback Registration. The Company shall, in good faith, cause such Registrable Securities to be included in such Piggyback Registration and shall use its best efforts to cause the managing underwriter(s) of a proposed Underwritten Offering to permit the Registrable Securities requested by the Holders pursuant to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to be included in a Piggyback Registration on the same terms and conditions as any similar securities of the Company included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680"/>
          </w:cols>
          <w:pgMar w:left="880" w:top="1411" w:right="339" w:bottom="1440" w:gutter="0" w:footer="0" w:header="0"/>
        </w:sectPr>
      </w:pPr>
    </w:p>
    <w:bookmarkStart w:id="114" w:name="page115"/>
    <w:bookmarkEnd w:id="114"/>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shall (i) enter into an underwriting agreement in customary form with the underwriter(s) selected for such Underwritten Offering by the Company and (ii) complete, execute and deliver all questionnaires, powers of attorney, indemnities, stock powers and other documents, each in customary form, reasonably required under the terms of such underwriting agreement.</w:t>
      </w:r>
    </w:p>
    <w:p>
      <w:pPr>
        <w:spacing w:after="0" w:line="172" w:lineRule="exact"/>
        <w:rPr>
          <w:sz w:val="20"/>
          <w:szCs w:val="20"/>
          <w:color w:val="auto"/>
        </w:rPr>
      </w:pPr>
    </w:p>
    <w:p>
      <w:pPr>
        <w:jc w:val="both"/>
        <w:ind w:firstLine="1295"/>
        <w:spacing w:after="0" w:line="260" w:lineRule="auto"/>
        <w:tabs>
          <w:tab w:leader="none" w:pos="1790"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managing underwriter(s) in an Underwritten Registration that is to be a Piggyback Registration, in good faith, advises the Company and the Holders of Registrable Securities participating in the Piggyback Registration in writing that the dollar amount or number of Class A Shares or other equity securities that the Company desires to sell, taken together with (i) the Registrable Securities,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and (iii) the Class A Shares or other equity securities of the Company, if any, as to which registration has been requested pursuant to separate written contractual piggy-back registration rights of other stockholders of the Company, exceeds the Maximum Number of Securities, then:</w:t>
      </w:r>
    </w:p>
    <w:p>
      <w:pPr>
        <w:spacing w:after="0" w:line="176" w:lineRule="exact"/>
        <w:rPr>
          <w:rFonts w:ascii="Times New Roman" w:cs="Times New Roman" w:eastAsia="Times New Roman" w:hAnsi="Times New Roman"/>
          <w:sz w:val="21"/>
          <w:szCs w:val="21"/>
          <w:color w:val="010000"/>
        </w:rPr>
      </w:pPr>
    </w:p>
    <w:p>
      <w:pPr>
        <w:jc w:val="both"/>
        <w:ind w:left="740" w:firstLine="635"/>
        <w:spacing w:after="0" w:line="258" w:lineRule="auto"/>
        <w:tabs>
          <w:tab w:leader="none" w:pos="1879"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registration is undertaken for the Company’s account, the Company shall include in any such registration (A) first, Class A Shares or other equity securities that the Company desires to sell, which can be sold without exceeding the Maximum Number of Securities; (B) second, to the extent that the Maximum Number of Securities has not been reached under the foregoing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TWR Registrable Securities of holders under the TWR RRA (“</w:t>
      </w:r>
      <w:r>
        <w:rPr>
          <w:rFonts w:ascii="Times New Roman" w:cs="Times New Roman" w:eastAsia="Times New Roman" w:hAnsi="Times New Roman"/>
          <w:sz w:val="21"/>
          <w:szCs w:val="21"/>
          <w:u w:val="single" w:color="auto"/>
          <w:color w:val="auto"/>
        </w:rPr>
        <w:t>TWR Holders</w:t>
      </w:r>
      <w:r>
        <w:rPr>
          <w:rFonts w:ascii="Times New Roman" w:cs="Times New Roman" w:eastAsia="Times New Roman" w:hAnsi="Times New Roman"/>
          <w:sz w:val="21"/>
          <w:szCs w:val="21"/>
          <w:color w:val="auto"/>
        </w:rPr>
        <w:t xml:space="preserve">”), exercising their applicable rights to register their Registrable Securities pursuant to Section 2.2(a) of the TWR RRA, and Holders exercising their rights to register their Registrable Securities pursuant to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hereof (pro rata based on the number of Registrable Securities that each TWR Holder or Holder, as applicable, has so requested), which can be sold without exceeding the Maximum Number of Securities; and (C) third, to the extent that the Maximum Number of Securities has not been reached under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Class A Shares or other equity securities of the Company, if any, as to which registration has been requested pursuant to written contractual piggy-back registration rights of other stockholders of the Company, which can be sold without exceeding the Maximum Number of Securities; or</w:t>
      </w:r>
    </w:p>
    <w:p>
      <w:pPr>
        <w:spacing w:after="0" w:line="178" w:lineRule="exact"/>
        <w:rPr>
          <w:rFonts w:ascii="Times New Roman" w:cs="Times New Roman" w:eastAsia="Times New Roman" w:hAnsi="Times New Roman"/>
          <w:sz w:val="21"/>
          <w:szCs w:val="21"/>
          <w:color w:val="010000"/>
        </w:rPr>
      </w:pPr>
    </w:p>
    <w:p>
      <w:pPr>
        <w:jc w:val="both"/>
        <w:ind w:left="740" w:firstLine="635"/>
        <w:spacing w:after="0" w:line="269" w:lineRule="auto"/>
        <w:tabs>
          <w:tab w:leader="none" w:pos="1885"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registration is pursuant to a request by persons or entities other than the Holders of Registrable Securities, then the Company shall include in any such registration (A) first, the Class A Shares or other equity securities of the Company, if any, of such requesting persons or entities, other than the Holders of Registrable Securities, which can be sold without exceeding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680"/>
          </w:cols>
          <w:pgMar w:left="880" w:top="1411" w:right="339" w:bottom="1440" w:gutter="0" w:footer="0" w:header="0"/>
        </w:sectPr>
      </w:pPr>
    </w:p>
    <w:bookmarkStart w:id="115" w:name="page116"/>
    <w:bookmarkEnd w:id="115"/>
    <w:p>
      <w:pPr>
        <w:jc w:val="both"/>
        <w:ind w:left="180"/>
        <w:spacing w:after="0" w:line="258" w:lineRule="auto"/>
        <w:rPr>
          <w:sz w:val="20"/>
          <w:szCs w:val="20"/>
          <w:color w:val="auto"/>
        </w:rPr>
      </w:pPr>
      <w:r>
        <w:rPr>
          <w:rFonts w:ascii="Times New Roman" w:cs="Times New Roman" w:eastAsia="Times New Roman" w:hAnsi="Times New Roman"/>
          <w:sz w:val="21"/>
          <w:szCs w:val="21"/>
          <w:color w:val="auto"/>
        </w:rPr>
        <w:t xml:space="preserve">Number of Securities; (B) second, to the extent that the Maximum Number of Securities has not been reached under the foregoing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the TWR Registrable Securities of TWR Holders, exercising their applicable rights to register their Registrable Securities pursuant to Section 2.2(a) of the TWR RRA, and the Registrable Securities of Holders exercising their rights to register their Registrable Securities pursuant to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hereof (pro rata based on the number of Registrable Securities that each TWR Holder or Holder, as applicable, has so requested), which can be sold without exceeding the Maximum Number of Securities; (C) third, to the extent that the Maximum Number of Securities has not been reached under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(B), Class A Shares or other equity securities that the Company desires to sell, which can be sold without exceeding the Maximum Number of Securities; and (D) fourth, to the extent that the Maximum Number of Securities has not been reached under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Class A Shares or other equity securities of the Company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233" w:lineRule="exact"/>
        <w:rPr>
          <w:sz w:val="20"/>
          <w:szCs w:val="20"/>
          <w:color w:val="auto"/>
        </w:rPr>
      </w:pPr>
    </w:p>
    <w:p>
      <w:pPr>
        <w:jc w:val="both"/>
        <w:ind w:left="-560" w:firstLine="1295"/>
        <w:spacing w:after="0" w:line="259" w:lineRule="auto"/>
        <w:tabs>
          <w:tab w:leader="none" w:pos="1177"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Holder of Registrable Securities shall have the right to withdraw from a Piggyback Registration for any or no reason whatsoever upon written notification to the Company and the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For the avoidance of doubt, any withdrawn registration (regardless of the time at which such withdrawal takes place), shall not qualify as an Underwritten Shelf Takedown for purposes of the limitations set forth in the proviso of the first sentence of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010000"/>
        </w:rPr>
      </w:pPr>
    </w:p>
    <w:p>
      <w:pPr>
        <w:ind w:left="-560" w:firstLine="1295"/>
        <w:spacing w:after="0" w:line="290" w:lineRule="auto"/>
        <w:tabs>
          <w:tab w:leader="none" w:pos="1216"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 For purposes of clarity, any registration effected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shall not be counted as a registration pursuant to a Demand Request effected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w:t>
      </w:r>
    </w:p>
    <w:p>
      <w:pPr>
        <w:spacing w:after="0" w:line="139" w:lineRule="exact"/>
        <w:rPr>
          <w:rFonts w:ascii="Times New Roman" w:cs="Times New Roman" w:eastAsia="Times New Roman" w:hAnsi="Times New Roman"/>
          <w:sz w:val="21"/>
          <w:szCs w:val="21"/>
          <w:color w:val="010000"/>
        </w:rPr>
      </w:pPr>
    </w:p>
    <w:p>
      <w:pPr>
        <w:jc w:val="both"/>
        <w:ind w:left="-560" w:firstLine="1295"/>
        <w:spacing w:after="0" w:line="265" w:lineRule="auto"/>
        <w:tabs>
          <w:tab w:leader="none" w:pos="1258"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Holder may deliver written notice (an “</w:t>
      </w:r>
      <w:r>
        <w:rPr>
          <w:rFonts w:ascii="Times New Roman" w:cs="Times New Roman" w:eastAsia="Times New Roman" w:hAnsi="Times New Roman"/>
          <w:sz w:val="21"/>
          <w:szCs w:val="21"/>
          <w:u w:val="single" w:color="auto"/>
          <w:color w:val="auto"/>
        </w:rPr>
        <w:t>Opt-Out Notice</w:t>
      </w:r>
      <w:r>
        <w:rPr>
          <w:rFonts w:ascii="Times New Roman" w:cs="Times New Roman" w:eastAsia="Times New Roman" w:hAnsi="Times New Roman"/>
          <w:sz w:val="21"/>
          <w:szCs w:val="21"/>
          <w:color w:val="auto"/>
        </w:rPr>
        <w:t>”) to the Company requesting that such Holder not receive notice from the Company of any proposed Piggyback Registration; provided, however, that such Holder may later revoke any such Opt-Out Notice in writing. Following receipt of an Opt-Out Notice from a Holder (unless subsequently revoked), the Company shall not, and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120"/>
          </w:cols>
          <w:pgMar w:left="1440" w:top="1411" w:right="339" w:bottom="1440" w:gutter="0" w:footer="0" w:header="0"/>
        </w:sectPr>
      </w:pPr>
    </w:p>
    <w:bookmarkStart w:id="116" w:name="page117"/>
    <w:bookmarkEnd w:id="116"/>
    <w:p>
      <w:pPr>
        <w:ind w:left="560"/>
        <w:spacing w:after="0" w:line="290" w:lineRule="auto"/>
        <w:rPr>
          <w:sz w:val="20"/>
          <w:szCs w:val="20"/>
          <w:color w:val="auto"/>
        </w:rPr>
      </w:pPr>
      <w:r>
        <w:rPr>
          <w:rFonts w:ascii="Times New Roman" w:cs="Times New Roman" w:eastAsia="Times New Roman" w:hAnsi="Times New Roman"/>
          <w:sz w:val="21"/>
          <w:szCs w:val="21"/>
          <w:color w:val="auto"/>
        </w:rPr>
        <w:t xml:space="preserve">deliver any notice to such Holder pursuant to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such Holder shall no longer be entitled to participate in any Piggyback Registration.</w:t>
      </w:r>
    </w:p>
    <w:p>
      <w:pPr>
        <w:spacing w:after="0" w:line="135"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color w:val="010000"/>
        </w:rPr>
        <w:t xml:space="preserve">2.3 </w:t>
      </w:r>
      <w:r>
        <w:rPr>
          <w:rFonts w:ascii="Times New Roman" w:cs="Times New Roman" w:eastAsia="Times New Roman" w:hAnsi="Times New Roman"/>
          <w:sz w:val="21"/>
          <w:szCs w:val="21"/>
          <w:b w:val="1"/>
          <w:bCs w:val="1"/>
          <w:u w:val="single" w:color="auto"/>
          <w:color w:val="000000"/>
        </w:rPr>
        <w:t>Registration Procedures</w:t>
      </w:r>
      <w:r>
        <w:rPr>
          <w:rFonts w:ascii="Times New Roman" w:cs="Times New Roman" w:eastAsia="Times New Roman" w:hAnsi="Times New Roman"/>
          <w:sz w:val="21"/>
          <w:szCs w:val="21"/>
          <w:color w:val="000000"/>
        </w:rPr>
        <w:t>. In connection with the registration and sale of Registrable Securities pursuant to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Agreement, the Company will use its reasonable best efforts to effect the registration and the sale of such Registrable Securities in accordance with the intended method of disposition thereof, and pursuant thereto the Company will:</w:t>
      </w:r>
    </w:p>
    <w:p>
      <w:pPr>
        <w:spacing w:after="0" w:line="150" w:lineRule="exact"/>
        <w:rPr>
          <w:sz w:val="20"/>
          <w:szCs w:val="20"/>
          <w:color w:val="auto"/>
        </w:rPr>
      </w:pPr>
    </w:p>
    <w:p>
      <w:pPr>
        <w:ind w:left="560" w:firstLine="1295"/>
        <w:spacing w:after="0" w:line="290" w:lineRule="auto"/>
        <w:tabs>
          <w:tab w:leader="none" w:pos="236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Registration Statement is not automatically effective upon filing, use reasonable best efforts to cause such Registration Statement to become effective as promptly as reasonably practicable;</w:t>
      </w:r>
    </w:p>
    <w:p>
      <w:pPr>
        <w:spacing w:after="0" w:line="139" w:lineRule="exact"/>
        <w:rPr>
          <w:rFonts w:ascii="Times New Roman" w:cs="Times New Roman" w:eastAsia="Times New Roman" w:hAnsi="Times New Roman"/>
          <w:sz w:val="21"/>
          <w:szCs w:val="21"/>
          <w:color w:val="010000"/>
        </w:rPr>
      </w:pPr>
    </w:p>
    <w:p>
      <w:pPr>
        <w:jc w:val="both"/>
        <w:ind w:left="560" w:firstLine="1295"/>
        <w:spacing w:after="0" w:line="278" w:lineRule="auto"/>
        <w:tabs>
          <w:tab w:leader="none" w:pos="2363"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promptly 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151" w:lineRule="exact"/>
        <w:rPr>
          <w:rFonts w:ascii="Times New Roman" w:cs="Times New Roman" w:eastAsia="Times New Roman" w:hAnsi="Times New Roman"/>
          <w:sz w:val="21"/>
          <w:szCs w:val="21"/>
          <w:color w:val="010000"/>
        </w:rPr>
      </w:pPr>
    </w:p>
    <w:p>
      <w:pPr>
        <w:ind w:left="560" w:firstLine="1295"/>
        <w:spacing w:after="0" w:line="290" w:lineRule="auto"/>
        <w:tabs>
          <w:tab w:leader="none" w:pos="232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after the Registration Statement becomes effective, promptly notify each selling Holder of any request by the SEC that the Company amend or supplement such Registration Statement or Prospectus;</w:t>
      </w:r>
    </w:p>
    <w:p>
      <w:pPr>
        <w:spacing w:after="0" w:line="139" w:lineRule="exact"/>
        <w:rPr>
          <w:rFonts w:ascii="Times New Roman" w:cs="Times New Roman" w:eastAsia="Times New Roman" w:hAnsi="Times New Roman"/>
          <w:sz w:val="21"/>
          <w:szCs w:val="21"/>
          <w:color w:val="010000"/>
        </w:rPr>
      </w:pPr>
    </w:p>
    <w:p>
      <w:pPr>
        <w:jc w:val="both"/>
        <w:ind w:left="560" w:firstLine="1295"/>
        <w:spacing w:after="0" w:line="265" w:lineRule="auto"/>
        <w:tabs>
          <w:tab w:leader="none" w:pos="2323"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hereof;</w:t>
      </w:r>
    </w:p>
    <w:p>
      <w:pPr>
        <w:spacing w:after="0" w:line="166" w:lineRule="exact"/>
        <w:rPr>
          <w:rFonts w:ascii="Times New Roman" w:cs="Times New Roman" w:eastAsia="Times New Roman" w:hAnsi="Times New Roman"/>
          <w:sz w:val="21"/>
          <w:szCs w:val="21"/>
          <w:color w:val="010000"/>
        </w:rPr>
      </w:pPr>
    </w:p>
    <w:p>
      <w:pPr>
        <w:jc w:val="both"/>
        <w:ind w:left="560" w:firstLine="1295"/>
        <w:spacing w:after="0" w:line="269" w:lineRule="auto"/>
        <w:tabs>
          <w:tab w:leader="none" w:pos="232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furnish to the selling Holders such numbers of copies of such Registration Statement, each amendment and supplement thereto, each Prospectus (including each preliminary Prospectus and Prospectus supplement) and such other documents as the Holder and any underwriter(s) may reasonably request in order to facilitate the disposition of the Registrable Securities;</w:t>
      </w:r>
    </w:p>
    <w:p>
      <w:pPr>
        <w:spacing w:after="0" w:line="162" w:lineRule="exact"/>
        <w:rPr>
          <w:rFonts w:ascii="Times New Roman" w:cs="Times New Roman" w:eastAsia="Times New Roman" w:hAnsi="Times New Roman"/>
          <w:sz w:val="21"/>
          <w:szCs w:val="21"/>
          <w:color w:val="010000"/>
        </w:rPr>
      </w:pPr>
    </w:p>
    <w:p>
      <w:pPr>
        <w:jc w:val="both"/>
        <w:ind w:left="560" w:firstLine="1295"/>
        <w:spacing w:after="0" w:line="260" w:lineRule="auto"/>
        <w:tabs>
          <w:tab w:leader="none" w:pos="243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use its reasonable best efforts to register and qualify the Registrable Securities under such other securities or blue-sky laws of such jurisdictions as shall be reasonably requested by the Holders and any underwriter(s) and do any and all other acts and things that may be reasonably necessary or advisable to enable the Holders and any underwriter(s) to consummate the disposition of the Registrable Securities in such jurisdictions;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11" w:right="339" w:bottom="1440" w:gutter="0" w:footer="0" w:header="0"/>
        </w:sectPr>
      </w:pPr>
    </w:p>
    <w:bookmarkStart w:id="117" w:name="page118"/>
    <w:bookmarkEnd w:id="117"/>
    <w:p>
      <w:pPr>
        <w:jc w:val="both"/>
        <w:ind w:left="-9" w:firstLine="1295"/>
        <w:spacing w:after="0" w:line="271" w:lineRule="auto"/>
        <w:tabs>
          <w:tab w:leader="none" w:pos="1901"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172" w:lineRule="exact"/>
        <w:rPr>
          <w:rFonts w:ascii="Times New Roman" w:cs="Times New Roman" w:eastAsia="Times New Roman" w:hAnsi="Times New Roman"/>
          <w:sz w:val="21"/>
          <w:szCs w:val="21"/>
          <w:color w:val="010000"/>
        </w:rPr>
      </w:pPr>
    </w:p>
    <w:p>
      <w:pPr>
        <w:ind w:left="-9" w:firstLine="1295"/>
        <w:spacing w:after="0" w:line="290" w:lineRule="auto"/>
        <w:tabs>
          <w:tab w:leader="none" w:pos="1740"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provide a transfer agent and registrar for the Registrable Securities and provide a CUSIP number for all such Registrable Securities, in each case not later than the effective date of the Registration Statement;</w:t>
      </w:r>
    </w:p>
    <w:p>
      <w:pPr>
        <w:spacing w:after="0" w:line="139" w:lineRule="exact"/>
        <w:rPr>
          <w:rFonts w:ascii="Times New Roman" w:cs="Times New Roman" w:eastAsia="Times New Roman" w:hAnsi="Times New Roman"/>
          <w:sz w:val="21"/>
          <w:szCs w:val="21"/>
          <w:color w:val="010000"/>
        </w:rPr>
      </w:pPr>
    </w:p>
    <w:p>
      <w:pPr>
        <w:jc w:val="both"/>
        <w:ind w:left="-9" w:firstLine="1295"/>
        <w:spacing w:after="0" w:line="262" w:lineRule="auto"/>
        <w:tabs>
          <w:tab w:leader="none" w:pos="1826"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use its reasonable best efforts to furnish, on the date that Class A Shares representing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by the Company in an underwritten public offering, addressed to the underwriters,</w:t>
      </w:r>
    </w:p>
    <w:p>
      <w:pPr>
        <w:jc w:val="both"/>
        <w:ind w:left="-9" w:firstLine="9"/>
        <w:spacing w:after="0" w:line="256" w:lineRule="auto"/>
        <w:tabs>
          <w:tab w:leader="none" w:pos="32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letter dated as of such date, from the independent public accountants of the Company, in form and substance as is customarily given by independent public accountants to underwriters in an underwritten public offering, addressed to the underwriters and (iii) an engineers’ reserve report letter as of such date, from the independent petroleum engineers of the Company, in form and substance as is customarily given by independent petroleum engineers to underwriters in an underwritten public offering, addressed to the underwriters;</w:t>
      </w:r>
    </w:p>
    <w:p>
      <w:pPr>
        <w:spacing w:after="0" w:line="187" w:lineRule="exact"/>
        <w:rPr>
          <w:rFonts w:ascii="Times New Roman" w:cs="Times New Roman" w:eastAsia="Times New Roman" w:hAnsi="Times New Roman"/>
          <w:sz w:val="21"/>
          <w:szCs w:val="21"/>
          <w:color w:val="auto"/>
        </w:rPr>
      </w:pPr>
    </w:p>
    <w:p>
      <w:pPr>
        <w:jc w:val="both"/>
        <w:ind w:left="-9" w:firstLine="1295"/>
        <w:spacing w:after="0" w:line="262" w:lineRule="auto"/>
        <w:tabs>
          <w:tab w:leader="none" w:pos="1786"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requested by the Holders, cooperate with the Holders and the managing underwriter(s) (if any)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or the managing underwriter (if any) may request and keep available and make available to the Company’s transfer agent prior to the effectiveness of such Registration Statement a supply of such certificates;</w:t>
      </w:r>
    </w:p>
    <w:p>
      <w:pPr>
        <w:spacing w:after="0" w:line="172" w:lineRule="exact"/>
        <w:rPr>
          <w:rFonts w:ascii="Times New Roman" w:cs="Times New Roman" w:eastAsia="Times New Roman" w:hAnsi="Times New Roman"/>
          <w:sz w:val="21"/>
          <w:szCs w:val="21"/>
          <w:color w:val="010000"/>
        </w:rPr>
      </w:pPr>
    </w:p>
    <w:p>
      <w:pPr>
        <w:jc w:val="both"/>
        <w:ind w:left="-9" w:firstLine="1295"/>
        <w:spacing w:after="0" w:line="271" w:lineRule="auto"/>
        <w:tabs>
          <w:tab w:leader="none" w:pos="1901"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of any underwritten public offering, enter into and perform its obligations under an underwriting agreement, in form and substance as is customarily given by the Company to underwriters in an underwritten public offering, with the underwriter(s) of such offering;</w:t>
      </w:r>
    </w:p>
    <w:p>
      <w:pPr>
        <w:spacing w:after="0" w:line="159" w:lineRule="exact"/>
        <w:rPr>
          <w:rFonts w:ascii="Times New Roman" w:cs="Times New Roman" w:eastAsia="Times New Roman" w:hAnsi="Times New Roman"/>
          <w:sz w:val="21"/>
          <w:szCs w:val="21"/>
          <w:color w:val="010000"/>
        </w:rPr>
      </w:pPr>
    </w:p>
    <w:p>
      <w:pPr>
        <w:jc w:val="both"/>
        <w:ind w:left="-9" w:firstLine="1295"/>
        <w:spacing w:after="0" w:line="261" w:lineRule="auto"/>
        <w:tabs>
          <w:tab w:leader="none" w:pos="1840"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execution of confidentiality agreements in form and substance reasonably satisfactory to the Company,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reasonably requested (collectively, “</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and use reasonable best efforts to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671"/>
          </w:cols>
          <w:pgMar w:left="889" w:top="1411" w:right="339" w:bottom="1440" w:gutter="0" w:footer="0" w:header="0"/>
        </w:sectPr>
      </w:pPr>
    </w:p>
    <w:bookmarkStart w:id="118" w:name="page119"/>
    <w:bookmarkEnd w:id="118"/>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to conduct appropriate due diligence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Records that the Company determines, in good faith, to be confidential and that it notifies the selling Holders are confidential shall not be disclosed by the selling Holders unless the release of such Records is ordered pursuant to a subpoena or other order from a court of competent jurisdiction or is otherwise required by applicable law.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176" w:lineRule="exact"/>
        <w:rPr>
          <w:sz w:val="20"/>
          <w:szCs w:val="20"/>
          <w:color w:val="auto"/>
        </w:rPr>
      </w:pPr>
    </w:p>
    <w:p>
      <w:pPr>
        <w:jc w:val="both"/>
        <w:ind w:firstLine="1295"/>
        <w:spacing w:after="0" w:line="262" w:lineRule="auto"/>
        <w:tabs>
          <w:tab w:leader="none" w:pos="1849"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promptly notify the selling Holders and any underwriter(s)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172" w:lineRule="exact"/>
        <w:rPr>
          <w:rFonts w:ascii="Times New Roman" w:cs="Times New Roman" w:eastAsia="Times New Roman" w:hAnsi="Times New Roman"/>
          <w:sz w:val="21"/>
          <w:szCs w:val="21"/>
          <w:color w:val="010000"/>
        </w:rPr>
      </w:pPr>
    </w:p>
    <w:p>
      <w:pPr>
        <w:jc w:val="both"/>
        <w:ind w:firstLine="1295"/>
        <w:spacing w:after="0" w:line="258" w:lineRule="auto"/>
        <w:tabs>
          <w:tab w:leader="none" w:pos="1857"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promptly notify the selling Holders and any underwriter(s)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selling Holders shall deliver such amended, supplemental or revised Prospectus in connection with any offers or sales of Registrable Securities, and shall not deliver or use any Prospectus not so supplemented, amended or revised);</w:t>
      </w:r>
    </w:p>
    <w:p>
      <w:pPr>
        <w:spacing w:after="0" w:line="178" w:lineRule="exact"/>
        <w:rPr>
          <w:rFonts w:ascii="Times New Roman" w:cs="Times New Roman" w:eastAsia="Times New Roman" w:hAnsi="Times New Roman"/>
          <w:sz w:val="21"/>
          <w:szCs w:val="21"/>
          <w:color w:val="010000"/>
        </w:rPr>
      </w:pPr>
    </w:p>
    <w:p>
      <w:pPr>
        <w:jc w:val="both"/>
        <w:ind w:firstLine="1295"/>
        <w:spacing w:after="0" w:line="271" w:lineRule="auto"/>
        <w:tabs>
          <w:tab w:leader="none" w:pos="1883"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promptly notify the selling Holders and any underwriter(s) of the receipt by the Company of any notification with respect to the suspension of the qualification of any Registrable Securities for sale under the applicable securities or blue sky laws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680"/>
          </w:cols>
          <w:pgMar w:left="880" w:top="1411" w:right="339" w:bottom="1440" w:gutter="0" w:footer="0" w:header="0"/>
        </w:sectPr>
      </w:pPr>
    </w:p>
    <w:bookmarkStart w:id="119" w:name="page120"/>
    <w:bookmarkEnd w:id="119"/>
    <w:p>
      <w:pPr>
        <w:jc w:val="both"/>
        <w:ind w:left="-9" w:firstLine="1295"/>
        <w:spacing w:after="0" w:line="258" w:lineRule="auto"/>
        <w:tabs>
          <w:tab w:leader="none" w:pos="1807"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self-regulatory body or other body having jurisdiction, including any domestic or foreign securities exchange), in each case relating to such Registration Statement, and (ii) such number of copies of each Prospectus, including a preliminary Prospectus, and all amendments and supplements thereto and such other documents as any Holder or any underwriter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 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200" w:lineRule="exact"/>
        <w:rPr>
          <w:rFonts w:ascii="Times New Roman" w:cs="Times New Roman" w:eastAsia="Times New Roman" w:hAnsi="Times New Roman"/>
          <w:sz w:val="21"/>
          <w:szCs w:val="21"/>
          <w:color w:val="010000"/>
        </w:rPr>
      </w:pPr>
    </w:p>
    <w:p>
      <w:pPr>
        <w:spacing w:after="0" w:line="230" w:lineRule="exact"/>
        <w:rPr>
          <w:rFonts w:ascii="Times New Roman" w:cs="Times New Roman" w:eastAsia="Times New Roman" w:hAnsi="Times New Roman"/>
          <w:sz w:val="21"/>
          <w:szCs w:val="21"/>
          <w:color w:val="010000"/>
        </w:rPr>
      </w:pPr>
    </w:p>
    <w:p>
      <w:pPr>
        <w:jc w:val="both"/>
        <w:ind w:left="-9" w:firstLine="1295"/>
        <w:spacing w:after="0" w:line="271" w:lineRule="auto"/>
        <w:tabs>
          <w:tab w:leader="none" w:pos="1753"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take no direct or indirect action prohibited by Regulation M under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to the extent that any prohibition is applicable to the Company, the Company will take all reasonable action to make any such prohibition inapplicable;</w:t>
      </w:r>
    </w:p>
    <w:p>
      <w:pPr>
        <w:spacing w:after="0" w:line="172" w:lineRule="exact"/>
        <w:rPr>
          <w:rFonts w:ascii="Times New Roman" w:cs="Times New Roman" w:eastAsia="Times New Roman" w:hAnsi="Times New Roman"/>
          <w:sz w:val="21"/>
          <w:szCs w:val="21"/>
          <w:color w:val="010000"/>
        </w:rPr>
      </w:pPr>
    </w:p>
    <w:p>
      <w:pPr>
        <w:ind w:left="-9" w:firstLine="1295"/>
        <w:spacing w:after="0" w:line="290" w:lineRule="auto"/>
        <w:tabs>
          <w:tab w:leader="none" w:pos="1878"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take such other actions as are reasonably necessary in order to facilitate the disposition of such Registrable Securities; and</w:t>
      </w:r>
    </w:p>
    <w:p>
      <w:pPr>
        <w:spacing w:after="0" w:line="139" w:lineRule="exact"/>
        <w:rPr>
          <w:rFonts w:ascii="Times New Roman" w:cs="Times New Roman" w:eastAsia="Times New Roman" w:hAnsi="Times New Roman"/>
          <w:sz w:val="21"/>
          <w:szCs w:val="21"/>
          <w:color w:val="010000"/>
        </w:rPr>
      </w:pPr>
    </w:p>
    <w:p>
      <w:pPr>
        <w:jc w:val="both"/>
        <w:ind w:left="-9" w:firstLine="1295"/>
        <w:spacing w:after="0" w:line="262" w:lineRule="auto"/>
        <w:tabs>
          <w:tab w:leader="none" w:pos="1810"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other provision of this Agreement, the Company shall not be required to file a Registration Statement (or any amendment thereto) or effect a requested Underwritten Shelf Takedown (or, if the Company has filed a Shelf Registration Statement and has included Registrable Securities therein, the Company shall be entitled to suspend the offer and sale of Registrable Securities pursuant to such Registration Statement) for a period of up to 60 days if</w:t>
      </w:r>
    </w:p>
    <w:p>
      <w:pPr>
        <w:jc w:val="both"/>
        <w:ind w:left="-9" w:firstLine="9"/>
        <w:spacing w:after="0" w:line="257" w:lineRule="auto"/>
        <w:tabs>
          <w:tab w:leader="none" w:pos="28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the Shelf Registration Statement, (ii) the board of directors determines such registration would render the Company unable to comply with applicable securities laws or (iii) the board of directors determines such registration would require disclosure of material information that the Company has a bona fide business purpose for preserving as confidential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671"/>
          </w:cols>
          <w:pgMar w:left="889" w:top="1411"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1"/>
          <w:szCs w:val="21"/>
          <w:color w:val="auto"/>
        </w:rPr>
        <w:t>such period, a “</w:t>
      </w:r>
      <w:r>
        <w:rPr>
          <w:rFonts w:ascii="Times New Roman" w:cs="Times New Roman" w:eastAsia="Times New Roman" w:hAnsi="Times New Roman"/>
          <w:sz w:val="21"/>
          <w:szCs w:val="21"/>
          <w:u w:val="single" w:color="auto"/>
          <w:color w:val="auto"/>
        </w:rPr>
        <w:t>Blackout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no event shall any Blackout Period and/or Suspension Period collectively exceed an aggregate of 90 days in any 12-month period,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the Company shall not exercise its rights under this </w:t>
      </w:r>
      <w:r>
        <w:rPr>
          <w:rFonts w:ascii="Times New Roman" w:cs="Times New Roman" w:eastAsia="Times New Roman" w:hAnsi="Times New Roman"/>
          <w:sz w:val="21"/>
          <w:szCs w:val="21"/>
          <w:u w:val="single" w:color="auto"/>
          <w:color w:val="auto"/>
        </w:rPr>
        <w:t>Section 2.3(s)</w:t>
      </w:r>
      <w:r>
        <w:rPr>
          <w:rFonts w:ascii="Times New Roman" w:cs="Times New Roman" w:eastAsia="Times New Roman" w:hAnsi="Times New Roman"/>
          <w:sz w:val="21"/>
          <w:szCs w:val="21"/>
          <w:color w:val="auto"/>
        </w:rPr>
        <w:t xml:space="preserve"> during the period from April 1, 2025 through April 30, 2025.</w:t>
      </w:r>
    </w:p>
    <w:p>
      <w:pPr>
        <w:spacing w:after="0" w:line="169"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21"/>
          <w:szCs w:val="21"/>
          <w:color w:val="010000"/>
        </w:rPr>
        <w:t>2.4</w:t>
      </w:r>
      <w:r>
        <w:rPr>
          <w:sz w:val="20"/>
          <w:szCs w:val="20"/>
          <w:color w:val="auto"/>
        </w:rPr>
        <w:tab/>
      </w:r>
      <w:r>
        <w:rPr>
          <w:rFonts w:ascii="Times New Roman" w:cs="Times New Roman" w:eastAsia="Times New Roman" w:hAnsi="Times New Roman"/>
          <w:sz w:val="21"/>
          <w:szCs w:val="21"/>
          <w:b w:val="1"/>
          <w:bCs w:val="1"/>
          <w:u w:val="single" w:color="auto"/>
          <w:color w:val="auto"/>
        </w:rPr>
        <w:t>Suspension of Dispositions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1295"/>
        <w:spacing w:after="0" w:line="257" w:lineRule="auto"/>
        <w:tabs>
          <w:tab w:leader="none" w:pos="1844"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Holder agrees by acquisition of any Registrable Securities that, upon receipt of any notice (a “</w:t>
      </w:r>
      <w:r>
        <w:rPr>
          <w:rFonts w:ascii="Times New Roman" w:cs="Times New Roman" w:eastAsia="Times New Roman" w:hAnsi="Times New Roman"/>
          <w:sz w:val="21"/>
          <w:szCs w:val="21"/>
          <w:u w:val="single" w:color="auto"/>
          <w:color w:val="auto"/>
        </w:rPr>
        <w:t>Suspension Notice</w:t>
      </w:r>
      <w:r>
        <w:rPr>
          <w:rFonts w:ascii="Times New Roman" w:cs="Times New Roman" w:eastAsia="Times New Roman" w:hAnsi="Times New Roman"/>
          <w:sz w:val="21"/>
          <w:szCs w:val="21"/>
          <w:color w:val="auto"/>
        </w:rPr>
        <w:t xml:space="preserve">”) from the Company of the occurrence of any event of the kind described in </w:t>
      </w: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2.3(n)</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2.3(s)</w:t>
      </w:r>
      <w:r>
        <w:rPr>
          <w:rFonts w:ascii="Times New Roman" w:cs="Times New Roman" w:eastAsia="Times New Roman" w:hAnsi="Times New Roman"/>
          <w:sz w:val="21"/>
          <w:szCs w:val="21"/>
          <w:color w:val="auto"/>
        </w:rPr>
        <w:t>, such Holder will forthwith discontinue disposition of Registrable Securities pursuant to the Registration Statement until such Holder’s receipt of the copies of the supplemented or amended Prospectus, or until it is advised in writing (the “</w:t>
      </w:r>
      <w:r>
        <w:rPr>
          <w:rFonts w:ascii="Times New Roman" w:cs="Times New Roman" w:eastAsia="Times New Roman" w:hAnsi="Times New Roman"/>
          <w:sz w:val="21"/>
          <w:szCs w:val="21"/>
          <w:u w:val="single" w:color="auto"/>
          <w:color w:val="auto"/>
        </w:rPr>
        <w:t>Advice</w:t>
      </w:r>
      <w:r>
        <w:rPr>
          <w:rFonts w:ascii="Times New Roman" w:cs="Times New Roman" w:eastAsia="Times New Roman" w:hAnsi="Times New Roman"/>
          <w:sz w:val="21"/>
          <w:szCs w:val="21"/>
          <w:color w:val="auto"/>
        </w:rPr>
        <w:t xml:space="preserve">”) by the Company that the use of the Prospectus may be resumed, and has received copies of any additional or supplemental filings which are incorporated by reference in the Prospectus. The Company shall extend the period of time during which the Company is required to maintain the Registration Statement effective pursuant to this Agreement by the number of days during the period from and including the date of the giving of such Suspension Notice to and including the date such Holder either receives the supplemented or amended Prospectus or receives the Advice. If so directed by the Company, such Holder will deliver to the Company all copies, other than permanent file copies then in such Holder’s possession, of the Prospectus covering such Registrable Securities current at the time of receipt of such notice. The Company shall use its reasonable best efforts and take such actions as are reasonably necessary to render the Advice as promptly as practicable. The Holders acknowledge and agree that receipt of a Suspension Notice may constitute material non-public information regarding the Company and shall keep the existence and contents of any such Suspension Notice confidential. Any Underwritten Shelf Takedown which is suspended because of a Suspension Notice shall not be deemed to be a Demand Request for purposes of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unless and until a suspension pursuant to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is concluded and such Underwritten Shelf Takedown is completed.</w:t>
      </w:r>
    </w:p>
    <w:p>
      <w:pPr>
        <w:spacing w:after="0" w:line="183" w:lineRule="exact"/>
        <w:rPr>
          <w:rFonts w:ascii="Times New Roman" w:cs="Times New Roman" w:eastAsia="Times New Roman" w:hAnsi="Times New Roman"/>
          <w:sz w:val="21"/>
          <w:szCs w:val="21"/>
          <w:color w:val="010000"/>
        </w:rPr>
      </w:pPr>
    </w:p>
    <w:p>
      <w:pPr>
        <w:jc w:val="both"/>
        <w:ind w:firstLine="1295"/>
        <w:spacing w:after="0" w:line="259" w:lineRule="auto"/>
        <w:tabs>
          <w:tab w:leader="none" w:pos="1816"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Holder may deliver an Opt-Out Notice to the Company requesting that such Holder not receive notice from the Company of the proposed filing of any Underwritten Shelf Takedown, Piggyback Registration or the withdrawal of any Registration Statement related thereto or any event that would lead to a Suspension Period as contemplated by </w:t>
      </w: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Holder may later revoke any such Opt-Out Notice in writing. Following receipt of an Opt-Out Notice from a Holder (unless subsequently revoked), the Company shall not deliver any notice to such Holder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as applicable, and such Holder shall no longer be entitled to the rights associated with any such notice and each time prior to a Holder’s intended use of an effective Registration Statement, such Holder will notify the Company in writing at least two Business Days in advance of such intended use, and if a notice of a Suspension Period was previously delivered (or would have been delivered but for the provisions of this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and the Suspension Period remains in effect,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680"/>
          </w:cols>
          <w:pgMar w:left="880" w:top="1411" w:right="339" w:bottom="1440" w:gutter="0" w:footer="0" w:header="0"/>
        </w:sectPr>
      </w:pPr>
    </w:p>
    <w:bookmarkStart w:id="121" w:name="page122"/>
    <w:bookmarkEnd w:id="121"/>
    <w:p>
      <w:pPr>
        <w:jc w:val="both"/>
        <w:ind w:left="560"/>
        <w:spacing w:after="0" w:line="271" w:lineRule="auto"/>
        <w:rPr>
          <w:sz w:val="20"/>
          <w:szCs w:val="20"/>
          <w:color w:val="auto"/>
        </w:rPr>
      </w:pPr>
      <w:r>
        <w:rPr>
          <w:rFonts w:ascii="Times New Roman" w:cs="Times New Roman" w:eastAsia="Times New Roman" w:hAnsi="Times New Roman"/>
          <w:sz w:val="21"/>
          <w:szCs w:val="21"/>
          <w:color w:val="auto"/>
        </w:rPr>
        <w:t>Company will so notify such Holder, within one Business Day of such Holder’s notification to the Company, by delivering to such Holder a copy of such previous notice of such Suspension Period, and thereafter will provide such Holder with the related notice of the conclusion of such Suspension Period immediately upon its availability.</w:t>
      </w:r>
    </w:p>
    <w:p>
      <w:pPr>
        <w:spacing w:after="0" w:line="169"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010000"/>
        </w:rPr>
        <w:t xml:space="preserve">2.5 </w:t>
      </w:r>
      <w:r>
        <w:rPr>
          <w:rFonts w:ascii="Times New Roman" w:cs="Times New Roman" w:eastAsia="Times New Roman" w:hAnsi="Times New Roman"/>
          <w:sz w:val="21"/>
          <w:szCs w:val="21"/>
          <w:b w:val="1"/>
          <w:bCs w:val="1"/>
          <w:u w:val="single" w:color="auto"/>
          <w:color w:val="000000"/>
        </w:rPr>
        <w:t>Registration Expenses</w:t>
      </w:r>
      <w:r>
        <w:rPr>
          <w:rFonts w:ascii="Times New Roman" w:cs="Times New Roman" w:eastAsia="Times New Roman" w:hAnsi="Times New Roman"/>
          <w:sz w:val="21"/>
          <w:szCs w:val="21"/>
          <w:color w:val="000000"/>
        </w:rPr>
        <w:t>. All Registration Expenses shall be borne by the Company. In addition, for the avoidance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170"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2.6</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560" w:firstLine="1295"/>
        <w:spacing w:after="0" w:line="257" w:lineRule="auto"/>
        <w:tabs>
          <w:tab w:leader="none" w:pos="2351"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Times New Roman" w:cs="Times New Roman" w:eastAsia="Times New Roman" w:hAnsi="Times New Roman"/>
          <w:sz w:val="21"/>
          <w:szCs w:val="21"/>
          <w:u w:val="single" w:color="auto"/>
          <w:color w:val="auto"/>
        </w:rPr>
        <w:t>Seller Affiliates</w:t>
      </w:r>
      <w:r>
        <w:rPr>
          <w:rFonts w:ascii="Times New Roman" w:cs="Times New Roman" w:eastAsia="Times New Roman" w:hAnsi="Times New Roman"/>
          <w:sz w:val="21"/>
          <w:szCs w:val="21"/>
          <w:color w:val="auto"/>
        </w:rPr>
        <w:t xml:space="preserve">”) (i) against any and all losses, claims, damages, liabilities and expenses, joint or several (including, without limitation, attorneys’ fees and disbursements except as limited by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 based upon, (A) in the case of any Registration Statement, arising out of, related to or resulting from any untrue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or alleged untrue statement of a material fact or the omission or alleged omission to state therein a material fact necessary to make the statements made therein, in the light of the circumstances in which they were made,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11" w:right="339" w:bottom="1440" w:gutter="0" w:footer="0" w:header="0"/>
        </w:sectPr>
      </w:pPr>
    </w:p>
    <w:bookmarkStart w:id="122" w:name="page123"/>
    <w:bookmarkEnd w:id="122"/>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the Company in writing by such seller or any Seller Affiliate expressly for use therein. The reimbursements required by this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will be made by periodic payments during the course of the investigation or defense, as and when bills are received or expenses incurred.</w:t>
      </w:r>
    </w:p>
    <w:p>
      <w:pPr>
        <w:spacing w:after="0" w:line="173" w:lineRule="exact"/>
        <w:rPr>
          <w:sz w:val="20"/>
          <w:szCs w:val="20"/>
          <w:color w:val="auto"/>
        </w:rPr>
      </w:pPr>
    </w:p>
    <w:p>
      <w:pPr>
        <w:jc w:val="both"/>
        <w:ind w:firstLine="1295"/>
        <w:spacing w:after="0" w:line="256" w:lineRule="auto"/>
        <w:tabs>
          <w:tab w:leader="none" w:pos="1763"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 the Securities Act or the Exchange Act) against any and all losses, claims, damages, liabilities and expenses (including, without limitation, reasonable attorneys’ fees and disbursements except as limited by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 xml:space="preserve">) (A) in the case of any Registration Statement, arising out of, related to or resulting from any untrue statement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statement or alleged untrue statement of a material fact or the omission or alleged omission to state therein a material fact necessary to make the statements made therein, in the light of the circumstances in which they were made,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or Prospectus,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such liability will be limited to the net amount received by such seller from the sale of Registrable Securities pursuant to such Registration Statement.</w:t>
      </w:r>
    </w:p>
    <w:p>
      <w:pPr>
        <w:spacing w:after="0" w:line="200" w:lineRule="exact"/>
        <w:rPr>
          <w:rFonts w:ascii="Times New Roman" w:cs="Times New Roman" w:eastAsia="Times New Roman" w:hAnsi="Times New Roman"/>
          <w:sz w:val="21"/>
          <w:szCs w:val="21"/>
          <w:color w:val="010000"/>
        </w:rPr>
      </w:pPr>
    </w:p>
    <w:p>
      <w:pPr>
        <w:spacing w:after="0" w:line="252" w:lineRule="exact"/>
        <w:rPr>
          <w:rFonts w:ascii="Times New Roman" w:cs="Times New Roman" w:eastAsia="Times New Roman" w:hAnsi="Times New Roman"/>
          <w:sz w:val="21"/>
          <w:szCs w:val="21"/>
          <w:color w:val="010000"/>
        </w:rPr>
      </w:pPr>
    </w:p>
    <w:p>
      <w:pPr>
        <w:jc w:val="both"/>
        <w:ind w:firstLine="1295"/>
        <w:spacing w:after="0" w:line="262" w:lineRule="auto"/>
        <w:tabs>
          <w:tab w:leader="none" w:pos="2005"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Person entitled to indemnification hereunder shall have the right to employ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680"/>
          </w:cols>
          <w:pgMar w:left="880" w:top="1411"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21"/>
          <w:szCs w:val="21"/>
          <w:color w:val="auto"/>
        </w:rPr>
        <w:t>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77" w:lineRule="exact"/>
        <w:rPr>
          <w:sz w:val="20"/>
          <w:szCs w:val="20"/>
          <w:color w:val="auto"/>
        </w:rPr>
      </w:pPr>
    </w:p>
    <w:p>
      <w:pPr>
        <w:jc w:val="both"/>
        <w:ind w:firstLine="1295"/>
        <w:spacing w:after="0" w:line="257" w:lineRule="auto"/>
        <w:tabs>
          <w:tab w:leader="none" w:pos="1924"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party hereto agrees that, if for any reason the indemnification provisions contemplated by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 xml:space="preserve">, defending any such action or claim. Notwithstanding the provisions of this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no Holder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680"/>
          </w:cols>
          <w:pgMar w:left="880" w:top="1411" w:right="339" w:bottom="1440" w:gutter="0" w:footer="0" w:header="0"/>
        </w:sectPr>
      </w:pPr>
    </w:p>
    <w:bookmarkStart w:id="124" w:name="page125"/>
    <w:bookmarkEnd w:id="124"/>
    <w:p>
      <w:pPr>
        <w:jc w:val="both"/>
        <w:ind w:left="560"/>
        <w:spacing w:after="0" w:line="260" w:lineRule="auto"/>
        <w:rPr>
          <w:sz w:val="20"/>
          <w:szCs w:val="20"/>
          <w:color w:val="auto"/>
        </w:rPr>
      </w:pPr>
      <w:r>
        <w:rPr>
          <w:rFonts w:ascii="Times New Roman" w:cs="Times New Roman" w:eastAsia="Times New Roman" w:hAnsi="Times New Roman"/>
          <w:sz w:val="21"/>
          <w:szCs w:val="21"/>
          <w:color w:val="auto"/>
        </w:rPr>
        <w:t xml:space="preserve">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to contribute shall be several in proportion to the amount of Registrable Securities registered by them and not joint.</w:t>
      </w:r>
    </w:p>
    <w:p>
      <w:pPr>
        <w:spacing w:after="0" w:line="183"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auto"/>
        </w:rPr>
        <w:t xml:space="preserve">If indemnification is available under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 indemnifying parties shall indemnify each indemnified party to the full extent provided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subject, in the case of the Holders, to the limited dollar amounts set forth in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left="560" w:firstLine="1295"/>
        <w:spacing w:after="0" w:line="262" w:lineRule="auto"/>
        <w:tabs>
          <w:tab w:leader="none" w:pos="2378"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172" w:lineRule="exact"/>
        <w:rPr>
          <w:rFonts w:ascii="Times New Roman" w:cs="Times New Roman" w:eastAsia="Times New Roman" w:hAnsi="Times New Roman"/>
          <w:sz w:val="21"/>
          <w:szCs w:val="21"/>
          <w:color w:val="010000"/>
        </w:rPr>
      </w:pPr>
    </w:p>
    <w:p>
      <w:pPr>
        <w:jc w:val="both"/>
        <w:ind w:left="560" w:firstLine="1295"/>
        <w:spacing w:after="0" w:line="278" w:lineRule="auto"/>
        <w:tabs>
          <w:tab w:leader="none" w:pos="2327"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48"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010000"/>
        </w:rPr>
        <w:t xml:space="preserve">2.7 </w:t>
      </w:r>
      <w:r>
        <w:rPr>
          <w:rFonts w:ascii="Times New Roman" w:cs="Times New Roman" w:eastAsia="Times New Roman" w:hAnsi="Times New Roman"/>
          <w:sz w:val="21"/>
          <w:szCs w:val="21"/>
          <w:b w:val="1"/>
          <w:bCs w:val="1"/>
          <w:u w:val="single" w:color="auto"/>
          <w:color w:val="000000"/>
        </w:rPr>
        <w:t>Transfer of Registration Rights</w:t>
      </w:r>
      <w:r>
        <w:rPr>
          <w:rFonts w:ascii="Times New Roman" w:cs="Times New Roman" w:eastAsia="Times New Roman" w:hAnsi="Times New Roman"/>
          <w:sz w:val="21"/>
          <w:szCs w:val="21"/>
          <w:color w:val="000000"/>
        </w:rPr>
        <w:t>. The registration rights of a Holder under this Agreement with respect to 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Registrable Securities may be transferred or assigned to any purchaser or transferee of Registrable Securities;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(i) such Holder shall give the Company written notice prior to the time of such transfer stating the name and address of the transferee and identifying the securities with respect to which the rights under this Agreement are being transferred; (ii) such transferee shall agree in writing, in form and substance reasonably satisfactory to the Company, to be bound as a Holder by the provisions of this Agreement; and (iii) immediately following such transfer the further disposition of such securities by such transferee shall be restricted to the extent set forth under applicable law.</w:t>
      </w:r>
    </w:p>
    <w:p>
      <w:pPr>
        <w:spacing w:after="0" w:line="170"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color w:val="010000"/>
        </w:rPr>
        <w:t xml:space="preserve">2.8 </w:t>
      </w:r>
      <w:r>
        <w:rPr>
          <w:rFonts w:ascii="Times New Roman" w:cs="Times New Roman" w:eastAsia="Times New Roman" w:hAnsi="Times New Roman"/>
          <w:sz w:val="21"/>
          <w:szCs w:val="21"/>
          <w:b w:val="1"/>
          <w:bCs w:val="1"/>
          <w:u w:val="single" w:color="auto"/>
          <w:color w:val="000000"/>
        </w:rPr>
        <w:t>Free Writing Prospectuses</w:t>
      </w:r>
      <w:r>
        <w:rPr>
          <w:rFonts w:ascii="Times New Roman" w:cs="Times New Roman" w:eastAsia="Times New Roman" w:hAnsi="Times New Roman"/>
          <w:sz w:val="21"/>
          <w:szCs w:val="21"/>
          <w:b w:val="1"/>
          <w:bCs w:val="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Company shall not permit any officer, director, underwriter, broker or any other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person acting on behalf of the Company to use any free writing prospectus (as defined in Rule 405 under the Securities Act) in connection with any registration statement covering Registrable Securities, without the prior written consent of each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11" w:right="339" w:bottom="1440" w:gutter="0" w:footer="0" w:header="0"/>
        </w:sectPr>
      </w:pPr>
    </w:p>
    <w:bookmarkStart w:id="125" w:name="page126"/>
    <w:bookmarkEnd w:id="125"/>
    <w:p>
      <w:pPr>
        <w:jc w:val="both"/>
        <w:spacing w:after="0" w:line="271" w:lineRule="auto"/>
        <w:rPr>
          <w:sz w:val="20"/>
          <w:szCs w:val="20"/>
          <w:color w:val="auto"/>
        </w:rPr>
      </w:pPr>
      <w:r>
        <w:rPr>
          <w:rFonts w:ascii="Times New Roman" w:cs="Times New Roman" w:eastAsia="Times New Roman" w:hAnsi="Times New Roman"/>
          <w:sz w:val="21"/>
          <w:szCs w:val="21"/>
          <w:color w:val="auto"/>
        </w:rPr>
        <w:t>Holder and any underwriter. No Holder shall, or permit any officer, manager, underwriter, broker or any other person acting on behalf of such Holder to use any free-writing prospectus in connection with any registration statement covering Registrable Securities, without the prior written consent of the Company.</w:t>
      </w:r>
    </w:p>
    <w:p>
      <w:pPr>
        <w:spacing w:after="0" w:line="169"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21"/>
          <w:szCs w:val="21"/>
          <w:color w:val="010000"/>
        </w:rPr>
        <w:t xml:space="preserve">2.9 </w:t>
      </w:r>
      <w:r>
        <w:rPr>
          <w:rFonts w:ascii="Times New Roman" w:cs="Times New Roman" w:eastAsia="Times New Roman" w:hAnsi="Times New Roman"/>
          <w:sz w:val="21"/>
          <w:szCs w:val="21"/>
          <w:b w:val="1"/>
          <w:bCs w:val="1"/>
          <w:u w:val="single" w:color="auto"/>
          <w:color w:val="000000"/>
        </w:rPr>
        <w:t>Current Public Information</w:t>
      </w:r>
      <w:r>
        <w:rPr>
          <w:rFonts w:ascii="Times New Roman" w:cs="Times New Roman" w:eastAsia="Times New Roman" w:hAnsi="Times New Roman"/>
          <w:sz w:val="21"/>
          <w:szCs w:val="21"/>
          <w:color w:val="000000"/>
        </w:rPr>
        <w:t>. With a view to making available to the Holders of Registrable Securities the benefits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Rule 144 and Rule 144A promulgated under the Securities Act and other rules and regulations of the SEC that may at any time permit a Holder of Registrable Securities to sell securities of the Company to the public without registration, the Company covenants that it will (a) for as long as the Class A Shares are registered pursuant to Section 12(b), Section 12(g) or Section 15(d) of the Exchange Act, use its reasonable best efforts to file in a timely manner all reports and other documents required, if any, to be filed by it under the Securities Act and the Exchange Act and the rules and regulations adopted thereunder and (b) if it is not required to file such reports, make available information necessary to comply with Rule 144 and Rule 144A, if available with respect to resales of the Registrable Securities under the Securities Act, at all times, all to the extent required from time to time to enable such Holder to sell Registrable Securities to the public without registration under the Securities Act within the limitation of the exemptions provided by (i) Rule 144 and Rule 144A promulgated under the Securities Act (if available with respect to resales of the Registrable Securities), as such rules may be amended from time to time or (ii) any other rules or regulations now existing or hereafter adopted by the SEC.</w:t>
      </w:r>
    </w:p>
    <w:p>
      <w:pPr>
        <w:spacing w:after="0" w:line="179" w:lineRule="exact"/>
        <w:rPr>
          <w:sz w:val="20"/>
          <w:szCs w:val="20"/>
          <w:color w:val="auto"/>
        </w:rPr>
      </w:pPr>
    </w:p>
    <w:p>
      <w:pPr>
        <w:jc w:val="both"/>
        <w:ind w:firstLine="643"/>
        <w:spacing w:after="0" w:line="257" w:lineRule="auto"/>
        <w:rPr>
          <w:sz w:val="20"/>
          <w:szCs w:val="20"/>
          <w:color w:val="auto"/>
        </w:rPr>
      </w:pPr>
      <w:r>
        <w:rPr>
          <w:rFonts w:ascii="Times New Roman" w:cs="Times New Roman" w:eastAsia="Times New Roman" w:hAnsi="Times New Roman"/>
          <w:sz w:val="21"/>
          <w:szCs w:val="21"/>
          <w:color w:val="010000"/>
        </w:rPr>
        <w:t xml:space="preserve">2.10 </w:t>
      </w:r>
      <w:r>
        <w:rPr>
          <w:rFonts w:ascii="Times New Roman" w:cs="Times New Roman" w:eastAsia="Times New Roman" w:hAnsi="Times New Roman"/>
          <w:sz w:val="21"/>
          <w:szCs w:val="21"/>
          <w:b w:val="1"/>
          <w:bCs w:val="1"/>
          <w:u w:val="single" w:color="auto"/>
          <w:color w:val="000000"/>
        </w:rPr>
        <w:t>Company Obligations Regarding Transfers</w:t>
      </w:r>
      <w:r>
        <w:rPr>
          <w:rFonts w:ascii="Times New Roman" w:cs="Times New Roman" w:eastAsia="Times New Roman" w:hAnsi="Times New Roman"/>
          <w:sz w:val="21"/>
          <w:szCs w:val="21"/>
          <w:b w:val="1"/>
          <w:bCs w:val="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Company shall instruct the transfer agent to remove any legend,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notation or similar designation restricting transferability of the Registrable Securities from the certificates or book-entries evidencing Registrable Securities if (a) such Class A Share is sold pursuant to an effective registration statement under the Securities Act; (b) a registration statement covering the resale of such Class A Shares is effective under the Securities Act and the applicable Holder delivers to the Company a representation and/or “will comply” letter, as applicable, reasonably acceptable to the Company; (c) such Class A Share is sold or transferred pursuant to Rule 144 or (d) such Class A Share is eligible for sale under Rule 144 without the requirement that the Company has complied with the public reporting requirements of the Exchange Act. Each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including a certification that the holder is not an Affiliate of the Company (and a covenant to inform the Company if it should thereafter become an Affiliate and to consent to exchange any certificates or instruments representing the Class A Share for ones bearing an appropriate restrictive legend) and regarding the length of time the Class A Share has been held. Any fees of the Company, the transfer agent and Company counsel associated with the issuance of any legal opinion required by the Company’s transfer agent or the removal of such legend shall be borne by the Company.</w:t>
      </w:r>
    </w:p>
    <w:p>
      <w:pPr>
        <w:spacing w:after="0" w:line="192" w:lineRule="exact"/>
        <w:rPr>
          <w:sz w:val="20"/>
          <w:szCs w:val="20"/>
          <w:color w:val="auto"/>
        </w:rPr>
      </w:pPr>
    </w:p>
    <w:p>
      <w:pPr>
        <w:jc w:val="both"/>
        <w:ind w:firstLine="643"/>
        <w:spacing w:after="0" w:line="293" w:lineRule="auto"/>
        <w:rPr>
          <w:sz w:val="20"/>
          <w:szCs w:val="20"/>
          <w:color w:val="auto"/>
        </w:rPr>
      </w:pPr>
      <w:r>
        <w:rPr>
          <w:rFonts w:ascii="Times New Roman" w:cs="Times New Roman" w:eastAsia="Times New Roman" w:hAnsi="Times New Roman"/>
          <w:sz w:val="21"/>
          <w:szCs w:val="21"/>
          <w:color w:val="010000"/>
        </w:rPr>
        <w:t xml:space="preserve">2.11 </w:t>
      </w:r>
      <w:r>
        <w:rPr>
          <w:rFonts w:ascii="Times New Roman" w:cs="Times New Roman" w:eastAsia="Times New Roman" w:hAnsi="Times New Roman"/>
          <w:sz w:val="21"/>
          <w:szCs w:val="21"/>
          <w:b w:val="1"/>
          <w:bCs w:val="1"/>
          <w:u w:val="single" w:color="auto"/>
          <w:color w:val="000000"/>
        </w:rPr>
        <w:t>No Conflict of Rights</w:t>
      </w:r>
      <w:r>
        <w:rPr>
          <w:rFonts w:ascii="Times New Roman" w:cs="Times New Roman" w:eastAsia="Times New Roman" w:hAnsi="Times New Roman"/>
          <w:sz w:val="21"/>
          <w:szCs w:val="21"/>
          <w:color w:val="000000"/>
        </w:rPr>
        <w:t>. The Company represents and warrants that except for the Existing Registration Rights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Agreements, it is not subject to any registration rights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11"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21"/>
          <w:szCs w:val="21"/>
          <w:color w:val="auto"/>
        </w:rPr>
        <w:t>superior to, inconsistent with or that in any way violate or subordinate the rights granted to the Holders hereby. The Company shall not, prior to the termination of this Agreement, grant any registration rights that conflict with, or would prevent the Company from performing, the rights granted to the Holders hereby. Other than as set forth in this Agreement, to the extent the Company enters into any agreement that would allow any holder of Class A Shares to include such Class A Share</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21"/>
          <w:szCs w:val="21"/>
          <w:color w:val="auto"/>
        </w:rPr>
        <w:t xml:space="preserve"> in any Registration Statement or Underwritten Shelf Takedown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 such other agreement shall provide for the Holders to have reciprocal piggyback rights with respect to any demand registrations or underwritten offerings thereunder. In addition, until October 1, 2026, to the extent the Company grants any registration rights in respect of Class A Shares or other securities of the Company that are superior or more favorable to any person relative to the registration rights of any Holder pursuant to this Agreement, such superior or more favorable rights or terms shall be automatically deemed to have been granted to the Holders of Registrable Securities hereunder, and the Company will promptly prepare and execute such documents to reflect the benefit of such superior or more favorable rights of the Holders with respect to their Registrable Securities. For the avoidance of doubt, if a holder of registration rights receives a greater number of demand rights than the Holders are entitled to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no Holder shall be entitled to receive additional demand rights pursuant to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 xml:space="preserve">ARTICLE III </w:t>
      </w:r>
      <w:r>
        <w:rPr>
          <w:rFonts w:ascii="Times New Roman" w:cs="Times New Roman" w:eastAsia="Times New Roman" w:hAnsi="Times New Roman"/>
          <w:sz w:val="21"/>
          <w:szCs w:val="21"/>
          <w:b w:val="1"/>
          <w:bCs w:val="1"/>
          <w:color w:val="000000"/>
        </w:rPr>
        <w:t>- TERMINATION</w:t>
      </w:r>
    </w:p>
    <w:p>
      <w:pPr>
        <w:spacing w:after="0" w:line="241" w:lineRule="exact"/>
        <w:rPr>
          <w:sz w:val="20"/>
          <w:szCs w:val="20"/>
          <w:color w:val="auto"/>
        </w:rPr>
      </w:pPr>
    </w:p>
    <w:p>
      <w:pPr>
        <w:jc w:val="both"/>
        <w:ind w:firstLine="643"/>
        <w:spacing w:after="0" w:line="293"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b w:val="1"/>
          <w:bCs w:val="1"/>
          <w:u w:val="single" w:color="auto"/>
          <w:color w:val="000000"/>
        </w:rPr>
        <w:t>Termination</w:t>
      </w:r>
      <w:r>
        <w:rPr>
          <w:rFonts w:ascii="Times New Roman" w:cs="Times New Roman" w:eastAsia="Times New Roman" w:hAnsi="Times New Roman"/>
          <w:sz w:val="21"/>
          <w:szCs w:val="21"/>
          <w:color w:val="000000"/>
        </w:rPr>
        <w:t>. The provisions of this Agreement shall terminate and be of no further force and effect when 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Registrable Securities held by the Holders no longer constitute Registrable Securities.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 xml:space="preserve">ARTICLE IV </w:t>
      </w:r>
      <w:r>
        <w:rPr>
          <w:rFonts w:ascii="Times New Roman" w:cs="Times New Roman" w:eastAsia="Times New Roman" w:hAnsi="Times New Roman"/>
          <w:sz w:val="21"/>
          <w:szCs w:val="21"/>
          <w:b w:val="1"/>
          <w:bCs w:val="1"/>
          <w:color w:val="000000"/>
        </w:rPr>
        <w:t>- MISCELLANEOUS</w:t>
      </w:r>
    </w:p>
    <w:p>
      <w:pPr>
        <w:spacing w:after="0" w:line="227"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color w:val="010000"/>
        </w:rPr>
        <w:t xml:space="preserve">4.1 </w:t>
      </w:r>
      <w:r>
        <w:rPr>
          <w:rFonts w:ascii="Times New Roman" w:cs="Times New Roman" w:eastAsia="Times New Roman" w:hAnsi="Times New Roman"/>
          <w:sz w:val="21"/>
          <w:szCs w:val="21"/>
          <w:b w:val="1"/>
          <w:bCs w:val="1"/>
          <w:u w:val="single" w:color="auto"/>
          <w:color w:val="000000"/>
        </w:rPr>
        <w:t>Notices</w:t>
      </w:r>
      <w:r>
        <w:rPr>
          <w:rFonts w:ascii="Times New Roman" w:cs="Times New Roman" w:eastAsia="Times New Roman" w:hAnsi="Times New Roman"/>
          <w:sz w:val="21"/>
          <w:szCs w:val="21"/>
          <w:color w:val="000000"/>
        </w:rPr>
        <w:t>. Any notice or other communication required or permitted hereunder shall be in writing and shall be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delivered by hand, by electronic mail transmission, or by certified or registered mail, postage prepaid and return receipt requested. Notices shall be deemed to have been given upon delivery, if delivered by hand, three days after mailing, if mailed, and upon receipt of an appropriate electronic confirmation, if delivered by electronic mail transmission. Notices shall be delivered to the parties at the addresses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11" w:right="3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Viper Energy,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 W. Texas Ste. 1200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Midland, Texas 79701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mzmigrosky@diamondbackenergy.com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Matthew Zmigrosky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wkrueger@diamondbackenergy.com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Will Krueger</w:t>
      </w:r>
    </w:p>
    <w:p>
      <w:pPr>
        <w:spacing w:after="0" w:line="200" w:lineRule="exact"/>
        <w:rPr>
          <w:sz w:val="20"/>
          <w:szCs w:val="20"/>
          <w:color w:val="auto"/>
        </w:rPr>
      </w:pPr>
    </w:p>
    <w:p>
      <w:pPr>
        <w:sectPr>
          <w:pgSz w:w="11900" w:h="16838" w:orient="portrait"/>
          <w:cols w:equalWidth="0" w:num="2">
            <w:col w:w="4640" w:space="720"/>
            <w:col w:w="5880"/>
          </w:cols>
          <w:pgMar w:left="320" w:top="1438" w:right="339" w:bottom="1440" w:gutter="0" w:footer="0" w:header="0"/>
        </w:sectPr>
      </w:pPr>
    </w:p>
    <w:p>
      <w:pPr>
        <w:spacing w:after="0" w:line="83" w:lineRule="exact"/>
        <w:rPr>
          <w:sz w:val="20"/>
          <w:szCs w:val="20"/>
          <w:color w:val="auto"/>
        </w:rPr>
      </w:pPr>
    </w:p>
    <w:p>
      <w:pPr>
        <w:ind w:left="20" w:right="1060"/>
        <w:spacing w:after="0" w:line="303" w:lineRule="auto"/>
        <w:rPr>
          <w:sz w:val="20"/>
          <w:szCs w:val="20"/>
          <w:color w:val="auto"/>
        </w:rPr>
      </w:pPr>
      <w:r>
        <w:rPr>
          <w:rFonts w:ascii="Times New Roman" w:cs="Times New Roman" w:eastAsia="Times New Roman" w:hAnsi="Times New Roman"/>
          <w:sz w:val="21"/>
          <w:szCs w:val="21"/>
          <w:color w:val="auto"/>
        </w:rPr>
        <w:t>With copies to (which shall not constitute notice):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Akin Gump Strauss Hauer &amp; Feld LLP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 Louisiana Street, 44th Floor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Houston, Texas 77002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jgoodgame@akingump.com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John Goodgame</w:t>
      </w:r>
    </w:p>
    <w:p>
      <w:pPr>
        <w:spacing w:after="0" w:line="200" w:lineRule="exact"/>
        <w:rPr>
          <w:sz w:val="20"/>
          <w:szCs w:val="20"/>
          <w:color w:val="auto"/>
        </w:rPr>
      </w:pPr>
    </w:p>
    <w:p>
      <w:pPr>
        <w:sectPr>
          <w:pgSz w:w="11900" w:h="16838" w:orient="portrait"/>
          <w:cols w:equalWidth="0" w:num="2">
            <w:col w:w="4640" w:space="720"/>
            <w:col w:w="5880"/>
          </w:cols>
          <w:pgMar w:left="320" w:top="1438" w:right="339" w:bottom="1440" w:gutter="0" w:footer="0" w:header="0"/>
          <w:type w:val="continuous"/>
        </w:sectPr>
      </w:pP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If to any Holder, at its address listed on the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signature pages hereof.</w:t>
      </w:r>
    </w:p>
    <w:p>
      <w:pPr>
        <w:sectPr>
          <w:pgSz w:w="11900" w:h="16838" w:orient="portrait"/>
          <w:cols w:equalWidth="0" w:num="1">
            <w:col w:w="11240"/>
          </w:cols>
          <w:pgMar w:left="320" w:top="1438" w:right="339" w:bottom="1440" w:gutter="0" w:footer="0" w:header="0"/>
          <w:type w:val="continuous"/>
        </w:sectPr>
      </w:pPr>
    </w:p>
    <w:p>
      <w:pPr>
        <w:spacing w:after="0" w:line="323"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auto"/>
        </w:rPr>
        <w:t>Any party may from time to time change its address or designee for notification purposes by giving the other parties prior notice in the manner specified above of the new address or the new designee and the subsequent date upon which the change shall be effective.</w:t>
      </w:r>
    </w:p>
    <w:p>
      <w:pPr>
        <w:spacing w:after="0" w:line="155"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4.2</w:t>
      </w:r>
      <w:r>
        <w:rPr>
          <w:sz w:val="20"/>
          <w:szCs w:val="20"/>
          <w:color w:val="auto"/>
        </w:rPr>
        <w:tab/>
      </w:r>
      <w:r>
        <w:rPr>
          <w:rFonts w:ascii="Times New Roman" w:cs="Times New Roman" w:eastAsia="Times New Roman" w:hAnsi="Times New Roman"/>
          <w:sz w:val="21"/>
          <w:szCs w:val="21"/>
          <w:b w:val="1"/>
          <w:bCs w:val="1"/>
          <w:u w:val="single" w:color="auto"/>
          <w:color w:val="auto"/>
        </w:rPr>
        <w:t>Choice of Law; Exclusive Jurisdiction; Waiver of Jury Trial</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560" w:firstLine="1295"/>
        <w:spacing w:after="0" w:line="278" w:lineRule="auto"/>
        <w:tabs>
          <w:tab w:leader="none" w:pos="2351"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shall be constructed, interpreted and enforced in accordance with, and the respective rights and obligations of the parties shall be governed by, the laws of the State of Delaware without regard to principles of conflicts of law.</w:t>
      </w:r>
    </w:p>
    <w:p>
      <w:pPr>
        <w:spacing w:after="0" w:line="151" w:lineRule="exact"/>
        <w:rPr>
          <w:rFonts w:ascii="Times New Roman" w:cs="Times New Roman" w:eastAsia="Times New Roman" w:hAnsi="Times New Roman"/>
          <w:sz w:val="21"/>
          <w:szCs w:val="21"/>
          <w:color w:val="010000"/>
        </w:rPr>
      </w:pPr>
    </w:p>
    <w:p>
      <w:pPr>
        <w:jc w:val="both"/>
        <w:ind w:left="560" w:firstLine="1295"/>
        <w:spacing w:after="0" w:line="258" w:lineRule="auto"/>
        <w:tabs>
          <w:tab w:leader="none" w:pos="2443"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actions and proceedings for the enforcement of or based on, arising out of or relating to this Agreement shall be heard and determined exclusively in the Delaware Court of Chancery (or, only if the Delaware Court of Chancery declines to accept jurisdiction over the particular matter, any other court of the State of Delaware, or any federal court sitting in the State of Delaware), and each of the parties hereto hereby (i) irrevocably submits to the exclusive jurisdiction of such courts (and, in the case of appeals, appropriate appellate courts therefrom) in any such action or proceeding, (ii) irrevocably waives the defense of an inconvenient forum to the maintenance of any such action or proceeding, (iii) agrees that it shall not bring any such action in any court other than the Court of Chancery of the State of Delaware (or, only if the Delaware Court of Chancery declines to accept jurisdiction over the particular matter, any other court of the State of Delaware, or any federal court sitting in the State of Delaware), and (iv) irrevocably consents to service of process by first class certified mail, return receipt requested, postage prepaid, to the address at which the Company or Holder, as the case may be, is to receive notice in accordance with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The parties hereto agree that a final judgment in any such action or proceeding shall be conclusive and may be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38" w:right="339" w:bottom="1440" w:gutter="0" w:footer="0" w:header="0"/>
          <w:type w:val="continuous"/>
        </w:sectPr>
      </w:pPr>
    </w:p>
    <w:bookmarkStart w:id="128" w:name="page129"/>
    <w:bookmarkEnd w:id="128"/>
    <w:p>
      <w:pPr>
        <w:ind w:left="560"/>
        <w:spacing w:after="0"/>
        <w:rPr>
          <w:sz w:val="20"/>
          <w:szCs w:val="20"/>
          <w:color w:val="auto"/>
        </w:rPr>
      </w:pPr>
      <w:r>
        <w:rPr>
          <w:rFonts w:ascii="Times New Roman" w:cs="Times New Roman" w:eastAsia="Times New Roman" w:hAnsi="Times New Roman"/>
          <w:sz w:val="21"/>
          <w:szCs w:val="21"/>
          <w:color w:val="auto"/>
        </w:rPr>
        <w:t>in other jurisdictions by suit on the judgment or in any other manner provided by applicable law.</w:t>
      </w:r>
    </w:p>
    <w:p>
      <w:pPr>
        <w:spacing w:after="0" w:line="227" w:lineRule="exact"/>
        <w:rPr>
          <w:sz w:val="20"/>
          <w:szCs w:val="20"/>
          <w:color w:val="auto"/>
        </w:rPr>
      </w:pPr>
    </w:p>
    <w:p>
      <w:pPr>
        <w:ind w:left="560" w:firstLine="1295"/>
        <w:spacing w:after="0" w:line="290" w:lineRule="auto"/>
        <w:tabs>
          <w:tab w:leader="none" w:pos="2391"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 hereto hereby irrevocably waives any and all rights to trial by jury in any legal proceeding arising out of or related to this Agreement.</w:t>
      </w:r>
    </w:p>
    <w:p>
      <w:pPr>
        <w:spacing w:after="0" w:line="14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21"/>
          <w:szCs w:val="21"/>
          <w:color w:val="010000"/>
        </w:rPr>
        <w:t xml:space="preserve">4.3 </w:t>
      </w:r>
      <w:r>
        <w:rPr>
          <w:rFonts w:ascii="Times New Roman" w:cs="Times New Roman" w:eastAsia="Times New Roman" w:hAnsi="Times New Roman"/>
          <w:sz w:val="21"/>
          <w:szCs w:val="21"/>
          <w:b w:val="1"/>
          <w:bCs w:val="1"/>
          <w:u w:val="single" w:color="auto"/>
          <w:color w:val="000000"/>
        </w:rPr>
        <w:t>No Third-Party Beneficiaries</w:t>
      </w:r>
      <w:r>
        <w:rPr>
          <w:rFonts w:ascii="Times New Roman" w:cs="Times New Roman" w:eastAsia="Times New Roman" w:hAnsi="Times New Roman"/>
          <w:sz w:val="21"/>
          <w:szCs w:val="21"/>
          <w:color w:val="000000"/>
        </w:rPr>
        <w:t>. This Agreement is for the sole benefit of the parties hereto and their respective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the parties hereto hereby acknowledge that the Persons set forth in </w:t>
      </w:r>
      <w:r>
        <w:rPr>
          <w:rFonts w:ascii="Times New Roman" w:cs="Times New Roman" w:eastAsia="Times New Roman" w:hAnsi="Times New Roman"/>
          <w:sz w:val="21"/>
          <w:szCs w:val="21"/>
          <w:u w:val="single" w:color="auto"/>
          <w:color w:val="000000"/>
        </w:rPr>
        <w:t>Section 2.6</w:t>
      </w:r>
      <w:r>
        <w:rPr>
          <w:rFonts w:ascii="Times New Roman" w:cs="Times New Roman" w:eastAsia="Times New Roman" w:hAnsi="Times New Roman"/>
          <w:sz w:val="21"/>
          <w:szCs w:val="21"/>
          <w:color w:val="000000"/>
        </w:rPr>
        <w:t xml:space="preserve"> are express third-party beneficiaries of the obligations of the parties hereto set forth in </w:t>
      </w:r>
      <w:r>
        <w:rPr>
          <w:rFonts w:ascii="Times New Roman" w:cs="Times New Roman" w:eastAsia="Times New Roman" w:hAnsi="Times New Roman"/>
          <w:sz w:val="21"/>
          <w:szCs w:val="21"/>
          <w:u w:val="single" w:color="auto"/>
          <w:color w:val="000000"/>
        </w:rPr>
        <w:t>Section 2.6</w:t>
      </w:r>
      <w:r>
        <w:rPr>
          <w:rFonts w:ascii="Times New Roman" w:cs="Times New Roman" w:eastAsia="Times New Roman" w:hAnsi="Times New Roman"/>
          <w:sz w:val="21"/>
          <w:szCs w:val="21"/>
          <w:color w:val="000000"/>
        </w:rPr>
        <w:t>.</w:t>
      </w:r>
    </w:p>
    <w:p>
      <w:pPr>
        <w:spacing w:after="0" w:line="177" w:lineRule="exact"/>
        <w:rPr>
          <w:sz w:val="20"/>
          <w:szCs w:val="20"/>
          <w:color w:val="auto"/>
        </w:rPr>
      </w:pPr>
    </w:p>
    <w:p>
      <w:pPr>
        <w:jc w:val="both"/>
        <w:ind w:firstLine="643"/>
        <w:spacing w:after="0" w:line="259" w:lineRule="auto"/>
        <w:rPr>
          <w:sz w:val="20"/>
          <w:szCs w:val="20"/>
          <w:color w:val="auto"/>
        </w:rPr>
      </w:pPr>
      <w:r>
        <w:rPr>
          <w:rFonts w:ascii="Times New Roman" w:cs="Times New Roman" w:eastAsia="Times New Roman" w:hAnsi="Times New Roman"/>
          <w:sz w:val="21"/>
          <w:szCs w:val="21"/>
          <w:color w:val="010000"/>
        </w:rPr>
        <w:t xml:space="preserve">4.4 </w:t>
      </w:r>
      <w:r>
        <w:rPr>
          <w:rFonts w:ascii="Times New Roman" w:cs="Times New Roman" w:eastAsia="Times New Roman" w:hAnsi="Times New Roman"/>
          <w:sz w:val="21"/>
          <w:szCs w:val="21"/>
          <w:b w:val="1"/>
          <w:bCs w:val="1"/>
          <w:u w:val="single" w:color="auto"/>
          <w:color w:val="000000"/>
        </w:rPr>
        <w:t>Successors and Assigns</w:t>
      </w:r>
      <w:r>
        <w:rPr>
          <w:rFonts w:ascii="Times New Roman" w:cs="Times New Roman" w:eastAsia="Times New Roman" w:hAnsi="Times New Roman"/>
          <w:sz w:val="21"/>
          <w:szCs w:val="21"/>
          <w:color w:val="000000"/>
        </w:rPr>
        <w:t>. Except as otherwise expressly provided herein, this Agreement shall be binding upon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benefit the Company, each Holder and their respective successors and assigns. The Company shall not, directly or indirectly, enter into any merger, consolidation or reorganization in which the Company shall not be the surviving entity unless the surviving entity shall, prior to such merger, consolidation or reorganization, agree in writing to assume the obligations of the Company under this Agreement, and for that purpose references hereunder to “Registrable Securities” shall be deemed to include the common equity interests or other securities, if any, which the Holders would be entitled to receive in exchange for Registrable Securities under any such merger, consolidation or reorganization,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to the extent the Holders receive securities that are by their terms convertible into common equity interests of the issuer thereof, then any such common equity interests as are issued or issuable upon conversion of said convertible securities shall be included within the definition of “Registrable Securities.”</w:t>
      </w:r>
    </w:p>
    <w:p>
      <w:pPr>
        <w:spacing w:after="0" w:line="172"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color w:val="010000"/>
        </w:rPr>
        <w:t xml:space="preserve">4.5 </w:t>
      </w:r>
      <w:r>
        <w:rPr>
          <w:rFonts w:ascii="Times New Roman" w:cs="Times New Roman" w:eastAsia="Times New Roman" w:hAnsi="Times New Roman"/>
          <w:sz w:val="21"/>
          <w:szCs w:val="21"/>
          <w:b w:val="1"/>
          <w:bCs w:val="1"/>
          <w:u w:val="single" w:color="auto"/>
          <w:color w:val="000000"/>
        </w:rPr>
        <w:t>Counterparts</w:t>
      </w:r>
      <w:r>
        <w:rPr>
          <w:rFonts w:ascii="Times New Roman" w:cs="Times New Roman" w:eastAsia="Times New Roman" w:hAnsi="Times New Roman"/>
          <w:sz w:val="21"/>
          <w:szCs w:val="21"/>
          <w:color w:val="000000"/>
        </w:rPr>
        <w:t>. This Agreement may be executed by the parties in separate counterparts (including by means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executed counterparts delivered via electronic means), each of which shall be deemed an original, but all of which together shall constitute one and the same instrument.</w:t>
      </w:r>
    </w:p>
    <w:p>
      <w:pPr>
        <w:spacing w:after="0" w:line="146"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color w:val="010000"/>
        </w:rPr>
        <w:t xml:space="preserve">4.6 </w:t>
      </w:r>
      <w:r>
        <w:rPr>
          <w:rFonts w:ascii="Times New Roman" w:cs="Times New Roman" w:eastAsia="Times New Roman" w:hAnsi="Times New Roman"/>
          <w:sz w:val="21"/>
          <w:szCs w:val="21"/>
          <w:b w:val="1"/>
          <w:bCs w:val="1"/>
          <w:u w:val="single" w:color="auto"/>
          <w:color w:val="000000"/>
        </w:rPr>
        <w:t>Severability</w:t>
      </w:r>
      <w:r>
        <w:rPr>
          <w:rFonts w:ascii="Times New Roman" w:cs="Times New Roman" w:eastAsia="Times New Roman" w:hAnsi="Times New Roman"/>
          <w:sz w:val="21"/>
          <w:szCs w:val="21"/>
          <w:color w:val="000000"/>
        </w:rPr>
        <w:t>. In case any provision in this Agreement shall be held invalid, illegal or unenforceable in any respect for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reason, the validity, legality and enforceability of any such provision in every other respect and the remaining provisions shall not in any way be affected or impaired thereby.</w:t>
      </w:r>
    </w:p>
    <w:p>
      <w:pPr>
        <w:spacing w:after="0" w:line="153"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4.7</w:t>
      </w:r>
      <w:r>
        <w:rPr>
          <w:sz w:val="20"/>
          <w:szCs w:val="20"/>
          <w:color w:val="auto"/>
        </w:rPr>
        <w:tab/>
      </w:r>
      <w:r>
        <w:rPr>
          <w:rFonts w:ascii="Times New Roman" w:cs="Times New Roman" w:eastAsia="Times New Roman" w:hAnsi="Times New Roman"/>
          <w:sz w:val="21"/>
          <w:szCs w:val="21"/>
          <w:b w:val="1"/>
          <w:bCs w:val="1"/>
          <w:u w:val="single" w:color="auto"/>
          <w:color w:val="auto"/>
        </w:rPr>
        <w:t>No Waivers; Amendments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560" w:firstLine="1295"/>
        <w:spacing w:after="0" w:line="262" w:lineRule="auto"/>
        <w:tabs>
          <w:tab w:leader="none" w:pos="2311"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failure or delay on the part of the Company or any Holder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any Holder at law or in equity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11" w:right="339" w:bottom="1440" w:gutter="0" w:footer="0" w:header="0"/>
        </w:sectPr>
      </w:pPr>
    </w:p>
    <w:bookmarkStart w:id="129" w:name="page130"/>
    <w:bookmarkEnd w:id="129"/>
    <w:p>
      <w:pPr>
        <w:ind w:left="560" w:firstLine="1295"/>
        <w:spacing w:after="0" w:line="290" w:lineRule="auto"/>
        <w:tabs>
          <w:tab w:leader="none" w:pos="2323"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provision of this Agreement may be amended or waived if, but only if, such amendment or waiver is in writing and is signed by the Company and the Required Holders.</w:t>
      </w:r>
    </w:p>
    <w:p>
      <w:pPr>
        <w:spacing w:after="0" w:line="135"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color w:val="010000"/>
        </w:rPr>
        <w:t xml:space="preserve">4.8 </w:t>
      </w:r>
      <w:r>
        <w:rPr>
          <w:rFonts w:ascii="Times New Roman" w:cs="Times New Roman" w:eastAsia="Times New Roman" w:hAnsi="Times New Roman"/>
          <w:sz w:val="21"/>
          <w:szCs w:val="21"/>
          <w:b w:val="1"/>
          <w:bCs w:val="1"/>
          <w:u w:val="single" w:color="auto"/>
          <w:color w:val="000000"/>
        </w:rPr>
        <w:t>Entire Agreement</w:t>
      </w:r>
      <w:r>
        <w:rPr>
          <w:rFonts w:ascii="Times New Roman" w:cs="Times New Roman" w:eastAsia="Times New Roman" w:hAnsi="Times New Roman"/>
          <w:sz w:val="21"/>
          <w:szCs w:val="21"/>
          <w:color w:val="000000"/>
        </w:rPr>
        <w:t>. This Agreement and the other writings referred to herein or therein or delivered pursuant hereto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thereto, contain the entire agreement between the Holders and the Company with respect to the subject matter hereof and supersede all prior and contemporaneous arrangements or understandings with respect thereto.</w:t>
      </w:r>
    </w:p>
    <w:p>
      <w:pPr>
        <w:spacing w:after="0" w:line="146"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4.9</w:t>
      </w:r>
      <w:r>
        <w:rPr>
          <w:sz w:val="20"/>
          <w:szCs w:val="20"/>
          <w:color w:val="auto"/>
        </w:rPr>
        <w:tab/>
      </w:r>
      <w:r>
        <w:rPr>
          <w:rFonts w:ascii="Times New Roman" w:cs="Times New Roman" w:eastAsia="Times New Roman" w:hAnsi="Times New Roman"/>
          <w:sz w:val="21"/>
          <w:szCs w:val="21"/>
          <w:b w:val="1"/>
          <w:bCs w:val="1"/>
          <w:u w:val="single" w:color="auto"/>
          <w:color w:val="auto"/>
        </w:rPr>
        <w:t>Remedies; Specific Performance</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560" w:firstLine="1295"/>
        <w:spacing w:after="0" w:line="265" w:lineRule="auto"/>
        <w:tabs>
          <w:tab w:leader="none" w:pos="2297"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Holder shall have all rights and remedies reserved for such Holder pursuant to this Agreement and all rights and remedies which such Holder has been granted at any time under any other agreement or contract and all of the rights which such Holder has under any law or equity. Any Person having any rights under any provision of this Agreement will be entitled to enforce such rights specifically, to recover damages by reason of any breach of any provision of this Agreement and to exercise all other rights granted by law or equity.</w:t>
      </w:r>
    </w:p>
    <w:p>
      <w:pPr>
        <w:spacing w:after="0" w:line="166" w:lineRule="exact"/>
        <w:rPr>
          <w:rFonts w:ascii="Times New Roman" w:cs="Times New Roman" w:eastAsia="Times New Roman" w:hAnsi="Times New Roman"/>
          <w:sz w:val="21"/>
          <w:szCs w:val="21"/>
          <w:color w:val="010000"/>
        </w:rPr>
      </w:pPr>
    </w:p>
    <w:p>
      <w:pPr>
        <w:jc w:val="both"/>
        <w:ind w:left="560" w:firstLine="1295"/>
        <w:spacing w:after="0" w:line="265" w:lineRule="auto"/>
        <w:tabs>
          <w:tab w:leader="none" w:pos="2417"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parties hereto recognize and agree that money damages may be insufficient to compensate the Holders of any Registrable Securities for breaches by the Company of the terms hereof and, consequently, that the equitable remedies of injunctive relief and of specific performance of the terms hereof will be available in the event of any such breach. If any action should be brought in equity to enforce any of the provisions of this Agreement, none of the parties hereto shall raise the defense that there is an adequate remedy at law.</w:t>
      </w:r>
    </w:p>
    <w:p>
      <w:pPr>
        <w:spacing w:after="0" w:line="162"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color w:val="010000"/>
        </w:rPr>
        <w:t xml:space="preserve">4.10 </w:t>
      </w:r>
      <w:r>
        <w:rPr>
          <w:rFonts w:ascii="Times New Roman" w:cs="Times New Roman" w:eastAsia="Times New Roman" w:hAnsi="Times New Roman"/>
          <w:sz w:val="21"/>
          <w:szCs w:val="21"/>
          <w:b w:val="1"/>
          <w:bCs w:val="1"/>
          <w:u w:val="single" w:color="auto"/>
          <w:color w:val="000000"/>
        </w:rPr>
        <w:t>Negotiated Agreement</w:t>
      </w:r>
      <w:r>
        <w:rPr>
          <w:rFonts w:ascii="Times New Roman" w:cs="Times New Roman" w:eastAsia="Times New Roman" w:hAnsi="Times New Roman"/>
          <w:sz w:val="21"/>
          <w:szCs w:val="21"/>
          <w:color w:val="000000"/>
        </w:rPr>
        <w:t>. This Agreement was negotiated by the parties with the benefit of legal representation,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rule of construction or interpretation otherwise requiring this Agreement to be construed or interpreted against any party shall not apply to the construction or interpretation 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11" w:right="339" w:bottom="1440" w:gutter="0" w:footer="0" w:header="0"/>
        </w:sectPr>
      </w:pPr>
    </w:p>
    <w:bookmarkStart w:id="130" w:name="page131"/>
    <w:bookmarkEnd w:id="130"/>
    <w:p>
      <w:pPr>
        <w:ind w:firstLine="643"/>
        <w:spacing w:after="0" w:line="303"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VIPER ENERGY, INC.</w:t>
      </w:r>
    </w:p>
    <w:p>
      <w:pPr>
        <w:spacing w:after="0" w:line="200" w:lineRule="exact"/>
        <w:rPr>
          <w:sz w:val="20"/>
          <w:szCs w:val="20"/>
          <w:color w:val="auto"/>
        </w:rPr>
      </w:pPr>
    </w:p>
    <w:p>
      <w:pPr>
        <w:spacing w:after="0" w:line="362" w:lineRule="exact"/>
        <w:rPr>
          <w:sz w:val="20"/>
          <w:szCs w:val="20"/>
          <w:color w:val="auto"/>
        </w:rPr>
      </w:pPr>
    </w:p>
    <w:tbl>
      <w:tblPr>
        <w:tblLayout w:type="fixed"/>
        <w:tblInd w:w="5640" w:type="dxa"/>
        <w:tblCellMar>
          <w:top w:w="0" w:type="dxa"/>
          <w:left w:w="0" w:type="dxa"/>
          <w:bottom w:w="0" w:type="dxa"/>
          <w:right w:w="0" w:type="dxa"/>
        </w:tblCellMar>
      </w:tblP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Matthew Kaes Van’t Hof</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Matthew Kaes Van’t Hof</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the Registration Rights Agreement</w:t>
      </w:r>
    </w:p>
    <w:p>
      <w:pPr>
        <w:sectPr>
          <w:pgSz w:w="11900" w:h="16838" w:orient="portrait"/>
          <w:cols w:equalWidth="0" w:num="1">
            <w:col w:w="11240"/>
          </w:cols>
          <w:pgMar w:left="320" w:top="1277" w:right="339" w:bottom="1440" w:gutter="0" w:footer="0" w:header="0"/>
        </w:sectPr>
      </w:pPr>
    </w:p>
    <w:bookmarkStart w:id="131" w:name="page132"/>
    <w:bookmarkEnd w:id="131"/>
    <w:p>
      <w:pPr>
        <w:ind w:left="4460"/>
        <w:spacing w:after="0"/>
        <w:rPr>
          <w:sz w:val="20"/>
          <w:szCs w:val="20"/>
          <w:color w:val="auto"/>
        </w:rPr>
      </w:pPr>
      <w:r>
        <w:rPr>
          <w:rFonts w:ascii="Times New Roman" w:cs="Times New Roman" w:eastAsia="Times New Roman" w:hAnsi="Times New Roman"/>
          <w:sz w:val="21"/>
          <w:szCs w:val="21"/>
          <w:b w:val="1"/>
          <w:bCs w:val="1"/>
          <w:u w:val="single" w:color="auto"/>
          <w:color w:val="auto"/>
        </w:rPr>
        <w:t>Initial Holders:</w:t>
      </w:r>
    </w:p>
    <w:p>
      <w:pPr>
        <w:spacing w:after="0" w:line="294"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1"/>
          <w:szCs w:val="21"/>
          <w:b w:val="1"/>
          <w:bCs w:val="1"/>
          <w:color w:val="auto"/>
        </w:rPr>
        <w:t>ENCAP ENERGY CAPITAL FUND X, L.P.</w:t>
      </w:r>
    </w:p>
    <w:p>
      <w:pPr>
        <w:spacing w:after="0" w:line="298" w:lineRule="exact"/>
        <w:rPr>
          <w:sz w:val="20"/>
          <w:szCs w:val="20"/>
          <w:color w:val="auto"/>
        </w:rPr>
      </w:pPr>
    </w:p>
    <w:tbl>
      <w:tblPr>
        <w:tblLayout w:type="fixed"/>
        <w:tblInd w:w="4460" w:type="dxa"/>
        <w:tblCellMar>
          <w:top w:w="0" w:type="dxa"/>
          <w:left w:w="0" w:type="dxa"/>
          <w:bottom w:w="0" w:type="dxa"/>
          <w:right w:w="0" w:type="dxa"/>
        </w:tblCellMar>
      </w:tblP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EnCap Equity Fund X GP, L.P., its</w:t>
            </w:r>
          </w:p>
        </w:tc>
      </w:tr>
      <w:tr>
        <w:trPr>
          <w:trHeight w:val="279"/>
        </w:trPr>
        <w:tc>
          <w:tcPr>
            <w:tcW w:w="5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general partner</w:t>
            </w:r>
          </w:p>
        </w:tc>
      </w:tr>
      <w:tr>
        <w:trPr>
          <w:trHeight w:val="524"/>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EnCap Investments L.P., its general</w:t>
            </w:r>
          </w:p>
        </w:tc>
      </w:tr>
      <w:tr>
        <w:trPr>
          <w:trHeight w:val="279"/>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partner</w:t>
            </w:r>
          </w:p>
        </w:tc>
        <w:tc>
          <w:tcPr>
            <w:tcW w:w="4320" w:type="dxa"/>
            <w:vAlign w:val="bottom"/>
          </w:tcPr>
          <w:p>
            <w:pPr>
              <w:spacing w:after="0"/>
              <w:rPr>
                <w:sz w:val="24"/>
                <w:szCs w:val="24"/>
                <w:color w:val="auto"/>
              </w:rPr>
            </w:pPr>
          </w:p>
        </w:tc>
      </w:tr>
      <w:tr>
        <w:trPr>
          <w:trHeight w:val="897"/>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Jason M. DeLorenzo</w:t>
            </w: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Jason M. DeLorenzo</w:t>
            </w:r>
          </w:p>
        </w:tc>
      </w:tr>
      <w:tr>
        <w:trPr>
          <w:trHeight w:val="279"/>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Managing Partner</w:t>
            </w:r>
          </w:p>
        </w:tc>
      </w:tr>
    </w:tbl>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Address:</w:t>
      </w: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9651 Katy Fwy., Suite 600</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Houston, TX 77024</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E-mail: rdevlin@encapinvestments.com</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Attention: Ryan Devlin</w:t>
      </w: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With copies to (which shall not constitute</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notice):</w:t>
      </w: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Vinson &amp; Elkins LLP</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845 Texas Avenue, Suite 4700</w:t>
      </w:r>
    </w:p>
    <w:p>
      <w:pPr>
        <w:spacing w:after="0" w:line="26" w:lineRule="exact"/>
        <w:rPr>
          <w:sz w:val="20"/>
          <w:szCs w:val="20"/>
          <w:color w:val="auto"/>
        </w:rPr>
      </w:pPr>
    </w:p>
    <w:p>
      <w:pPr>
        <w:ind w:left="4460"/>
        <w:spacing w:after="0"/>
        <w:tabs>
          <w:tab w:leader="none" w:pos="54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bloocke@velaw.com;</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mmarek@velaw.com</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jomaley@velaw.com</w:t>
      </w:r>
    </w:p>
    <w:p>
      <w:pPr>
        <w:spacing w:after="0" w:line="26" w:lineRule="exact"/>
        <w:rPr>
          <w:sz w:val="20"/>
          <w:szCs w:val="20"/>
          <w:color w:val="auto"/>
        </w:rPr>
      </w:pPr>
    </w:p>
    <w:p>
      <w:pPr>
        <w:ind w:left="4460"/>
        <w:spacing w:after="0"/>
        <w:tabs>
          <w:tab w:leader="none" w:pos="544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1"/>
          <w:szCs w:val="21"/>
          <w:color w:val="auto"/>
        </w:rPr>
        <w:t>Bryan Edward Loocke</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Michael Marek</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Jackson A. O’Maley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Registration Rights Agreement</w:t>
      </w:r>
    </w:p>
    <w:p>
      <w:pPr>
        <w:sectPr>
          <w:pgSz w:w="11900" w:h="16838" w:orient="portrait"/>
          <w:cols w:equalWidth="0" w:num="1">
            <w:col w:w="9760"/>
          </w:cols>
          <w:pgMar w:left="1440" w:top="1300" w:right="699" w:bottom="1440" w:gutter="0" w:footer="0" w:header="0"/>
        </w:sectPr>
      </w:pPr>
    </w:p>
    <w:bookmarkStart w:id="132" w:name="page133"/>
    <w:bookmarkEnd w:id="132"/>
    <w:p>
      <w:pPr>
        <w:ind w:left="4460"/>
        <w:spacing w:after="0"/>
        <w:rPr>
          <w:sz w:val="20"/>
          <w:szCs w:val="20"/>
          <w:color w:val="auto"/>
        </w:rPr>
      </w:pPr>
      <w:r>
        <w:rPr>
          <w:rFonts w:ascii="Times New Roman" w:cs="Times New Roman" w:eastAsia="Times New Roman" w:hAnsi="Times New Roman"/>
          <w:sz w:val="21"/>
          <w:szCs w:val="21"/>
          <w:b w:val="1"/>
          <w:bCs w:val="1"/>
          <w:color w:val="auto"/>
        </w:rPr>
        <w:t>NGU MANAGEMENT LLC</w:t>
      </w:r>
    </w:p>
    <w:p>
      <w:pPr>
        <w:spacing w:after="0" w:line="200" w:lineRule="exact"/>
        <w:rPr>
          <w:sz w:val="20"/>
          <w:szCs w:val="20"/>
          <w:color w:val="auto"/>
        </w:rPr>
      </w:pPr>
    </w:p>
    <w:p>
      <w:pPr>
        <w:spacing w:after="0" w:line="366" w:lineRule="exact"/>
        <w:rPr>
          <w:sz w:val="20"/>
          <w:szCs w:val="20"/>
          <w:color w:val="auto"/>
        </w:rPr>
      </w:pPr>
    </w:p>
    <w:tbl>
      <w:tblPr>
        <w:tblLayout w:type="fixed"/>
        <w:tblInd w:w="4460" w:type="dxa"/>
        <w:tblCellMar>
          <w:top w:w="0" w:type="dxa"/>
          <w:left w:w="0" w:type="dxa"/>
          <w:bottom w:w="0" w:type="dxa"/>
          <w:right w:w="0" w:type="dxa"/>
        </w:tblCellMar>
      </w:tblPr>
      <w:tr>
        <w:trPr>
          <w:trHeight w:val="279"/>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Austen S. Campbell</w:t>
            </w: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Austen S. Campbell</w:t>
            </w:r>
          </w:p>
        </w:tc>
      </w:tr>
      <w:tr>
        <w:trPr>
          <w:trHeight w:val="279"/>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Manager</w:t>
            </w:r>
          </w:p>
        </w:tc>
      </w:tr>
      <w:tr>
        <w:trPr>
          <w:trHeight w:val="536"/>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Address:</w:t>
            </w:r>
          </w:p>
        </w:tc>
        <w:tc>
          <w:tcPr>
            <w:tcW w:w="4320" w:type="dxa"/>
            <w:vAlign w:val="bottom"/>
          </w:tcPr>
          <w:p>
            <w:pPr>
              <w:spacing w:after="0"/>
              <w:rPr>
                <w:sz w:val="24"/>
                <w:szCs w:val="24"/>
                <w:color w:val="auto"/>
              </w:rPr>
            </w:pPr>
          </w:p>
        </w:tc>
      </w:tr>
    </w:tbl>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400 N. Marienfeld Street</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Midland, Texas 79701</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Attention: Austen S. Campbell</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E-mail: acampbell@ogxresources.com</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Attention: Austen S. Campbell</w:t>
      </w: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With copies to (which shall not constitute</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notice):</w:t>
      </w: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Vinson &amp; Elkins LLP</w: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845 Texas Avenue, Suite 4700</w:t>
      </w:r>
    </w:p>
    <w:p>
      <w:pPr>
        <w:spacing w:after="0" w:line="26" w:lineRule="exact"/>
        <w:rPr>
          <w:sz w:val="20"/>
          <w:szCs w:val="20"/>
          <w:color w:val="auto"/>
        </w:rPr>
      </w:pPr>
    </w:p>
    <w:p>
      <w:pPr>
        <w:ind w:left="4460"/>
        <w:spacing w:after="0"/>
        <w:tabs>
          <w:tab w:leader="none" w:pos="54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bloocke@velaw.com;</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mmarek@velaw.com</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jomaley@velaw.com</w:t>
      </w:r>
    </w:p>
    <w:p>
      <w:pPr>
        <w:spacing w:after="0" w:line="26" w:lineRule="exact"/>
        <w:rPr>
          <w:sz w:val="20"/>
          <w:szCs w:val="20"/>
          <w:color w:val="auto"/>
        </w:rPr>
      </w:pPr>
    </w:p>
    <w:p>
      <w:pPr>
        <w:ind w:left="4460"/>
        <w:spacing w:after="0"/>
        <w:tabs>
          <w:tab w:leader="none" w:pos="544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1"/>
          <w:szCs w:val="21"/>
          <w:color w:val="auto"/>
        </w:rPr>
        <w:t>Bryan Edward Loocke</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Michael Marek</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Jackson A. O’Maley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Registration Rights Agreement</w:t>
      </w:r>
    </w:p>
    <w:p>
      <w:pPr>
        <w:sectPr>
          <w:pgSz w:w="11900" w:h="16838" w:orient="portrait"/>
          <w:cols w:equalWidth="0" w:num="1">
            <w:col w:w="9760"/>
          </w:cols>
          <w:pgMar w:left="1440" w:top="1300" w:right="6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EXCHANGE AGREEMENT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VIPER ENERGY PARTNERS LLC</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ENCAP ENERGY CAPITAL FUND X, L.P.</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NGU MANAGEMENT LLC</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Dated as of February 14, 2025</w:t>
      </w:r>
    </w:p>
    <w:p>
      <w:pPr>
        <w:sectPr>
          <w:pgSz w:w="11900" w:h="16838" w:orient="portrait"/>
          <w:cols w:equalWidth="0" w:num="1">
            <w:col w:w="10120"/>
          </w:cols>
          <w:pgMar w:left="1440" w:top="121" w:right="339" w:bottom="1440" w:gutter="0" w:footer="0" w:header="0"/>
        </w:sectPr>
      </w:pPr>
    </w:p>
    <w:bookmarkStart w:id="134" w:name="page135"/>
    <w:bookmarkEnd w:id="134"/>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700" w:type="dxa"/>
            <w:vAlign w:val="bottom"/>
          </w:tcPr>
          <w:p>
            <w:pPr>
              <w:ind w:left="464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200" w:type="dxa"/>
            <w:vAlign w:val="bottom"/>
          </w:tcPr>
          <w:p>
            <w:pPr>
              <w:spacing w:after="0"/>
              <w:rPr>
                <w:sz w:val="24"/>
                <w:szCs w:val="24"/>
                <w:color w:val="auto"/>
              </w:rPr>
            </w:pPr>
          </w:p>
        </w:tc>
      </w:tr>
      <w:tr>
        <w:trPr>
          <w:trHeight w:val="522"/>
        </w:trPr>
        <w:tc>
          <w:tcPr>
            <w:tcW w:w="87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536"/>
        </w:trPr>
        <w:tc>
          <w:tcPr>
            <w:tcW w:w="8700" w:type="dxa"/>
            <w:vAlign w:val="bottom"/>
          </w:tcPr>
          <w:p>
            <w:pPr>
              <w:spacing w:after="0"/>
              <w:rPr>
                <w:sz w:val="20"/>
                <w:szCs w:val="20"/>
                <w:color w:val="auto"/>
              </w:rPr>
            </w:pPr>
            <w:r>
              <w:rPr>
                <w:rFonts w:ascii="Times New Roman" w:cs="Times New Roman" w:eastAsia="Times New Roman" w:hAnsi="Times New Roman"/>
                <w:sz w:val="21"/>
                <w:szCs w:val="21"/>
                <w:color w:val="010000"/>
              </w:rPr>
              <w:t xml:space="preserve">ARTICLE I </w:t>
            </w:r>
            <w:r>
              <w:rPr>
                <w:rFonts w:ascii="Times New Roman" w:cs="Times New Roman" w:eastAsia="Times New Roman" w:hAnsi="Times New Roman"/>
                <w:sz w:val="21"/>
                <w:szCs w:val="21"/>
                <w:color w:val="000000"/>
              </w:rPr>
              <w:t>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308"/>
        </w:trPr>
        <w:tc>
          <w:tcPr>
            <w:tcW w:w="8700" w:type="dxa"/>
            <w:vAlign w:val="bottom"/>
          </w:tcPr>
          <w:p>
            <w:pPr>
              <w:ind w:left="280"/>
              <w:spacing w:after="0"/>
              <w:rPr>
                <w:sz w:val="20"/>
                <w:szCs w:val="20"/>
                <w:color w:val="auto"/>
              </w:rPr>
            </w:pP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color w:val="000000"/>
              </w:rPr>
              <w:t>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321"/>
        </w:trPr>
        <w:tc>
          <w:tcPr>
            <w:tcW w:w="8700" w:type="dxa"/>
            <w:vAlign w:val="bottom"/>
          </w:tcPr>
          <w:p>
            <w:pPr>
              <w:ind w:left="280"/>
              <w:spacing w:after="0"/>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19"/>
                <w:szCs w:val="19"/>
                <w:color w:val="000000"/>
              </w:rPr>
              <w:t>Gender</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308"/>
        </w:trPr>
        <w:tc>
          <w:tcPr>
            <w:tcW w:w="8700" w:type="dxa"/>
            <w:vAlign w:val="bottom"/>
          </w:tcPr>
          <w:p>
            <w:pPr>
              <w:ind w:left="40"/>
              <w:spacing w:after="0"/>
              <w:rPr>
                <w:sz w:val="20"/>
                <w:szCs w:val="20"/>
                <w:color w:val="auto"/>
              </w:rPr>
            </w:pPr>
            <w:r>
              <w:rPr>
                <w:rFonts w:ascii="Times New Roman" w:cs="Times New Roman" w:eastAsia="Times New Roman" w:hAnsi="Times New Roman"/>
                <w:sz w:val="21"/>
                <w:szCs w:val="21"/>
                <w:color w:val="010000"/>
              </w:rPr>
              <w:t xml:space="preserve">ARTICLE II </w:t>
            </w:r>
            <w:r>
              <w:rPr>
                <w:rFonts w:ascii="Times New Roman" w:cs="Times New Roman" w:eastAsia="Times New Roman" w:hAnsi="Times New Roman"/>
                <w:sz w:val="21"/>
                <w:szCs w:val="21"/>
                <w:color w:val="000000"/>
              </w:rPr>
              <w:t>EXCHANGE</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2.1 </w:t>
            </w:r>
            <w:r>
              <w:rPr>
                <w:rFonts w:ascii="Times New Roman" w:cs="Times New Roman" w:eastAsia="Times New Roman" w:hAnsi="Times New Roman"/>
                <w:sz w:val="19"/>
                <w:szCs w:val="19"/>
                <w:color w:val="000000"/>
              </w:rPr>
              <w:t>Redemption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Purchase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2.2 </w:t>
            </w:r>
            <w:r>
              <w:rPr>
                <w:rFonts w:ascii="Times New Roman" w:cs="Times New Roman" w:eastAsia="Times New Roman" w:hAnsi="Times New Roman"/>
                <w:sz w:val="19"/>
                <w:szCs w:val="19"/>
                <w:color w:val="000000"/>
              </w:rPr>
              <w:t>Restrictions on Transfer of OpCo Units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2.3 </w:t>
            </w:r>
            <w:r>
              <w:rPr>
                <w:rFonts w:ascii="Times New Roman" w:cs="Times New Roman" w:eastAsia="Times New Roman" w:hAnsi="Times New Roman"/>
                <w:sz w:val="19"/>
                <w:szCs w:val="19"/>
                <w:color w:val="000000"/>
              </w:rPr>
              <w:t>Restrictions on Transfers; Lock-Up</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2.4 </w:t>
            </w:r>
            <w:r>
              <w:rPr>
                <w:rFonts w:ascii="Times New Roman" w:cs="Times New Roman" w:eastAsia="Times New Roman" w:hAnsi="Times New Roman"/>
                <w:sz w:val="19"/>
                <w:szCs w:val="19"/>
                <w:color w:val="000000"/>
              </w:rPr>
              <w:t>Expiration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2.5 </w:t>
            </w:r>
            <w:r>
              <w:rPr>
                <w:rFonts w:ascii="Times New Roman" w:cs="Times New Roman" w:eastAsia="Times New Roman" w:hAnsi="Times New Roman"/>
                <w:sz w:val="19"/>
                <w:szCs w:val="19"/>
                <w:color w:val="000000"/>
              </w:rPr>
              <w:t>Adjustment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308"/>
        </w:trPr>
        <w:tc>
          <w:tcPr>
            <w:tcW w:w="8700" w:type="dxa"/>
            <w:vAlign w:val="bottom"/>
          </w:tcPr>
          <w:p>
            <w:pPr>
              <w:spacing w:after="0"/>
              <w:rPr>
                <w:sz w:val="20"/>
                <w:szCs w:val="20"/>
                <w:color w:val="auto"/>
              </w:rPr>
            </w:pPr>
            <w:r>
              <w:rPr>
                <w:rFonts w:ascii="Times New Roman" w:cs="Times New Roman" w:eastAsia="Times New Roman" w:hAnsi="Times New Roman"/>
                <w:sz w:val="21"/>
                <w:szCs w:val="21"/>
                <w:color w:val="010000"/>
              </w:rPr>
              <w:t>ARTICLE III MISCELLANEOUS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3.1 </w:t>
            </w:r>
            <w:r>
              <w:rPr>
                <w:rFonts w:ascii="Times New Roman" w:cs="Times New Roman" w:eastAsia="Times New Roman" w:hAnsi="Times New Roman"/>
                <w:sz w:val="19"/>
                <w:szCs w:val="19"/>
                <w:color w:val="000000"/>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08"/>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Section 3.2 Time is of the Essence</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08"/>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3.3 </w:t>
            </w:r>
            <w:r>
              <w:rPr>
                <w:rFonts w:ascii="Times New Roman" w:cs="Times New Roman" w:eastAsia="Times New Roman" w:hAnsi="Times New Roman"/>
                <w:sz w:val="21"/>
                <w:szCs w:val="21"/>
                <w:color w:val="000000"/>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3.4 </w:t>
            </w:r>
            <w:r>
              <w:rPr>
                <w:rFonts w:ascii="Times New Roman" w:cs="Times New Roman" w:eastAsia="Times New Roman" w:hAnsi="Times New Roman"/>
                <w:sz w:val="19"/>
                <w:szCs w:val="19"/>
                <w:color w:val="000000"/>
              </w:rPr>
              <w:t>Parties in Interest</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3.5 </w:t>
            </w:r>
            <w:r>
              <w:rPr>
                <w:rFonts w:ascii="Times New Roman" w:cs="Times New Roman" w:eastAsia="Times New Roman" w:hAnsi="Times New Roman"/>
                <w:sz w:val="19"/>
                <w:szCs w:val="19"/>
                <w:color w:val="000000"/>
              </w:rPr>
              <w:t>Captions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3.6 </w:t>
            </w:r>
            <w:r>
              <w:rPr>
                <w:rFonts w:ascii="Times New Roman" w:cs="Times New Roman" w:eastAsia="Times New Roman" w:hAnsi="Times New Roman"/>
                <w:sz w:val="19"/>
                <w:szCs w:val="19"/>
                <w:color w:val="000000"/>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3.7 </w:t>
            </w:r>
            <w:r>
              <w:rPr>
                <w:rFonts w:ascii="Times New Roman" w:cs="Times New Roman" w:eastAsia="Times New Roman" w:hAnsi="Times New Roman"/>
                <w:sz w:val="19"/>
                <w:szCs w:val="19"/>
                <w:color w:val="000000"/>
              </w:rPr>
              <w:t>Applicable Law; Forum; Venue and Jurisdiction; Waiver of Trial by Jury</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3.8 </w:t>
            </w:r>
            <w:r>
              <w:rPr>
                <w:rFonts w:ascii="Times New Roman" w:cs="Times New Roman" w:eastAsia="Times New Roman" w:hAnsi="Times New Roman"/>
                <w:sz w:val="19"/>
                <w:szCs w:val="19"/>
                <w:color w:val="000000"/>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3.9 </w:t>
            </w:r>
            <w:r>
              <w:rPr>
                <w:rFonts w:ascii="Times New Roman" w:cs="Times New Roman" w:eastAsia="Times New Roman" w:hAnsi="Times New Roman"/>
                <w:sz w:val="19"/>
                <w:szCs w:val="19"/>
                <w:color w:val="000000"/>
              </w:rPr>
              <w:t>Amendment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1"/>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 xml:space="preserve">Section 3.10 </w:t>
            </w:r>
            <w:r>
              <w:rPr>
                <w:rFonts w:ascii="Times New Roman" w:cs="Times New Roman" w:eastAsia="Times New Roman" w:hAnsi="Times New Roman"/>
                <w:sz w:val="19"/>
                <w:szCs w:val="19"/>
                <w:color w:val="000000"/>
              </w:rPr>
              <w:t>Facsimile; 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08"/>
        </w:trPr>
        <w:tc>
          <w:tcPr>
            <w:tcW w:w="8700" w:type="dxa"/>
            <w:vAlign w:val="bottom"/>
          </w:tcPr>
          <w:p>
            <w:pPr>
              <w:ind w:left="240"/>
              <w:spacing w:after="0"/>
              <w:rPr>
                <w:sz w:val="20"/>
                <w:szCs w:val="20"/>
                <w:color w:val="auto"/>
              </w:rPr>
            </w:pPr>
            <w:r>
              <w:rPr>
                <w:rFonts w:ascii="Times New Roman" w:cs="Times New Roman" w:eastAsia="Times New Roman" w:hAnsi="Times New Roman"/>
                <w:sz w:val="21"/>
                <w:szCs w:val="21"/>
                <w:color w:val="010000"/>
              </w:rPr>
              <w:t>Section 3.11 Tax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900"/>
          </w:cols>
          <w:pgMar w:left="500" w:top="1440" w:right="499" w:bottom="1440" w:gutter="0" w:footer="0" w:header="0"/>
        </w:sectPr>
      </w:pPr>
    </w:p>
    <w:bookmarkStart w:id="135" w:name="page136"/>
    <w:bookmarkEnd w:id="135"/>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EXCHANGE AGREEMENT</w:t>
      </w:r>
    </w:p>
    <w:p>
      <w:pPr>
        <w:spacing w:after="0" w:line="172"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21"/>
          <w:szCs w:val="21"/>
          <w:color w:val="auto"/>
        </w:rPr>
        <w:t>This Exchange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dated as of February 14,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and among Viper Energy,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Viper Energy Partners LLC, a Delaware limited liability company (the “</w:t>
      </w:r>
      <w:r>
        <w:rPr>
          <w:rFonts w:ascii="Times New Roman" w:cs="Times New Roman" w:eastAsia="Times New Roman" w:hAnsi="Times New Roman"/>
          <w:sz w:val="21"/>
          <w:szCs w:val="21"/>
          <w:b w:val="1"/>
          <w:bCs w:val="1"/>
          <w:i w:val="1"/>
          <w:iCs w:val="1"/>
          <w:color w:val="auto"/>
        </w:rPr>
        <w:t>Operating Company</w:t>
      </w:r>
      <w:r>
        <w:rPr>
          <w:rFonts w:ascii="Times New Roman" w:cs="Times New Roman" w:eastAsia="Times New Roman" w:hAnsi="Times New Roman"/>
          <w:sz w:val="21"/>
          <w:szCs w:val="21"/>
          <w:color w:val="auto"/>
        </w:rPr>
        <w:t>”), EnCap Energy Capital Fund X, L.P., a Texas limited partnership (“</w:t>
      </w:r>
      <w:r>
        <w:rPr>
          <w:rFonts w:ascii="Times New Roman" w:cs="Times New Roman" w:eastAsia="Times New Roman" w:hAnsi="Times New Roman"/>
          <w:sz w:val="21"/>
          <w:szCs w:val="21"/>
          <w:b w:val="1"/>
          <w:bCs w:val="1"/>
          <w:i w:val="1"/>
          <w:iCs w:val="1"/>
          <w:color w:val="auto"/>
        </w:rPr>
        <w:t>EnCap</w:t>
      </w:r>
      <w:r>
        <w:rPr>
          <w:rFonts w:ascii="Times New Roman" w:cs="Times New Roman" w:eastAsia="Times New Roman" w:hAnsi="Times New Roman"/>
          <w:sz w:val="21"/>
          <w:szCs w:val="21"/>
          <w:color w:val="auto"/>
        </w:rPr>
        <w:t>”), and NGU Management LLC, a Texas limited liability company (“</w:t>
      </w:r>
      <w:r>
        <w:rPr>
          <w:rFonts w:ascii="Times New Roman" w:cs="Times New Roman" w:eastAsia="Times New Roman" w:hAnsi="Times New Roman"/>
          <w:sz w:val="21"/>
          <w:szCs w:val="21"/>
          <w:b w:val="1"/>
          <w:bCs w:val="1"/>
          <w:i w:val="1"/>
          <w:iCs w:val="1"/>
          <w:color w:val="auto"/>
        </w:rPr>
        <w:t>NGU</w:t>
      </w:r>
      <w:r>
        <w:rPr>
          <w:rFonts w:ascii="Times New Roman" w:cs="Times New Roman" w:eastAsia="Times New Roman" w:hAnsi="Times New Roman"/>
          <w:sz w:val="21"/>
          <w:szCs w:val="21"/>
          <w:color w:val="auto"/>
        </w:rPr>
        <w:t>” collectively, with EnCap, the “</w:t>
      </w:r>
      <w:r>
        <w:rPr>
          <w:rFonts w:ascii="Times New Roman" w:cs="Times New Roman" w:eastAsia="Times New Roman" w:hAnsi="Times New Roman"/>
          <w:sz w:val="21"/>
          <w:szCs w:val="21"/>
          <w:b w:val="1"/>
          <w:bCs w:val="1"/>
          <w:i w:val="1"/>
          <w:iCs w:val="1"/>
          <w:color w:val="auto"/>
        </w:rPr>
        <w:t>Exchanging Parties</w:t>
      </w:r>
      <w:r>
        <w:rPr>
          <w:rFonts w:ascii="Times New Roman" w:cs="Times New Roman" w:eastAsia="Times New Roman" w:hAnsi="Times New Roman"/>
          <w:sz w:val="21"/>
          <w:szCs w:val="21"/>
          <w:color w:val="auto"/>
        </w:rPr>
        <w:t>”). The above-named entities are sometimes referred to in this Agreement as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64" w:lineRule="exact"/>
        <w:rPr>
          <w:sz w:val="20"/>
          <w:szCs w:val="20"/>
          <w:color w:val="auto"/>
        </w:rPr>
      </w:pPr>
    </w:p>
    <w:p>
      <w:pPr>
        <w:jc w:val="both"/>
        <w:ind w:firstLine="643"/>
        <w:spacing w:after="0" w:line="269" w:lineRule="auto"/>
        <w:rPr>
          <w:sz w:val="20"/>
          <w:szCs w:val="20"/>
          <w:color w:val="auto"/>
        </w:rPr>
      </w:pPr>
      <w:r>
        <w:rPr>
          <w:rFonts w:ascii="Times New Roman" w:cs="Times New Roman" w:eastAsia="Times New Roman" w:hAnsi="Times New Roman"/>
          <w:sz w:val="21"/>
          <w:szCs w:val="21"/>
          <w:color w:val="auto"/>
        </w:rPr>
        <w:t>WHEREAS, the Company, the Operating Company, and Morita Ranches Minerals, LLC, a Delaware limited liability company (“</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 have entered into that certain Purchase and Sale Agreement dated January 30, 2025 (the “</w:t>
      </w:r>
      <w:r>
        <w:rPr>
          <w:rFonts w:ascii="Times New Roman" w:cs="Times New Roman" w:eastAsia="Times New Roman" w:hAnsi="Times New Roman"/>
          <w:sz w:val="21"/>
          <w:szCs w:val="21"/>
          <w:b w:val="1"/>
          <w:bCs w:val="1"/>
          <w:i w:val="1"/>
          <w:iCs w:val="1"/>
          <w:color w:val="auto"/>
        </w:rPr>
        <w:t>PSA</w:t>
      </w:r>
      <w:r>
        <w:rPr>
          <w:rFonts w:ascii="Times New Roman" w:cs="Times New Roman" w:eastAsia="Times New Roman" w:hAnsi="Times New Roman"/>
          <w:sz w:val="21"/>
          <w:szCs w:val="21"/>
          <w:color w:val="auto"/>
        </w:rPr>
        <w:t>”), pursuant to which, among other things, the Exchanging Parties received (a) OpCo Units (as defined herein) and (b) an equal number of Class B Shares;</w:t>
      </w:r>
    </w:p>
    <w:p>
      <w:pPr>
        <w:spacing w:after="0" w:line="55"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WHEREAS, the Parties desire to provide for the possible future exchange by the Exchanging Parties of OpCo Units for Class A Shares or cash, on the terms and subject to the conditions set forth herein; and</w:t>
      </w:r>
    </w:p>
    <w:p>
      <w:pPr>
        <w:spacing w:after="0" w:line="32" w:lineRule="exact"/>
        <w:rPr>
          <w:sz w:val="20"/>
          <w:szCs w:val="20"/>
          <w:color w:val="auto"/>
        </w:rPr>
      </w:pPr>
    </w:p>
    <w:p>
      <w:pPr>
        <w:jc w:val="both"/>
        <w:ind w:right="20" w:firstLine="643"/>
        <w:spacing w:after="0" w:line="290" w:lineRule="auto"/>
        <w:rPr>
          <w:sz w:val="20"/>
          <w:szCs w:val="20"/>
          <w:color w:val="auto"/>
        </w:rPr>
      </w:pPr>
      <w:r>
        <w:rPr>
          <w:rFonts w:ascii="Times New Roman" w:cs="Times New Roman" w:eastAsia="Times New Roman" w:hAnsi="Times New Roman"/>
          <w:sz w:val="21"/>
          <w:szCs w:val="21"/>
          <w:color w:val="auto"/>
        </w:rPr>
        <w:t>WHEREAS, the Parties intend that an Exchange (as defined herein) consummated hereunder be treated for federal income tax purposes, to the extent permitted by law, as a taxable exchange of OpCo Units by the applicable Exchanging Party.</w:t>
      </w:r>
    </w:p>
    <w:p>
      <w:pPr>
        <w:spacing w:after="0" w:line="46"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undertakings contained herein and for good and valuable consideration, the receipt and sufficiency of which are hereby acknowledged, the Parties hereby agree as follows: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I</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9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i w:val="1"/>
          <w:iCs w:val="1"/>
          <w:color w:val="000000"/>
        </w:rPr>
        <w:t>Definitions.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Capitalized terms used herein but not defined shall have the meanings ascribed to them in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Charter. As used in this Agreement, the following terms shall have the following meanings:</w:t>
      </w:r>
    </w:p>
    <w:p>
      <w:pPr>
        <w:spacing w:after="0" w:line="103" w:lineRule="exact"/>
        <w:rPr>
          <w:sz w:val="20"/>
          <w:szCs w:val="20"/>
          <w:color w:val="auto"/>
        </w:rPr>
      </w:pPr>
    </w:p>
    <w:p>
      <w:pPr>
        <w:jc w:val="both"/>
        <w:ind w:right="20"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with respect to any Person, any Person who, directly or indirectly through one or more intermediaries, controls, is controlled by or is under common control with any Person.</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has the meaning set forth in the preamble to this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Percentage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Assignee</w:t>
      </w:r>
      <w:r>
        <w:rPr>
          <w:rFonts w:ascii="Times New Roman" w:cs="Times New Roman" w:eastAsia="Times New Roman" w:hAnsi="Times New Roman"/>
          <w:sz w:val="21"/>
          <w:szCs w:val="21"/>
          <w:color w:val="auto"/>
        </w:rPr>
        <w:t>” means a Person to whom a Membership Interest has been transferred in accordance with the OpCo Limited Liability Company Agreement but who is not and has not become a Member.</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Audit Committee</w:t>
      </w:r>
      <w:r>
        <w:rPr>
          <w:rFonts w:ascii="Times New Roman" w:cs="Times New Roman" w:eastAsia="Times New Roman" w:hAnsi="Times New Roman"/>
          <w:sz w:val="21"/>
          <w:szCs w:val="21"/>
          <w:color w:val="auto"/>
        </w:rPr>
        <w:t>” means the Audit Committee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72"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means Monday through Friday of each week, except that a legal holiday recognized as such by the government of the United States of America or the State of New York shall not be regarded as a Business Day.</w:t>
      </w:r>
    </w:p>
    <w:p>
      <w:pPr>
        <w:spacing w:after="0" w:line="22" w:lineRule="exact"/>
        <w:rPr>
          <w:sz w:val="20"/>
          <w:szCs w:val="20"/>
          <w:color w:val="auto"/>
        </w:rPr>
      </w:pPr>
    </w:p>
    <w:p>
      <w:pPr>
        <w:jc w:val="both"/>
        <w:ind w:firstLine="6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Amount</w:t>
      </w:r>
      <w:r>
        <w:rPr>
          <w:rFonts w:ascii="Times New Roman" w:cs="Times New Roman" w:eastAsia="Times New Roman" w:hAnsi="Times New Roman"/>
          <w:sz w:val="21"/>
          <w:szCs w:val="21"/>
          <w:color w:val="auto"/>
        </w:rPr>
        <w:t>” means an amount of cash equal to (i) the number of Tendered Units multiplied by (ii) the Current Market Price as of the date of determination.</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Purchase Price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Charter</w:t>
      </w:r>
      <w:r>
        <w:rPr>
          <w:rFonts w:ascii="Times New Roman" w:cs="Times New Roman" w:eastAsia="Times New Roman" w:hAnsi="Times New Roman"/>
          <w:sz w:val="21"/>
          <w:szCs w:val="21"/>
          <w:color w:val="auto"/>
        </w:rPr>
        <w:t>” means the Certificate of Incorporation of the Company, as amended from time to time.</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Class A Shares</w:t>
      </w:r>
      <w:r>
        <w:rPr>
          <w:rFonts w:ascii="Times New Roman" w:cs="Times New Roman" w:eastAsia="Times New Roman" w:hAnsi="Times New Roman"/>
          <w:sz w:val="21"/>
          <w:szCs w:val="21"/>
          <w:color w:val="auto"/>
        </w:rPr>
        <w:t>” means shares of Class A common stock, par value $0.000001 per share, of the Company.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Class B Shares</w:t>
      </w:r>
      <w:r>
        <w:rPr>
          <w:rFonts w:ascii="Times New Roman" w:cs="Times New Roman" w:eastAsia="Times New Roman" w:hAnsi="Times New Roman"/>
          <w:sz w:val="21"/>
          <w:szCs w:val="21"/>
          <w:color w:val="auto"/>
        </w:rPr>
        <w:t>” means shares of Class B common stock, par value $0.000001 per share, of the Company.</w:t>
      </w:r>
    </w:p>
    <w:p>
      <w:pPr>
        <w:spacing w:after="0" w:line="133" w:lineRule="exact"/>
        <w:rPr>
          <w:sz w:val="20"/>
          <w:szCs w:val="20"/>
          <w:color w:val="auto"/>
        </w:rPr>
      </w:pPr>
    </w:p>
    <w:p>
      <w:pPr>
        <w:jc w:val="both"/>
        <w:ind w:firstLine="643"/>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Closing Price</w:t>
      </w:r>
      <w:r>
        <w:rPr>
          <w:rFonts w:ascii="Times New Roman" w:cs="Times New Roman" w:eastAsia="Times New Roman" w:hAnsi="Times New Roman"/>
          <w:sz w:val="21"/>
          <w:szCs w:val="21"/>
          <w:color w:val="auto"/>
        </w:rPr>
        <w:t>” means, as of the date of determination,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to trading on the principal National Securities Exchange on which the Class A Shares are listed or admitted to trading.</w:t>
      </w:r>
    </w:p>
    <w:p>
      <w:pPr>
        <w:spacing w:after="0" w:line="50" w:lineRule="exact"/>
        <w:rPr>
          <w:sz w:val="20"/>
          <w:szCs w:val="20"/>
          <w:color w:val="auto"/>
        </w:rPr>
      </w:pPr>
    </w:p>
    <w:p>
      <w:pPr>
        <w:jc w:val="both"/>
        <w:ind w:firstLine="643"/>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U.S. Internal Revenue Code of 1986, as amended and in effect from time to time. Any reference herein to a specific section or sections of the Code shall be deemed to include a reference to any corresponding provision of any successor law.</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1"/>
          <w:szCs w:val="21"/>
          <w:color w:val="auto"/>
        </w:rPr>
        <w:t>” means the U.S. Securities and Exchange Commission.</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Share Amount</w:t>
      </w:r>
      <w:r>
        <w:rPr>
          <w:rFonts w:ascii="Times New Roman" w:cs="Times New Roman" w:eastAsia="Times New Roman" w:hAnsi="Times New Roman"/>
          <w:sz w:val="21"/>
          <w:szCs w:val="21"/>
          <w:color w:val="auto"/>
        </w:rPr>
        <w:t>” means a number of Class A Shares equal to the number of Tendered Units.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the meaning set forth in the preamble to this Agreement.</w:t>
      </w:r>
    </w:p>
    <w:p>
      <w:pPr>
        <w:spacing w:after="0" w:line="120" w:lineRule="exact"/>
        <w:rPr>
          <w:sz w:val="20"/>
          <w:szCs w:val="20"/>
          <w:color w:val="auto"/>
        </w:rPr>
      </w:pPr>
    </w:p>
    <w:p>
      <w:pPr>
        <w:ind w:firstLine="6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Current Market Price</w:t>
      </w:r>
      <w:r>
        <w:rPr>
          <w:rFonts w:ascii="Times New Roman" w:cs="Times New Roman" w:eastAsia="Times New Roman" w:hAnsi="Times New Roman"/>
          <w:sz w:val="21"/>
          <w:szCs w:val="21"/>
          <w:color w:val="auto"/>
        </w:rPr>
        <w:t>” means, as of the date of determination, the average of the daily Closing Prices per Class A Share for the 20 consecutive Trading Days immediately prior to such date.</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Cut-Off Date</w:t>
      </w:r>
      <w:r>
        <w:rPr>
          <w:rFonts w:ascii="Times New Roman" w:cs="Times New Roman" w:eastAsia="Times New Roman" w:hAnsi="Times New Roman"/>
          <w:sz w:val="21"/>
          <w:szCs w:val="21"/>
          <w:color w:val="auto"/>
        </w:rPr>
        <w:t>” means the fifth (5th) Business Day after the Company’s receipt of a Notice of Redemption.</w:t>
      </w:r>
    </w:p>
    <w:p>
      <w:pPr>
        <w:spacing w:after="0" w:line="120" w:lineRule="exact"/>
        <w:rPr>
          <w:sz w:val="20"/>
          <w:szCs w:val="20"/>
          <w:color w:val="auto"/>
        </w:rPr>
      </w:pPr>
    </w:p>
    <w:p>
      <w:pPr>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Delaware LLC Act</w:t>
      </w:r>
      <w:r>
        <w:rPr>
          <w:rFonts w:ascii="Times New Roman" w:cs="Times New Roman" w:eastAsia="Times New Roman" w:hAnsi="Times New Roman"/>
          <w:sz w:val="21"/>
          <w:szCs w:val="21"/>
          <w:color w:val="auto"/>
        </w:rPr>
        <w:t>” means the Delaware Limited Liability Company Act, 6 Del. C. Section 18-101, et seq., as amended, supplemented or restated from time to time, and any successor to such statute.</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has the meaning set forth in the preamble to this Agreement.</w:t>
      </w:r>
    </w:p>
    <w:p>
      <w:pPr>
        <w:spacing w:after="0" w:line="133" w:lineRule="exact"/>
        <w:rPr>
          <w:sz w:val="20"/>
          <w:szCs w:val="20"/>
          <w:color w:val="auto"/>
        </w:rPr>
      </w:pPr>
    </w:p>
    <w:p>
      <w:pPr>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EnCap</w:t>
      </w:r>
      <w:r>
        <w:rPr>
          <w:rFonts w:ascii="Times New Roman" w:cs="Times New Roman" w:eastAsia="Times New Roman" w:hAnsi="Times New Roman"/>
          <w:sz w:val="21"/>
          <w:szCs w:val="21"/>
          <w:color w:val="auto"/>
        </w:rPr>
        <w:t>” has the meaning set forth in the preamble to this Agreement and, where applicable, includes a transferee of Class B Shares and OpCo Units as permitted under the OpCo Limited Liability Company Agreement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72" w:lineRule="exact"/>
        <w:rPr>
          <w:sz w:val="20"/>
          <w:szCs w:val="20"/>
          <w:color w:val="auto"/>
        </w:rPr>
      </w:pPr>
    </w:p>
    <w:p>
      <w:pPr>
        <w:jc w:val="both"/>
        <w:ind w:firstLine="64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EnCap Party</w:t>
      </w:r>
      <w:r>
        <w:rPr>
          <w:rFonts w:ascii="Times New Roman" w:cs="Times New Roman" w:eastAsia="Times New Roman" w:hAnsi="Times New Roman"/>
          <w:sz w:val="21"/>
          <w:szCs w:val="21"/>
          <w:color w:val="auto"/>
        </w:rPr>
        <w:t>” means (a) EnCap, (b) any Assignee of EnCap’s OpCo Units or (c) any Member to whom EnCap has transferred all of its OpCo Units in accordance with the terms of the OpCo Limited Liability Company Agreement and this Agreement.</w:t>
      </w:r>
    </w:p>
    <w:p>
      <w:pPr>
        <w:spacing w:after="0" w:line="57"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w:t>
      </w:r>
      <w:r>
        <w:rPr>
          <w:rFonts w:ascii="Times New Roman" w:cs="Times New Roman" w:eastAsia="Times New Roman" w:hAnsi="Times New Roman"/>
          <w:sz w:val="21"/>
          <w:szCs w:val="21"/>
          <w:color w:val="auto"/>
        </w:rPr>
        <w:t>” means (i) a Redemption by the Operating Company of one or more Units for Class A Shares and (ii) the purchase of Tendered Units by the Company from any Exchanging Party for the Cash Purchase Price.</w:t>
      </w:r>
    </w:p>
    <w:p>
      <w:pPr>
        <w:spacing w:after="0" w:line="22"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Right</w:t>
      </w:r>
      <w:r>
        <w:rPr>
          <w:rFonts w:ascii="Times New Roman" w:cs="Times New Roman" w:eastAsia="Times New Roman" w:hAnsi="Times New Roman"/>
          <w:sz w:val="21"/>
          <w:szCs w:val="21"/>
          <w:color w:val="auto"/>
        </w:rPr>
        <w:t xml:space="preserve">” means the rights of the Exchanging Parties and the Company pursuant to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2.1(b)</w:t>
      </w:r>
      <w:r>
        <w:rPr>
          <w:rFonts w:ascii="Times New Roman" w:cs="Times New Roman" w:eastAsia="Times New Roman" w:hAnsi="Times New Roman"/>
          <w:sz w:val="21"/>
          <w:szCs w:val="21"/>
          <w:color w:val="auto"/>
        </w:rPr>
        <w:t>, respectively, of this Agreement.</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Exchanging Parties</w:t>
      </w:r>
      <w:r>
        <w:rPr>
          <w:rFonts w:ascii="Times New Roman" w:cs="Times New Roman" w:eastAsia="Times New Roman" w:hAnsi="Times New Roman"/>
          <w:sz w:val="21"/>
          <w:szCs w:val="21"/>
          <w:color w:val="auto"/>
        </w:rPr>
        <w:t>” has the meaning set forth in the preamble to this Agreement.</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Exercise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Financing Party</w:t>
      </w:r>
      <w:r>
        <w:rPr>
          <w:rFonts w:ascii="Times New Roman" w:cs="Times New Roman" w:eastAsia="Times New Roman" w:hAnsi="Times New Roman"/>
          <w:sz w:val="21"/>
          <w:szCs w:val="21"/>
          <w:color w:val="auto"/>
        </w:rPr>
        <w:t>” means any and all Persons, or the agents or trustees representing them, providing senior or subordinated debt or tax equity financing or refinancing (including letters of credit, bank guaranties or other credit support).</w:t>
      </w:r>
    </w:p>
    <w:p>
      <w:pPr>
        <w:spacing w:after="0" w:line="22" w:lineRule="exact"/>
        <w:rPr>
          <w:sz w:val="20"/>
          <w:szCs w:val="20"/>
          <w:color w:val="auto"/>
        </w:rPr>
      </w:pPr>
    </w:p>
    <w:p>
      <w:pPr>
        <w:jc w:val="both"/>
        <w:ind w:firstLine="643"/>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Entity</w:t>
      </w:r>
      <w:r>
        <w:rPr>
          <w:rFonts w:ascii="Times New Roman" w:cs="Times New Roman" w:eastAsia="Times New Roman" w:hAnsi="Times New Roman"/>
          <w:sz w:val="21"/>
          <w:szCs w:val="21"/>
          <w:color w:val="auto"/>
        </w:rPr>
        <w:t>” means any (a) multinational, federal, national, provincial, territorial, state, regional, municipal, local or other government, governmental or public department, central bank, court, tribunal, arbitral body, commission, administrative agency, board, bureau, agency or other statutory body, domestic or foreign, (b) subdivision, agent, commission, board or authority of any of the foregoing, or (c) quasi-governmental or private body exercising any regulatory, expropriation or taxing authority under, or for the account of, any of the foregoing (including the New York Stock Exchange and NASDAQ Stock Market), in each case, that has jurisdiction or authority with respect to the applicable Party.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Holder</w:t>
      </w:r>
      <w:r>
        <w:rPr>
          <w:rFonts w:ascii="Times New Roman" w:cs="Times New Roman" w:eastAsia="Times New Roman" w:hAnsi="Times New Roman"/>
          <w:sz w:val="21"/>
          <w:szCs w:val="21"/>
          <w:color w:val="auto"/>
        </w:rPr>
        <w:t>” means either (a) a Member or (b) an Assignee that owns an OpCo Unit.</w:t>
      </w:r>
    </w:p>
    <w:p>
      <w:pPr>
        <w:spacing w:after="0" w:line="120" w:lineRule="exact"/>
        <w:rPr>
          <w:sz w:val="20"/>
          <w:szCs w:val="20"/>
          <w:color w:val="auto"/>
        </w:rPr>
      </w:pPr>
    </w:p>
    <w:p>
      <w:pPr>
        <w:jc w:val="both"/>
        <w:ind w:firstLine="643"/>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Laws</w:t>
      </w:r>
      <w:r>
        <w:rPr>
          <w:rFonts w:ascii="Times New Roman" w:cs="Times New Roman" w:eastAsia="Times New Roman" w:hAnsi="Times New Roman"/>
          <w:sz w:val="21"/>
          <w:szCs w:val="21"/>
          <w:color w:val="auto"/>
        </w:rPr>
        <w:t xml:space="preserve">” means any and all applicable (a) laws, constitutions, treaties, statutes, codes, ordinances, principles of common law and equity, rules, regulations and municipal bylaws whether domestic, foreign or international, (b) judicial, arbitral, administrative, ministerial, departmental and regulatory judgments, orders, writs, injunctions, decisions and awards of any Governmental Entity, and (c) policies, practices and guidelines of any Governmental Entity which, although not actually having the force of law, are considered by such Governmental Entity as requiring compliance as if having the force of law, and the term </w:t>
      </w:r>
      <w:r>
        <w:rPr>
          <w:rFonts w:ascii="Times New Roman" w:cs="Times New Roman" w:eastAsia="Times New Roman" w:hAnsi="Times New Roman"/>
          <w:sz w:val="21"/>
          <w:szCs w:val="21"/>
          <w:b w:val="1"/>
          <w:bCs w:val="1"/>
          <w:i w:val="1"/>
          <w:iCs w:val="1"/>
          <w:color w:val="auto"/>
        </w:rPr>
        <w:t>“applicable,”</w:t>
      </w:r>
      <w:r>
        <w:rPr>
          <w:rFonts w:ascii="Times New Roman" w:cs="Times New Roman" w:eastAsia="Times New Roman" w:hAnsi="Times New Roman"/>
          <w:sz w:val="21"/>
          <w:szCs w:val="21"/>
          <w:color w:val="auto"/>
        </w:rPr>
        <w:t xml:space="preserve"> with respect to such Laws and in the context that refers to one or more Persons, means such Laws that apply to such Person or Persons or its or their business, undertaking, property or securities at the relevant time and that emanate from a Governmental Entity having jurisdiction over the Person or Persons or its or their business, undertaking, property or securities.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Member</w:t>
      </w:r>
      <w:r>
        <w:rPr>
          <w:rFonts w:ascii="Times New Roman" w:cs="Times New Roman" w:eastAsia="Times New Roman" w:hAnsi="Times New Roman"/>
          <w:sz w:val="21"/>
          <w:szCs w:val="21"/>
          <w:color w:val="auto"/>
        </w:rPr>
        <w:t>” has the meaning set forth in the OpCo Limited Liability Company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Membership Interest</w:t>
      </w:r>
      <w:r>
        <w:rPr>
          <w:rFonts w:ascii="Times New Roman" w:cs="Times New Roman" w:eastAsia="Times New Roman" w:hAnsi="Times New Roman"/>
          <w:sz w:val="21"/>
          <w:szCs w:val="21"/>
          <w:color w:val="auto"/>
        </w:rPr>
        <w:t>” has the meaning set forth in the OpCo Limited Liability Company Agreement.</w:t>
      </w:r>
    </w:p>
    <w:p>
      <w:pPr>
        <w:spacing w:after="0" w:line="120" w:lineRule="exact"/>
        <w:rPr>
          <w:sz w:val="20"/>
          <w:szCs w:val="20"/>
          <w:color w:val="auto"/>
        </w:rPr>
      </w:pPr>
    </w:p>
    <w:p>
      <w:pPr>
        <w:jc w:val="both"/>
        <w:ind w:firstLine="643"/>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National Securities Exchange</w:t>
      </w:r>
      <w:r>
        <w:rPr>
          <w:rFonts w:ascii="Times New Roman" w:cs="Times New Roman" w:eastAsia="Times New Roman" w:hAnsi="Times New Roman"/>
          <w:sz w:val="21"/>
          <w:szCs w:val="21"/>
          <w:color w:val="auto"/>
        </w:rPr>
        <w:t>” means an exchange registered with the Commission under Section 6(a) of the Securities Exchange Act (or any successor to such Section) and any other securities exchange (whether or not registered with the Commission under Section 6(a)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the Securities Exchange Act (or successor to such Section)) that the Company shall designate as a National Securities Exchange for purposes of this Agreement.</w:t>
      </w:r>
    </w:p>
    <w:p>
      <w:pPr>
        <w:spacing w:after="0" w:line="26" w:lineRule="exact"/>
        <w:rPr>
          <w:sz w:val="20"/>
          <w:szCs w:val="20"/>
          <w:color w:val="auto"/>
        </w:rPr>
      </w:pPr>
    </w:p>
    <w:p>
      <w:pPr>
        <w:jc w:val="both"/>
        <w:ind w:firstLine="6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NGU</w:t>
      </w:r>
      <w:r>
        <w:rPr>
          <w:rFonts w:ascii="Times New Roman" w:cs="Times New Roman" w:eastAsia="Times New Roman" w:hAnsi="Times New Roman"/>
          <w:sz w:val="21"/>
          <w:szCs w:val="21"/>
          <w:color w:val="auto"/>
        </w:rPr>
        <w:t>” has the meaning set forth in the preamble to this Agreement and, where applicable, includes a transferee of Class B Shares and OpCo Units as permitted under the OpCo Limited Liability Company Agreement and this Agreement.</w:t>
      </w:r>
    </w:p>
    <w:p>
      <w:pPr>
        <w:spacing w:after="0" w:line="7"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NGU Party</w:t>
      </w:r>
      <w:r>
        <w:rPr>
          <w:rFonts w:ascii="Times New Roman" w:cs="Times New Roman" w:eastAsia="Times New Roman" w:hAnsi="Times New Roman"/>
          <w:sz w:val="21"/>
          <w:szCs w:val="21"/>
          <w:color w:val="auto"/>
        </w:rPr>
        <w:t>” means (a) NGU, (b) any Assignee of NGU’s OpCo Units or (c) any Member to whom NGU has transferred all of its OpCo Units in accordance with the terms of the OpCo Limited Liability Company Agreement and this Agreement.</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Notice of Redemption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2.1(a)(i)</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jc w:val="both"/>
        <w:ind w:firstLine="6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OpCo Limited Liability Company Agreement</w:t>
      </w:r>
      <w:r>
        <w:rPr>
          <w:rFonts w:ascii="Times New Roman" w:cs="Times New Roman" w:eastAsia="Times New Roman" w:hAnsi="Times New Roman"/>
          <w:sz w:val="21"/>
          <w:szCs w:val="21"/>
          <w:color w:val="auto"/>
        </w:rPr>
        <w:t>” means the Third Amended and Restated Limited Liability Company Agreement of the Operating Company, dated as of October 1, 2024, as may be amended from time to time.</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OpCo Units</w:t>
      </w:r>
      <w:r>
        <w:rPr>
          <w:rFonts w:ascii="Times New Roman" w:cs="Times New Roman" w:eastAsia="Times New Roman" w:hAnsi="Times New Roman"/>
          <w:sz w:val="21"/>
          <w:szCs w:val="21"/>
          <w:color w:val="auto"/>
        </w:rPr>
        <w:t>” has the meaning given to the term “Unit” in the OpCo Limited Liability Company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Operating Company</w:t>
      </w:r>
      <w:r>
        <w:rPr>
          <w:rFonts w:ascii="Times New Roman" w:cs="Times New Roman" w:eastAsia="Times New Roman" w:hAnsi="Times New Roman"/>
          <w:sz w:val="21"/>
          <w:szCs w:val="21"/>
          <w:color w:val="auto"/>
        </w:rPr>
        <w:t>” has the meaning set forth in the preamble to this Agreement.</w:t>
      </w:r>
    </w:p>
    <w:p>
      <w:pPr>
        <w:spacing w:after="0" w:line="120" w:lineRule="exact"/>
        <w:rPr>
          <w:sz w:val="20"/>
          <w:szCs w:val="20"/>
          <w:color w:val="auto"/>
        </w:rPr>
      </w:pPr>
    </w:p>
    <w:p>
      <w:pPr>
        <w:jc w:val="both"/>
        <w:ind w:firstLine="643"/>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Organizational Documents</w:t>
      </w:r>
      <w:r>
        <w:rPr>
          <w:rFonts w:ascii="Times New Roman" w:cs="Times New Roman" w:eastAsia="Times New Roman" w:hAnsi="Times New Roman"/>
          <w:sz w:val="21"/>
          <w:szCs w:val="21"/>
          <w:color w:val="auto"/>
        </w:rPr>
        <w:t>” means any charter, certificate of incorporation, articles of association, partnership agreements, limited liability company agreements, bylaws, operating agreements or similar formation or governing documents and instruments.</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has the meaning set forth in the preamble to this Agreement.</w:t>
      </w:r>
    </w:p>
    <w:p>
      <w:pPr>
        <w:spacing w:after="0" w:line="120"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 individual, corporation, partnership, limited liability company, joint venture, association, trust, unincorporated organization or other entity.</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PSA</w:t>
      </w:r>
      <w:r>
        <w:rPr>
          <w:rFonts w:ascii="Times New Roman" w:cs="Times New Roman" w:eastAsia="Times New Roman" w:hAnsi="Times New Roman"/>
          <w:sz w:val="21"/>
          <w:szCs w:val="21"/>
          <w:color w:val="auto"/>
        </w:rPr>
        <w:t>” has the meaning set forth in the Recitals.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Redemption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Registration Rights Agreement</w:t>
      </w:r>
      <w:r>
        <w:rPr>
          <w:rFonts w:ascii="Times New Roman" w:cs="Times New Roman" w:eastAsia="Times New Roman" w:hAnsi="Times New Roman"/>
          <w:sz w:val="21"/>
          <w:szCs w:val="21"/>
          <w:color w:val="auto"/>
        </w:rPr>
        <w:t>” means that certain Registration Rights Agreement, dated as of the Effective Date, by and among the Company, EnCap and NGU.</w:t>
      </w:r>
    </w:p>
    <w:p>
      <w:pPr>
        <w:spacing w:after="0" w:line="22"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means the Securities Act of 1933, as amended, supplemented or restated from time to time, and any successor to such statute.</w:t>
      </w:r>
    </w:p>
    <w:p>
      <w:pPr>
        <w:spacing w:after="0" w:line="22" w:lineRule="exact"/>
        <w:rPr>
          <w:sz w:val="20"/>
          <w:szCs w:val="20"/>
          <w:color w:val="auto"/>
        </w:rPr>
      </w:pPr>
    </w:p>
    <w:p>
      <w:pPr>
        <w:jc w:val="both"/>
        <w:ind w:firstLine="6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Exchange Act</w:t>
      </w:r>
      <w:r>
        <w:rPr>
          <w:rFonts w:ascii="Times New Roman" w:cs="Times New Roman" w:eastAsia="Times New Roman" w:hAnsi="Times New Roman"/>
          <w:sz w:val="21"/>
          <w:szCs w:val="21"/>
          <w:color w:val="auto"/>
        </w:rPr>
        <w:t>” means the Securities Exchange Act of 1934, as amended, supplemented or restated from time to time, and any successor to such statute.</w:t>
      </w:r>
    </w:p>
    <w:p>
      <w:pPr>
        <w:spacing w:after="0" w:line="7" w:lineRule="exact"/>
        <w:rPr>
          <w:sz w:val="20"/>
          <w:szCs w:val="20"/>
          <w:color w:val="auto"/>
        </w:rPr>
      </w:pPr>
    </w:p>
    <w:p>
      <w:pPr>
        <w:jc w:val="both"/>
        <w:ind w:firstLine="643"/>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Specified Redemption Date</w:t>
      </w:r>
      <w:r>
        <w:rPr>
          <w:rFonts w:ascii="Times New Roman" w:cs="Times New Roman" w:eastAsia="Times New Roman" w:hAnsi="Times New Roman"/>
          <w:sz w:val="21"/>
          <w:szCs w:val="21"/>
          <w:color w:val="auto"/>
        </w:rPr>
        <w:t xml:space="preserve">” means the tenth (10th) Business Day after the receipt by the Operating Company of a Notice of Redemption (or an election to receive the Common Share Amount in respect of Tendered Units) or as otherwise agreed to in writing by the Parties, or such later date (i) specified in the Notice of Redemption or (ii) on which a contingency described in </w:t>
      </w:r>
      <w:r>
        <w:rPr>
          <w:rFonts w:ascii="Times New Roman" w:cs="Times New Roman" w:eastAsia="Times New Roman" w:hAnsi="Times New Roman"/>
          <w:sz w:val="21"/>
          <w:szCs w:val="21"/>
          <w:u w:val="single" w:color="auto"/>
          <w:color w:val="auto"/>
        </w:rPr>
        <w:t>Section 2.1(a)(i)</w:t>
      </w:r>
      <w:r>
        <w:rPr>
          <w:rFonts w:ascii="Times New Roman" w:cs="Times New Roman" w:eastAsia="Times New Roman" w:hAnsi="Times New Roman"/>
          <w:sz w:val="21"/>
          <w:szCs w:val="21"/>
          <w:color w:val="auto"/>
        </w:rPr>
        <w:t xml:space="preserve"> that is specified in the Notice of Redemption is satisfied.</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Tendered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Trading Day</w:t>
      </w:r>
      <w:r>
        <w:rPr>
          <w:rFonts w:ascii="Times New Roman" w:cs="Times New Roman" w:eastAsia="Times New Roman" w:hAnsi="Times New Roman"/>
          <w:sz w:val="21"/>
          <w:szCs w:val="21"/>
          <w:color w:val="auto"/>
        </w:rPr>
        <w:t>” means a day on which the principal National Securities Exchange on which the Class A Shares are listed or admitted to trading is open for the transaction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74"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means the assignment or transfer of all or any part of an OpCo Unit to another Person and includes a sale, assignment, gift, distribution, pledge, exchange or any other disposition by Law or otherwise, including any transfer upon foreclosure or other exercise of remedies of any pledge, security interest, encumbrance, hypothecation or mortgage.</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Treasury Regulations</w:t>
      </w:r>
      <w:r>
        <w:rPr>
          <w:rFonts w:ascii="Times New Roman" w:cs="Times New Roman" w:eastAsia="Times New Roman" w:hAnsi="Times New Roman"/>
          <w:sz w:val="21"/>
          <w:szCs w:val="21"/>
          <w:color w:val="auto"/>
        </w:rPr>
        <w:t>” means the United States Treasury regulations promulgated under the Code.</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ind w:firstLine="771"/>
        <w:spacing w:after="0" w:line="293"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i w:val="1"/>
          <w:iCs w:val="1"/>
          <w:color w:val="000000"/>
        </w:rPr>
        <w:t>Gender.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For the purposes of this Agreement, the words “it,” “he,” “his” or “himself” shall be interpreted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include the masculine, feminine and corporate, other entity or trust form.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II</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EXCHANGE</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010000"/>
        </w:rPr>
        <w:t xml:space="preserve">Section 2.1 </w:t>
      </w:r>
      <w:r>
        <w:rPr>
          <w:rFonts w:ascii="Times New Roman" w:cs="Times New Roman" w:eastAsia="Times New Roman" w:hAnsi="Times New Roman"/>
          <w:sz w:val="21"/>
          <w:szCs w:val="21"/>
          <w:i w:val="1"/>
          <w:iCs w:val="1"/>
          <w:color w:val="000000"/>
        </w:rPr>
        <w:t>Redemption and Purchase Rights</w:t>
      </w:r>
      <w:r>
        <w:rPr>
          <w:rFonts w:ascii="Times New Roman" w:cs="Times New Roman" w:eastAsia="Times New Roman" w:hAnsi="Times New Roman"/>
          <w:sz w:val="21"/>
          <w:szCs w:val="21"/>
          <w:color w:val="000000"/>
        </w:rPr>
        <w:t>.</w:t>
      </w:r>
    </w:p>
    <w:p>
      <w:pPr>
        <w:spacing w:after="0" w:line="124" w:lineRule="exact"/>
        <w:rPr>
          <w:sz w:val="20"/>
          <w:szCs w:val="20"/>
          <w:color w:val="auto"/>
        </w:rPr>
      </w:pPr>
    </w:p>
    <w:p>
      <w:pPr>
        <w:jc w:val="both"/>
        <w:ind w:firstLine="1293"/>
        <w:spacing w:after="0" w:line="262" w:lineRule="auto"/>
        <w:tabs>
          <w:tab w:leader="none" w:pos="1577"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Article IV of the OpCo Limited Liability Company Agreement, an Exchanging Party shall have the right, at any time and from time to time (subject to the terms and conditions set forth herein), to require the Company to redeem (each, a “</w:t>
      </w:r>
      <w:r>
        <w:rPr>
          <w:rFonts w:ascii="Times New Roman" w:cs="Times New Roman" w:eastAsia="Times New Roman" w:hAnsi="Times New Roman"/>
          <w:sz w:val="21"/>
          <w:szCs w:val="21"/>
          <w:b w:val="1"/>
          <w:bCs w:val="1"/>
          <w:i w:val="1"/>
          <w:iCs w:val="1"/>
          <w:color w:val="auto"/>
        </w:rPr>
        <w:t>Redemption</w:t>
      </w:r>
      <w:r>
        <w:rPr>
          <w:rFonts w:ascii="Times New Roman" w:cs="Times New Roman" w:eastAsia="Times New Roman" w:hAnsi="Times New Roman"/>
          <w:sz w:val="21"/>
          <w:szCs w:val="21"/>
          <w:color w:val="auto"/>
        </w:rPr>
        <w:t>”) all or a portion of the Class B Shares held by such Exchanging Party, which must be accompanied by an equal number of OpCo Units held by such Exchanging Party (one OpCo Unit and one Class B Share are referred to herein as one “</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color w:val="auto"/>
        </w:rPr>
        <w:t>”, and Units that have in fact been tendered for redemption being hereafter referred to as “</w:t>
      </w:r>
      <w:r>
        <w:rPr>
          <w:rFonts w:ascii="Times New Roman" w:cs="Times New Roman" w:eastAsia="Times New Roman" w:hAnsi="Times New Roman"/>
          <w:sz w:val="21"/>
          <w:szCs w:val="21"/>
          <w:b w:val="1"/>
          <w:bCs w:val="1"/>
          <w:i w:val="1"/>
          <w:iCs w:val="1"/>
          <w:color w:val="auto"/>
        </w:rPr>
        <w:t>Tendered Units</w:t>
      </w:r>
      <w:r>
        <w:rPr>
          <w:rFonts w:ascii="Times New Roman" w:cs="Times New Roman" w:eastAsia="Times New Roman" w:hAnsi="Times New Roman"/>
          <w:sz w:val="21"/>
          <w:szCs w:val="21"/>
          <w:color w:val="auto"/>
        </w:rPr>
        <w:t>”), in each case, in exchange for the Common Share Amount.</w:t>
      </w:r>
    </w:p>
    <w:p>
      <w:pPr>
        <w:spacing w:after="0" w:line="65" w:lineRule="exact"/>
        <w:rPr>
          <w:rFonts w:ascii="Times New Roman" w:cs="Times New Roman" w:eastAsia="Times New Roman" w:hAnsi="Times New Roman"/>
          <w:sz w:val="21"/>
          <w:szCs w:val="21"/>
          <w:color w:val="010000"/>
        </w:rPr>
      </w:pPr>
    </w:p>
    <w:p>
      <w:pPr>
        <w:jc w:val="both"/>
        <w:ind w:left="640" w:firstLine="1295"/>
        <w:spacing w:after="0" w:line="260" w:lineRule="auto"/>
        <w:tabs>
          <w:tab w:leader="none" w:pos="2194"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an Exchanging Party desires to exercise its right to require a Redemption, it shall deliver a written notice to the Company and the Operating Company specifying the number of Units such Exchanging Party desires to tender for redemption and whether the exercise of its right to require a Redemption is to be contingent (including as to timing) upon the closing of a sale of the Class A Shares for which the Units will be redeemed or the closing of an announced merger, consolidation or other transaction or event in which the Class A Shares would be exchanged or converted or become exchangeable for or convertible into cash or other securities or property (the “</w:t>
      </w:r>
      <w:r>
        <w:rPr>
          <w:rFonts w:ascii="Times New Roman" w:cs="Times New Roman" w:eastAsia="Times New Roman" w:hAnsi="Times New Roman"/>
          <w:sz w:val="21"/>
          <w:szCs w:val="21"/>
          <w:b w:val="1"/>
          <w:bCs w:val="1"/>
          <w:i w:val="1"/>
          <w:i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Redemption</w:t>
      </w:r>
      <w:r>
        <w:rPr>
          <w:rFonts w:ascii="Times New Roman" w:cs="Times New Roman" w:eastAsia="Times New Roman" w:hAnsi="Times New Roman"/>
          <w:sz w:val="21"/>
          <w:szCs w:val="21"/>
          <w:color w:val="auto"/>
        </w:rPr>
        <w:t>”). The Company shall not be obligated to effect a Redemption until the Specified Redemption Date (it being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understood that the Company will not be required to consummate such Redemption with respect to any Tendered Units that are purchased by the Company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69" w:lineRule="exact"/>
        <w:rPr>
          <w:rFonts w:ascii="Times New Roman" w:cs="Times New Roman" w:eastAsia="Times New Roman" w:hAnsi="Times New Roman"/>
          <w:sz w:val="21"/>
          <w:szCs w:val="21"/>
          <w:color w:val="010000"/>
        </w:rPr>
      </w:pPr>
    </w:p>
    <w:p>
      <w:pPr>
        <w:jc w:val="both"/>
        <w:ind w:left="640" w:firstLine="1295"/>
        <w:spacing w:after="0" w:line="262" w:lineRule="auto"/>
        <w:tabs>
          <w:tab w:leader="none" w:pos="2241"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Common Share Amount shall be delivered by the Company on or before the Specified Redemption Date as duly authorized, validly issued, fully paid and non-assessable Class A Shares, free of any pledge, lien, encumbrance or restriction, other than the restrictions provided in the Securities Act and relevant state securities or “blue sky” laws. Notwithstanding any delay in such delivery, such Exchanging Party shall be deemed the owner of such Class A Shares for all purposes, including, without limitation, rights to vote and consent, receive dividends and distributions, and exercise rights, as of the Specified Redemption Date. Class A Shares issued upon a Redemption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78"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may contain such legends regarding restrictions under the Securities Act and applicable state securities laws as the Company in good faith determines to be necessary or advisable in order to ensure compliance with such laws.</w:t>
      </w:r>
    </w:p>
    <w:p>
      <w:pPr>
        <w:spacing w:after="0" w:line="32" w:lineRule="exact"/>
        <w:rPr>
          <w:sz w:val="20"/>
          <w:szCs w:val="20"/>
          <w:color w:val="auto"/>
        </w:rPr>
      </w:pPr>
    </w:p>
    <w:p>
      <w:pPr>
        <w:jc w:val="both"/>
        <w:ind w:firstLine="1293"/>
        <w:spacing w:after="0" w:line="261" w:lineRule="auto"/>
        <w:tabs>
          <w:tab w:leader="none" w:pos="1589"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lieu of any Redemption described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the Company may, in its sole and absolute discretion (but subject to the approval of the Audit Committee), offer to purchase some or all of the Tendered Units (such amount, expressed as a percentage of the total number of Tendered Units rounded up to the nearest Unit, being referred to as the “</w:t>
      </w:r>
      <w:r>
        <w:rPr>
          <w:rFonts w:ascii="Times New Roman" w:cs="Times New Roman" w:eastAsia="Times New Roman" w:hAnsi="Times New Roman"/>
          <w:sz w:val="21"/>
          <w:szCs w:val="21"/>
          <w:b w:val="1"/>
          <w:bCs w:val="1"/>
          <w:i w:val="1"/>
          <w:iCs w:val="1"/>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Percentage</w:t>
      </w:r>
      <w:r>
        <w:rPr>
          <w:rFonts w:ascii="Times New Roman" w:cs="Times New Roman" w:eastAsia="Times New Roman" w:hAnsi="Times New Roman"/>
          <w:sz w:val="21"/>
          <w:szCs w:val="21"/>
          <w:color w:val="auto"/>
        </w:rPr>
        <w:t>”) from the Exchanging Parties by delivering a written notice of such election on or before the close of business on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Cut-Off Date. If an Exchanging Party, in each case, accepts such offer in writing, on the Specified Redemption Date the Exchanging Party, in each case, shall sell such number of the Tendered Units to the Company in exchange for a cash sum (the “</w:t>
      </w:r>
      <w:r>
        <w:rPr>
          <w:rFonts w:ascii="Times New Roman" w:cs="Times New Roman" w:eastAsia="Times New Roman" w:hAnsi="Times New Roman"/>
          <w:sz w:val="21"/>
          <w:szCs w:val="21"/>
          <w:b w:val="1"/>
          <w:bCs w:val="1"/>
          <w:i w:val="1"/>
          <w:iCs w:val="1"/>
          <w:color w:val="auto"/>
        </w:rPr>
        <w:t>Cash Purchase Price</w:t>
      </w:r>
      <w:r>
        <w:rPr>
          <w:rFonts w:ascii="Times New Roman" w:cs="Times New Roman" w:eastAsia="Times New Roman" w:hAnsi="Times New Roman"/>
          <w:sz w:val="21"/>
          <w:szCs w:val="21"/>
          <w:color w:val="auto"/>
        </w:rPr>
        <w:t>”) equal to the product of the Cash Amount and the Applicable Percentage. If the Company offers, subject to the approval of the Audit Committee, to purchase some or all of the Tendered Units and an Exchanging Party accepts such offer:</w:t>
      </w:r>
    </w:p>
    <w:p>
      <w:pPr>
        <w:spacing w:after="0" w:line="322" w:lineRule="exact"/>
        <w:rPr>
          <w:rFonts w:ascii="Times New Roman" w:cs="Times New Roman" w:eastAsia="Times New Roman" w:hAnsi="Times New Roman"/>
          <w:sz w:val="21"/>
          <w:szCs w:val="21"/>
          <w:color w:val="010000"/>
        </w:rPr>
      </w:pPr>
    </w:p>
    <w:p>
      <w:pPr>
        <w:jc w:val="both"/>
        <w:ind w:left="640" w:firstLine="1295"/>
        <w:spacing w:after="0" w:line="271" w:lineRule="auto"/>
        <w:tabs>
          <w:tab w:leader="none" w:pos="2194"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Cash Purchase Price shall be delivered, in each case, in the Exchanging Party’s sole and absolute discretion, by wire transfer or as a certified or bank check payable to the Exchanging Party, in each case, in immediately available funds and on or before the Specified Redemption Date; and</w:t>
      </w:r>
    </w:p>
    <w:p>
      <w:pPr>
        <w:spacing w:after="0" w:line="65" w:lineRule="exact"/>
        <w:rPr>
          <w:rFonts w:ascii="Times New Roman" w:cs="Times New Roman" w:eastAsia="Times New Roman" w:hAnsi="Times New Roman"/>
          <w:sz w:val="21"/>
          <w:szCs w:val="21"/>
          <w:color w:val="010000"/>
        </w:rPr>
      </w:pPr>
    </w:p>
    <w:p>
      <w:pPr>
        <w:ind w:left="2260" w:hanging="325"/>
        <w:spacing w:after="0"/>
        <w:tabs>
          <w:tab w:leader="none" w:pos="2260"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remaining Tendered Units shall be subject to Redemption pursuant to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010000"/>
        </w:rPr>
      </w:pPr>
    </w:p>
    <w:p>
      <w:pPr>
        <w:jc w:val="both"/>
        <w:ind w:firstLine="1293"/>
        <w:spacing w:after="0" w:line="265" w:lineRule="auto"/>
        <w:tabs>
          <w:tab w:leader="none" w:pos="1603"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the Company elects to exercise its offer rights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the Company shall provide a written notice to that effect (an “</w:t>
      </w:r>
      <w:r>
        <w:rPr>
          <w:rFonts w:ascii="Times New Roman" w:cs="Times New Roman" w:eastAsia="Times New Roman" w:hAnsi="Times New Roman"/>
          <w:sz w:val="21"/>
          <w:szCs w:val="21"/>
          <w:b w:val="1"/>
          <w:bCs w:val="1"/>
          <w:i w:val="1"/>
          <w:iCs w:val="1"/>
          <w:color w:val="auto"/>
        </w:rPr>
        <w:t>Exercise Notice</w:t>
      </w:r>
      <w:r>
        <w:rPr>
          <w:rFonts w:ascii="Times New Roman" w:cs="Times New Roman" w:eastAsia="Times New Roman" w:hAnsi="Times New Roman"/>
          <w:sz w:val="21"/>
          <w:szCs w:val="21"/>
          <w:color w:val="auto"/>
        </w:rPr>
        <w:t>”) to the Operating Company and the Exchanging Party on or before the close of business on the Cut-Off Date. The failure of the Company to provide an Exercise Notice by the close of business on the Cut-Off Date shall be deemed to be an election by the Company not to make an offer to purchase any of the Tendered Units. The Exchanging Party shall have five (5) Business Days after receipt of the Exercise Notice to give written notice of acceptance.</w:t>
      </w:r>
    </w:p>
    <w:p>
      <w:pPr>
        <w:spacing w:after="0" w:line="59" w:lineRule="exact"/>
        <w:rPr>
          <w:rFonts w:ascii="Times New Roman" w:cs="Times New Roman" w:eastAsia="Times New Roman" w:hAnsi="Times New Roman"/>
          <w:sz w:val="21"/>
          <w:szCs w:val="21"/>
          <w:color w:val="010000"/>
        </w:rPr>
      </w:pPr>
    </w:p>
    <w:p>
      <w:pPr>
        <w:jc w:val="both"/>
        <w:ind w:firstLine="1293"/>
        <w:spacing w:after="0" w:line="265" w:lineRule="auto"/>
        <w:tabs>
          <w:tab w:leader="none" w:pos="1589"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remedies of the Exchanging Parties, if the Company offers to purchase some or all of the Tendered Units under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for the Cash Purchase Price and an Exchanging Party accepts, and the Cash Purchase Price is not paid on or before the Specified Redemption Date, interest shall accrue with respect to the Cash Purchase Price from the day after the Specified Redemption Date to and including the date on which the Cash Purchase Price is paid at a rate equal to the Applicable Federal Short-Term Rate as published monthly by the United States Internal Revenue Service.</w:t>
      </w:r>
    </w:p>
    <w:p>
      <w:pPr>
        <w:spacing w:after="0" w:line="59" w:lineRule="exact"/>
        <w:rPr>
          <w:rFonts w:ascii="Times New Roman" w:cs="Times New Roman" w:eastAsia="Times New Roman" w:hAnsi="Times New Roman"/>
          <w:sz w:val="21"/>
          <w:szCs w:val="21"/>
          <w:color w:val="010000"/>
        </w:rPr>
      </w:pPr>
    </w:p>
    <w:p>
      <w:pPr>
        <w:ind w:firstLine="1293"/>
        <w:spacing w:after="0" w:line="290" w:lineRule="auto"/>
        <w:tabs>
          <w:tab w:leader="none" w:pos="1577"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herein to the contrary, with respect to any Redemption pursuant to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or any purchase of Units by the Company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hereof:</w:t>
      </w:r>
    </w:p>
    <w:p>
      <w:pPr>
        <w:spacing w:after="0" w:line="32" w:lineRule="exact"/>
        <w:rPr>
          <w:rFonts w:ascii="Times New Roman" w:cs="Times New Roman" w:eastAsia="Times New Roman" w:hAnsi="Times New Roman"/>
          <w:sz w:val="21"/>
          <w:szCs w:val="21"/>
          <w:color w:val="010000"/>
        </w:rPr>
      </w:pPr>
    </w:p>
    <w:p>
      <w:pPr>
        <w:jc w:val="both"/>
        <w:ind w:left="640" w:firstLine="1295"/>
        <w:spacing w:after="0" w:line="269" w:lineRule="auto"/>
        <w:tabs>
          <w:tab w:leader="none" w:pos="2194"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the consent of the Company, no Exchanging Party may effect a Redemption (A) for less than two thousand (2,000) Units, (B) if such Exchanging Party holds less than two thousand (2,000) Units, for any of the Units held by such Exchanging Party, or (C) more than one time in any calendar month. Without limiting the foregoing, no EnCap Party or NGU Party shall effect a Redemption for a period commencing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78"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21"/>
          <w:szCs w:val="21"/>
          <w:color w:val="auto"/>
        </w:rPr>
        <w:t>Effective Date and ending on April 1, 2025 without the consent of the Company (which may be granted or withheld in the Company’s sole discretion).</w:t>
      </w:r>
    </w:p>
    <w:p>
      <w:pPr>
        <w:spacing w:after="0" w:line="32" w:lineRule="exact"/>
        <w:rPr>
          <w:sz w:val="20"/>
          <w:szCs w:val="20"/>
          <w:color w:val="auto"/>
        </w:rPr>
      </w:pPr>
    </w:p>
    <w:p>
      <w:pPr>
        <w:jc w:val="both"/>
        <w:ind w:left="640" w:firstLine="1295"/>
        <w:spacing w:after="0" w:line="262" w:lineRule="auto"/>
        <w:tabs>
          <w:tab w:leader="none" w:pos="2267" w:val="left"/>
        </w:tabs>
        <w:numPr>
          <w:ilvl w:val="1"/>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 an Exchanging Party surrenders Tendered Units during the period after the record date with respect to a distribution payable to Holders of OpCo Units, and before the record date established by the Company for a distribution to its stockholders of some or all of its portion of such Operating Company distribution, and (B) the Company elects to purchase any of such Tendered Units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then such Exchanging Party shall pay to the Company on the Specified Redemption Date an amount in cash equal to the Operating Company distribution paid or payable in respect of such Tendered Units.</w:t>
      </w:r>
    </w:p>
    <w:p>
      <w:pPr>
        <w:spacing w:after="0" w:line="78" w:lineRule="exact"/>
        <w:rPr>
          <w:rFonts w:ascii="Times New Roman" w:cs="Times New Roman" w:eastAsia="Times New Roman" w:hAnsi="Times New Roman"/>
          <w:sz w:val="21"/>
          <w:szCs w:val="21"/>
          <w:color w:val="010000"/>
        </w:rPr>
      </w:pPr>
    </w:p>
    <w:p>
      <w:pPr>
        <w:jc w:val="both"/>
        <w:ind w:left="640" w:firstLine="1295"/>
        <w:spacing w:after="0" w:line="260" w:lineRule="auto"/>
        <w:tabs>
          <w:tab w:leader="none" w:pos="2340" w:val="left"/>
        </w:tabs>
        <w:numPr>
          <w:ilvl w:val="1"/>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herein, the consummation of a Redemption pursuant to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hereof or a purchase of Tendered Units by the Company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hereof, as the case may be, shall not be permitted to the extent the Company determines that such Redemption or purchase (A) would be prohibited by applicable law or regulation (including, without limitation, the Securities Act, the Delaware LLC Act or the Delaware General Corporation Law) or (B) would not be permitted under the Charter, the OpCo Limited Liability Company Agreement or any other agreements to which the Company or the Operating Company may be party or any written policies of the Company related to unlawful or improper trading (including, without limitation, the policies of the Company relating to insider trading).</w:t>
      </w:r>
    </w:p>
    <w:p>
      <w:pPr>
        <w:spacing w:after="0" w:line="324" w:lineRule="exact"/>
        <w:rPr>
          <w:rFonts w:ascii="Times New Roman" w:cs="Times New Roman" w:eastAsia="Times New Roman" w:hAnsi="Times New Roman"/>
          <w:sz w:val="21"/>
          <w:szCs w:val="21"/>
          <w:color w:val="010000"/>
        </w:rPr>
      </w:pPr>
    </w:p>
    <w:p>
      <w:pPr>
        <w:jc w:val="both"/>
        <w:ind w:firstLine="1293"/>
        <w:spacing w:after="0" w:line="261" w:lineRule="auto"/>
        <w:tabs>
          <w:tab w:leader="none" w:pos="1553" w:val="left"/>
        </w:tabs>
        <w:numPr>
          <w:ilvl w:val="0"/>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the Operating Company and each Exchanging Party shall bear their own expenses in connection with the consummation of any Exchange, whether or not any such Exchange is ultimately consummated, except that the Operating Company shall bear any transfer taxes, stamp taxes or duties, or other similar taxes in connection with, or arising by reason of, any Exchange;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Class A Shares are to be delivered in a name other than that of an Exchanging Party, then such Exchanging Party and/or the Person in whose name such shares are to be delivered shall pay to the Operating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59" w:lineRule="exact"/>
        <w:rPr>
          <w:sz w:val="20"/>
          <w:szCs w:val="20"/>
          <w:color w:val="auto"/>
        </w:rPr>
      </w:pPr>
    </w:p>
    <w:p>
      <w:pPr>
        <w:jc w:val="both"/>
        <w:ind w:firstLine="771"/>
        <w:spacing w:after="0" w:line="268" w:lineRule="auto"/>
        <w:rPr>
          <w:sz w:val="20"/>
          <w:szCs w:val="20"/>
          <w:color w:val="auto"/>
        </w:rPr>
      </w:pPr>
      <w:r>
        <w:rPr>
          <w:rFonts w:ascii="Times New Roman" w:cs="Times New Roman" w:eastAsia="Times New Roman" w:hAnsi="Times New Roman"/>
          <w:sz w:val="21"/>
          <w:szCs w:val="21"/>
          <w:color w:val="010000"/>
        </w:rPr>
        <w:t xml:space="preserve">Section 2.2 </w:t>
      </w:r>
      <w:r>
        <w:rPr>
          <w:rFonts w:ascii="Times New Roman" w:cs="Times New Roman" w:eastAsia="Times New Roman" w:hAnsi="Times New Roman"/>
          <w:sz w:val="21"/>
          <w:szCs w:val="21"/>
          <w:i w:val="1"/>
          <w:iCs w:val="1"/>
          <w:color w:val="000000"/>
        </w:rPr>
        <w:t>Restrictions on Transfer of OpCo Units.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addition to the restrictions on transfer set forth in Operating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Company’s Organizational Documents, neither EnCap nor NGU shall transfer any OpCo Units or Class B Shares held by such Party other than pursuant to an Exchange or transfer in accordance with the terms of this Agreement and Operating Company’s Organizational Documents. Any transfer of OpCo Units and/or Class B Shares in violation of this </w:t>
      </w:r>
      <w:r>
        <w:rPr>
          <w:rFonts w:ascii="Times New Roman" w:cs="Times New Roman" w:eastAsia="Times New Roman" w:hAnsi="Times New Roman"/>
          <w:sz w:val="21"/>
          <w:szCs w:val="21"/>
          <w:u w:val="single" w:color="auto"/>
          <w:color w:val="000000"/>
        </w:rPr>
        <w:t>Section 2.2</w:t>
      </w:r>
      <w:r>
        <w:rPr>
          <w:rFonts w:ascii="Times New Roman" w:cs="Times New Roman" w:eastAsia="Times New Roman" w:hAnsi="Times New Roman"/>
          <w:sz w:val="21"/>
          <w:szCs w:val="21"/>
          <w:color w:val="000000"/>
        </w:rPr>
        <w:t xml:space="preserve"> will be void </w:t>
      </w:r>
      <w:r>
        <w:rPr>
          <w:rFonts w:ascii="Times New Roman" w:cs="Times New Roman" w:eastAsia="Times New Roman" w:hAnsi="Times New Roman"/>
          <w:sz w:val="21"/>
          <w:szCs w:val="21"/>
          <w:i w:val="1"/>
          <w:iCs w:val="1"/>
          <w:color w:val="000000"/>
        </w:rPr>
        <w:t>ab</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initio</w:t>
      </w:r>
      <w:r>
        <w:rPr>
          <w:rFonts w:ascii="Times New Roman" w:cs="Times New Roman" w:eastAsia="Times New Roman" w:hAnsi="Times New Roman"/>
          <w:sz w:val="21"/>
          <w:szCs w:val="21"/>
          <w:color w:val="000000"/>
        </w:rPr>
        <w:t>.</w:t>
      </w:r>
    </w:p>
    <w:p>
      <w:pPr>
        <w:spacing w:after="0" w:line="3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010000"/>
        </w:rPr>
        <w:t xml:space="preserve">Section 2.3 </w:t>
      </w:r>
      <w:r>
        <w:rPr>
          <w:rFonts w:ascii="Times New Roman" w:cs="Times New Roman" w:eastAsia="Times New Roman" w:hAnsi="Times New Roman"/>
          <w:sz w:val="21"/>
          <w:szCs w:val="21"/>
          <w:i w:val="1"/>
          <w:iCs w:val="1"/>
          <w:color w:val="000000"/>
        </w:rPr>
        <w:t>Restrictions on Transfers; Lock-Up.</w:t>
      </w:r>
    </w:p>
    <w:p>
      <w:pPr>
        <w:spacing w:after="0" w:line="124" w:lineRule="exact"/>
        <w:rPr>
          <w:sz w:val="20"/>
          <w:szCs w:val="20"/>
          <w:color w:val="auto"/>
        </w:rPr>
      </w:pPr>
    </w:p>
    <w:p>
      <w:pPr>
        <w:jc w:val="both"/>
        <w:ind w:firstLine="1293"/>
        <w:spacing w:after="0" w:line="269" w:lineRule="auto"/>
        <w:tabs>
          <w:tab w:leader="none" w:pos="1603"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contained herein, but subject to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neither EnCap nor NGU shall transfer any of their OpCo Units (or take any action that would constitute a transfer if the transferee were admitted as a Member) other than (i) after April 1, 2025 in exchange for Class A Shares (or cash, if applicable) pursuant to, and in accordance with, this Agreement, (ii) as permitted by Section 4.4(d) of the OpCo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Liability Company Agreement or (iii) solely with respect to EnCap, and notwithstanding any consent otherwise required by Section 4.4(b) of the OpCo Limited Liability Company Agreement (unless the Managing Member (as defined in the OpCo Limited Liability Company Agreement) determines in Good Faith (as defined in the OpCo Limited Liability Company Agreement) that a proposed transfer would violate Section 4.5 of the OpCo Limited Liability Company Agreement) a transfer of all of such Party’s OpCo Units to any single Affiliate of such Party, it being understood that in no event shall more than one Person hold such OpCo Units of EnCap; provided, that in connection with any transfer, the transferor shall transfer an equivalent number of Class B Shares to the transferee, in accordance with the terms of Operating Company’s Organizational Documents.</w:t>
      </w:r>
    </w:p>
    <w:p>
      <w:pPr>
        <w:spacing w:after="0" w:line="63" w:lineRule="exact"/>
        <w:rPr>
          <w:sz w:val="20"/>
          <w:szCs w:val="20"/>
          <w:color w:val="auto"/>
        </w:rPr>
      </w:pPr>
    </w:p>
    <w:p>
      <w:pPr>
        <w:jc w:val="both"/>
        <w:ind w:firstLine="1293"/>
        <w:spacing w:after="0" w:line="261" w:lineRule="auto"/>
        <w:tabs>
          <w:tab w:leader="none" w:pos="1589"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addition to the restrictions on transfer set forth in this Agreement and the OpCo Limited Liability Company Agreement, but subject to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for a period commencing on the Effective Date and ending on April 1, 2025, EnCap and NGU shall not (and shall not permit any of their Affiliates to) (i) offer for sale, sell, pledge, lend, or otherwise dispose of (or enter into any transaction or device that is designed to, or could be expected to, result in the disposition by any Person at any time in the future of) any OpCo Units, (ii) enter into any swap or other derivatives transaction that transfers to another Person, in whole or in part, any of the economic benefits or risks of ownership of such OpCo Units, whether any such transaction described in clause (i) or (ii) above is to be settled by delivery of Class A Shares or other securities, in cash or otherwise, or (iii) publicly disclose the intention to do any of the foregoing.</w:t>
      </w:r>
    </w:p>
    <w:p>
      <w:pPr>
        <w:spacing w:after="0" w:line="68" w:lineRule="exact"/>
        <w:rPr>
          <w:rFonts w:ascii="Times New Roman" w:cs="Times New Roman" w:eastAsia="Times New Roman" w:hAnsi="Times New Roman"/>
          <w:sz w:val="21"/>
          <w:szCs w:val="21"/>
          <w:color w:val="010000"/>
        </w:rPr>
      </w:pPr>
    </w:p>
    <w:p>
      <w:pPr>
        <w:jc w:val="both"/>
        <w:ind w:firstLine="1293"/>
        <w:spacing w:after="0" w:line="265" w:lineRule="auto"/>
        <w:tabs>
          <w:tab w:leader="none" w:pos="1603"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the avoidance of doubt, nothing in this Agreement shall prohibit or otherwise limit transfers of equity interest in any direct or indirect equity holder (including EnCap Investments, L.P. and its Affiliates) of EnCap and NGU, except to the extent the purpose of such transfer is to enter into a transaction with respect to OpCo Units or Class A Shares that would be prohibited pursuant to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w:t>
      </w:r>
    </w:p>
    <w:p>
      <w:pPr>
        <w:spacing w:after="0" w:line="68" w:lineRule="exact"/>
        <w:rPr>
          <w:sz w:val="20"/>
          <w:szCs w:val="20"/>
          <w:color w:val="auto"/>
        </w:rPr>
      </w:pPr>
    </w:p>
    <w:p>
      <w:pPr>
        <w:jc w:val="both"/>
        <w:ind w:firstLine="771"/>
        <w:spacing w:after="0" w:line="273" w:lineRule="auto"/>
        <w:rPr>
          <w:sz w:val="20"/>
          <w:szCs w:val="20"/>
          <w:color w:val="auto"/>
        </w:rPr>
      </w:pPr>
      <w:r>
        <w:rPr>
          <w:rFonts w:ascii="Times New Roman" w:cs="Times New Roman" w:eastAsia="Times New Roman" w:hAnsi="Times New Roman"/>
          <w:sz w:val="21"/>
          <w:szCs w:val="21"/>
          <w:color w:val="010000"/>
        </w:rPr>
        <w:t xml:space="preserve">Section 2.4 </w:t>
      </w:r>
      <w:r>
        <w:rPr>
          <w:rFonts w:ascii="Times New Roman" w:cs="Times New Roman" w:eastAsia="Times New Roman" w:hAnsi="Times New Roman"/>
          <w:sz w:val="21"/>
          <w:szCs w:val="21"/>
          <w:i w:val="1"/>
          <w:iCs w:val="1"/>
          <w:color w:val="000000"/>
        </w:rPr>
        <w:t>Expiration.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the event that the Operating Company is dissolved pursuant to the OpCo Limited Liability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Company Agreement, any Exchange Right pursuant to </w:t>
      </w:r>
      <w:r>
        <w:rPr>
          <w:rFonts w:ascii="Times New Roman" w:cs="Times New Roman" w:eastAsia="Times New Roman" w:hAnsi="Times New Roman"/>
          <w:sz w:val="21"/>
          <w:szCs w:val="21"/>
          <w:u w:val="single" w:color="auto"/>
          <w:color w:val="000000"/>
        </w:rPr>
        <w:t>Section 2.1</w:t>
      </w:r>
      <w:r>
        <w:rPr>
          <w:rFonts w:ascii="Times New Roman" w:cs="Times New Roman" w:eastAsia="Times New Roman" w:hAnsi="Times New Roman"/>
          <w:sz w:val="21"/>
          <w:szCs w:val="21"/>
          <w:color w:val="000000"/>
        </w:rPr>
        <w:t xml:space="preserve"> of this Agreement shall terminate upon final distribution of the assets of the Operating Company pursuant to the terms and conditions of the OpCo Limited Liability Company Agreement.</w:t>
      </w:r>
    </w:p>
    <w:p>
      <w:pPr>
        <w:spacing w:after="0" w:line="46" w:lineRule="exact"/>
        <w:rPr>
          <w:sz w:val="20"/>
          <w:szCs w:val="20"/>
          <w:color w:val="auto"/>
        </w:rPr>
      </w:pPr>
    </w:p>
    <w:p>
      <w:pPr>
        <w:jc w:val="both"/>
        <w:ind w:firstLine="771"/>
        <w:spacing w:after="0" w:line="260" w:lineRule="auto"/>
        <w:rPr>
          <w:sz w:val="20"/>
          <w:szCs w:val="20"/>
          <w:color w:val="auto"/>
        </w:rPr>
      </w:pPr>
      <w:r>
        <w:rPr>
          <w:rFonts w:ascii="Times New Roman" w:cs="Times New Roman" w:eastAsia="Times New Roman" w:hAnsi="Times New Roman"/>
          <w:sz w:val="21"/>
          <w:szCs w:val="21"/>
          <w:color w:val="010000"/>
        </w:rPr>
        <w:t xml:space="preserve">Section 2.5 </w:t>
      </w:r>
      <w:r>
        <w:rPr>
          <w:rFonts w:ascii="Times New Roman" w:cs="Times New Roman" w:eastAsia="Times New Roman" w:hAnsi="Times New Roman"/>
          <w:sz w:val="21"/>
          <w:szCs w:val="21"/>
          <w:i w:val="1"/>
          <w:iCs w:val="1"/>
          <w:color w:val="000000"/>
        </w:rPr>
        <w:t>Adjustment.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If there is any reclassification, reorganization, recapitalization or other similar transaction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which the OpCo Units, Class A Shares or Class B Shares, as applicable, are converted or changed into another security, securities or other property, then upon any subsequent Exchange, each Exchanging Party shall be entitled to receive the amount of such security, securities or other property that such Exchanging Party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OpCo Units, Class A Shares or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Shares, as applicable, are converted or changed into another security, securities or other property,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shall continue to be applicable, mutatis mutandis, with respect to such security or other property. This Agreement shall apply to, mutatis mutandis, and all references to “OpCo Units,” “Class A Shares” or “Class B Shares” shall be deemed to include, any security, securities or other property of the Operating Company or the Company, as applicable, which may be issued in respect of, in exchange for or in substitution of the OpCo Units, Class A Shares or Class B Shares, as applicable, by reason of any distribution or dividend, split, reverse split, combination, reclassification, reorganization, recapitalization, merger, exchange (other than an Exchange) or other transaction.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III</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 PROVISIONS</w:t>
      </w:r>
    </w:p>
    <w:p>
      <w:pPr>
        <w:spacing w:after="0" w:line="105" w:lineRule="exact"/>
        <w:rPr>
          <w:sz w:val="20"/>
          <w:szCs w:val="20"/>
          <w:color w:val="auto"/>
        </w:rPr>
      </w:pPr>
    </w:p>
    <w:p>
      <w:pPr>
        <w:jc w:val="both"/>
        <w:ind w:firstLine="771"/>
        <w:spacing w:after="0" w:line="263" w:lineRule="auto"/>
        <w:rPr>
          <w:sz w:val="20"/>
          <w:szCs w:val="20"/>
          <w:color w:val="auto"/>
        </w:rPr>
      </w:pPr>
      <w:r>
        <w:rPr>
          <w:rFonts w:ascii="Times New Roman" w:cs="Times New Roman" w:eastAsia="Times New Roman" w:hAnsi="Times New Roman"/>
          <w:sz w:val="21"/>
          <w:szCs w:val="21"/>
          <w:color w:val="010000"/>
        </w:rPr>
        <w:t xml:space="preserve">Section 3.1 </w:t>
      </w:r>
      <w:r>
        <w:rPr>
          <w:rFonts w:ascii="Times New Roman" w:cs="Times New Roman" w:eastAsia="Times New Roman" w:hAnsi="Times New Roman"/>
          <w:sz w:val="21"/>
          <w:szCs w:val="21"/>
          <w:i w:val="1"/>
          <w:iCs w:val="1"/>
          <w:color w:val="000000"/>
        </w:rPr>
        <w:t>Notices.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notice, statement, demand, claim, offer or other written instrument required or permitted to be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given pursuant to this Agreement shall be in writing signed by the Party giving such notice and shall be sent by facsimile, email, hand messenger delivery, overnight courier service, or certified mail (receipt requested) to each other Party at the address set forth below; provided that to be effective any such notice sent originally by facsimile or email must be followed within two (2) Business Days by a copy of such notice sent by overnight courier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Viper Energy, Inc.</w:t>
      </w:r>
    </w:p>
    <w:p>
      <w:pPr>
        <w:spacing w:after="0" w:line="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500 W. Texas Ave., Ste. 100</w:t>
      </w:r>
    </w:p>
    <w:p>
      <w:pPr>
        <w:spacing w:after="0" w:line="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Midland, Texas 79701</w:t>
      </w:r>
    </w:p>
    <w:p>
      <w:pPr>
        <w:spacing w:after="0" w:line="42" w:lineRule="exact"/>
        <w:rPr>
          <w:sz w:val="20"/>
          <w:szCs w:val="20"/>
          <w:color w:val="auto"/>
        </w:rPr>
      </w:pPr>
    </w:p>
    <w:p>
      <w:pPr>
        <w:ind w:left="1740" w:right="3060"/>
        <w:spacing w:after="0" w:line="324" w:lineRule="auto"/>
        <w:rPr>
          <w:sz w:val="20"/>
          <w:szCs w:val="20"/>
          <w:color w:val="auto"/>
        </w:rPr>
      </w:pPr>
      <w:r>
        <w:rPr>
          <w:rFonts w:ascii="Times New Roman" w:cs="Times New Roman" w:eastAsia="Times New Roman" w:hAnsi="Times New Roman"/>
          <w:sz w:val="21"/>
          <w:szCs w:val="21"/>
          <w:color w:val="auto"/>
        </w:rPr>
        <w:t>Email: kvanthof@diamondbackenergy.com; agilfillian@diamondbackenergy.com; wkrueger@diamondbackenergy.com Attention: Kaes Van’t Hof; Austen Gilfillian; Will Krueger</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If to the Operating Company:</w:t>
      </w: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Viper Energy Partners LLC</w:t>
      </w:r>
    </w:p>
    <w:p>
      <w:pPr>
        <w:spacing w:after="0" w:line="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500 W. Texas Ave., Ste. 100</w:t>
      </w:r>
    </w:p>
    <w:p>
      <w:pPr>
        <w:spacing w:after="0" w:line="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Midland, Texas 79701</w:t>
      </w:r>
    </w:p>
    <w:p>
      <w:pPr>
        <w:spacing w:after="0" w:line="42" w:lineRule="exact"/>
        <w:rPr>
          <w:sz w:val="20"/>
          <w:szCs w:val="20"/>
          <w:color w:val="auto"/>
        </w:rPr>
      </w:pPr>
    </w:p>
    <w:p>
      <w:pPr>
        <w:ind w:left="1740" w:right="3060"/>
        <w:spacing w:after="0" w:line="324" w:lineRule="auto"/>
        <w:rPr>
          <w:sz w:val="20"/>
          <w:szCs w:val="20"/>
          <w:color w:val="auto"/>
        </w:rPr>
      </w:pPr>
      <w:r>
        <w:rPr>
          <w:rFonts w:ascii="Times New Roman" w:cs="Times New Roman" w:eastAsia="Times New Roman" w:hAnsi="Times New Roman"/>
          <w:sz w:val="21"/>
          <w:szCs w:val="21"/>
          <w:color w:val="auto"/>
        </w:rPr>
        <w:t>Email: kvanthof@diamondbackenergy.com; agilfillian@diamondbackenergy.com; wkrueger@diamondbackenergy.com Attention: Kaes Van’t Hof; Austen Gilfillian; Will Krueger</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If to EnCap:</w:t>
      </w:r>
    </w:p>
    <w:p>
      <w:pPr>
        <w:spacing w:after="0" w:line="3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EnCap Energy Capital Fund X, L.P.</w:t>
      </w:r>
    </w:p>
    <w:p>
      <w:pPr>
        <w:spacing w:after="0" w:line="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9651 Katy Fwy., Suite 600</w:t>
      </w:r>
    </w:p>
    <w:p>
      <w:pPr>
        <w:spacing w:after="0" w:line="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Houston, TX 77024</w:t>
      </w:r>
    </w:p>
    <w:p>
      <w:pPr>
        <w:spacing w:after="0" w:line="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Email: rdevlin@encapinvestments.com</w:t>
      </w:r>
    </w:p>
    <w:p>
      <w:pPr>
        <w:spacing w:after="0" w:line="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Attention: Ryan Devlin</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If to NGU:</w:t>
      </w: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NGU Management LLC</w:t>
      </w:r>
    </w:p>
    <w:p>
      <w:pPr>
        <w:spacing w:after="0" w:line="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400 N. Marienfeld Street</w:t>
      </w:r>
    </w:p>
    <w:p>
      <w:pPr>
        <w:spacing w:after="0" w:line="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Midland, Texas 79701</w:t>
      </w:r>
    </w:p>
    <w:p>
      <w:pPr>
        <w:spacing w:after="0" w:line="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Email: acampbell@ogxresources.com</w:t>
      </w:r>
    </w:p>
    <w:p>
      <w:pPr>
        <w:spacing w:after="0" w:line="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Attention: Austen S. Campbell</w:t>
      </w:r>
    </w:p>
    <w:p>
      <w:pPr>
        <w:spacing w:after="0" w:line="3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Each Party shall have the right to change the place to which notices shall be sent or delivered or to specify one additional address to which copies of notices may be sent, in either case by similar notice sent or delivered in like manner to the other Party. Without limiting any other means by which a Party may be able to prove that a notice has been received by another Party, all notices and communications shall be deemed to have been duly given: (i) at the time delivered by hand, if personally delivered; (ii) five (5) Business Days after being deposited in the mail, postage prepaid, if mailed by first class certified mail, receipt requested; (iii) when received, if sent 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type w:val="continuous"/>
        </w:sectPr>
      </w:pPr>
    </w:p>
    <w:bookmarkStart w:id="145" w:name="page146"/>
    <w:bookmarkEnd w:id="145"/>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facsimile or email, if received prior to 5 p.m., recipient’s time, on a Business Day, or on the next Business Day, if received later than 5 p.m., recipient’s time; and (iv) on the next Business Day after timely delivery to the courier, if sent by overnight air courier guaranteeing next day delivery. In any case hereunder in which a Party is required or permitted to respond to a notice from another Party within a specified period, such period shall run from the date on which the notice was deemed duly given as above provided, and the response shall be considered to be timely given if given as above provided by the last day of the period provided for such response.</w:t>
      </w:r>
    </w:p>
    <w:p>
      <w:pPr>
        <w:spacing w:after="0" w:line="61" w:lineRule="exact"/>
        <w:rPr>
          <w:sz w:val="20"/>
          <w:szCs w:val="20"/>
          <w:color w:val="auto"/>
        </w:rPr>
      </w:pPr>
    </w:p>
    <w:p>
      <w:pPr>
        <w:jc w:val="both"/>
        <w:ind w:firstLine="771"/>
        <w:spacing w:after="0" w:line="270" w:lineRule="auto"/>
        <w:rPr>
          <w:sz w:val="20"/>
          <w:szCs w:val="20"/>
          <w:color w:val="auto"/>
        </w:rPr>
      </w:pPr>
      <w:r>
        <w:rPr>
          <w:rFonts w:ascii="Times New Roman" w:cs="Times New Roman" w:eastAsia="Times New Roman" w:hAnsi="Times New Roman"/>
          <w:sz w:val="21"/>
          <w:szCs w:val="21"/>
          <w:color w:val="010000"/>
        </w:rPr>
        <w:t xml:space="preserve">Section 3.2 </w:t>
      </w:r>
      <w:r>
        <w:rPr>
          <w:rFonts w:ascii="Times New Roman" w:cs="Times New Roman" w:eastAsia="Times New Roman" w:hAnsi="Times New Roman"/>
          <w:sz w:val="21"/>
          <w:szCs w:val="21"/>
          <w:i w:val="1"/>
          <w:iCs w:val="1"/>
          <w:color w:val="000000"/>
        </w:rPr>
        <w:t>Time is of the Essence.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Time is of the essence of this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notwithstanding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anything to the contrary in this Agreement, if the time period for the performance of any covenant or obligation, satisfaction of any condition or delivery of any notice or item required under this Agreement shall expire on a day other than a Business Day, such time period shall be extended automatically to the next Business Day.</w:t>
      </w:r>
    </w:p>
    <w:p>
      <w:pPr>
        <w:spacing w:after="0" w:line="51" w:lineRule="exact"/>
        <w:rPr>
          <w:sz w:val="20"/>
          <w:szCs w:val="20"/>
          <w:color w:val="auto"/>
        </w:rPr>
      </w:pPr>
    </w:p>
    <w:p>
      <w:pPr>
        <w:jc w:val="both"/>
        <w:ind w:firstLine="771"/>
        <w:spacing w:after="0" w:line="260" w:lineRule="auto"/>
        <w:rPr>
          <w:sz w:val="20"/>
          <w:szCs w:val="20"/>
          <w:color w:val="auto"/>
        </w:rPr>
      </w:pPr>
      <w:r>
        <w:rPr>
          <w:rFonts w:ascii="Times New Roman" w:cs="Times New Roman" w:eastAsia="Times New Roman" w:hAnsi="Times New Roman"/>
          <w:sz w:val="21"/>
          <w:szCs w:val="21"/>
          <w:color w:val="010000"/>
        </w:rPr>
        <w:t xml:space="preserve">Section 3.3 </w:t>
      </w:r>
      <w:r>
        <w:rPr>
          <w:rFonts w:ascii="Times New Roman" w:cs="Times New Roman" w:eastAsia="Times New Roman" w:hAnsi="Times New Roman"/>
          <w:sz w:val="21"/>
          <w:szCs w:val="21"/>
          <w:i w:val="1"/>
          <w:iCs w:val="1"/>
          <w:color w:val="000000"/>
        </w:rPr>
        <w:t>Assignment.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Except to the extent expressly contemplated by this Agreement and permitted under the terms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OpCo Limited Liability Company Agreement, no Party will convey, assign or otherwise transfer either this Agreement or any of the rights, interests or obligations hereunder without the prior written consent of the other Parties hereto (in each of such Party’s sole and absolute discretion). Any such prohibited conveyance, assignment or transfer without the prior written consent of the other Parties will be void </w:t>
      </w:r>
      <w:r>
        <w:rPr>
          <w:rFonts w:ascii="Times New Roman" w:cs="Times New Roman" w:eastAsia="Times New Roman" w:hAnsi="Times New Roman"/>
          <w:sz w:val="21"/>
          <w:szCs w:val="21"/>
          <w:i w:val="1"/>
          <w:iCs w:val="1"/>
          <w:color w:val="000000"/>
        </w:rPr>
        <w:t>ab initio</w:t>
      </w:r>
      <w:r>
        <w:rPr>
          <w:rFonts w:ascii="Times New Roman" w:cs="Times New Roman" w:eastAsia="Times New Roman" w:hAnsi="Times New Roman"/>
          <w:sz w:val="21"/>
          <w:szCs w:val="21"/>
          <w:color w:val="000000"/>
        </w:rPr>
        <w:t xml:space="preserve">. Notwithstanding the foregoing, nothing contained in this Agreement shall preclude (i) any pledge, hypothecation or other transfer or assignment of a Party’s rights, title and interest under this Agreement, including any amounts payable to such Party under this Agreement, to a </w:t>
      </w:r>
      <w:r>
        <w:rPr>
          <w:rFonts w:ascii="Times New Roman" w:cs="Times New Roman" w:eastAsia="Times New Roman" w:hAnsi="Times New Roman"/>
          <w:sz w:val="21"/>
          <w:szCs w:val="21"/>
          <w:i w:val="1"/>
          <w:iCs w:val="1"/>
          <w:color w:val="000000"/>
        </w:rPr>
        <w:t>bona fide</w:t>
      </w:r>
      <w:r>
        <w:rPr>
          <w:rFonts w:ascii="Times New Roman" w:cs="Times New Roman" w:eastAsia="Times New Roman" w:hAnsi="Times New Roman"/>
          <w:sz w:val="21"/>
          <w:szCs w:val="21"/>
          <w:color w:val="000000"/>
        </w:rPr>
        <w:t xml:space="preserve"> Financing Party as security for debt financing to such Party or one of its Affiliates or (ii) the assignment of such rights, title and interest under this Agreement upon exercise of remedies by a Financing Party following a default by such Party or one of its Affiliates under the financing agreements entered into with the Financing Parties.</w:t>
      </w:r>
    </w:p>
    <w:p>
      <w:pPr>
        <w:spacing w:after="0" w:line="323" w:lineRule="exact"/>
        <w:rPr>
          <w:sz w:val="20"/>
          <w:szCs w:val="20"/>
          <w:color w:val="auto"/>
        </w:rPr>
      </w:pPr>
    </w:p>
    <w:p>
      <w:pPr>
        <w:jc w:val="both"/>
        <w:ind w:firstLine="771"/>
        <w:spacing w:after="0" w:line="266" w:lineRule="auto"/>
        <w:rPr>
          <w:sz w:val="20"/>
          <w:szCs w:val="20"/>
          <w:color w:val="auto"/>
        </w:rPr>
      </w:pPr>
      <w:r>
        <w:rPr>
          <w:rFonts w:ascii="Times New Roman" w:cs="Times New Roman" w:eastAsia="Times New Roman" w:hAnsi="Times New Roman"/>
          <w:sz w:val="21"/>
          <w:szCs w:val="21"/>
          <w:color w:val="010000"/>
        </w:rPr>
        <w:t xml:space="preserve">Section 3.4 </w:t>
      </w:r>
      <w:r>
        <w:rPr>
          <w:rFonts w:ascii="Times New Roman" w:cs="Times New Roman" w:eastAsia="Times New Roman" w:hAnsi="Times New Roman"/>
          <w:sz w:val="21"/>
          <w:szCs w:val="21"/>
          <w:i w:val="1"/>
          <w:iCs w:val="1"/>
          <w:color w:val="000000"/>
        </w:rPr>
        <w:t>Parties in Interest.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This Agreement is binding upon and is for the benefit of the Parties and their respective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successors and permitted assigns. This Agreement is not made for the benefit of any Person not a Party, and no Person other than the Parties and their respective successors and permitted assigns will acquire or have any benefit, right, remedy or claim under or by virtue of this Agreement.</w:t>
      </w:r>
    </w:p>
    <w:p>
      <w:pPr>
        <w:spacing w:after="0" w:line="68" w:lineRule="exact"/>
        <w:rPr>
          <w:sz w:val="20"/>
          <w:szCs w:val="20"/>
          <w:color w:val="auto"/>
        </w:rPr>
      </w:pPr>
    </w:p>
    <w:p>
      <w:pPr>
        <w:jc w:val="both"/>
        <w:ind w:firstLine="771"/>
        <w:spacing w:after="0" w:line="273" w:lineRule="auto"/>
        <w:rPr>
          <w:sz w:val="20"/>
          <w:szCs w:val="20"/>
          <w:color w:val="auto"/>
        </w:rPr>
      </w:pPr>
      <w:r>
        <w:rPr>
          <w:rFonts w:ascii="Times New Roman" w:cs="Times New Roman" w:eastAsia="Times New Roman" w:hAnsi="Times New Roman"/>
          <w:sz w:val="21"/>
          <w:szCs w:val="21"/>
          <w:color w:val="010000"/>
        </w:rPr>
        <w:t xml:space="preserve">Section 3.5 </w:t>
      </w:r>
      <w:r>
        <w:rPr>
          <w:rFonts w:ascii="Times New Roman" w:cs="Times New Roman" w:eastAsia="Times New Roman" w:hAnsi="Times New Roman"/>
          <w:sz w:val="21"/>
          <w:szCs w:val="21"/>
          <w:i w:val="1"/>
          <w:iCs w:val="1"/>
          <w:color w:val="000000"/>
        </w:rPr>
        <w:t>Captions.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All Section titles or captions contained in this Agreement or in the table of contents of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Agreement are for convenience only and shall not be deemed to be a part of this Agreement or affect the meaning or interpretation of this Agreement.</w:t>
      </w:r>
    </w:p>
    <w:p>
      <w:pPr>
        <w:spacing w:after="0" w:line="46" w:lineRule="exact"/>
        <w:rPr>
          <w:sz w:val="20"/>
          <w:szCs w:val="20"/>
          <w:color w:val="auto"/>
        </w:rPr>
      </w:pPr>
    </w:p>
    <w:p>
      <w:pPr>
        <w:jc w:val="both"/>
        <w:ind w:firstLine="771"/>
        <w:spacing w:after="0" w:line="260" w:lineRule="auto"/>
        <w:rPr>
          <w:sz w:val="20"/>
          <w:szCs w:val="20"/>
          <w:color w:val="auto"/>
        </w:rPr>
      </w:pPr>
      <w:r>
        <w:rPr>
          <w:rFonts w:ascii="Times New Roman" w:cs="Times New Roman" w:eastAsia="Times New Roman" w:hAnsi="Times New Roman"/>
          <w:sz w:val="21"/>
          <w:szCs w:val="21"/>
          <w:color w:val="010000"/>
        </w:rPr>
        <w:t xml:space="preserve">Section 3.6 </w:t>
      </w:r>
      <w:r>
        <w:rPr>
          <w:rFonts w:ascii="Times New Roman" w:cs="Times New Roman" w:eastAsia="Times New Roman" w:hAnsi="Times New Roman"/>
          <w:sz w:val="21"/>
          <w:szCs w:val="21"/>
          <w:i w:val="1"/>
          <w:iCs w:val="1"/>
          <w:color w:val="000000"/>
        </w:rPr>
        <w:t>Severability.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Whenever possible each provision and term of this Agreement will be interpreted in a manner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 effective and valid. If any term or provision of this Agreement or the application of any such term or provision to any Person or circumstance shall be held invalid, illegal or unenforceable in any respect by a court of competent jurisdiction, the remaining provisions hereof, or the application of such term or provision to Persons or circumstances other than those as to which it has been held invalid, illegal or unenforceable, will remain in full force and effect and will in no way be affected, impaired or invalidated thereby. If any term or provision of this Agreement is held to be prohibited or invalid, then such term or provision will be ineffective only to the extent of such prohibition or invalidity without invalidating or affecting in any manner whatsoever the remainder of such term or provision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other terms and provisions of this Agreement. Upon determination that any other term or provision of this Agreement is invalid, void, illegal or unenforceable, a court of competent jurisdiction will modify such term or provision so as to effect the original intent of the Parties as closely as possible in an acceptable manner to the end that the transactions contemplated hereby are fulfilled to the fullest extent possible under the Law.</w:t>
      </w:r>
    </w:p>
    <w:p>
      <w:pPr>
        <w:spacing w:after="0" w:line="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010000"/>
        </w:rPr>
        <w:t xml:space="preserve">Section 3.7 </w:t>
      </w:r>
      <w:r>
        <w:rPr>
          <w:rFonts w:ascii="Times New Roman" w:cs="Times New Roman" w:eastAsia="Times New Roman" w:hAnsi="Times New Roman"/>
          <w:sz w:val="21"/>
          <w:szCs w:val="21"/>
          <w:i w:val="1"/>
          <w:iCs w:val="1"/>
          <w:color w:val="000000"/>
        </w:rPr>
        <w:t>Applicable Law; Forum; Venue and Jurisdiction; Waiver of Trial by Jury</w:t>
      </w:r>
      <w:r>
        <w:rPr>
          <w:rFonts w:ascii="Times New Roman" w:cs="Times New Roman" w:eastAsia="Times New Roman" w:hAnsi="Times New Roman"/>
          <w:sz w:val="21"/>
          <w:szCs w:val="21"/>
          <w:color w:val="000000"/>
        </w:rPr>
        <w:t>.</w:t>
      </w:r>
    </w:p>
    <w:p>
      <w:pPr>
        <w:spacing w:after="0" w:line="124" w:lineRule="exact"/>
        <w:rPr>
          <w:sz w:val="20"/>
          <w:szCs w:val="20"/>
          <w:color w:val="auto"/>
        </w:rPr>
      </w:pPr>
    </w:p>
    <w:p>
      <w:pPr>
        <w:ind w:firstLine="1293"/>
        <w:spacing w:after="0" w:line="290" w:lineRule="auto"/>
        <w:tabs>
          <w:tab w:leader="none" w:pos="1603"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shall be construed in accordance with and governed by the laws of the State of Delaware, without regard to the principles of conflicts of law.</w:t>
      </w:r>
    </w:p>
    <w:p>
      <w:pPr>
        <w:spacing w:after="0" w:line="32" w:lineRule="exact"/>
        <w:rPr>
          <w:rFonts w:ascii="Times New Roman" w:cs="Times New Roman" w:eastAsia="Times New Roman" w:hAnsi="Times New Roman"/>
          <w:sz w:val="21"/>
          <w:szCs w:val="21"/>
          <w:color w:val="010000"/>
        </w:rPr>
      </w:pPr>
    </w:p>
    <w:p>
      <w:pPr>
        <w:ind w:left="1600" w:hanging="307"/>
        <w:spacing w:after="0"/>
        <w:tabs>
          <w:tab w:leader="none" w:pos="1600"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w:t>
      </w:r>
    </w:p>
    <w:p>
      <w:pPr>
        <w:spacing w:after="0" w:line="133" w:lineRule="exact"/>
        <w:rPr>
          <w:rFonts w:ascii="Times New Roman" w:cs="Times New Roman" w:eastAsia="Times New Roman" w:hAnsi="Times New Roman"/>
          <w:sz w:val="21"/>
          <w:szCs w:val="21"/>
          <w:color w:val="010000"/>
        </w:rPr>
      </w:pPr>
    </w:p>
    <w:p>
      <w:pPr>
        <w:jc w:val="both"/>
        <w:ind w:left="640" w:firstLine="1295"/>
        <w:spacing w:after="0" w:line="261" w:lineRule="auto"/>
        <w:tabs>
          <w:tab w:leader="none" w:pos="2181" w:val="left"/>
        </w:tabs>
        <w:numPr>
          <w:ilvl w:val="2"/>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irrevocably agrees that any claims, suits, actions or proceedings arising out of or relating in any way to this Agreement (including any claims, suits or actions to interpret, apply or enforce the provisions of this Agreement or the duties, obligations or liabilities among the Parties, or the rights or powers of, or restrictions on, the Parties)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63" w:lineRule="exact"/>
        <w:rPr>
          <w:rFonts w:ascii="Times New Roman" w:cs="Times New Roman" w:eastAsia="Times New Roman" w:hAnsi="Times New Roman"/>
          <w:sz w:val="21"/>
          <w:szCs w:val="21"/>
          <w:color w:val="010000"/>
        </w:rPr>
      </w:pPr>
    </w:p>
    <w:p>
      <w:pPr>
        <w:jc w:val="both"/>
        <w:ind w:left="640" w:firstLine="1295"/>
        <w:spacing w:after="0" w:line="271" w:lineRule="auto"/>
        <w:tabs>
          <w:tab w:leader="none" w:pos="2241" w:val="left"/>
        </w:tabs>
        <w:numPr>
          <w:ilvl w:val="2"/>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52" w:lineRule="exact"/>
        <w:rPr>
          <w:rFonts w:ascii="Times New Roman" w:cs="Times New Roman" w:eastAsia="Times New Roman" w:hAnsi="Times New Roman"/>
          <w:sz w:val="21"/>
          <w:szCs w:val="21"/>
          <w:color w:val="010000"/>
        </w:rPr>
      </w:pPr>
    </w:p>
    <w:p>
      <w:pPr>
        <w:jc w:val="both"/>
        <w:ind w:left="640" w:firstLine="1295"/>
        <w:spacing w:after="0" w:line="269" w:lineRule="auto"/>
        <w:tabs>
          <w:tab w:leader="none" w:pos="2300" w:val="left"/>
        </w:tabs>
        <w:numPr>
          <w:ilvl w:val="2"/>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55" w:lineRule="exact"/>
        <w:rPr>
          <w:rFonts w:ascii="Times New Roman" w:cs="Times New Roman" w:eastAsia="Times New Roman" w:hAnsi="Times New Roman"/>
          <w:sz w:val="21"/>
          <w:szCs w:val="21"/>
          <w:color w:val="010000"/>
        </w:rPr>
      </w:pPr>
    </w:p>
    <w:p>
      <w:pPr>
        <w:ind w:left="2300" w:hanging="365"/>
        <w:spacing w:after="0"/>
        <w:tabs>
          <w:tab w:leader="none" w:pos="2300" w:val="left"/>
        </w:tabs>
        <w:numPr>
          <w:ilvl w:val="2"/>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expressly waives any requirement for the posting of a bond by a party bringing such claim, suit, action</w:t>
      </w:r>
    </w:p>
    <w:p>
      <w:pPr>
        <w:spacing w:after="0" w:line="36" w:lineRule="exact"/>
        <w:rPr>
          <w:rFonts w:ascii="Times New Roman" w:cs="Times New Roman" w:eastAsia="Times New Roman" w:hAnsi="Times New Roman"/>
          <w:sz w:val="21"/>
          <w:szCs w:val="21"/>
          <w:color w:val="010000"/>
        </w:rPr>
      </w:pPr>
    </w:p>
    <w:p>
      <w:pPr>
        <w:ind w:left="64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or proceeding;</w:t>
      </w:r>
    </w:p>
    <w:p>
      <w:pPr>
        <w:spacing w:after="0" w:line="109" w:lineRule="exact"/>
        <w:rPr>
          <w:rFonts w:ascii="Times New Roman" w:cs="Times New Roman" w:eastAsia="Times New Roman" w:hAnsi="Times New Roman"/>
          <w:sz w:val="21"/>
          <w:szCs w:val="21"/>
          <w:color w:val="010000"/>
        </w:rPr>
      </w:pPr>
    </w:p>
    <w:p>
      <w:pPr>
        <w:jc w:val="both"/>
        <w:ind w:left="640" w:firstLine="1295"/>
        <w:spacing w:after="0" w:line="265" w:lineRule="auto"/>
        <w:tabs>
          <w:tab w:leader="none" w:pos="2229" w:val="left"/>
        </w:tabs>
        <w:numPr>
          <w:ilvl w:val="2"/>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nothing in this clause (v) shall affect or limit any right to serve process in any other manner permitted by law; and</w:t>
      </w:r>
    </w:p>
    <w:p>
      <w:pPr>
        <w:spacing w:after="0" w:line="58" w:lineRule="exact"/>
        <w:rPr>
          <w:rFonts w:ascii="Times New Roman" w:cs="Times New Roman" w:eastAsia="Times New Roman" w:hAnsi="Times New Roman"/>
          <w:sz w:val="21"/>
          <w:szCs w:val="21"/>
          <w:color w:val="010000"/>
        </w:rPr>
      </w:pPr>
    </w:p>
    <w:p>
      <w:pPr>
        <w:ind w:left="640" w:firstLine="10"/>
        <w:spacing w:after="0" w:line="290" w:lineRule="auto"/>
        <w:tabs>
          <w:tab w:leader="none" w:pos="1043"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IRREVOCABLY WAIVES THE RIGHT TO TRIAL BY JURY IN ANY SUCH CLAIM, SUIT,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47"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1"/>
          <w:szCs w:val="21"/>
          <w:color w:val="010000"/>
        </w:rPr>
        <w:t xml:space="preserve">Section 3.8 </w:t>
      </w:r>
      <w:r>
        <w:rPr>
          <w:rFonts w:ascii="Times New Roman" w:cs="Times New Roman" w:eastAsia="Times New Roman" w:hAnsi="Times New Roman"/>
          <w:sz w:val="21"/>
          <w:szCs w:val="21"/>
          <w:i w:val="1"/>
          <w:iCs w:val="1"/>
          <w:color w:val="000000"/>
        </w:rPr>
        <w:t>Entire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This Agreement constitutes the entire agreement among the Parties with respect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subject matter hereof and this Agreement supersedes all prior negotiations, agreements or understandings of the Parties of any nature, whether oral or written, relating thereto.</w:t>
      </w:r>
    </w:p>
    <w:p>
      <w:pPr>
        <w:spacing w:after="0" w:line="67" w:lineRule="exact"/>
        <w:rPr>
          <w:sz w:val="20"/>
          <w:szCs w:val="20"/>
          <w:color w:val="auto"/>
        </w:rPr>
      </w:pPr>
    </w:p>
    <w:p>
      <w:pPr>
        <w:jc w:val="both"/>
        <w:ind w:firstLine="771"/>
        <w:spacing w:after="0" w:line="293" w:lineRule="auto"/>
        <w:rPr>
          <w:sz w:val="20"/>
          <w:szCs w:val="20"/>
          <w:color w:val="auto"/>
        </w:rPr>
      </w:pPr>
      <w:r>
        <w:rPr>
          <w:rFonts w:ascii="Times New Roman" w:cs="Times New Roman" w:eastAsia="Times New Roman" w:hAnsi="Times New Roman"/>
          <w:sz w:val="21"/>
          <w:szCs w:val="21"/>
          <w:color w:val="010000"/>
        </w:rPr>
        <w:t xml:space="preserve">Section 3.9 </w:t>
      </w:r>
      <w:r>
        <w:rPr>
          <w:rFonts w:ascii="Times New Roman" w:cs="Times New Roman" w:eastAsia="Times New Roman" w:hAnsi="Times New Roman"/>
          <w:sz w:val="21"/>
          <w:szCs w:val="21"/>
          <w:i w:val="1"/>
          <w:iCs w:val="1"/>
          <w:color w:val="000000"/>
        </w:rPr>
        <w:t>Amendment.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This Agreement may be modified, amended or supplemented only by written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executed by the Parties.</w:t>
      </w:r>
    </w:p>
    <w:p>
      <w:pPr>
        <w:spacing w:after="0" w:line="26" w:lineRule="exact"/>
        <w:rPr>
          <w:sz w:val="20"/>
          <w:szCs w:val="20"/>
          <w:color w:val="auto"/>
        </w:rPr>
      </w:pPr>
    </w:p>
    <w:p>
      <w:pPr>
        <w:jc w:val="both"/>
        <w:ind w:firstLine="771"/>
        <w:spacing w:after="0" w:line="270" w:lineRule="auto"/>
        <w:rPr>
          <w:sz w:val="20"/>
          <w:szCs w:val="20"/>
          <w:color w:val="auto"/>
        </w:rPr>
      </w:pPr>
      <w:r>
        <w:rPr>
          <w:rFonts w:ascii="Times New Roman" w:cs="Times New Roman" w:eastAsia="Times New Roman" w:hAnsi="Times New Roman"/>
          <w:sz w:val="21"/>
          <w:szCs w:val="21"/>
          <w:color w:val="010000"/>
        </w:rPr>
        <w:t xml:space="preserve">Section 3.10 </w:t>
      </w:r>
      <w:r>
        <w:rPr>
          <w:rFonts w:ascii="Times New Roman" w:cs="Times New Roman" w:eastAsia="Times New Roman" w:hAnsi="Times New Roman"/>
          <w:sz w:val="21"/>
          <w:szCs w:val="21"/>
          <w:i w:val="1"/>
          <w:iCs w:val="1"/>
          <w:color w:val="000000"/>
        </w:rPr>
        <w:t>Facsimile; Counterparts.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Except as contemplated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3.3</w:t>
      </w:r>
      <w:r>
        <w:rPr>
          <w:rFonts w:ascii="Times New Roman" w:cs="Times New Roman" w:eastAsia="Times New Roman" w:hAnsi="Times New Roman"/>
          <w:sz w:val="21"/>
          <w:szCs w:val="21"/>
          <w:color w:val="000000"/>
        </w:rPr>
        <w:t>, neither this Agreement nor any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rights or obligations hereunder shall be assigned by any of the Parties without the prior written consent of the other Parties. Subject to the preceding sentence, this Agreement will be binding upon, inure to the benefit of and be enforceable by the Parties and their respective successors and permitted assigns.</w:t>
      </w:r>
    </w:p>
    <w:p>
      <w:pPr>
        <w:spacing w:after="0" w:line="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010000"/>
        </w:rPr>
        <w:t xml:space="preserve">Section 3.11 </w:t>
      </w:r>
      <w:r>
        <w:rPr>
          <w:rFonts w:ascii="Times New Roman" w:cs="Times New Roman" w:eastAsia="Times New Roman" w:hAnsi="Times New Roman"/>
          <w:sz w:val="21"/>
          <w:szCs w:val="21"/>
          <w:i w:val="1"/>
          <w:iCs w:val="1"/>
          <w:color w:val="000000"/>
        </w:rPr>
        <w:t>Tax Matters</w:t>
      </w:r>
      <w:r>
        <w:rPr>
          <w:rFonts w:ascii="Times New Roman" w:cs="Times New Roman" w:eastAsia="Times New Roman" w:hAnsi="Times New Roman"/>
          <w:sz w:val="21"/>
          <w:szCs w:val="21"/>
          <w:color w:val="000000"/>
        </w:rPr>
        <w:t>.</w:t>
      </w:r>
    </w:p>
    <w:p>
      <w:pPr>
        <w:spacing w:after="0" w:line="124" w:lineRule="exact"/>
        <w:rPr>
          <w:sz w:val="20"/>
          <w:szCs w:val="20"/>
          <w:color w:val="auto"/>
        </w:rPr>
      </w:pPr>
    </w:p>
    <w:p>
      <w:pPr>
        <w:jc w:val="both"/>
        <w:ind w:firstLine="1293"/>
        <w:spacing w:after="0" w:line="260" w:lineRule="auto"/>
        <w:tabs>
          <w:tab w:leader="none" w:pos="1577"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or the Operating Company shall be required to withhold any amounts by reason of any federal, state, local or foreign tax rules or regulations in respect of any Exchange, the Company or the Operating Company, as the case may be, shall be entitled to take such action as it deems appropriate in order to ensure compliance with such withholding requirements, including, without limitation, at its option withholding from, and paying over to the appropriate taxing authority, any consideration otherwise payable to the Exchanging Parties under this Agreement, and any such withheld amounts shall be treated for all purposes of this Agreement as having been paid to the Person in respect of which such deduction and withholding was made. Notwithstanding anything to the contrary herein, each of the Company and the Operating Company may, at its own discretion, require as a condition to the effectiveness of an Exchange that an exchanging holder of Tendered Units deliver to the Company or the Operating Company, as the case may be, a duly completed and executed IRS Form W-9.</w:t>
      </w:r>
    </w:p>
    <w:p>
      <w:pPr>
        <w:spacing w:after="0" w:line="69" w:lineRule="exact"/>
        <w:rPr>
          <w:rFonts w:ascii="Times New Roman" w:cs="Times New Roman" w:eastAsia="Times New Roman" w:hAnsi="Times New Roman"/>
          <w:sz w:val="21"/>
          <w:szCs w:val="21"/>
          <w:color w:val="010000"/>
        </w:rPr>
      </w:pPr>
    </w:p>
    <w:p>
      <w:pPr>
        <w:ind w:firstLine="1293"/>
        <w:spacing w:after="0" w:line="290" w:lineRule="auto"/>
        <w:tabs>
          <w:tab w:leader="none" w:pos="1602"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shall be treated as part of the OpCo Limited Liability Company Agreement as described in Section 761(c) of the Code and Sections 1.704-1(b)(2)(ii)(h) and 1.761-1(c) of the Treasury Regulations.</w:t>
      </w:r>
    </w:p>
    <w:p>
      <w:pPr>
        <w:spacing w:after="0" w:line="32" w:lineRule="exact"/>
        <w:rPr>
          <w:rFonts w:ascii="Times New Roman" w:cs="Times New Roman" w:eastAsia="Times New Roman" w:hAnsi="Times New Roman"/>
          <w:sz w:val="21"/>
          <w:szCs w:val="21"/>
          <w:color w:val="010000"/>
        </w:rPr>
      </w:pPr>
    </w:p>
    <w:p>
      <w:pPr>
        <w:jc w:val="both"/>
        <w:ind w:firstLine="1293"/>
        <w:spacing w:after="0" w:line="259" w:lineRule="auto"/>
        <w:tabs>
          <w:tab w:leader="none" w:pos="1577"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any taxable period that includes an Exchange by an EnCap Party or NGU Party pursuant to this Agreement, the Company shall cause the Operating Company to deliver to the applicable EnCap Party or NGU Party, reasonably in advance of the due date for the U.S. federal income tax return for such period, a draft of such tax return (including Internal Revenue Service Schedule K-1 of such EnCap Party or NGU Party, any statements required under Section 1.751-1(a)(3) of the Treasury Regulations and any allocation required under Section 755 of the Code) for review and reasonable comment by such EnCap Party or NGU Party, as applicable, solely with respect to any items of such tax return related to such EnCap Party’s or NGU Party’s calculation of its gain or loss (and the character thereof including amounts attributable to Section 1254 of the Code) attributable to such Exchange(s), and the Operating Company shall incorporate any reasonable comments provided to Buyer in writing prior to the due date for filing such Tax Return in the preparation of such tax return (including the related Internal Revenue Service Schedule K-1 of such EnCap Party or NGU Party, any statements required under Section 1.751-1(a)(3) of the Treasury Regulations and any allocation required under Section 755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9" w:lineRule="exact"/>
        <w:rPr>
          <w:sz w:val="20"/>
          <w:szCs w:val="20"/>
          <w:color w:val="auto"/>
        </w:rPr>
      </w:pPr>
    </w:p>
    <w:p>
      <w:pPr>
        <w:ind w:firstLine="643"/>
        <w:spacing w:after="0" w:line="383"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and delivered, all as of the Effective Date.</w:t>
      </w: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191" w:lineRule="exact"/>
        <w:rPr>
          <w:sz w:val="20"/>
          <w:szCs w:val="20"/>
          <w:color w:val="auto"/>
        </w:rPr>
      </w:pPr>
    </w:p>
    <w:tbl>
      <w:tblPr>
        <w:tblLayout w:type="fixed"/>
        <w:tblInd w:w="5160" w:type="dxa"/>
        <w:tblCellMar>
          <w:top w:w="0" w:type="dxa"/>
          <w:left w:w="0" w:type="dxa"/>
          <w:bottom w:w="0" w:type="dxa"/>
          <w:right w:w="0" w:type="dxa"/>
        </w:tblCellMar>
      </w:tblP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Matthew Kaes Van’t Hof</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Matthew Kaes Van’t Hof</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w:t>
            </w:r>
          </w:p>
        </w:tc>
      </w:tr>
      <w:tr>
        <w:trPr>
          <w:trHeight w:val="629"/>
        </w:trPr>
        <w:tc>
          <w:tcPr>
            <w:tcW w:w="57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Viper Energy Partners LLC</w:t>
            </w:r>
          </w:p>
        </w:tc>
      </w:tr>
      <w:tr>
        <w:trPr>
          <w:trHeight w:val="62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Matthew Kaes Van’t Hof</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Matthew Kaes Van’t Hof</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Exchange Agreement</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EnCap Energy Capital Fund X, L.P.</w:t>
      </w:r>
    </w:p>
    <w:p>
      <w:pPr>
        <w:spacing w:after="0" w:line="298" w:lineRule="exact"/>
        <w:rPr>
          <w:sz w:val="20"/>
          <w:szCs w:val="20"/>
          <w:color w:val="auto"/>
        </w:rPr>
      </w:pPr>
    </w:p>
    <w:tbl>
      <w:tblPr>
        <w:tblLayout w:type="fixed"/>
        <w:tblInd w:w="4040" w:type="dxa"/>
        <w:tblCellMar>
          <w:top w:w="0" w:type="dxa"/>
          <w:left w:w="0" w:type="dxa"/>
          <w:bottom w:w="0" w:type="dxa"/>
          <w:right w:w="0" w:type="dxa"/>
        </w:tblCellMar>
      </w:tblP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EnCap Equity Fund X GP, L.P., its general</w:t>
            </w:r>
          </w:p>
        </w:tc>
      </w:tr>
      <w:tr>
        <w:trPr>
          <w:trHeight w:val="279"/>
        </w:trPr>
        <w:tc>
          <w:tcPr>
            <w:tcW w:w="9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partner</w:t>
            </w:r>
          </w:p>
        </w:tc>
      </w:tr>
      <w:tr>
        <w:trPr>
          <w:trHeight w:val="536"/>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EnCap Investments L.P., its general partner</w:t>
            </w:r>
          </w:p>
        </w:tc>
      </w:tr>
      <w:tr>
        <w:trPr>
          <w:trHeight w:val="803"/>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Jason M. DeLorenzo</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Jason M. DeLorenzo</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i w:val="1"/>
          <w:iCs w:val="1"/>
          <w:color w:val="auto"/>
        </w:rPr>
        <w:t>Signature Page to Exchange Agreement</w:t>
      </w:r>
    </w:p>
    <w:p>
      <w:pPr>
        <w:sectPr>
          <w:pgSz w:w="11900" w:h="16838" w:orient="portrait"/>
          <w:cols w:equalWidth="0" w:num="1">
            <w:col w:w="9760"/>
          </w:cols>
          <w:pgMar w:left="1440" w:top="1440" w:right="699" w:bottom="1440" w:gutter="0" w:footer="0" w:header="0"/>
        </w:sectPr>
      </w:pPr>
    </w:p>
    <w:bookmarkStart w:id="150" w:name="page151"/>
    <w:bookmarkEnd w:id="150"/>
    <w:p>
      <w:pPr>
        <w:spacing w:after="0" w:line="10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NGU MANAGEMENT LLC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40" w:type="dxa"/>
        <w:tblCellMar>
          <w:top w:w="0" w:type="dxa"/>
          <w:left w:w="0" w:type="dxa"/>
          <w:bottom w:w="0" w:type="dxa"/>
          <w:right w:w="0" w:type="dxa"/>
        </w:tblCellMar>
      </w:tblP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Austen S. Campbell</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Austen S. Campbell</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i w:val="1"/>
          <w:iCs w:val="1"/>
          <w:color w:val="auto"/>
        </w:rPr>
        <w:t>Signature Page to Exchange Agreement</w:t>
      </w:r>
    </w:p>
    <w:p>
      <w:pPr>
        <w:sectPr>
          <w:pgSz w:w="11900" w:h="16838" w:orient="portrait"/>
          <w:cols w:equalWidth="0" w:num="1">
            <w:col w:w="9760"/>
          </w:cols>
          <w:pgMar w:left="1440" w:top="1440" w:right="6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 (#) O-RSU25-___</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2014 LONG TERM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CERTIFICATE</w:t>
      </w:r>
    </w:p>
    <w:p>
      <w:pPr>
        <w:spacing w:after="0" w:line="197" w:lineRule="exact"/>
        <w:rPr>
          <w:sz w:val="20"/>
          <w:szCs w:val="20"/>
          <w:color w:val="auto"/>
        </w:rPr>
      </w:pPr>
    </w:p>
    <w:p>
      <w:pPr>
        <w:jc w:val="both"/>
        <w:ind w:firstLine="643"/>
        <w:spacing w:after="0" w:line="274" w:lineRule="auto"/>
        <w:rPr>
          <w:sz w:val="20"/>
          <w:szCs w:val="20"/>
          <w:color w:val="auto"/>
        </w:rPr>
      </w:pPr>
      <w:r>
        <w:rPr>
          <w:rFonts w:ascii="Times New Roman" w:cs="Times New Roman" w:eastAsia="Times New Roman" w:hAnsi="Times New Roman"/>
          <w:sz w:val="21"/>
          <w:szCs w:val="21"/>
          <w:color w:val="auto"/>
        </w:rPr>
        <w:t xml:space="preserve">THIS IS TO CERTIFY that Viper Energy, Inc., a Delaware corporation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time-based Restricted Stock Units under the Company’s 2024 Amended and Restated Long Term Incentive Plan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as set forth below. Capitalized terms not otherwise defined herein have the meanings ascribed to them in the Plan.</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79"/>
        </w:trPr>
        <w:tc>
          <w:tcPr>
            <w:tcW w:w="29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Name of Participant:</w:t>
            </w:r>
          </w:p>
        </w:tc>
        <w:tc>
          <w:tcPr>
            <w:tcW w:w="716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________________</w:t>
            </w:r>
          </w:p>
        </w:tc>
      </w:tr>
      <w:tr>
        <w:trPr>
          <w:trHeight w:val="364"/>
        </w:trPr>
        <w:tc>
          <w:tcPr>
            <w:tcW w:w="29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Total Number of Restricted</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_____________</w:t>
            </w:r>
          </w:p>
        </w:tc>
        <w:tc>
          <w:tcPr>
            <w:tcW w:w="5180" w:type="dxa"/>
            <w:vAlign w:val="bottom"/>
          </w:tcPr>
          <w:p>
            <w:pPr>
              <w:spacing w:after="0"/>
              <w:rPr>
                <w:sz w:val="24"/>
                <w:szCs w:val="24"/>
                <w:color w:val="auto"/>
              </w:rPr>
            </w:pPr>
          </w:p>
        </w:tc>
      </w:tr>
      <w:tr>
        <w:trPr>
          <w:trHeight w:val="279"/>
        </w:trPr>
        <w:tc>
          <w:tcPr>
            <w:tcW w:w="2920" w:type="dxa"/>
            <w:vAlign w:val="bottom"/>
            <w:gridSpan w:val="3"/>
          </w:tcPr>
          <w:p>
            <w:pPr>
              <w:ind w:left="580"/>
              <w:spacing w:after="0"/>
              <w:rPr>
                <w:sz w:val="20"/>
                <w:szCs w:val="20"/>
                <w:color w:val="auto"/>
              </w:rPr>
            </w:pPr>
            <w:r>
              <w:rPr>
                <w:rFonts w:ascii="Times New Roman" w:cs="Times New Roman" w:eastAsia="Times New Roman" w:hAnsi="Times New Roman"/>
                <w:sz w:val="21"/>
                <w:szCs w:val="21"/>
                <w:color w:val="auto"/>
              </w:rPr>
              <w:t>Stock Units Granted:</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642"/>
        </w:trPr>
        <w:tc>
          <w:tcPr>
            <w:tcW w:w="29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Date of Grant:</w:t>
            </w:r>
          </w:p>
        </w:tc>
        <w:tc>
          <w:tcPr>
            <w:tcW w:w="716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March 1, 2025</w:t>
            </w:r>
          </w:p>
        </w:tc>
      </w:tr>
      <w:tr>
        <w:trPr>
          <w:trHeight w:val="364"/>
        </w:trPr>
        <w:tc>
          <w:tcPr>
            <w:tcW w:w="29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Vesting Schedule and</w:t>
            </w:r>
          </w:p>
        </w:tc>
        <w:tc>
          <w:tcPr>
            <w:tcW w:w="716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Shares of Common Stock will vest on the Vesting Dates specified below and</w:t>
            </w:r>
          </w:p>
        </w:tc>
      </w:tr>
      <w:tr>
        <w:trPr>
          <w:trHeight w:val="214"/>
        </w:trPr>
        <w:tc>
          <w:tcPr>
            <w:tcW w:w="2920" w:type="dxa"/>
            <w:vAlign w:val="bottom"/>
            <w:gridSpan w:val="3"/>
          </w:tcPr>
          <w:p>
            <w:pPr>
              <w:spacing w:after="0" w:line="214" w:lineRule="exact"/>
              <w:rPr>
                <w:sz w:val="20"/>
                <w:szCs w:val="20"/>
                <w:color w:val="auto"/>
              </w:rPr>
            </w:pPr>
            <w:r>
              <w:rPr>
                <w:rFonts w:ascii="Times New Roman" w:cs="Times New Roman" w:eastAsia="Times New Roman" w:hAnsi="Times New Roman"/>
                <w:sz w:val="21"/>
                <w:szCs w:val="21"/>
                <w:color w:val="auto"/>
              </w:rPr>
              <w:t>Payment/Settlement Dates:</w:t>
            </w:r>
          </w:p>
        </w:tc>
        <w:tc>
          <w:tcPr>
            <w:tcW w:w="7160" w:type="dxa"/>
            <w:vAlign w:val="bottom"/>
            <w:gridSpan w:val="3"/>
          </w:tcPr>
          <w:p>
            <w:pPr>
              <w:ind w:left="540"/>
              <w:spacing w:after="0" w:line="214" w:lineRule="exact"/>
              <w:rPr>
                <w:sz w:val="20"/>
                <w:szCs w:val="20"/>
                <w:color w:val="auto"/>
              </w:rPr>
            </w:pPr>
            <w:r>
              <w:rPr>
                <w:rFonts w:ascii="Times New Roman" w:cs="Times New Roman" w:eastAsia="Times New Roman" w:hAnsi="Times New Roman"/>
                <w:sz w:val="21"/>
                <w:szCs w:val="21"/>
                <w:color w:val="auto"/>
              </w:rPr>
              <w:t>will be settled within 10 business days after each Vesting Date specified</w:t>
            </w:r>
          </w:p>
        </w:tc>
      </w:tr>
      <w:tr>
        <w:trPr>
          <w:trHeight w:val="285"/>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6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below (the date of such settlements, the “</w:t>
            </w:r>
            <w:r>
              <w:rPr>
                <w:rFonts w:ascii="Times New Roman" w:cs="Times New Roman" w:eastAsia="Times New Roman" w:hAnsi="Times New Roman"/>
                <w:sz w:val="21"/>
                <w:szCs w:val="21"/>
                <w:b w:val="1"/>
                <w:bCs w:val="1"/>
                <w:i w:val="1"/>
                <w:iCs w:val="1"/>
                <w:color w:val="auto"/>
              </w:rPr>
              <w:t>Payment/Settlement Dates</w:t>
            </w:r>
            <w:r>
              <w:rPr>
                <w:rFonts w:ascii="Times New Roman" w:cs="Times New Roman" w:eastAsia="Times New Roman" w:hAnsi="Times New Roman"/>
                <w:sz w:val="21"/>
                <w:szCs w:val="21"/>
                <w:color w:val="auto"/>
              </w:rPr>
              <w:t>”).</w:t>
            </w:r>
          </w:p>
        </w:tc>
      </w:tr>
      <w:tr>
        <w:trPr>
          <w:trHeight w:val="478"/>
        </w:trPr>
        <w:tc>
          <w:tcPr>
            <w:tcW w:w="66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Vesting Date</w:t>
            </w:r>
          </w:p>
        </w:tc>
        <w:tc>
          <w:tcPr>
            <w:tcW w:w="7160" w:type="dxa"/>
            <w:vAlign w:val="bottom"/>
            <w:gridSpan w:val="3"/>
          </w:tcPr>
          <w:p>
            <w:pPr>
              <w:ind w:left="540"/>
              <w:spacing w:after="0"/>
              <w:rPr>
                <w:sz w:val="20"/>
                <w:szCs w:val="20"/>
                <w:color w:val="auto"/>
              </w:rPr>
            </w:pPr>
            <w:r>
              <w:rPr>
                <w:rFonts w:ascii="Times New Roman" w:cs="Times New Roman" w:eastAsia="Times New Roman" w:hAnsi="Times New Roman"/>
                <w:sz w:val="21"/>
                <w:szCs w:val="21"/>
                <w:b w:val="1"/>
                <w:bCs w:val="1"/>
                <w:color w:val="auto"/>
              </w:rPr>
              <w:t># Vested Shares</w:t>
            </w:r>
          </w:p>
        </w:tc>
      </w:tr>
      <w:tr>
        <w:trPr>
          <w:trHeight w:val="20"/>
        </w:trPr>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87"/>
        </w:trPr>
        <w:tc>
          <w:tcPr>
            <w:tcW w:w="66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March 1, 2025</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_______</w:t>
            </w:r>
          </w:p>
        </w:tc>
        <w:tc>
          <w:tcPr>
            <w:tcW w:w="5180" w:type="dxa"/>
            <w:vAlign w:val="bottom"/>
          </w:tcPr>
          <w:p>
            <w:pPr>
              <w:spacing w:after="0"/>
              <w:rPr>
                <w:sz w:val="24"/>
                <w:szCs w:val="24"/>
                <w:color w:val="auto"/>
              </w:rPr>
            </w:pPr>
          </w:p>
        </w:tc>
      </w:tr>
      <w:tr>
        <w:trPr>
          <w:trHeight w:val="268"/>
        </w:trPr>
        <w:tc>
          <w:tcPr>
            <w:tcW w:w="66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March 1, 2026</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_______</w:t>
            </w:r>
          </w:p>
        </w:tc>
        <w:tc>
          <w:tcPr>
            <w:tcW w:w="5180" w:type="dxa"/>
            <w:vAlign w:val="bottom"/>
          </w:tcPr>
          <w:p>
            <w:pPr>
              <w:spacing w:after="0"/>
              <w:rPr>
                <w:sz w:val="23"/>
                <w:szCs w:val="23"/>
                <w:color w:val="auto"/>
              </w:rPr>
            </w:pPr>
          </w:p>
        </w:tc>
      </w:tr>
      <w:tr>
        <w:trPr>
          <w:trHeight w:val="279"/>
        </w:trPr>
        <w:tc>
          <w:tcPr>
            <w:tcW w:w="66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March 1, 2027</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_______</w:t>
            </w:r>
          </w:p>
        </w:tc>
        <w:tc>
          <w:tcPr>
            <w:tcW w:w="5180" w:type="dxa"/>
            <w:vAlign w:val="bottom"/>
          </w:tcPr>
          <w:p>
            <w:pPr>
              <w:spacing w:after="0"/>
              <w:rPr>
                <w:sz w:val="24"/>
                <w:szCs w:val="24"/>
                <w:color w:val="auto"/>
              </w:rPr>
            </w:pPr>
          </w:p>
        </w:tc>
      </w:tr>
    </w:tbl>
    <w:p>
      <w:pPr>
        <w:spacing w:after="0" w:line="176" w:lineRule="exact"/>
        <w:rPr>
          <w:sz w:val="20"/>
          <w:szCs w:val="20"/>
          <w:color w:val="auto"/>
        </w:rPr>
      </w:pPr>
    </w:p>
    <w:p>
      <w:pPr>
        <w:jc w:val="both"/>
        <w:ind w:firstLine="643"/>
        <w:spacing w:after="0" w:line="262" w:lineRule="auto"/>
        <w:rPr>
          <w:sz w:val="20"/>
          <w:szCs w:val="20"/>
          <w:color w:val="auto"/>
        </w:rPr>
      </w:pPr>
      <w:r>
        <w:rPr>
          <w:rFonts w:ascii="Times New Roman" w:cs="Times New Roman" w:eastAsia="Times New Roman" w:hAnsi="Times New Roman"/>
          <w:sz w:val="21"/>
          <w:szCs w:val="21"/>
          <w:color w:val="auto"/>
        </w:rPr>
        <w:t xml:space="preserve">By your signature and the signature of the Company’s representative below, you and the Company agree to be bound by all of the terms and conditions of the Restricted Stock Unit Award Agreement attached hereto as </w:t>
      </w:r>
      <w:r>
        <w:rPr>
          <w:rFonts w:ascii="Times New Roman" w:cs="Times New Roman" w:eastAsia="Times New Roman" w:hAnsi="Times New Roman"/>
          <w:sz w:val="21"/>
          <w:szCs w:val="21"/>
          <w:i w:val="1"/>
          <w:iCs w:val="1"/>
          <w:color w:val="auto"/>
        </w:rPr>
        <w:t>Annex I</w:t>
      </w:r>
      <w:r>
        <w:rPr>
          <w:rFonts w:ascii="Times New Roman" w:cs="Times New Roman" w:eastAsia="Times New Roman" w:hAnsi="Times New Roman"/>
          <w:sz w:val="21"/>
          <w:szCs w:val="21"/>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72"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Certificate</w:t>
      </w:r>
    </w:p>
    <w:p>
      <w:pPr>
        <w:sectPr>
          <w:pgSz w:w="11900" w:h="16838" w:orient="portrait"/>
          <w:cols w:equalWidth="0" w:num="1">
            <w:col w:w="11240"/>
          </w:cols>
          <w:pgMar w:left="320" w:top="121" w:right="339" w:bottom="1440" w:gutter="0" w:footer="0" w:header="0"/>
        </w:sectPr>
      </w:pPr>
    </w:p>
    <w:bookmarkStart w:id="152" w:name="page153"/>
    <w:bookmarkEnd w:id="152"/>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200" w:lineRule="exact"/>
        <w:rPr>
          <w:sz w:val="20"/>
          <w:szCs w:val="20"/>
          <w:color w:val="auto"/>
        </w:rPr>
      </w:pPr>
    </w:p>
    <w:p>
      <w:pPr>
        <w:sectPr>
          <w:pgSz w:w="11900" w:h="16838" w:orient="portrait"/>
          <w:cols w:equalWidth="0" w:num="2">
            <w:col w:w="4500" w:space="720"/>
            <w:col w:w="5940"/>
          </w:cols>
          <w:pgMar w:left="400" w:top="1440"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_____________________________________</w:t>
      </w:r>
    </w:p>
    <w:p>
      <w:pPr>
        <w:spacing w:after="0" w:line="66" w:lineRule="exact"/>
        <w:rPr>
          <w:sz w:val="20"/>
          <w:szCs w:val="20"/>
          <w:color w:val="auto"/>
        </w:rPr>
      </w:pPr>
    </w:p>
    <w:p>
      <w:pPr>
        <w:sectPr>
          <w:pgSz w:w="11900" w:h="16838" w:orient="portrait"/>
          <w:cols w:equalWidth="0" w:num="2">
            <w:col w:w="4500" w:space="720"/>
            <w:col w:w="5940"/>
          </w:cols>
          <w:pgMar w:left="400" w:top="1440"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Kaes Van’t Hof, Chief Executive Officer</w:t>
      </w:r>
    </w:p>
    <w:p>
      <w:pPr>
        <w:spacing w:after="0" w:line="66" w:lineRule="exact"/>
        <w:rPr>
          <w:sz w:val="20"/>
          <w:szCs w:val="20"/>
          <w:color w:val="auto"/>
        </w:rPr>
      </w:pPr>
    </w:p>
    <w:p>
      <w:pPr>
        <w:sectPr>
          <w:pgSz w:w="11900" w:h="16838" w:orient="portrait"/>
          <w:cols w:equalWidth="0" w:num="2">
            <w:col w:w="4820" w:space="720"/>
            <w:col w:w="5620"/>
          </w:cols>
          <w:pgMar w:left="400" w:top="1440"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21"/>
          <w:szCs w:val="21"/>
          <w:color w:val="auto"/>
        </w:rPr>
        <w:t>Dated: , 2025</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21"/>
          <w:szCs w:val="21"/>
          <w:color w:val="auto"/>
        </w:rPr>
        <w:t>Dated: , 2025</w:t>
      </w:r>
    </w:p>
    <w:p>
      <w:pPr>
        <w:spacing w:after="0" w:line="200" w:lineRule="exact"/>
        <w:rPr>
          <w:sz w:val="20"/>
          <w:szCs w:val="20"/>
          <w:color w:val="auto"/>
        </w:rPr>
      </w:pPr>
    </w:p>
    <w:p>
      <w:pPr>
        <w:sectPr>
          <w:pgSz w:w="11900" w:h="16838" w:orient="portrait"/>
          <w:cols w:equalWidth="0" w:num="2">
            <w:col w:w="4820" w:space="720"/>
            <w:col w:w="5620"/>
          </w:cols>
          <w:pgMar w:left="4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Viper Energy, Inc. Restricted Stock Unit Award Certificate</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w:t>
      </w:r>
    </w:p>
    <w:p>
      <w:pPr>
        <w:sectPr>
          <w:pgSz w:w="11900" w:h="16838" w:orient="portrait"/>
          <w:cols w:equalWidth="0" w:num="1">
            <w:col w:w="11160"/>
          </w:cols>
          <w:pgMar w:left="400" w:top="1440" w:right="339" w:bottom="1440" w:gutter="0" w:footer="0" w:header="0"/>
          <w:type w:val="continuous"/>
        </w:sectPr>
      </w:pPr>
    </w:p>
    <w:bookmarkStart w:id="153" w:name="page154"/>
    <w:bookmarkEnd w:id="153"/>
    <w:p>
      <w:pPr>
        <w:ind w:left="10520"/>
        <w:spacing w:after="0"/>
        <w:rPr>
          <w:sz w:val="20"/>
          <w:szCs w:val="20"/>
          <w:color w:val="auto"/>
        </w:rPr>
      </w:pPr>
      <w:r>
        <w:rPr>
          <w:rFonts w:ascii="Times New Roman" w:cs="Times New Roman" w:eastAsia="Times New Roman" w:hAnsi="Times New Roman"/>
          <w:sz w:val="21"/>
          <w:szCs w:val="21"/>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2024 AMENDED AND RESTATED LONG TERM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11" w:lineRule="exact"/>
        <w:rPr>
          <w:sz w:val="20"/>
          <w:szCs w:val="20"/>
          <w:color w:val="auto"/>
        </w:rPr>
      </w:pPr>
    </w:p>
    <w:p>
      <w:pPr>
        <w:jc w:val="both"/>
        <w:ind w:firstLine="643"/>
        <w:spacing w:after="0" w:line="274"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and entered into on the execution date of the Restricted Stock Unit Award Certificate to which it is attached (the “</w:t>
      </w:r>
      <w:r>
        <w:rPr>
          <w:rFonts w:ascii="Times New Roman" w:cs="Times New Roman" w:eastAsia="Times New Roman" w:hAnsi="Times New Roman"/>
          <w:sz w:val="21"/>
          <w:szCs w:val="21"/>
          <w:b w:val="1"/>
          <w:bCs w:val="1"/>
          <w:i w:val="1"/>
          <w:iCs w:val="1"/>
          <w:color w:val="auto"/>
        </w:rPr>
        <w:t>Certificate</w:t>
      </w:r>
      <w:r>
        <w:rPr>
          <w:rFonts w:ascii="Times New Roman" w:cs="Times New Roman" w:eastAsia="Times New Roman" w:hAnsi="Times New Roman"/>
          <w:sz w:val="21"/>
          <w:szCs w:val="21"/>
          <w:color w:val="auto"/>
        </w:rPr>
        <w:t>”), by and between Viper Energy,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and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named in the Certificate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color w:val="auto"/>
        </w:rPr>
        <w:t>The Company is the successor to Viper Energy Partners LP (the “</w:t>
      </w:r>
      <w:r>
        <w:rPr>
          <w:rFonts w:ascii="Times New Roman" w:cs="Times New Roman" w:eastAsia="Times New Roman" w:hAnsi="Times New Roman"/>
          <w:sz w:val="21"/>
          <w:szCs w:val="21"/>
          <w:b w:val="1"/>
          <w:bCs w:val="1"/>
          <w:i w:val="1"/>
          <w:iCs w:val="1"/>
          <w:color w:val="auto"/>
        </w:rPr>
        <w:t>Partnership</w:t>
      </w:r>
      <w:r>
        <w:rPr>
          <w:rFonts w:ascii="Times New Roman" w:cs="Times New Roman" w:eastAsia="Times New Roman" w:hAnsi="Times New Roman"/>
          <w:sz w:val="21"/>
          <w:szCs w:val="21"/>
          <w:color w:val="auto"/>
        </w:rPr>
        <w:t>”) pursuant to the conversion from a Delaware limited partnership into a Delaware corporation completed on November 13, 2023 (the “</w:t>
      </w:r>
      <w:r>
        <w:rPr>
          <w:rFonts w:ascii="Times New Roman" w:cs="Times New Roman" w:eastAsia="Times New Roman" w:hAnsi="Times New Roman"/>
          <w:sz w:val="21"/>
          <w:szCs w:val="21"/>
          <w:b w:val="1"/>
          <w:bCs w:val="1"/>
          <w:i w:val="1"/>
          <w:iCs w:val="1"/>
          <w:color w:val="auto"/>
        </w:rPr>
        <w:t>Conversion</w:t>
      </w:r>
      <w:r>
        <w:rPr>
          <w:rFonts w:ascii="Times New Roman" w:cs="Times New Roman" w:eastAsia="Times New Roman" w:hAnsi="Times New Roman"/>
          <w:sz w:val="21"/>
          <w:szCs w:val="21"/>
          <w:color w:val="auto"/>
        </w:rPr>
        <w:t>”), which Conversion, together with the transactions contemplated thereby, including the amendment and restatement of the Partnership’s 2014 Long Term Incentive Plan (in effect immediately prior to the Conversion) to reflect the effects of the Conversion, was approved by the Board of Directors of the general partner of the Partnership prior to and in connection with the Conversion.</w:t>
      </w:r>
    </w:p>
    <w:p>
      <w:pPr>
        <w:spacing w:after="0" w:line="161" w:lineRule="exact"/>
        <w:rPr>
          <w:sz w:val="20"/>
          <w:szCs w:val="20"/>
          <w:color w:val="auto"/>
        </w:rPr>
      </w:pPr>
    </w:p>
    <w:p>
      <w:pPr>
        <w:jc w:val="both"/>
        <w:ind w:firstLine="643"/>
        <w:spacing w:after="0" w:line="264" w:lineRule="auto"/>
        <w:rPr>
          <w:sz w:val="20"/>
          <w:szCs w:val="20"/>
          <w:color w:val="auto"/>
        </w:rPr>
      </w:pPr>
      <w:r>
        <w:rPr>
          <w:rFonts w:ascii="Times New Roman" w:cs="Times New Roman" w:eastAsia="Times New Roman" w:hAnsi="Times New Roman"/>
          <w:sz w:val="21"/>
          <w:szCs w:val="21"/>
          <w:color w:val="auto"/>
        </w:rPr>
        <w:t>The Company, acting through its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approved, adopted and ratified the Viper Energy, Inc. Amended and Restated 2014 Long Term Incentive Plan, (the “</w:t>
      </w:r>
      <w:r>
        <w:rPr>
          <w:rFonts w:ascii="Times New Roman" w:cs="Times New Roman" w:eastAsia="Times New Roman" w:hAnsi="Times New Roman"/>
          <w:sz w:val="21"/>
          <w:szCs w:val="21"/>
          <w:b w:val="1"/>
          <w:bCs w:val="1"/>
          <w:i w:val="1"/>
          <w:iCs w:val="1"/>
          <w:color w:val="auto"/>
        </w:rPr>
        <w:t>Prior Plan</w:t>
      </w:r>
      <w:r>
        <w:rPr>
          <w:rFonts w:ascii="Times New Roman" w:cs="Times New Roman" w:eastAsia="Times New Roman" w:hAnsi="Times New Roman"/>
          <w:sz w:val="21"/>
          <w:szCs w:val="21"/>
          <w:color w:val="auto"/>
        </w:rPr>
        <w:t>”), and the Prior Plan was amended and restated by the 2024 Amended and Restated Long Term Incentive Plan, which was adopted by the Board on April 19, 2024 and approved by the Company’s stockholders at the Company’s 2024 annual stockholders meeting on June 4, 2024 (such plan, as it may be further amended or restated,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The purpose of the Plan is to, among other things, attract, retain and motivate certain directors, employees and officers of the Company and its Affiliates (collectively, the “</w:t>
      </w:r>
      <w:r>
        <w:rPr>
          <w:rFonts w:ascii="Times New Roman" w:cs="Times New Roman" w:eastAsia="Times New Roman" w:hAnsi="Times New Roman"/>
          <w:sz w:val="21"/>
          <w:szCs w:val="21"/>
          <w:b w:val="1"/>
          <w:bCs w:val="1"/>
          <w:i w:val="1"/>
          <w:iCs w:val="1"/>
          <w:color w:val="auto"/>
        </w:rPr>
        <w:t>Viper Entities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21"/>
          <w:szCs w:val="21"/>
          <w:color w:val="auto"/>
        </w:rPr>
        <w:t>Pursuant to the Plan, the Committee has authorized the grant to Participant of the number of Restricted Stock Units set forth in the Certificate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48"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in consideration of the premises and the benefits to be derived from the mutual observance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0"/>
        <w:spacing w:after="0" w:line="270" w:lineRule="auto"/>
        <w:tabs>
          <w:tab w:leader="none" w:pos="1098" w:val="left"/>
        </w:tabs>
        <w:numPr>
          <w:ilvl w:val="0"/>
          <w:numId w:val="8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Basis for Award</w:t>
      </w:r>
      <w:r>
        <w:rPr>
          <w:rFonts w:ascii="Times New Roman" w:cs="Times New Roman" w:eastAsia="Times New Roman" w:hAnsi="Times New Roman"/>
          <w:sz w:val="21"/>
          <w:szCs w:val="21"/>
          <w:color w:val="auto"/>
        </w:rPr>
        <w:t>. This Award is made pursuant to Section 6(d) of the Plan for valid consideration provided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8" w:lineRule="exact"/>
        <w:rPr>
          <w:rFonts w:ascii="Times New Roman" w:cs="Times New Roman" w:eastAsia="Times New Roman" w:hAnsi="Times New Roman"/>
          <w:sz w:val="21"/>
          <w:szCs w:val="21"/>
          <w:b w:val="1"/>
          <w:bCs w:val="1"/>
          <w:color w:val="010000"/>
        </w:rPr>
      </w:pPr>
    </w:p>
    <w:p>
      <w:pPr>
        <w:ind w:left="1020" w:hanging="370"/>
        <w:spacing w:after="0"/>
        <w:tabs>
          <w:tab w:leader="none" w:pos="1020" w:val="left"/>
        </w:tabs>
        <w:numPr>
          <w:ilvl w:val="0"/>
          <w:numId w:val="8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Restricted Stock Units Awarded</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firstLine="1285"/>
        <w:spacing w:after="0" w:line="290" w:lineRule="auto"/>
        <w:rPr>
          <w:sz w:val="20"/>
          <w:szCs w:val="20"/>
          <w:color w:val="auto"/>
        </w:rPr>
      </w:pPr>
      <w:r>
        <w:rPr>
          <w:rFonts w:ascii="Times New Roman" w:cs="Times New Roman" w:eastAsia="Times New Roman" w:hAnsi="Times New Roman"/>
          <w:sz w:val="21"/>
          <w:szCs w:val="21"/>
          <w:color w:val="010000"/>
        </w:rPr>
        <w:t xml:space="preserve">2.1 </w:t>
      </w:r>
      <w:r>
        <w:rPr>
          <w:rFonts w:ascii="Times New Roman" w:cs="Times New Roman" w:eastAsia="Times New Roman" w:hAnsi="Times New Roman"/>
          <w:sz w:val="21"/>
          <w:szCs w:val="21"/>
          <w:color w:val="000000"/>
        </w:rPr>
        <w:t>The Company hereby grants to Participant the number of Restricted Stock Units set forth in the Certificate.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Each Restricted Stock Unit represents a right to receive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ectPr>
          <w:pgSz w:w="11900" w:h="16838" w:orient="portrait"/>
          <w:cols w:equalWidth="0" w:num="1">
            <w:col w:w="11240"/>
          </w:cols>
          <w:pgMar w:left="320" w:top="119" w:right="339" w:bottom="1440" w:gutter="0" w:footer="0" w:header="0"/>
        </w:sectPr>
      </w:pPr>
    </w:p>
    <w:bookmarkStart w:id="154" w:name="page155"/>
    <w:bookmarkEnd w:id="154"/>
    <w:p>
      <w:pPr>
        <w:jc w:val="both"/>
        <w:spacing w:after="0" w:line="290" w:lineRule="auto"/>
        <w:rPr>
          <w:sz w:val="20"/>
          <w:szCs w:val="20"/>
          <w:color w:val="auto"/>
        </w:rPr>
      </w:pPr>
      <w:r>
        <w:rPr>
          <w:rFonts w:ascii="Times New Roman" w:cs="Times New Roman" w:eastAsia="Times New Roman" w:hAnsi="Times New Roman"/>
          <w:sz w:val="21"/>
          <w:szCs w:val="21"/>
          <w:color w:val="auto"/>
        </w:rPr>
        <w:t>share of Common Stock from the Company payable in accordance with Section 5 below and any Dividend Equivalents (as defined below) credited to Participant’s Restricted Stock Unit Account (as defined below) with respect to that share.</w:t>
      </w:r>
    </w:p>
    <w:p>
      <w:pPr>
        <w:spacing w:after="0" w:line="133" w:lineRule="exact"/>
        <w:rPr>
          <w:sz w:val="20"/>
          <w:szCs w:val="20"/>
          <w:color w:val="auto"/>
        </w:rPr>
      </w:pPr>
    </w:p>
    <w:p>
      <w:pPr>
        <w:jc w:val="both"/>
        <w:ind w:firstLine="1285"/>
        <w:spacing w:after="0" w:line="271"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color w:val="000000"/>
        </w:rPr>
        <w:t>The Company will, in accordance with the Plan, establish and maintain an account (the “</w:t>
      </w:r>
      <w:r>
        <w:rPr>
          <w:rFonts w:ascii="Times New Roman" w:cs="Times New Roman" w:eastAsia="Times New Roman" w:hAnsi="Times New Roman"/>
          <w:sz w:val="21"/>
          <w:szCs w:val="21"/>
          <w:b w:val="1"/>
          <w:bCs w:val="1"/>
          <w:i w:val="1"/>
          <w:iCs w:val="1"/>
          <w:color w:val="000000"/>
        </w:rPr>
        <w:t>Restricted Stock</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b w:val="1"/>
          <w:bCs w:val="1"/>
          <w:i w:val="1"/>
          <w:iCs w:val="1"/>
          <w:color w:val="000000"/>
        </w:rPr>
        <w:t>Unit Account</w:t>
      </w:r>
      <w:r>
        <w:rPr>
          <w:rFonts w:ascii="Times New Roman" w:cs="Times New Roman" w:eastAsia="Times New Roman" w:hAnsi="Times New Roman"/>
          <w:sz w:val="21"/>
          <w:szCs w:val="21"/>
          <w:color w:val="000000"/>
        </w:rPr>
        <w:t>”) for Participant, and will credit such account for the number of Restricted Stock Units granted to Participant and</w:t>
      </w:r>
      <w:r>
        <w:rPr>
          <w:rFonts w:ascii="Times New Roman" w:cs="Times New Roman" w:eastAsia="Times New Roman" w:hAnsi="Times New Roman"/>
          <w:sz w:val="21"/>
          <w:szCs w:val="21"/>
          <w:b w:val="1"/>
          <w:bCs w:val="1"/>
          <w:i w:val="1"/>
          <w:iCs w:val="1"/>
          <w:color w:val="000000"/>
        </w:rPr>
        <w:t xml:space="preserve"> </w:t>
      </w:r>
      <w:r>
        <w:rPr>
          <w:rFonts w:ascii="Times New Roman" w:cs="Times New Roman" w:eastAsia="Times New Roman" w:hAnsi="Times New Roman"/>
          <w:sz w:val="21"/>
          <w:szCs w:val="21"/>
          <w:color w:val="000000"/>
        </w:rPr>
        <w:t>any Dividend Equivalents as provided in Section 4 below. On any given date, the value of each Restricted Stock Unit will equal the Fair Market Value on such date of one share of Common Stock.</w:t>
      </w:r>
    </w:p>
    <w:p>
      <w:pPr>
        <w:spacing w:after="0" w:line="157" w:lineRule="exact"/>
        <w:rPr>
          <w:sz w:val="20"/>
          <w:szCs w:val="20"/>
          <w:color w:val="auto"/>
        </w:rPr>
      </w:pPr>
    </w:p>
    <w:p>
      <w:pPr>
        <w:ind w:left="1020" w:hanging="370"/>
        <w:spacing w:after="0"/>
        <w:tabs>
          <w:tab w:leader="none" w:pos="1020" w:val="left"/>
        </w:tabs>
        <w:numPr>
          <w:ilvl w:val="0"/>
          <w:numId w:val="84"/>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1285"/>
        <w:spacing w:after="0" w:line="262"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color w:val="000000"/>
        </w:rPr>
        <w:t>The Restricted Stock Units will vest pursuant to the Vesting Schedule set forth in the Certificate. Except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otherwise provided in a severance plan participation agreement between Participant and the Company or an Affiliate (a “</w:t>
      </w:r>
      <w:r>
        <w:rPr>
          <w:rFonts w:ascii="Times New Roman" w:cs="Times New Roman" w:eastAsia="Times New Roman" w:hAnsi="Times New Roman"/>
          <w:sz w:val="21"/>
          <w:szCs w:val="21"/>
          <w:b w:val="1"/>
          <w:bCs w:val="1"/>
          <w:i w:val="1"/>
          <w:iCs w:val="1"/>
          <w:color w:val="000000"/>
        </w:rPr>
        <w:t>Severance Agreement</w:t>
      </w:r>
      <w:r>
        <w:rPr>
          <w:rFonts w:ascii="Times New Roman" w:cs="Times New Roman" w:eastAsia="Times New Roman" w:hAnsi="Times New Roman"/>
          <w:sz w:val="21"/>
          <w:szCs w:val="21"/>
          <w:color w:val="000000"/>
        </w:rPr>
        <w:t>”)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72" w:lineRule="exact"/>
        <w:rPr>
          <w:sz w:val="20"/>
          <w:szCs w:val="20"/>
          <w:color w:val="auto"/>
        </w:rPr>
      </w:pPr>
    </w:p>
    <w:p>
      <w:pPr>
        <w:jc w:val="both"/>
        <w:ind w:firstLine="1285"/>
        <w:spacing w:after="0" w:line="262"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color w:val="000000"/>
        </w:rPr>
        <w:t>Except as otherwise provided in a Severance Agreement, in the event of a termination of Participant’s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Continuous Service (as defined below) (a) by the Company or an Affiliate other than for Cause (as defined below) (and not as a result of Participant’s death or Disability (as defined below)) or (b) as a result of Participant’s resignation for Good Reason (as defined in the Diamondback Energy, Inc. (“</w:t>
      </w:r>
      <w:r>
        <w:rPr>
          <w:rFonts w:ascii="Times New Roman" w:cs="Times New Roman" w:eastAsia="Times New Roman" w:hAnsi="Times New Roman"/>
          <w:sz w:val="21"/>
          <w:szCs w:val="21"/>
          <w:b w:val="1"/>
          <w:bCs w:val="1"/>
          <w:i w:val="1"/>
          <w:iCs w:val="1"/>
          <w:color w:val="000000"/>
        </w:rPr>
        <w:t>Diamondback</w:t>
      </w:r>
      <w:r>
        <w:rPr>
          <w:rFonts w:ascii="Times New Roman" w:cs="Times New Roman" w:eastAsia="Times New Roman" w:hAnsi="Times New Roman"/>
          <w:sz w:val="21"/>
          <w:szCs w:val="21"/>
          <w:color w:val="000000"/>
        </w:rPr>
        <w:t>”) Amended and Restated Senior Management Severance Plan, as may be further amended or otherwise modified from time to time), in either case, upon the consummation of or within 24 months after the occurrence of a Change of Control, (an “</w:t>
      </w:r>
      <w:r>
        <w:rPr>
          <w:rFonts w:ascii="Times New Roman" w:cs="Times New Roman" w:eastAsia="Times New Roman" w:hAnsi="Times New Roman"/>
          <w:sz w:val="21"/>
          <w:szCs w:val="21"/>
          <w:b w:val="1"/>
          <w:bCs w:val="1"/>
          <w:i w:val="1"/>
          <w:iCs w:val="1"/>
          <w:color w:val="000000"/>
        </w:rPr>
        <w:t>Acceleration Event</w:t>
      </w:r>
      <w:r>
        <w:rPr>
          <w:rFonts w:ascii="Times New Roman" w:cs="Times New Roman" w:eastAsia="Times New Roman" w:hAnsi="Times New Roman"/>
          <w:sz w:val="21"/>
          <w:szCs w:val="21"/>
          <w:color w:val="000000"/>
        </w:rPr>
        <w:t>”), the unvested Restricted Stock Units, including any unpaid Dividend Equivalents credited to the Restricted Stock Unit Account, will vest immediately upon the occurrence of an Acceleration Event.</w:t>
      </w:r>
    </w:p>
    <w:p>
      <w:pPr>
        <w:spacing w:after="0" w:line="200" w:lineRule="exact"/>
        <w:rPr>
          <w:sz w:val="20"/>
          <w:szCs w:val="20"/>
          <w:color w:val="auto"/>
        </w:rPr>
      </w:pPr>
    </w:p>
    <w:p>
      <w:pPr>
        <w:spacing w:after="0" w:line="231" w:lineRule="exact"/>
        <w:rPr>
          <w:sz w:val="20"/>
          <w:szCs w:val="20"/>
          <w:color w:val="auto"/>
        </w:rPr>
      </w:pPr>
    </w:p>
    <w:p>
      <w:pPr>
        <w:jc w:val="both"/>
        <w:ind w:firstLine="1285"/>
        <w:spacing w:after="0" w:line="269" w:lineRule="auto"/>
        <w:rPr>
          <w:sz w:val="20"/>
          <w:szCs w:val="20"/>
          <w:color w:val="auto"/>
        </w:rPr>
      </w:pPr>
      <w:r>
        <w:rPr>
          <w:rFonts w:ascii="Times New Roman" w:cs="Times New Roman" w:eastAsia="Times New Roman" w:hAnsi="Times New Roman"/>
          <w:sz w:val="21"/>
          <w:szCs w:val="21"/>
          <w:color w:val="010000"/>
        </w:rPr>
        <w:t xml:space="preserve">3.3 </w:t>
      </w:r>
      <w:r>
        <w:rPr>
          <w:rFonts w:ascii="Times New Roman" w:cs="Times New Roman" w:eastAsia="Times New Roman" w:hAnsi="Times New Roman"/>
          <w:sz w:val="21"/>
          <w:szCs w:val="21"/>
          <w:color w:val="000000"/>
        </w:rPr>
        <w:t>Except as otherwise provided in a Severance Agreement, upon a termination of Participant’s Continuous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spacing w:after="0" w:line="163" w:lineRule="exact"/>
        <w:rPr>
          <w:sz w:val="20"/>
          <w:szCs w:val="20"/>
          <w:color w:val="auto"/>
        </w:rPr>
      </w:pPr>
    </w:p>
    <w:p>
      <w:pPr>
        <w:jc w:val="both"/>
        <w:ind w:firstLine="1285"/>
        <w:spacing w:after="0" w:line="271" w:lineRule="auto"/>
        <w:rPr>
          <w:sz w:val="20"/>
          <w:szCs w:val="20"/>
          <w:color w:val="auto"/>
        </w:rPr>
      </w:pPr>
      <w:r>
        <w:rPr>
          <w:rFonts w:ascii="Times New Roman" w:cs="Times New Roman" w:eastAsia="Times New Roman" w:hAnsi="Times New Roman"/>
          <w:sz w:val="21"/>
          <w:szCs w:val="21"/>
          <w:color w:val="010000"/>
        </w:rPr>
        <w:t xml:space="preserve">3.4 </w:t>
      </w:r>
      <w:r>
        <w:rPr>
          <w:rFonts w:ascii="Times New Roman" w:cs="Times New Roman" w:eastAsia="Times New Roman" w:hAnsi="Times New Roman"/>
          <w:sz w:val="21"/>
          <w:szCs w:val="21"/>
          <w:color w:val="000000"/>
        </w:rPr>
        <w:t>To the extent that a Severance Agreement provides for acceleration of vesting of any or all unvested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Restricted Stock Units on termination of Continuous Service that is more favorable to Participant than the provisions of this Agreement, such provisions are incorporated by reference in this Agreement.</w:t>
      </w:r>
    </w:p>
    <w:p>
      <w:pPr>
        <w:spacing w:after="0" w:line="159"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1"/>
          <w:szCs w:val="21"/>
          <w:color w:val="010000"/>
        </w:rPr>
        <w:t>3.5</w:t>
      </w:r>
      <w:r>
        <w:rPr>
          <w:rFonts w:ascii="Times New Roman" w:cs="Times New Roman" w:eastAsia="Times New Roman" w:hAnsi="Times New Roman"/>
          <w:sz w:val="21"/>
          <w:szCs w:val="21"/>
          <w:color w:val="auto"/>
        </w:rPr>
        <w:tab/>
        <w:t>For purposes of this Agreement, the following terms shall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w:t>
      </w:r>
    </w:p>
    <w:p>
      <w:pPr>
        <w:sectPr>
          <w:pgSz w:w="11900" w:h="16838" w:orient="portrait"/>
          <w:cols w:equalWidth="0" w:num="1">
            <w:col w:w="11240"/>
          </w:cols>
          <w:pgMar w:left="320" w:top="1411" w:right="339" w:bottom="1440" w:gutter="0" w:footer="0" w:header="0"/>
        </w:sectPr>
      </w:pPr>
    </w:p>
    <w:bookmarkStart w:id="155" w:name="page156"/>
    <w:bookmarkEnd w:id="155"/>
    <w:p>
      <w:pPr>
        <w:jc w:val="both"/>
        <w:ind w:firstLine="1285"/>
        <w:spacing w:after="0" w:line="260" w:lineRule="auto"/>
        <w:rPr>
          <w:sz w:val="20"/>
          <w:szCs w:val="20"/>
          <w:color w:val="auto"/>
        </w:rPr>
      </w:pPr>
      <w:r>
        <w:rPr>
          <w:rFonts w:ascii="Times New Roman" w:cs="Times New Roman" w:eastAsia="Times New Roman" w:hAnsi="Times New Roman"/>
          <w:sz w:val="21"/>
          <w:szCs w:val="21"/>
          <w:color w:val="010000"/>
        </w:rPr>
        <w:t xml:space="preserve">3.5.1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Cause</w:t>
      </w:r>
      <w:r>
        <w:rPr>
          <w:rFonts w:ascii="Times New Roman" w:cs="Times New Roman" w:eastAsia="Times New Roman" w:hAnsi="Times New Roman"/>
          <w:sz w:val="21"/>
          <w:szCs w:val="21"/>
          <w:color w:val="000000"/>
        </w:rPr>
        <w:t>” means (i) if Participant is a party to a severance plan participation agreement with the Company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its Affiliates and such agreement provides for a definition of 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spacing w:after="0" w:line="183" w:lineRule="exact"/>
        <w:rPr>
          <w:sz w:val="20"/>
          <w:szCs w:val="20"/>
          <w:color w:val="auto"/>
        </w:rPr>
      </w:pPr>
    </w:p>
    <w:p>
      <w:pPr>
        <w:jc w:val="both"/>
        <w:ind w:firstLine="1285"/>
        <w:spacing w:after="0" w:line="259" w:lineRule="auto"/>
        <w:rPr>
          <w:sz w:val="20"/>
          <w:szCs w:val="20"/>
          <w:color w:val="auto"/>
        </w:rPr>
      </w:pPr>
      <w:r>
        <w:rPr>
          <w:rFonts w:ascii="Times New Roman" w:cs="Times New Roman" w:eastAsia="Times New Roman" w:hAnsi="Times New Roman"/>
          <w:sz w:val="21"/>
          <w:szCs w:val="21"/>
          <w:color w:val="010000"/>
        </w:rPr>
        <w:t xml:space="preserve">3.5.2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Continuous Service</w:t>
      </w:r>
      <w:r>
        <w:rPr>
          <w:rFonts w:ascii="Times New Roman" w:cs="Times New Roman" w:eastAsia="Times New Roman" w:hAnsi="Times New Roman"/>
          <w:sz w:val="21"/>
          <w:szCs w:val="21"/>
          <w:color w:val="000000"/>
        </w:rPr>
        <w:t>” means that Participant’s service with the Company or an Affiliate (including, without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limitation, Diamondback and any of its subsidiaries), whether as an 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spacing w:after="0" w:line="172" w:lineRule="exact"/>
        <w:rPr>
          <w:sz w:val="20"/>
          <w:szCs w:val="20"/>
          <w:color w:val="auto"/>
        </w:rPr>
      </w:pPr>
    </w:p>
    <w:p>
      <w:pPr>
        <w:jc w:val="both"/>
        <w:ind w:firstLine="1285"/>
        <w:spacing w:after="0" w:line="266" w:lineRule="auto"/>
        <w:rPr>
          <w:sz w:val="20"/>
          <w:szCs w:val="20"/>
          <w:color w:val="auto"/>
        </w:rPr>
      </w:pPr>
      <w:r>
        <w:rPr>
          <w:rFonts w:ascii="Times New Roman" w:cs="Times New Roman" w:eastAsia="Times New Roman" w:hAnsi="Times New Roman"/>
          <w:sz w:val="21"/>
          <w:szCs w:val="21"/>
          <w:color w:val="010000"/>
        </w:rPr>
        <w:t xml:space="preserve">3.5.3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Disability</w:t>
      </w:r>
      <w:r>
        <w:rPr>
          <w:rFonts w:ascii="Times New Roman" w:cs="Times New Roman" w:eastAsia="Times New Roman" w:hAnsi="Times New Roman"/>
          <w:sz w:val="21"/>
          <w:szCs w:val="21"/>
          <w:color w:val="000000"/>
        </w:rPr>
        <w:t>” means Participant’s inability to substantially perform Participant’s duties to the Company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Affiliate by reason of a medically determinable physical or mental impairment that is expected to last for a period of six months or longer or to result in death. The Committee will determine whether Participant has a Disability under procedures established by the Committee, and the Committee may rely on any determination that Participant is disabled for purposes of benefits under any long-term disability plan maintained by the Company or any Affiliate in which Participant participates.</w:t>
      </w:r>
    </w:p>
    <w:p>
      <w:pPr>
        <w:spacing w:after="0" w:line="163" w:lineRule="exact"/>
        <w:rPr>
          <w:sz w:val="20"/>
          <w:szCs w:val="20"/>
          <w:color w:val="auto"/>
        </w:rPr>
      </w:pPr>
    </w:p>
    <w:p>
      <w:pPr>
        <w:jc w:val="both"/>
        <w:ind w:firstLine="650"/>
        <w:spacing w:after="0" w:line="261" w:lineRule="auto"/>
        <w:tabs>
          <w:tab w:leader="none" w:pos="1125" w:val="left"/>
        </w:tabs>
        <w:numPr>
          <w:ilvl w:val="0"/>
          <w:numId w:val="8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If the Company pays any cash dividend on its outstanding Common Stock for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 w:cs="Times New Roman" w:eastAsia="Times New Roman" w:hAnsi="Times New Roman"/>
          <w:sz w:val="21"/>
          <w:szCs w:val="21"/>
          <w:b w:val="1"/>
          <w:bCs w:val="1"/>
          <w:i w:val="1"/>
          <w:iCs w:val="1"/>
          <w:color w:val="auto"/>
        </w:rPr>
        <w:t>Dividend Equivalents</w:t>
      </w:r>
      <w:r>
        <w:rPr>
          <w:rFonts w:ascii="Times New Roman" w:cs="Times New Roman" w:eastAsia="Times New Roman" w:hAnsi="Times New Roman"/>
          <w:sz w:val="21"/>
          <w:szCs w:val="21"/>
          <w:color w:val="auto"/>
        </w:rPr>
        <w:t>”). Except as otherwise provided in Section 3, Dividend Equivalents will vest and be paid to Participant on the dividend payment date if Participant is in Continuous Service or otherwise holds Restricted Stock Units that are vested but have not been settled on the dividend payment date declared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w:t>
      </w:r>
    </w:p>
    <w:p>
      <w:pPr>
        <w:sectPr>
          <w:pgSz w:w="11900" w:h="16838" w:orient="portrait"/>
          <w:cols w:equalWidth="0" w:num="1">
            <w:col w:w="11240"/>
          </w:cols>
          <w:pgMar w:left="320" w:top="1405" w:right="339" w:bottom="1440" w:gutter="0" w:footer="0" w:header="0"/>
        </w:sectPr>
      </w:pPr>
    </w:p>
    <w:bookmarkStart w:id="156" w:name="page157"/>
    <w:bookmarkEnd w:id="156"/>
    <w:p>
      <w:pPr>
        <w:jc w:val="both"/>
        <w:ind w:firstLine="650"/>
        <w:spacing w:after="0" w:line="258" w:lineRule="auto"/>
        <w:tabs>
          <w:tab w:leader="none" w:pos="1138" w:val="left"/>
        </w:tabs>
        <w:numPr>
          <w:ilvl w:val="0"/>
          <w:numId w:val="8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Payment/Settlement</w:t>
      </w:r>
      <w:r>
        <w:rPr>
          <w:rFonts w:ascii="Times New Roman" w:cs="Times New Roman" w:eastAsia="Times New Roman" w:hAnsi="Times New Roman"/>
          <w:sz w:val="21"/>
          <w:szCs w:val="21"/>
          <w:color w:val="auto"/>
        </w:rPr>
        <w:t>. Subject to Participant’s satisfaction of the applicable withholding requirements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Committee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Committee’s discretion, in cash.</w:t>
      </w:r>
    </w:p>
    <w:p>
      <w:pPr>
        <w:spacing w:after="0" w:line="173" w:lineRule="exact"/>
        <w:rPr>
          <w:rFonts w:ascii="Times New Roman" w:cs="Times New Roman" w:eastAsia="Times New Roman" w:hAnsi="Times New Roman"/>
          <w:sz w:val="21"/>
          <w:szCs w:val="21"/>
          <w:b w:val="1"/>
          <w:bCs w:val="1"/>
          <w:color w:val="010000"/>
        </w:rPr>
      </w:pPr>
    </w:p>
    <w:p>
      <w:pPr>
        <w:jc w:val="both"/>
        <w:ind w:firstLine="650"/>
        <w:spacing w:after="0" w:line="264" w:lineRule="auto"/>
        <w:tabs>
          <w:tab w:leader="none" w:pos="1272" w:val="left"/>
        </w:tabs>
        <w:numPr>
          <w:ilvl w:val="0"/>
          <w:numId w:val="8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Compliance with Laws and Regulations</w:t>
      </w:r>
      <w:r>
        <w:rPr>
          <w:rFonts w:ascii="Times New Roman" w:cs="Times New Roman" w:eastAsia="Times New Roman" w:hAnsi="Times New Roman"/>
          <w:sz w:val="21"/>
          <w:szCs w:val="21"/>
          <w:color w:val="auto"/>
        </w:rPr>
        <w:t>. The issuance and transfer of shares of Common Stock 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any state securities commission, foreign securities regulatory authority, or any securities exchange to effect such compliance.</w:t>
      </w:r>
    </w:p>
    <w:p>
      <w:pPr>
        <w:spacing w:after="0" w:line="162" w:lineRule="exact"/>
        <w:rPr>
          <w:rFonts w:ascii="Times New Roman" w:cs="Times New Roman" w:eastAsia="Times New Roman" w:hAnsi="Times New Roman"/>
          <w:sz w:val="21"/>
          <w:szCs w:val="21"/>
          <w:b w:val="1"/>
          <w:bCs w:val="1"/>
          <w:color w:val="010000"/>
        </w:rPr>
      </w:pPr>
    </w:p>
    <w:p>
      <w:pPr>
        <w:ind w:left="1020" w:hanging="370"/>
        <w:spacing w:after="0"/>
        <w:tabs>
          <w:tab w:leader="none" w:pos="1020" w:val="left"/>
        </w:tabs>
        <w:numPr>
          <w:ilvl w:val="0"/>
          <w:numId w:val="8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1285"/>
        <w:spacing w:after="0" w:line="269" w:lineRule="auto"/>
        <w:rPr>
          <w:sz w:val="20"/>
          <w:szCs w:val="20"/>
          <w:color w:val="auto"/>
        </w:rPr>
      </w:pPr>
      <w:r>
        <w:rPr>
          <w:rFonts w:ascii="Times New Roman" w:cs="Times New Roman" w:eastAsia="Times New Roman" w:hAnsi="Times New Roman"/>
          <w:sz w:val="21"/>
          <w:szCs w:val="21"/>
          <w:color w:val="010000"/>
        </w:rPr>
        <w:t xml:space="preserve">7.1 </w:t>
      </w:r>
      <w:r>
        <w:rPr>
          <w:rFonts w:ascii="Times New Roman" w:cs="Times New Roman" w:eastAsia="Times New Roman" w:hAnsi="Times New Roman"/>
          <w:sz w:val="21"/>
          <w:szCs w:val="21"/>
          <w:color w:val="000000"/>
        </w:rPr>
        <w:t>As a condition to payment under Section 5 hereof, Participant agrees that on or before the Payment/Settlement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Date 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63" w:lineRule="exact"/>
        <w:rPr>
          <w:sz w:val="20"/>
          <w:szCs w:val="20"/>
          <w:color w:val="auto"/>
        </w:rPr>
      </w:pPr>
    </w:p>
    <w:p>
      <w:pPr>
        <w:jc w:val="both"/>
        <w:ind w:firstLine="1285"/>
        <w:spacing w:after="0" w:line="262" w:lineRule="auto"/>
        <w:rPr>
          <w:sz w:val="20"/>
          <w:szCs w:val="20"/>
          <w:color w:val="auto"/>
        </w:rPr>
      </w:pPr>
      <w:r>
        <w:rPr>
          <w:rFonts w:ascii="Times New Roman" w:cs="Times New Roman" w:eastAsia="Times New Roman" w:hAnsi="Times New Roman"/>
          <w:sz w:val="21"/>
          <w:szCs w:val="21"/>
          <w:color w:val="010000"/>
        </w:rPr>
        <w:t xml:space="preserve">7.2 </w:t>
      </w:r>
      <w:r>
        <w:rPr>
          <w:rFonts w:ascii="Times New Roman" w:cs="Times New Roman" w:eastAsia="Times New Roman" w:hAnsi="Times New Roman"/>
          <w:sz w:val="21"/>
          <w:szCs w:val="21"/>
          <w:color w:val="000000"/>
        </w:rPr>
        <w:t>Participant acknowledges that the amounts due under this Section 7 will be paid to the Company by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Company retaining such 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w:t>
      </w:r>
    </w:p>
    <w:p>
      <w:pPr>
        <w:sectPr>
          <w:pgSz w:w="11900" w:h="16838" w:orient="portrait"/>
          <w:cols w:equalWidth="0" w:num="1">
            <w:col w:w="11240"/>
          </w:cols>
          <w:pgMar w:left="320" w:top="1407" w:right="339" w:bottom="1440" w:gutter="0" w:footer="0" w:header="0"/>
        </w:sectPr>
      </w:pPr>
    </w:p>
    <w:bookmarkStart w:id="157" w:name="page158"/>
    <w:bookmarkEnd w:id="157"/>
    <w:p>
      <w:pPr>
        <w:jc w:val="both"/>
        <w:spacing w:after="0" w:line="260" w:lineRule="auto"/>
        <w:rPr>
          <w:sz w:val="20"/>
          <w:szCs w:val="20"/>
          <w:color w:val="auto"/>
        </w:rPr>
      </w:pPr>
      <w:r>
        <w:rPr>
          <w:rFonts w:ascii="Times New Roman" w:cs="Times New Roman" w:eastAsia="Times New Roman" w:hAnsi="Times New Roman"/>
          <w:sz w:val="21"/>
          <w:szCs w:val="21"/>
          <w:color w:val="auto"/>
        </w:rPr>
        <w:t>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200" w:lineRule="exact"/>
        <w:rPr>
          <w:sz w:val="20"/>
          <w:szCs w:val="20"/>
          <w:color w:val="auto"/>
        </w:rPr>
      </w:pPr>
    </w:p>
    <w:p>
      <w:pPr>
        <w:spacing w:after="0" w:line="241" w:lineRule="exact"/>
        <w:rPr>
          <w:sz w:val="20"/>
          <w:szCs w:val="20"/>
          <w:color w:val="auto"/>
        </w:rPr>
      </w:pPr>
    </w:p>
    <w:p>
      <w:pPr>
        <w:jc w:val="both"/>
        <w:ind w:firstLine="650"/>
        <w:spacing w:after="0" w:line="261" w:lineRule="auto"/>
        <w:tabs>
          <w:tab w:leader="none" w:pos="1071" w:val="left"/>
        </w:tabs>
        <w:numPr>
          <w:ilvl w:val="0"/>
          <w:numId w:val="8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Not Transferrable</w:t>
      </w:r>
      <w:r>
        <w:rPr>
          <w:rFonts w:ascii="Times New Roman" w:cs="Times New Roman" w:eastAsia="Times New Roman" w:hAnsi="Times New Roman"/>
          <w:sz w:val="21"/>
          <w:szCs w:val="21"/>
          <w:color w:val="auto"/>
        </w:rPr>
        <w:t>. Until Common Stock is issued on the applicable Payment/Settlement Date, the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78" w:lineRule="exact"/>
        <w:rPr>
          <w:rFonts w:ascii="Times New Roman" w:cs="Times New Roman" w:eastAsia="Times New Roman" w:hAnsi="Times New Roman"/>
          <w:sz w:val="21"/>
          <w:szCs w:val="21"/>
          <w:b w:val="1"/>
          <w:bCs w:val="1"/>
          <w:color w:val="010000"/>
        </w:rPr>
      </w:pPr>
    </w:p>
    <w:p>
      <w:pPr>
        <w:jc w:val="both"/>
        <w:ind w:firstLine="650"/>
        <w:spacing w:after="0" w:line="273" w:lineRule="auto"/>
        <w:tabs>
          <w:tab w:leader="none" w:pos="1044" w:val="left"/>
        </w:tabs>
        <w:numPr>
          <w:ilvl w:val="0"/>
          <w:numId w:val="8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Right to Continued Service</w:t>
      </w:r>
      <w:r>
        <w:rPr>
          <w:rFonts w:ascii="Times New Roman" w:cs="Times New Roman" w:eastAsia="Times New Roman" w:hAnsi="Times New Roman"/>
          <w:sz w:val="21"/>
          <w:szCs w:val="21"/>
          <w:color w:val="auto"/>
        </w:rPr>
        <w:t>. Nothing in this Agreement or in the Plan imposes or may be deemed to impose,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implication or otherwise, any limitation on any right of the Company or any Affiliate to terminate Participant’s Continuous Service at any time.</w:t>
      </w:r>
    </w:p>
    <w:p>
      <w:pPr>
        <w:spacing w:after="0" w:line="153" w:lineRule="exact"/>
        <w:rPr>
          <w:rFonts w:ascii="Times New Roman" w:cs="Times New Roman" w:eastAsia="Times New Roman" w:hAnsi="Times New Roman"/>
          <w:sz w:val="21"/>
          <w:szCs w:val="21"/>
          <w:b w:val="1"/>
          <w:bCs w:val="1"/>
          <w:color w:val="010000"/>
        </w:rPr>
      </w:pPr>
    </w:p>
    <w:p>
      <w:pPr>
        <w:jc w:val="both"/>
        <w:ind w:firstLine="650"/>
        <w:spacing w:after="0" w:line="259" w:lineRule="auto"/>
        <w:tabs>
          <w:tab w:leader="none" w:pos="1232" w:val="left"/>
        </w:tabs>
        <w:numPr>
          <w:ilvl w:val="0"/>
          <w:numId w:val="8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Participant’s Representations, Warranties and Acknowledgements</w:t>
      </w:r>
      <w:r>
        <w:rPr>
          <w:rFonts w:ascii="Times New Roman" w:cs="Times New Roman" w:eastAsia="Times New Roman" w:hAnsi="Times New Roman"/>
          <w:sz w:val="21"/>
          <w:szCs w:val="21"/>
          <w:color w:val="auto"/>
        </w:rPr>
        <w:t>. Participant represents and warrants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72" w:lineRule="exact"/>
        <w:rPr>
          <w:rFonts w:ascii="Times New Roman" w:cs="Times New Roman" w:eastAsia="Times New Roman" w:hAnsi="Times New Roman"/>
          <w:sz w:val="21"/>
          <w:szCs w:val="21"/>
          <w:b w:val="1"/>
          <w:bCs w:val="1"/>
          <w:color w:val="010000"/>
        </w:rPr>
      </w:pPr>
    </w:p>
    <w:p>
      <w:pPr>
        <w:jc w:val="both"/>
        <w:ind w:firstLine="650"/>
        <w:spacing w:after="0" w:line="280" w:lineRule="auto"/>
        <w:tabs>
          <w:tab w:leader="none" w:pos="1206" w:val="left"/>
        </w:tabs>
        <w:numPr>
          <w:ilvl w:val="0"/>
          <w:numId w:val="8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Interest in Company Assets</w:t>
      </w:r>
      <w:r>
        <w:rPr>
          <w:rFonts w:ascii="Times New Roman" w:cs="Times New Roman" w:eastAsia="Times New Roman" w:hAnsi="Times New Roman"/>
          <w:sz w:val="21"/>
          <w:szCs w:val="21"/>
          <w:color w:val="auto"/>
        </w:rPr>
        <w:t>. All amounts nominally credited to Participant’s Restricted Stock Unit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w:t>
      </w:r>
    </w:p>
    <w:p>
      <w:pPr>
        <w:sectPr>
          <w:pgSz w:w="11900" w:h="16838" w:orient="portrait"/>
          <w:cols w:equalWidth="0" w:num="1">
            <w:col w:w="11240"/>
          </w:cols>
          <w:pgMar w:left="320" w:top="1411" w:right="339" w:bottom="1440" w:gutter="0" w:footer="0" w:header="0"/>
        </w:sectPr>
      </w:pPr>
    </w:p>
    <w:bookmarkStart w:id="158" w:name="page159"/>
    <w:bookmarkEnd w:id="158"/>
    <w:p>
      <w:pPr>
        <w:jc w:val="both"/>
        <w:ind w:firstLine="650"/>
        <w:spacing w:after="0" w:line="270" w:lineRule="auto"/>
        <w:tabs>
          <w:tab w:leader="none" w:pos="112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Stockholder Rights before Delivery</w:t>
      </w:r>
      <w:r>
        <w:rPr>
          <w:rFonts w:ascii="Times New Roman" w:cs="Times New Roman" w:eastAsia="Times New Roman" w:hAnsi="Times New Roman"/>
          <w:sz w:val="21"/>
          <w:szCs w:val="21"/>
          <w:color w:val="auto"/>
        </w:rPr>
        <w:t>. Participant will not have any right, title, or interest in, or be entitled to 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58" w:lineRule="exact"/>
        <w:rPr>
          <w:rFonts w:ascii="Times New Roman" w:cs="Times New Roman" w:eastAsia="Times New Roman" w:hAnsi="Times New Roman"/>
          <w:sz w:val="21"/>
          <w:szCs w:val="21"/>
          <w:b w:val="1"/>
          <w:bCs w:val="1"/>
          <w:color w:val="010000"/>
        </w:rPr>
      </w:pPr>
    </w:p>
    <w:p>
      <w:pPr>
        <w:jc w:val="both"/>
        <w:ind w:firstLine="650"/>
        <w:spacing w:after="0" w:line="273" w:lineRule="auto"/>
        <w:tabs>
          <w:tab w:leader="none" w:pos="116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Modification</w:t>
      </w:r>
      <w:r>
        <w:rPr>
          <w:rFonts w:ascii="Times New Roman" w:cs="Times New Roman" w:eastAsia="Times New Roman" w:hAnsi="Times New Roman"/>
          <w:sz w:val="21"/>
          <w:szCs w:val="21"/>
          <w:color w:val="auto"/>
        </w:rPr>
        <w:t>. The Agreement may not be amended or otherwise modified except in writing signed by both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however, that the Company may unilaterally correct mathematical and typographical errors, and the number of Restricted Stock Units granted hereunder may be amended to reflect the correction of such errors.</w:t>
      </w:r>
    </w:p>
    <w:p>
      <w:pPr>
        <w:spacing w:after="0" w:line="153" w:lineRule="exact"/>
        <w:rPr>
          <w:rFonts w:ascii="Times New Roman" w:cs="Times New Roman" w:eastAsia="Times New Roman" w:hAnsi="Times New Roman"/>
          <w:sz w:val="21"/>
          <w:szCs w:val="21"/>
          <w:b w:val="1"/>
          <w:bCs w:val="1"/>
          <w:color w:val="010000"/>
        </w:rPr>
      </w:pPr>
    </w:p>
    <w:p>
      <w:pPr>
        <w:jc w:val="both"/>
        <w:ind w:firstLine="650"/>
        <w:spacing w:after="0" w:line="280" w:lineRule="auto"/>
        <w:tabs>
          <w:tab w:leader="none" w:pos="116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Any dispute regarding the interpretation of this Agreement must be submitted by Participant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to the Committee for review. The resolution of such a dispute by the Committee will be final and binding on the Company and Participant.</w:t>
      </w:r>
    </w:p>
    <w:p>
      <w:pPr>
        <w:spacing w:after="0" w:line="145" w:lineRule="exact"/>
        <w:rPr>
          <w:rFonts w:ascii="Times New Roman" w:cs="Times New Roman" w:eastAsia="Times New Roman" w:hAnsi="Times New Roman"/>
          <w:sz w:val="21"/>
          <w:szCs w:val="21"/>
          <w:b w:val="1"/>
          <w:bCs w:val="1"/>
          <w:color w:val="010000"/>
        </w:rPr>
      </w:pPr>
    </w:p>
    <w:p>
      <w:pPr>
        <w:jc w:val="both"/>
        <w:ind w:firstLine="650"/>
        <w:spacing w:after="0" w:line="266" w:lineRule="auto"/>
        <w:tabs>
          <w:tab w:leader="none" w:pos="132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The Plan and the Certificate are incorporated herein by reference.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74" w:lineRule="exact"/>
        <w:rPr>
          <w:rFonts w:ascii="Times New Roman" w:cs="Times New Roman" w:eastAsia="Times New Roman" w:hAnsi="Times New Roman"/>
          <w:sz w:val="21"/>
          <w:szCs w:val="21"/>
          <w:b w:val="1"/>
          <w:bCs w:val="1"/>
          <w:color w:val="010000"/>
        </w:rPr>
      </w:pPr>
    </w:p>
    <w:p>
      <w:pPr>
        <w:jc w:val="both"/>
        <w:ind w:firstLine="650"/>
        <w:spacing w:after="0" w:line="266" w:lineRule="auto"/>
        <w:tabs>
          <w:tab w:leader="none" w:pos="112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bind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61" w:lineRule="exact"/>
        <w:rPr>
          <w:rFonts w:ascii="Times New Roman" w:cs="Times New Roman" w:eastAsia="Times New Roman" w:hAnsi="Times New Roman"/>
          <w:sz w:val="21"/>
          <w:szCs w:val="21"/>
          <w:b w:val="1"/>
          <w:bCs w:val="1"/>
          <w:color w:val="010000"/>
        </w:rPr>
      </w:pPr>
    </w:p>
    <w:p>
      <w:pPr>
        <w:jc w:val="both"/>
        <w:ind w:firstLine="650"/>
        <w:spacing w:after="0" w:line="270" w:lineRule="auto"/>
        <w:tabs>
          <w:tab w:leader="none" w:pos="1205" w:val="left"/>
        </w:tabs>
        <w:numPr>
          <w:ilvl w:val="0"/>
          <w:numId w:val="8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will be governed by and construed in accordance with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w:t>
      </w:r>
    </w:p>
    <w:p>
      <w:pPr>
        <w:sectPr>
          <w:pgSz w:w="11900" w:h="16838" w:orient="portrait"/>
          <w:cols w:equalWidth="0" w:num="1">
            <w:col w:w="11240"/>
          </w:cols>
          <w:pgMar w:left="320" w:top="1407" w:right="33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Viper Energy, Inc. 2024 Amended and Restated Long Term Incentive Plan</w:t>
      </w:r>
    </w:p>
    <w:p>
      <w:pPr>
        <w:sectPr>
          <w:pgSz w:w="11900" w:h="16838" w:orient="portrait"/>
          <w:cols w:equalWidth="0" w:num="1">
            <w:col w:w="9019"/>
          </w:cols>
          <w:pgMar w:left="1440" w:top="764" w:right="1440" w:bottom="1440" w:gutter="0" w:footer="0" w:header="0"/>
        </w:sectPr>
      </w:pPr>
    </w:p>
    <w:bookmarkStart w:id="160" w:name="page161"/>
    <w:bookmarkEnd w:id="160"/>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 (#) O-PSU25-___</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2024 AMENDED AND RESTATED LONG TERM INCENTIVE PLAN</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RESTRICTED STOCK UNIT AWARD CERTIFICATE</w:t>
      </w:r>
    </w:p>
    <w:p>
      <w:pPr>
        <w:spacing w:after="0" w:line="211" w:lineRule="exact"/>
        <w:rPr>
          <w:sz w:val="20"/>
          <w:szCs w:val="20"/>
          <w:color w:val="auto"/>
        </w:rPr>
      </w:pPr>
    </w:p>
    <w:p>
      <w:pPr>
        <w:jc w:val="both"/>
        <w:ind w:right="20" w:firstLine="643"/>
        <w:spacing w:after="0" w:line="267" w:lineRule="auto"/>
        <w:rPr>
          <w:sz w:val="20"/>
          <w:szCs w:val="20"/>
          <w:color w:val="auto"/>
        </w:rPr>
      </w:pPr>
      <w:r>
        <w:rPr>
          <w:rFonts w:ascii="Times New Roman" w:cs="Times New Roman" w:eastAsia="Times New Roman" w:hAnsi="Times New Roman"/>
          <w:sz w:val="21"/>
          <w:szCs w:val="21"/>
          <w:color w:val="auto"/>
        </w:rPr>
        <w:t xml:space="preserve">THIS IS TO CERTIFY that Viper Energy, Inc., a Delaware corporation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performance-based Restricted Stock Units (this “</w:t>
      </w:r>
      <w:r>
        <w:rPr>
          <w:rFonts w:ascii="Times New Roman" w:cs="Times New Roman" w:eastAsia="Times New Roman" w:hAnsi="Times New Roman"/>
          <w:sz w:val="21"/>
          <w:szCs w:val="21"/>
          <w:b w:val="1"/>
          <w:bCs w:val="1"/>
          <w:i w:val="1"/>
          <w:iCs w:val="1"/>
          <w:color w:val="auto"/>
        </w:rPr>
        <w:t>Performance Award</w:t>
      </w:r>
      <w:r>
        <w:rPr>
          <w:rFonts w:ascii="Times New Roman" w:cs="Times New Roman" w:eastAsia="Times New Roman" w:hAnsi="Times New Roman"/>
          <w:sz w:val="21"/>
          <w:szCs w:val="21"/>
          <w:color w:val="auto"/>
        </w:rPr>
        <w:t xml:space="preserve">”) under the Company’s 2024 Amended and Restated Long Term Incentive Incentive Plan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as set forth below. Capitalized terms not otherwise defined herein have the meanings ascribed to them in the Plan.</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79"/>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Name of Participant:</w:t>
            </w:r>
          </w:p>
        </w:tc>
        <w:tc>
          <w:tcPr>
            <w:tcW w:w="816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____________________</w:t>
            </w:r>
          </w:p>
        </w:tc>
        <w:tc>
          <w:tcPr>
            <w:tcW w:w="0" w:type="dxa"/>
            <w:vAlign w:val="bottom"/>
          </w:tcPr>
          <w:p>
            <w:pPr>
              <w:spacing w:after="0"/>
              <w:rPr>
                <w:sz w:val="1"/>
                <w:szCs w:val="1"/>
                <w:color w:val="auto"/>
              </w:rPr>
            </w:pPr>
          </w:p>
        </w:tc>
      </w:tr>
      <w:tr>
        <w:trPr>
          <w:trHeight w:val="458"/>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Target Number of</w:t>
            </w:r>
          </w:p>
        </w:tc>
        <w:tc>
          <w:tcPr>
            <w:tcW w:w="8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Restricted Stock Units</w:t>
            </w:r>
          </w:p>
        </w:tc>
        <w:tc>
          <w:tcPr>
            <w:tcW w:w="8160" w:type="dxa"/>
            <w:vAlign w:val="bottom"/>
            <w:vMerge w:val="restart"/>
          </w:tcPr>
          <w:p>
            <w:pPr>
              <w:ind w:left="520"/>
              <w:spacing w:after="0"/>
              <w:rPr>
                <w:sz w:val="20"/>
                <w:szCs w:val="20"/>
                <w:color w:val="auto"/>
              </w:rPr>
            </w:pPr>
            <w:r>
              <w:rPr>
                <w:rFonts w:ascii="Times New Roman" w:cs="Times New Roman" w:eastAsia="Times New Roman" w:hAnsi="Times New Roman"/>
                <w:sz w:val="21"/>
                <w:szCs w:val="21"/>
                <w:color w:val="auto"/>
              </w:rPr>
              <w:t>________</w:t>
            </w:r>
          </w:p>
        </w:tc>
        <w:tc>
          <w:tcPr>
            <w:tcW w:w="0" w:type="dxa"/>
            <w:vAlign w:val="bottom"/>
          </w:tcPr>
          <w:p>
            <w:pPr>
              <w:spacing w:after="0"/>
              <w:rPr>
                <w:sz w:val="1"/>
                <w:szCs w:val="1"/>
                <w:color w:val="auto"/>
              </w:rPr>
            </w:pPr>
          </w:p>
        </w:tc>
      </w:tr>
      <w:tr>
        <w:trPr>
          <w:trHeight w:val="279"/>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Granted:</w:t>
            </w:r>
          </w:p>
        </w:tc>
        <w:tc>
          <w:tcPr>
            <w:tcW w:w="8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Date of Grant:</w:t>
            </w: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March 1, 2025</w:t>
            </w:r>
          </w:p>
        </w:tc>
        <w:tc>
          <w:tcPr>
            <w:tcW w:w="0" w:type="dxa"/>
            <w:vAlign w:val="bottom"/>
          </w:tcPr>
          <w:p>
            <w:pPr>
              <w:spacing w:after="0"/>
              <w:rPr>
                <w:sz w:val="1"/>
                <w:szCs w:val="1"/>
                <w:color w:val="auto"/>
              </w:rPr>
            </w:pPr>
          </w:p>
        </w:tc>
      </w:tr>
      <w:tr>
        <w:trPr>
          <w:trHeight w:val="47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Payment/Settlement</w:t>
            </w: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Fully vested Restricted Stock Units will be settled by the payment of shares of Common</w:t>
            </w:r>
          </w:p>
        </w:tc>
        <w:tc>
          <w:tcPr>
            <w:tcW w:w="0" w:type="dxa"/>
            <w:vAlign w:val="bottom"/>
          </w:tcPr>
          <w:p>
            <w:pPr>
              <w:spacing w:after="0"/>
              <w:rPr>
                <w:sz w:val="1"/>
                <w:szCs w:val="1"/>
                <w:color w:val="auto"/>
              </w:rPr>
            </w:pPr>
          </w:p>
        </w:tc>
      </w:tr>
      <w:tr>
        <w:trPr>
          <w:trHeight w:val="214"/>
        </w:trPr>
        <w:tc>
          <w:tcPr>
            <w:tcW w:w="244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Dates:</w:t>
            </w: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Stock within 10 business days after the date on which the Committee has made the</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certification required under Section 6(i)(iii) of the Plan with respect to the performance</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goals applicable to such Restricted Stock Units (which in any event will be no later than</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March 15 of the calendar year following the calendar year in which the Performance</w:t>
            </w:r>
          </w:p>
        </w:tc>
        <w:tc>
          <w:tcPr>
            <w:tcW w:w="0" w:type="dxa"/>
            <w:vAlign w:val="bottom"/>
          </w:tcPr>
          <w:p>
            <w:pPr>
              <w:spacing w:after="0"/>
              <w:rPr>
                <w:sz w:val="1"/>
                <w:szCs w:val="1"/>
                <w:color w:val="auto"/>
              </w:rPr>
            </w:pPr>
          </w:p>
        </w:tc>
      </w:tr>
      <w:tr>
        <w:trPr>
          <w:trHeight w:val="279"/>
        </w:trPr>
        <w:tc>
          <w:tcPr>
            <w:tcW w:w="2440" w:type="dxa"/>
            <w:vAlign w:val="bottom"/>
          </w:tcPr>
          <w:p>
            <w:pPr>
              <w:spacing w:after="0"/>
              <w:rPr>
                <w:sz w:val="24"/>
                <w:szCs w:val="24"/>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Period ends).</w:t>
            </w:r>
          </w:p>
        </w:tc>
        <w:tc>
          <w:tcPr>
            <w:tcW w:w="0" w:type="dxa"/>
            <w:vAlign w:val="bottom"/>
          </w:tcPr>
          <w:p>
            <w:pPr>
              <w:spacing w:after="0"/>
              <w:rPr>
                <w:sz w:val="1"/>
                <w:szCs w:val="1"/>
                <w:color w:val="auto"/>
              </w:rPr>
            </w:pPr>
          </w:p>
        </w:tc>
      </w:tr>
      <w:tr>
        <w:trPr>
          <w:trHeight w:val="535"/>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Performance Period:</w:t>
            </w: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January 1, 2025 through December 31, 2027</w:t>
            </w:r>
          </w:p>
        </w:tc>
        <w:tc>
          <w:tcPr>
            <w:tcW w:w="0" w:type="dxa"/>
            <w:vAlign w:val="bottom"/>
          </w:tcPr>
          <w:p>
            <w:pPr>
              <w:spacing w:after="0"/>
              <w:rPr>
                <w:sz w:val="1"/>
                <w:szCs w:val="1"/>
                <w:color w:val="auto"/>
              </w:rPr>
            </w:pPr>
          </w:p>
        </w:tc>
      </w:tr>
      <w:tr>
        <w:trPr>
          <w:trHeight w:val="47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Performance Vesting</w:t>
            </w: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The actual number of Restricted Stock Units with respect to which Participant will be</w:t>
            </w:r>
          </w:p>
        </w:tc>
        <w:tc>
          <w:tcPr>
            <w:tcW w:w="0" w:type="dxa"/>
            <w:vAlign w:val="bottom"/>
          </w:tcPr>
          <w:p>
            <w:pPr>
              <w:spacing w:after="0"/>
              <w:rPr>
                <w:sz w:val="1"/>
                <w:szCs w:val="1"/>
                <w:color w:val="auto"/>
              </w:rPr>
            </w:pPr>
          </w:p>
        </w:tc>
      </w:tr>
      <w:tr>
        <w:trPr>
          <w:trHeight w:val="214"/>
        </w:trPr>
        <w:tc>
          <w:tcPr>
            <w:tcW w:w="244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Goals and Schedule:</w:t>
            </w: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entitled to receive shares of Common Stock will equal the product of (i) the Target Grant</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Vesting Percentage, multiplied by (ii) the Target Number of Restricted Stock Units</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 xml:space="preserve">Granted, multiplied by (iii) the Absolute TSR Modifier (as defined in </w:t>
            </w:r>
            <w:r>
              <w:rPr>
                <w:rFonts w:ascii="Times New Roman" w:cs="Times New Roman" w:eastAsia="Times New Roman" w:hAnsi="Times New Roman"/>
                <w:sz w:val="21"/>
                <w:szCs w:val="21"/>
                <w:i w:val="1"/>
                <w:iCs w:val="1"/>
                <w:color w:val="auto"/>
              </w:rPr>
              <w:t>Annex I</w:t>
            </w:r>
            <w:r>
              <w:rPr>
                <w:rFonts w:ascii="Times New Roman" w:cs="Times New Roman" w:eastAsia="Times New Roman" w:hAnsi="Times New Roman"/>
                <w:sz w:val="21"/>
                <w:szCs w:val="21"/>
                <w:color w:val="auto"/>
              </w:rPr>
              <w:t xml:space="preserve"> attached</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hereto). The Target Grant Vesting Percentage will be determined based on the attainment</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of (i) Continuous Service through the last day of the Performance Period, and (ii)</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 xml:space="preserve">achieving the Relative Total Stockholder Return Percentile (as defined in </w:t>
            </w:r>
            <w:r>
              <w:rPr>
                <w:rFonts w:ascii="Times New Roman" w:cs="Times New Roman" w:eastAsia="Times New Roman" w:hAnsi="Times New Roman"/>
                <w:sz w:val="21"/>
                <w:szCs w:val="21"/>
                <w:i w:val="1"/>
                <w:iCs w:val="1"/>
                <w:color w:val="auto"/>
              </w:rPr>
              <w:t>Annex I</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8160" w:type="dxa"/>
            <w:vAlign w:val="bottom"/>
          </w:tcPr>
          <w:p>
            <w:pPr>
              <w:ind w:left="520"/>
              <w:spacing w:after="0" w:line="214" w:lineRule="exact"/>
              <w:rPr>
                <w:sz w:val="20"/>
                <w:szCs w:val="20"/>
                <w:color w:val="auto"/>
              </w:rPr>
            </w:pPr>
            <w:r>
              <w:rPr>
                <w:rFonts w:ascii="Times New Roman" w:cs="Times New Roman" w:eastAsia="Times New Roman" w:hAnsi="Times New Roman"/>
                <w:sz w:val="21"/>
                <w:szCs w:val="21"/>
                <w:color w:val="auto"/>
              </w:rPr>
              <w:t>attached hereto) and Company’s Absolute Total Stockholder Return performance goals</w:t>
            </w:r>
          </w:p>
        </w:tc>
        <w:tc>
          <w:tcPr>
            <w:tcW w:w="0" w:type="dxa"/>
            <w:vAlign w:val="bottom"/>
          </w:tcPr>
          <w:p>
            <w:pPr>
              <w:spacing w:after="0"/>
              <w:rPr>
                <w:sz w:val="1"/>
                <w:szCs w:val="1"/>
                <w:color w:val="auto"/>
              </w:rPr>
            </w:pPr>
          </w:p>
        </w:tc>
      </w:tr>
      <w:tr>
        <w:trPr>
          <w:trHeight w:val="279"/>
        </w:trPr>
        <w:tc>
          <w:tcPr>
            <w:tcW w:w="2440" w:type="dxa"/>
            <w:vAlign w:val="bottom"/>
          </w:tcPr>
          <w:p>
            <w:pPr>
              <w:spacing w:after="0"/>
              <w:rPr>
                <w:sz w:val="24"/>
                <w:szCs w:val="24"/>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set forth below: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Viper Energy, Inc. Restricted Stock Unit Award Certificate</w:t>
      </w:r>
    </w:p>
    <w:p>
      <w:pPr>
        <w:sectPr>
          <w:pgSz w:w="11900" w:h="16838" w:orient="portrait"/>
          <w:cols w:equalWidth="0" w:num="1">
            <w:col w:w="11260"/>
          </w:cols>
          <w:pgMar w:left="320" w:top="1440" w:right="319" w:bottom="1440" w:gutter="0" w:footer="0" w:header="0"/>
        </w:sectPr>
      </w:pPr>
    </w:p>
    <w:bookmarkStart w:id="161" w:name="page162"/>
    <w:bookmarkEnd w:id="161"/>
    <w:p>
      <w:pPr>
        <w:spacing w:after="0" w:line="61"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21"/>
          <w:szCs w:val="21"/>
          <w:b w:val="1"/>
          <w:bCs w:val="1"/>
          <w:color w:val="auto"/>
        </w:rPr>
        <w:t>Relative Total Stockholder Return</w:t>
      </w:r>
    </w:p>
    <w:p>
      <w:pPr>
        <w:spacing w:after="0" w:line="41"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21"/>
          <w:szCs w:val="21"/>
          <w:b w:val="1"/>
          <w:bCs w:val="1"/>
          <w:color w:val="auto"/>
        </w:rPr>
        <w:t>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19050</wp:posOffset>
            </wp:positionV>
            <wp:extent cx="2822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spacing w:after="0" w:line="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1"/>
          <w:szCs w:val="21"/>
          <w:color w:val="auto"/>
        </w:rPr>
        <w:t>Below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of Peer Group</w:t>
      </w:r>
    </w:p>
    <w:p>
      <w:pPr>
        <w:spacing w:after="0" w:line="265" w:lineRule="exact"/>
        <w:rPr>
          <w:sz w:val="20"/>
          <w:szCs w:val="20"/>
          <w:color w:val="auto"/>
        </w:rPr>
      </w:pPr>
    </w:p>
    <w:p>
      <w:pPr>
        <w:ind w:left="1420" w:right="1000"/>
        <w:spacing w:after="0" w:line="241" w:lineRule="auto"/>
        <w:rPr>
          <w:sz w:val="20"/>
          <w:szCs w:val="20"/>
          <w:color w:val="auto"/>
        </w:rPr>
      </w:pPr>
      <w:r>
        <w:rPr>
          <w:rFonts w:ascii="Times New Roman" w:cs="Times New Roman" w:eastAsia="Times New Roman" w:hAnsi="Times New Roman"/>
          <w:sz w:val="21"/>
          <w:szCs w:val="21"/>
          <w:color w:val="auto"/>
        </w:rPr>
        <w:t>Between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of Peer Group and up to but less than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p>
      <w:pPr>
        <w:spacing w:after="0" w:line="20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21"/>
          <w:szCs w:val="21"/>
          <w:color w:val="auto"/>
        </w:rPr>
        <w:t>At or above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of Peer Group</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21"/>
          <w:szCs w:val="21"/>
          <w:b w:val="1"/>
          <w:bCs w:val="1"/>
          <w:color w:val="auto"/>
        </w:rPr>
        <w:t>Target Grant Vesting</w:t>
      </w:r>
    </w:p>
    <w:p>
      <w:pPr>
        <w:spacing w:after="0" w:line="14"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21"/>
          <w:szCs w:val="21"/>
          <w:b w:val="1"/>
          <w:bCs w:val="1"/>
          <w:color w:val="auto"/>
        </w:rPr>
        <w:t>Percentage</w:t>
      </w:r>
      <w:r>
        <w:rPr>
          <w:rFonts w:ascii="Times New Roman" w:cs="Times New Roman" w:eastAsia="Times New Roman" w:hAnsi="Times New Roman"/>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8890</wp:posOffset>
            </wp:positionV>
            <wp:extent cx="25165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0% of Target</w:t>
      </w:r>
    </w:p>
    <w:p>
      <w:pPr>
        <w:spacing w:after="0" w:line="333"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21"/>
          <w:szCs w:val="21"/>
          <w:color w:val="auto"/>
        </w:rPr>
        <w:t>Straight line interpolation</w:t>
      </w:r>
    </w:p>
    <w:p>
      <w:pPr>
        <w:spacing w:after="0" w:line="37"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21"/>
          <w:szCs w:val="21"/>
          <w:color w:val="auto"/>
        </w:rPr>
        <w:t>between 50% and 150% of Target</w:t>
      </w:r>
    </w:p>
    <w:p>
      <w:pPr>
        <w:spacing w:after="0" w:line="3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200% of Target</w:t>
      </w:r>
    </w:p>
    <w:p>
      <w:pPr>
        <w:spacing w:after="0" w:line="263" w:lineRule="exact"/>
        <w:rPr>
          <w:sz w:val="20"/>
          <w:szCs w:val="20"/>
          <w:color w:val="auto"/>
        </w:rPr>
      </w:pPr>
    </w:p>
    <w:p>
      <w:pPr>
        <w:sectPr>
          <w:pgSz w:w="11900" w:h="16838" w:orient="portrait"/>
          <w:cols w:equalWidth="0" w:num="2">
            <w:col w:w="5720" w:space="720"/>
            <w:col w:w="4800"/>
          </w:cols>
          <w:pgMar w:left="320" w:top="1440" w:right="339" w:bottom="1440" w:gutter="0" w:footer="0" w:header="0"/>
        </w:sectPr>
      </w:pPr>
    </w:p>
    <w:p>
      <w:pPr>
        <w:spacing w:after="0" w:line="281" w:lineRule="exact"/>
        <w:rPr>
          <w:sz w:val="20"/>
          <w:szCs w:val="20"/>
          <w:color w:val="auto"/>
        </w:rPr>
      </w:pPr>
    </w:p>
    <w:tbl>
      <w:tblPr>
        <w:tblLayout w:type="fixed"/>
        <w:tblInd w:w="1380" w:type="dxa"/>
        <w:tblCellMar>
          <w:top w:w="0" w:type="dxa"/>
          <w:left w:w="0" w:type="dxa"/>
          <w:bottom w:w="0" w:type="dxa"/>
          <w:right w:w="0" w:type="dxa"/>
        </w:tblCellMar>
      </w:tblPr>
      <w:tr>
        <w:trPr>
          <w:trHeight w:val="254"/>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Company’s Absolute Total</w:t>
            </w:r>
          </w:p>
        </w:tc>
        <w:tc>
          <w:tcPr>
            <w:tcW w:w="3960" w:type="dxa"/>
            <w:vAlign w:val="bottom"/>
          </w:tcPr>
          <w:p>
            <w:pPr>
              <w:spacing w:after="0"/>
              <w:rPr>
                <w:sz w:val="22"/>
                <w:szCs w:val="22"/>
                <w:color w:val="auto"/>
              </w:rPr>
            </w:pPr>
          </w:p>
        </w:tc>
      </w:tr>
      <w:tr>
        <w:trPr>
          <w:trHeight w:val="293"/>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Stockholder Return</w:t>
            </w:r>
          </w:p>
        </w:tc>
        <w:tc>
          <w:tcPr>
            <w:tcW w:w="10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Absolute TSR Modifier</w:t>
            </w:r>
          </w:p>
        </w:tc>
      </w:tr>
      <w:tr>
        <w:trPr>
          <w:trHeight w:val="292"/>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Below 0%</w:t>
            </w:r>
          </w:p>
        </w:tc>
        <w:tc>
          <w:tcPr>
            <w:tcW w:w="39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75%</w:t>
            </w:r>
          </w:p>
        </w:tc>
      </w:tr>
      <w:tr>
        <w:trPr>
          <w:trHeight w:val="576"/>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Between 0% to 15%</w:t>
            </w:r>
          </w:p>
        </w:tc>
        <w:tc>
          <w:tcPr>
            <w:tcW w:w="39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100%</w:t>
            </w:r>
          </w:p>
        </w:tc>
      </w:tr>
      <w:tr>
        <w:trPr>
          <w:trHeight w:val="576"/>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Above 15%</w:t>
            </w:r>
          </w:p>
        </w:tc>
        <w:tc>
          <w:tcPr>
            <w:tcW w:w="39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125%</w:t>
            </w:r>
          </w:p>
        </w:tc>
      </w:tr>
    </w:tbl>
    <w:p>
      <w:pPr>
        <w:spacing w:after="0" w:line="324" w:lineRule="exact"/>
        <w:rPr>
          <w:sz w:val="20"/>
          <w:szCs w:val="20"/>
          <w:color w:val="auto"/>
        </w:rPr>
      </w:pPr>
    </w:p>
    <w:p>
      <w:pPr>
        <w:jc w:val="both"/>
        <w:ind w:firstLine="643"/>
        <w:spacing w:after="0" w:line="262" w:lineRule="auto"/>
        <w:rPr>
          <w:sz w:val="20"/>
          <w:szCs w:val="20"/>
          <w:color w:val="auto"/>
        </w:rPr>
      </w:pPr>
      <w:r>
        <w:rPr>
          <w:rFonts w:ascii="Times New Roman" w:cs="Times New Roman" w:eastAsia="Times New Roman" w:hAnsi="Times New Roman"/>
          <w:sz w:val="21"/>
          <w:szCs w:val="21"/>
          <w:color w:val="auto"/>
        </w:rPr>
        <w:t xml:space="preserve">By your signature and the signature of the Company’s representative below, you and the Company agree to be bound by all of the terms and conditions of the Restricted Stock Unit Award Agreement attached hereto as </w:t>
      </w:r>
      <w:r>
        <w:rPr>
          <w:rFonts w:ascii="Times New Roman" w:cs="Times New Roman" w:eastAsia="Times New Roman" w:hAnsi="Times New Roman"/>
          <w:sz w:val="21"/>
          <w:szCs w:val="21"/>
          <w:i w:val="1"/>
          <w:iCs w:val="1"/>
          <w:color w:val="auto"/>
        </w:rPr>
        <w:t>Annex II</w:t>
      </w:r>
      <w:r>
        <w:rPr>
          <w:rFonts w:ascii="Times New Roman" w:cs="Times New Roman" w:eastAsia="Times New Roman" w:hAnsi="Times New Roman"/>
          <w:sz w:val="21"/>
          <w:szCs w:val="21"/>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72"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383540</wp:posOffset>
            </wp:positionV>
            <wp:extent cx="1700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1700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50"/>
        <w:spacing w:after="0" w:line="213" w:lineRule="auto"/>
        <w:tabs>
          <w:tab w:leader="none" w:pos="748"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but less than the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Certificate</w:t>
      </w:r>
    </w:p>
    <w:p>
      <w:pPr>
        <w:sectPr>
          <w:pgSz w:w="11900" w:h="16838" w:orient="portrait"/>
          <w:cols w:equalWidth="0" w:num="1">
            <w:col w:w="11240"/>
          </w:cols>
          <w:pgMar w:left="320" w:top="1440" w:right="339"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200" w:lineRule="exact"/>
        <w:rPr>
          <w:sz w:val="20"/>
          <w:szCs w:val="20"/>
          <w:color w:val="auto"/>
        </w:rPr>
      </w:pPr>
    </w:p>
    <w:p>
      <w:pPr>
        <w:sectPr>
          <w:pgSz w:w="11900" w:h="16838" w:orient="portrait"/>
          <w:cols w:equalWidth="0" w:num="2">
            <w:col w:w="4560" w:space="720"/>
            <w:col w:w="5940"/>
          </w:cols>
          <w:pgMar w:left="340" w:top="1287"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right="980" w:firstLine="49"/>
        <w:spacing w:after="0" w:line="343" w:lineRule="auto"/>
        <w:rPr>
          <w:sz w:val="20"/>
          <w:szCs w:val="20"/>
          <w:color w:val="auto"/>
        </w:rPr>
      </w:pPr>
      <w:r>
        <w:rPr>
          <w:rFonts w:ascii="Times New Roman" w:cs="Times New Roman" w:eastAsia="Times New Roman" w:hAnsi="Times New Roman"/>
          <w:sz w:val="21"/>
          <w:szCs w:val="21"/>
          <w:color w:val="auto"/>
        </w:rPr>
        <w:t>_________________________________ [Name]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_____________________________________</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Kaes Van’t Hof, Chief Executive Officer</w:t>
      </w:r>
    </w:p>
    <w:p>
      <w:pPr>
        <w:spacing w:after="0" w:line="333" w:lineRule="exact"/>
        <w:rPr>
          <w:sz w:val="20"/>
          <w:szCs w:val="20"/>
          <w:color w:val="auto"/>
        </w:rPr>
      </w:pPr>
    </w:p>
    <w:p>
      <w:pPr>
        <w:sectPr>
          <w:pgSz w:w="11900" w:h="16838" w:orient="portrait"/>
          <w:cols w:equalWidth="0" w:num="2">
            <w:col w:w="4560" w:space="720"/>
            <w:col w:w="5940"/>
          </w:cols>
          <w:pgMar w:left="340" w:top="12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Dated: March __,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Dated: March __, 2025</w:t>
      </w:r>
    </w:p>
    <w:p>
      <w:pPr>
        <w:spacing w:after="0" w:line="200" w:lineRule="exact"/>
        <w:rPr>
          <w:sz w:val="20"/>
          <w:szCs w:val="20"/>
          <w:color w:val="auto"/>
        </w:rPr>
      </w:pPr>
    </w:p>
    <w:p>
      <w:pPr>
        <w:sectPr>
          <w:pgSz w:w="11900" w:h="16838" w:orient="portrait"/>
          <w:cols w:equalWidth="0" w:num="2">
            <w:col w:w="4500" w:space="720"/>
            <w:col w:w="6000"/>
          </w:cols>
          <w:pgMar w:left="340" w:top="1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Viper Energy, Inc. Restricted Stock Unit Award Certificate</w:t>
      </w:r>
    </w:p>
    <w:p>
      <w:pPr>
        <w:sectPr>
          <w:pgSz w:w="11900" w:h="16838" w:orient="portrait"/>
          <w:cols w:equalWidth="0" w:num="1">
            <w:col w:w="11220"/>
          </w:cols>
          <w:pgMar w:left="340" w:top="1287" w:right="339" w:bottom="1440" w:gutter="0" w:footer="0" w:header="0"/>
          <w:type w:val="continuous"/>
        </w:sectPr>
      </w:pPr>
    </w:p>
    <w:bookmarkStart w:id="163" w:name="page164"/>
    <w:bookmarkEnd w:id="163"/>
    <w:p>
      <w:pPr>
        <w:ind w:left="10520"/>
        <w:spacing w:after="0"/>
        <w:rPr>
          <w:sz w:val="20"/>
          <w:szCs w:val="20"/>
          <w:color w:val="auto"/>
        </w:rPr>
      </w:pPr>
      <w:r>
        <w:rPr>
          <w:rFonts w:ascii="Times New Roman" w:cs="Times New Roman" w:eastAsia="Times New Roman" w:hAnsi="Times New Roman"/>
          <w:sz w:val="21"/>
          <w:szCs w:val="21"/>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 of “Relative Total Stockholder Return Percentile”</w:t>
      </w:r>
    </w:p>
    <w:p>
      <w:pPr>
        <w:spacing w:after="0" w:line="252"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color w:val="auto"/>
        </w:rPr>
        <w:t>For purposes of this Performance Award, “</w:t>
      </w:r>
      <w:r>
        <w:rPr>
          <w:rFonts w:ascii="Times New Roman" w:cs="Times New Roman" w:eastAsia="Times New Roman" w:hAnsi="Times New Roman"/>
          <w:sz w:val="21"/>
          <w:szCs w:val="21"/>
          <w:b w:val="1"/>
          <w:bCs w:val="1"/>
          <w:i w:val="1"/>
          <w:iCs w:val="1"/>
          <w:color w:val="auto"/>
        </w:rPr>
        <w:t>Relative Total Stockholder Return Percentile</w:t>
      </w:r>
      <w:r>
        <w:rPr>
          <w:rFonts w:ascii="Times New Roman" w:cs="Times New Roman" w:eastAsia="Times New Roman" w:hAnsi="Times New Roman"/>
          <w:sz w:val="21"/>
          <w:szCs w:val="21"/>
          <w:color w:val="auto"/>
        </w:rPr>
        <w:t>” 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w:t>
      </w:r>
    </w:p>
    <w:p>
      <w:pPr>
        <w:spacing w:after="0" w:line="167"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The Company’s percentile ranking among the Peer Group Total Stockholder Return is calculated by ranking the Company’s Total Stockholder Return as part of the Total Stockholder Return for the Peer Group as a whole.</w:t>
      </w:r>
    </w:p>
    <w:p>
      <w:pPr>
        <w:spacing w:after="0" w:line="147" w:lineRule="exact"/>
        <w:rPr>
          <w:sz w:val="20"/>
          <w:szCs w:val="20"/>
          <w:color w:val="auto"/>
        </w:rPr>
      </w:pPr>
    </w:p>
    <w:p>
      <w:pPr>
        <w:jc w:val="both"/>
        <w:ind w:firstLine="643"/>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Total Stockholder Return</w:t>
      </w:r>
      <w:r>
        <w:rPr>
          <w:rFonts w:ascii="Times New Roman" w:cs="Times New Roman" w:eastAsia="Times New Roman" w:hAnsi="Times New Roman"/>
          <w:sz w:val="21"/>
          <w:szCs w:val="21"/>
          <w:color w:val="auto"/>
        </w:rPr>
        <w:t>” 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Pb = average share price for the month of December 2024;</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Pe = average share price for the month of December 2027,</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Dividends = dividends paid over the Performance Period; and</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TSR = Total Stockholder Return.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Company’s “</w:t>
      </w:r>
      <w:r>
        <w:rPr>
          <w:rFonts w:ascii="Times New Roman" w:cs="Times New Roman" w:eastAsia="Times New Roman" w:hAnsi="Times New Roman"/>
          <w:sz w:val="21"/>
          <w:szCs w:val="21"/>
          <w:b w:val="1"/>
          <w:bCs w:val="1"/>
          <w:i w:val="1"/>
          <w:iCs w:val="1"/>
          <w:color w:val="auto"/>
        </w:rPr>
        <w:t>Peer Group</w:t>
      </w:r>
      <w:r>
        <w:rPr>
          <w:rFonts w:ascii="Times New Roman" w:cs="Times New Roman" w:eastAsia="Times New Roman" w:hAnsi="Times New Roman"/>
          <w:sz w:val="21"/>
          <w:szCs w:val="21"/>
          <w:color w:val="auto"/>
        </w:rPr>
        <w:t>” consists of the following members:</w:t>
      </w:r>
    </w:p>
    <w:p>
      <w:pPr>
        <w:spacing w:after="0" w:line="233" w:lineRule="exact"/>
        <w:rPr>
          <w:sz w:val="20"/>
          <w:szCs w:val="20"/>
          <w:color w:val="auto"/>
        </w:rPr>
      </w:pPr>
    </w:p>
    <w:p>
      <w:pPr>
        <w:jc w:val="both"/>
        <w:ind w:firstLine="650"/>
        <w:spacing w:after="0" w:line="271" w:lineRule="auto"/>
        <w:tabs>
          <w:tab w:leader="none" w:pos="123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following companies: Dorchester Minerals LP (DMLP); Kimbell Royalty Partners LP (KRP); Sitio Royalties Corp (STR); Black Stone Minerals LP (BSM); Texas Pacific Land Corp (TPL); SM Energy Co. (SM); Northern Oil and Gas Inc. (NOG); Civitas Resources Inc. (CIVI); Matador Resources Co. (MTDR);</w:t>
      </w:r>
    </w:p>
    <w:p>
      <w:pPr>
        <w:spacing w:after="0" w:line="172" w:lineRule="exact"/>
        <w:rPr>
          <w:rFonts w:ascii="Times New Roman" w:cs="Times New Roman" w:eastAsia="Times New Roman" w:hAnsi="Times New Roman"/>
          <w:sz w:val="21"/>
          <w:szCs w:val="21"/>
          <w:color w:val="auto"/>
        </w:rPr>
      </w:pPr>
    </w:p>
    <w:p>
      <w:pPr>
        <w:ind w:left="1120" w:hanging="470"/>
        <w:spacing w:after="0"/>
        <w:tabs>
          <w:tab w:leader="none" w:pos="11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SPDR S&amp;P Oil &amp; Gas Exploration &amp; Production ETF Index (XOP); and</w:t>
      </w:r>
    </w:p>
    <w:p>
      <w:pPr>
        <w:spacing w:after="0" w:line="227" w:lineRule="exact"/>
        <w:rPr>
          <w:rFonts w:ascii="Times New Roman" w:cs="Times New Roman" w:eastAsia="Times New Roman" w:hAnsi="Times New Roman"/>
          <w:sz w:val="21"/>
          <w:szCs w:val="21"/>
          <w:color w:val="auto"/>
        </w:rPr>
      </w:pPr>
    </w:p>
    <w:p>
      <w:pPr>
        <w:ind w:left="1100" w:hanging="450"/>
        <w:spacing w:after="0"/>
        <w:tabs>
          <w:tab w:leader="none" w:pos="11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S&amp;P 500 Index (SPX).</w:t>
      </w:r>
    </w:p>
    <w:p>
      <w:pPr>
        <w:spacing w:after="0" w:line="227" w:lineRule="exact"/>
        <w:rPr>
          <w:sz w:val="20"/>
          <w:szCs w:val="20"/>
          <w:color w:val="auto"/>
        </w:rPr>
      </w:pPr>
    </w:p>
    <w:p>
      <w:pPr>
        <w:ind w:firstLine="643"/>
        <w:spacing w:after="0" w:line="290" w:lineRule="auto"/>
        <w:rPr>
          <w:sz w:val="20"/>
          <w:szCs w:val="20"/>
          <w:color w:val="auto"/>
        </w:rPr>
      </w:pPr>
      <w:r>
        <w:rPr>
          <w:rFonts w:ascii="Times New Roman" w:cs="Times New Roman" w:eastAsia="Times New Roman" w:hAnsi="Times New Roman"/>
          <w:sz w:val="21"/>
          <w:szCs w:val="21"/>
          <w:color w:val="auto"/>
        </w:rPr>
        <w:t>If during the Performance Period a member of the Company’s Peer Group publicly announces it has entered into a definitive agreement with respect to an acquisition transaction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ectPr>
          <w:pgSz w:w="11900" w:h="16838" w:orient="portrait"/>
          <w:cols w:equalWidth="0" w:num="1">
            <w:col w:w="11240"/>
          </w:cols>
          <w:pgMar w:left="320" w:top="120" w:right="339" w:bottom="1440" w:gutter="0" w:footer="0" w:header="0"/>
        </w:sectPr>
      </w:pPr>
    </w:p>
    <w:bookmarkStart w:id="164" w:name="page165"/>
    <w:bookmarkEnd w:id="164"/>
    <w:p>
      <w:pPr>
        <w:jc w:val="both"/>
        <w:spacing w:after="0" w:line="265" w:lineRule="auto"/>
        <w:rPr>
          <w:sz w:val="20"/>
          <w:szCs w:val="20"/>
          <w:color w:val="auto"/>
        </w:rPr>
      </w:pPr>
      <w:r>
        <w:rPr>
          <w:rFonts w:ascii="Times New Roman" w:cs="Times New Roman" w:eastAsia="Times New Roman" w:hAnsi="Times New Roman"/>
          <w:sz w:val="21"/>
          <w:szCs w:val="21"/>
          <w:color w:val="auto"/>
        </w:rPr>
        <w:t>and subsequent to the consummation of such transaction such peer ceases to be a publicly traded company, then (subject to the Committee’s right as administrator of the Plan to exercise discretion to make any appropriate further adjustments taking into account all relevant information at the time) the Total Stockholder Return for such peer shall be calculated such that “Pe” in the formula above shall equal the closing share price for such peer on the date such peer first publicly announces such transaction (or the date immediately following such date if such transaction is announced after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 of “Absolute TSR Modifier”</w:t>
      </w:r>
    </w:p>
    <w:p>
      <w:pPr>
        <w:spacing w:after="0" w:line="225" w:lineRule="exact"/>
        <w:rPr>
          <w:sz w:val="20"/>
          <w:szCs w:val="20"/>
          <w:color w:val="auto"/>
        </w:rPr>
      </w:pPr>
    </w:p>
    <w:p>
      <w:pPr>
        <w:jc w:val="both"/>
        <w:ind w:firstLine="643"/>
        <w:spacing w:after="0" w:line="281" w:lineRule="auto"/>
        <w:rPr>
          <w:sz w:val="20"/>
          <w:szCs w:val="20"/>
          <w:color w:val="auto"/>
        </w:rPr>
      </w:pPr>
      <w:r>
        <w:rPr>
          <w:rFonts w:ascii="Times New Roman" w:cs="Times New Roman" w:eastAsia="Times New Roman" w:hAnsi="Times New Roman"/>
          <w:sz w:val="21"/>
          <w:szCs w:val="21"/>
          <w:color w:val="auto"/>
        </w:rPr>
        <w:t>For purposes of this Performance Award, “</w:t>
      </w:r>
      <w:r>
        <w:rPr>
          <w:rFonts w:ascii="Times New Roman" w:cs="Times New Roman" w:eastAsia="Times New Roman" w:hAnsi="Times New Roman"/>
          <w:sz w:val="21"/>
          <w:szCs w:val="21"/>
          <w:b w:val="1"/>
          <w:bCs w:val="1"/>
          <w:i w:val="1"/>
          <w:iCs w:val="1"/>
          <w:color w:val="auto"/>
        </w:rPr>
        <w:t>Absolute TSR Modifier</w:t>
      </w:r>
      <w:r>
        <w:rPr>
          <w:rFonts w:ascii="Times New Roman" w:cs="Times New Roman" w:eastAsia="Times New Roman" w:hAnsi="Times New Roman"/>
          <w:sz w:val="21"/>
          <w:szCs w:val="21"/>
          <w:color w:val="auto"/>
        </w:rPr>
        <w:t>” means the percentage determined for the Performance Period as specified in the schedule set forth above based on the Company’s absolute Total Stockholder Return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w:t>
      </w:r>
    </w:p>
    <w:p>
      <w:pPr>
        <w:sectPr>
          <w:pgSz w:w="11900" w:h="16838" w:orient="portrait"/>
          <w:cols w:equalWidth="0" w:num="1">
            <w:col w:w="11240"/>
          </w:cols>
          <w:pgMar w:left="320" w:top="1411" w:right="339" w:bottom="1440" w:gutter="0" w:footer="0" w:header="0"/>
        </w:sectPr>
      </w:pPr>
    </w:p>
    <w:bookmarkStart w:id="165" w:name="page166"/>
    <w:bookmarkEnd w:id="165"/>
    <w:p>
      <w:pPr>
        <w:ind w:left="10440"/>
        <w:spacing w:after="0"/>
        <w:rPr>
          <w:sz w:val="20"/>
          <w:szCs w:val="20"/>
          <w:color w:val="auto"/>
        </w:rPr>
      </w:pPr>
      <w:r>
        <w:rPr>
          <w:rFonts w:ascii="Times New Roman" w:cs="Times New Roman" w:eastAsia="Times New Roman" w:hAnsi="Times New Roman"/>
          <w:sz w:val="21"/>
          <w:szCs w:val="21"/>
          <w:b w:val="1"/>
          <w:bCs w:val="1"/>
          <w:i w:val="1"/>
          <w:iCs w:val="1"/>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VIPER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2024 AMENDED AND RESTATED LONG TERM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11" w:lineRule="exact"/>
        <w:rPr>
          <w:sz w:val="20"/>
          <w:szCs w:val="20"/>
          <w:color w:val="auto"/>
        </w:rPr>
      </w:pPr>
    </w:p>
    <w:p>
      <w:pPr>
        <w:jc w:val="both"/>
        <w:ind w:firstLine="643"/>
        <w:spacing w:after="0" w:line="274"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and entered into on the execution date of the Restricted Stock Unit Award Certificate to which it is attached (the “</w:t>
      </w:r>
      <w:r>
        <w:rPr>
          <w:rFonts w:ascii="Times New Roman" w:cs="Times New Roman" w:eastAsia="Times New Roman" w:hAnsi="Times New Roman"/>
          <w:sz w:val="21"/>
          <w:szCs w:val="21"/>
          <w:b w:val="1"/>
          <w:bCs w:val="1"/>
          <w:i w:val="1"/>
          <w:iCs w:val="1"/>
          <w:color w:val="auto"/>
        </w:rPr>
        <w:t>Certificate</w:t>
      </w:r>
      <w:r>
        <w:rPr>
          <w:rFonts w:ascii="Times New Roman" w:cs="Times New Roman" w:eastAsia="Times New Roman" w:hAnsi="Times New Roman"/>
          <w:sz w:val="21"/>
          <w:szCs w:val="21"/>
          <w:color w:val="auto"/>
        </w:rPr>
        <w:t>”), by and between Viper Energy,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and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named in the Certificate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color w:val="auto"/>
        </w:rPr>
        <w:t>The Company is the successor to Viper Energy Partners LP (the “</w:t>
      </w:r>
      <w:r>
        <w:rPr>
          <w:rFonts w:ascii="Times New Roman" w:cs="Times New Roman" w:eastAsia="Times New Roman" w:hAnsi="Times New Roman"/>
          <w:sz w:val="21"/>
          <w:szCs w:val="21"/>
          <w:b w:val="1"/>
          <w:bCs w:val="1"/>
          <w:i w:val="1"/>
          <w:iCs w:val="1"/>
          <w:color w:val="auto"/>
        </w:rPr>
        <w:t>Partnership</w:t>
      </w:r>
      <w:r>
        <w:rPr>
          <w:rFonts w:ascii="Times New Roman" w:cs="Times New Roman" w:eastAsia="Times New Roman" w:hAnsi="Times New Roman"/>
          <w:sz w:val="21"/>
          <w:szCs w:val="21"/>
          <w:color w:val="auto"/>
        </w:rPr>
        <w:t>”) pursuant to its conversion from a Delaware limited partnership into a Delaware corporation completed on November 13, 2023 (the “</w:t>
      </w:r>
      <w:r>
        <w:rPr>
          <w:rFonts w:ascii="Times New Roman" w:cs="Times New Roman" w:eastAsia="Times New Roman" w:hAnsi="Times New Roman"/>
          <w:sz w:val="21"/>
          <w:szCs w:val="21"/>
          <w:b w:val="1"/>
          <w:bCs w:val="1"/>
          <w:i w:val="1"/>
          <w:iCs w:val="1"/>
          <w:color w:val="auto"/>
        </w:rPr>
        <w:t>Conversion</w:t>
      </w:r>
      <w:r>
        <w:rPr>
          <w:rFonts w:ascii="Times New Roman" w:cs="Times New Roman" w:eastAsia="Times New Roman" w:hAnsi="Times New Roman"/>
          <w:sz w:val="21"/>
          <w:szCs w:val="21"/>
          <w:color w:val="auto"/>
        </w:rPr>
        <w:t>”), which Conversion, together with the transactions contemplated thereby, including the amendment and restatement of the Partnership’s 2014 Long Term Incentive Plan (in effect immediately prior to the Conversion) to reflect the effects of the Conversion, was approved by the Board of Directors of the general partner of the Partnership prior to and in connection with the Conversion.</w:t>
      </w:r>
    </w:p>
    <w:p>
      <w:pPr>
        <w:spacing w:after="0" w:line="161" w:lineRule="exact"/>
        <w:rPr>
          <w:sz w:val="20"/>
          <w:szCs w:val="20"/>
          <w:color w:val="auto"/>
        </w:rPr>
      </w:pPr>
    </w:p>
    <w:p>
      <w:pPr>
        <w:jc w:val="both"/>
        <w:ind w:firstLine="643"/>
        <w:spacing w:after="0" w:line="264" w:lineRule="auto"/>
        <w:rPr>
          <w:sz w:val="20"/>
          <w:szCs w:val="20"/>
          <w:color w:val="auto"/>
        </w:rPr>
      </w:pPr>
      <w:r>
        <w:rPr>
          <w:rFonts w:ascii="Times New Roman" w:cs="Times New Roman" w:eastAsia="Times New Roman" w:hAnsi="Times New Roman"/>
          <w:sz w:val="21"/>
          <w:szCs w:val="21"/>
          <w:color w:val="auto"/>
        </w:rPr>
        <w:t>The Company, acting through its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approved, adopted and ratified the Viper Energy, Inc. Amended and Restated 2014 Long Term Incentive Plan, (the “</w:t>
      </w:r>
      <w:r>
        <w:rPr>
          <w:rFonts w:ascii="Times New Roman" w:cs="Times New Roman" w:eastAsia="Times New Roman" w:hAnsi="Times New Roman"/>
          <w:sz w:val="21"/>
          <w:szCs w:val="21"/>
          <w:b w:val="1"/>
          <w:bCs w:val="1"/>
          <w:i w:val="1"/>
          <w:iCs w:val="1"/>
          <w:color w:val="auto"/>
        </w:rPr>
        <w:t>Prior Plan</w:t>
      </w:r>
      <w:r>
        <w:rPr>
          <w:rFonts w:ascii="Times New Roman" w:cs="Times New Roman" w:eastAsia="Times New Roman" w:hAnsi="Times New Roman"/>
          <w:sz w:val="21"/>
          <w:szCs w:val="21"/>
          <w:color w:val="auto"/>
        </w:rPr>
        <w:t>”), and the Prior Plan was amended and restated by the 2024 Amended and Restated Long Term Incentive Plan, which was adopted by the Board on April 19, 2024 and approved by the Company’s stockholders at the Company’s 2024 annual stockholders meeting on June 4, 2024 (such plan, as it may be further amended or restated,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The purpose of the Plan is to, among other things, attract, retain and motivate certain directors, employees and officers of the Company and its Affiliates (collectively, the “</w:t>
      </w:r>
      <w:r>
        <w:rPr>
          <w:rFonts w:ascii="Times New Roman" w:cs="Times New Roman" w:eastAsia="Times New Roman" w:hAnsi="Times New Roman"/>
          <w:sz w:val="21"/>
          <w:szCs w:val="21"/>
          <w:b w:val="1"/>
          <w:bCs w:val="1"/>
          <w:i w:val="1"/>
          <w:iCs w:val="1"/>
          <w:color w:val="auto"/>
        </w:rPr>
        <w:t>Viper Entities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21"/>
          <w:szCs w:val="21"/>
          <w:color w:val="auto"/>
        </w:rPr>
        <w:t>Pursuant to the Plan, the Committee has authorized the grant to Participant of the number of Restricted Stock Units set forth in the Certificate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48"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in consideration of the premises and the benefits to be derived from the mutual observance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0"/>
        <w:spacing w:after="0" w:line="270" w:lineRule="auto"/>
        <w:tabs>
          <w:tab w:leader="none" w:pos="1098" w:val="left"/>
        </w:tabs>
        <w:numPr>
          <w:ilvl w:val="0"/>
          <w:numId w:val="9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Basis for Award</w:t>
      </w:r>
      <w:r>
        <w:rPr>
          <w:rFonts w:ascii="Times New Roman" w:cs="Times New Roman" w:eastAsia="Times New Roman" w:hAnsi="Times New Roman"/>
          <w:sz w:val="21"/>
          <w:szCs w:val="21"/>
          <w:color w:val="auto"/>
        </w:rPr>
        <w:t>. This Award is made pursuant to Section 6(d) of the Plan for valid consideration provided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8" w:lineRule="exact"/>
        <w:rPr>
          <w:rFonts w:ascii="Times New Roman" w:cs="Times New Roman" w:eastAsia="Times New Roman" w:hAnsi="Times New Roman"/>
          <w:sz w:val="21"/>
          <w:szCs w:val="21"/>
          <w:b w:val="1"/>
          <w:bCs w:val="1"/>
          <w:color w:val="010000"/>
        </w:rPr>
      </w:pPr>
    </w:p>
    <w:p>
      <w:pPr>
        <w:ind w:left="1020" w:hanging="370"/>
        <w:spacing w:after="0"/>
        <w:tabs>
          <w:tab w:leader="none" w:pos="1020" w:val="left"/>
        </w:tabs>
        <w:numPr>
          <w:ilvl w:val="0"/>
          <w:numId w:val="9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Restricted Stock Units Awarded</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2.1 </w:t>
      </w:r>
      <w:r>
        <w:rPr>
          <w:rFonts w:ascii="Times New Roman" w:cs="Times New Roman" w:eastAsia="Times New Roman" w:hAnsi="Times New Roman"/>
          <w:sz w:val="21"/>
          <w:szCs w:val="21"/>
          <w:color w:val="000000"/>
        </w:rPr>
        <w:t>The Company hereby grants to Participant the target number of Restricted Stock Units set forth in the Certificate.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Each Restricted Stock Unit represents a right to receive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ectPr>
          <w:pgSz w:w="11900" w:h="16838" w:orient="portrait"/>
          <w:cols w:equalWidth="0" w:num="1">
            <w:col w:w="11240"/>
          </w:cols>
          <w:pgMar w:left="320" w:top="120" w:right="339" w:bottom="1440" w:gutter="0" w:footer="0" w:header="0"/>
        </w:sectPr>
      </w:pPr>
    </w:p>
    <w:bookmarkStart w:id="166" w:name="page167"/>
    <w:bookmarkEnd w:id="166"/>
    <w:p>
      <w:pPr>
        <w:jc w:val="both"/>
        <w:spacing w:after="0" w:line="265" w:lineRule="auto"/>
        <w:rPr>
          <w:sz w:val="20"/>
          <w:szCs w:val="20"/>
          <w:color w:val="auto"/>
        </w:rPr>
      </w:pPr>
      <w:r>
        <w:rPr>
          <w:rFonts w:ascii="Times New Roman" w:cs="Times New Roman" w:eastAsia="Times New Roman" w:hAnsi="Times New Roman"/>
          <w:sz w:val="21"/>
          <w:szCs w:val="21"/>
          <w:color w:val="auto"/>
        </w:rPr>
        <w:t>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spacing w:after="0" w:line="160"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color w:val="000000"/>
        </w:rPr>
        <w:t>The Company will, in accordance with the Plan, establish and maintain an account (the “</w:t>
      </w:r>
      <w:r>
        <w:rPr>
          <w:rFonts w:ascii="Times New Roman" w:cs="Times New Roman" w:eastAsia="Times New Roman" w:hAnsi="Times New Roman"/>
          <w:sz w:val="21"/>
          <w:szCs w:val="21"/>
          <w:b w:val="1"/>
          <w:bCs w:val="1"/>
          <w:i w:val="1"/>
          <w:iCs w:val="1"/>
          <w:color w:val="000000"/>
        </w:rPr>
        <w:t>Restricted Stock Unit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b w:val="1"/>
          <w:bCs w:val="1"/>
          <w:i w:val="1"/>
          <w:iCs w:val="1"/>
          <w:color w:val="000000"/>
        </w:rPr>
        <w:t>Account</w:t>
      </w:r>
      <w:r>
        <w:rPr>
          <w:rFonts w:ascii="Times New Roman" w:cs="Times New Roman" w:eastAsia="Times New Roman" w:hAnsi="Times New Roman"/>
          <w:sz w:val="21"/>
          <w:szCs w:val="21"/>
          <w:color w:val="000000"/>
        </w:rPr>
        <w:t>”) for Participant, and will credit such account for the target number of Restricted Stock Units granted to Participant and</w:t>
      </w:r>
      <w:r>
        <w:rPr>
          <w:rFonts w:ascii="Times New Roman" w:cs="Times New Roman" w:eastAsia="Times New Roman" w:hAnsi="Times New Roman"/>
          <w:sz w:val="21"/>
          <w:szCs w:val="21"/>
          <w:b w:val="1"/>
          <w:bCs w:val="1"/>
          <w:i w:val="1"/>
          <w:iCs w:val="1"/>
          <w:color w:val="000000"/>
        </w:rPr>
        <w:t xml:space="preserve"> </w:t>
      </w:r>
      <w:r>
        <w:rPr>
          <w:rFonts w:ascii="Times New Roman" w:cs="Times New Roman" w:eastAsia="Times New Roman" w:hAnsi="Times New Roman"/>
          <w:sz w:val="21"/>
          <w:szCs w:val="21"/>
          <w:color w:val="000000"/>
        </w:rPr>
        <w:t>any Dividend Equivalents as provided in Section 4 below. On any given date, the value of each Restricted Stock Unit will equal the Fair Market Value on such date of one share of Common Stock.</w:t>
      </w:r>
    </w:p>
    <w:p>
      <w:pPr>
        <w:spacing w:after="0" w:line="157" w:lineRule="exact"/>
        <w:rPr>
          <w:sz w:val="20"/>
          <w:szCs w:val="20"/>
          <w:color w:val="auto"/>
        </w:rPr>
      </w:pPr>
    </w:p>
    <w:p>
      <w:pPr>
        <w:ind w:left="1020" w:hanging="370"/>
        <w:spacing w:after="0"/>
        <w:tabs>
          <w:tab w:leader="none" w:pos="1020" w:val="left"/>
        </w:tabs>
        <w:numPr>
          <w:ilvl w:val="0"/>
          <w:numId w:val="92"/>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color w:val="000000"/>
        </w:rPr>
        <w:t>The Restricted Stock Units will vest based on the Target Grant Vesting Percentage as adjusted by the Absolute TSR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Modifier, in each case, as determined under the Performance Vesting Goals and Schedules set forth in the Certificate. Except as otherwise provided in a severance plan participation agreement between the Participant and the Company or an Affiliate (a “</w:t>
      </w:r>
      <w:r>
        <w:rPr>
          <w:rFonts w:ascii="Times New Roman" w:cs="Times New Roman" w:eastAsia="Times New Roman" w:hAnsi="Times New Roman"/>
          <w:sz w:val="21"/>
          <w:szCs w:val="21"/>
          <w:b w:val="1"/>
          <w:bCs w:val="1"/>
          <w:i w:val="1"/>
          <w:iCs w:val="1"/>
          <w:color w:val="000000"/>
        </w:rPr>
        <w:t>Severance Agreement</w:t>
      </w:r>
      <w:r>
        <w:rPr>
          <w:rFonts w:ascii="Times New Roman" w:cs="Times New Roman" w:eastAsia="Times New Roman" w:hAnsi="Times New Roman"/>
          <w:sz w:val="21"/>
          <w:szCs w:val="21"/>
          <w:color w:val="000000"/>
        </w:rPr>
        <w:t>”)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70"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color w:val="000000"/>
        </w:rPr>
        <w:t>Except as otherwise provided in a Severance Agreement, in the event of a termination of Participant’s Continuous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Service (as defined below) (a) by the Company or an Affiliate other than for Cause (as defined below) (and not as a result of Participant’s death or Disability (as defined below)) or (b) Participant’s resignation for Good Reason (as defined in the Diamondback Energy, Inc. (“</w:t>
      </w:r>
      <w:r>
        <w:rPr>
          <w:rFonts w:ascii="Times New Roman" w:cs="Times New Roman" w:eastAsia="Times New Roman" w:hAnsi="Times New Roman"/>
          <w:sz w:val="21"/>
          <w:szCs w:val="21"/>
          <w:b w:val="1"/>
          <w:bCs w:val="1"/>
          <w:i w:val="1"/>
          <w:iCs w:val="1"/>
          <w:color w:val="000000"/>
        </w:rPr>
        <w:t>Diamondback</w:t>
      </w:r>
      <w:r>
        <w:rPr>
          <w:rFonts w:ascii="Times New Roman" w:cs="Times New Roman" w:eastAsia="Times New Roman" w:hAnsi="Times New Roman"/>
          <w:sz w:val="21"/>
          <w:szCs w:val="21"/>
          <w:color w:val="000000"/>
        </w:rPr>
        <w:t>”) Amended and Restated Senior Management Severance Plan, as may be further amended or otherwise modified from time to time), in either case, upon the consummation of or within 24 months after the occurrence of a Change of Control, (an “</w:t>
      </w:r>
      <w:r>
        <w:rPr>
          <w:rFonts w:ascii="Times New Roman" w:cs="Times New Roman" w:eastAsia="Times New Roman" w:hAnsi="Times New Roman"/>
          <w:sz w:val="21"/>
          <w:szCs w:val="21"/>
          <w:b w:val="1"/>
          <w:bCs w:val="1"/>
          <w:i w:val="1"/>
          <w:iCs w:val="1"/>
          <w:color w:val="000000"/>
        </w:rPr>
        <w:t>Acceleration Event</w:t>
      </w:r>
      <w:r>
        <w:rPr>
          <w:rFonts w:ascii="Times New Roman" w:cs="Times New Roman" w:eastAsia="Times New Roman" w:hAnsi="Times New Roman"/>
          <w:sz w:val="21"/>
          <w:szCs w:val="21"/>
          <w:color w:val="000000"/>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of Control is consummated (the “</w:t>
      </w:r>
      <w:r>
        <w:rPr>
          <w:rFonts w:ascii="Times New Roman" w:cs="Times New Roman" w:eastAsia="Times New Roman" w:hAnsi="Times New Roman"/>
          <w:sz w:val="21"/>
          <w:szCs w:val="21"/>
          <w:b w:val="1"/>
          <w:bCs w:val="1"/>
          <w:i w:val="1"/>
          <w:iCs w:val="1"/>
          <w:color w:val="000000"/>
        </w:rPr>
        <w:t>Accelerated Performance Period</w:t>
      </w:r>
      <w:r>
        <w:rPr>
          <w:rFonts w:ascii="Times New Roman" w:cs="Times New Roman" w:eastAsia="Times New Roman" w:hAnsi="Times New Roman"/>
          <w:sz w:val="21"/>
          <w:szCs w:val="21"/>
          <w:color w:val="000000"/>
        </w:rPr>
        <w:t>”).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w:t>
      </w:r>
    </w:p>
    <w:p>
      <w:pPr>
        <w:sectPr>
          <w:pgSz w:w="11900" w:h="16838" w:orient="portrait"/>
          <w:cols w:equalWidth="0" w:num="1">
            <w:col w:w="11240"/>
          </w:cols>
          <w:pgMar w:left="320" w:top="1411" w:right="339" w:bottom="1440" w:gutter="0" w:footer="0" w:header="0"/>
        </w:sectPr>
      </w:pPr>
    </w:p>
    <w:bookmarkStart w:id="167" w:name="page168"/>
    <w:bookmarkEnd w:id="167"/>
    <w:p>
      <w:pPr>
        <w:jc w:val="both"/>
        <w:spacing w:after="0" w:line="290" w:lineRule="auto"/>
        <w:rPr>
          <w:sz w:val="20"/>
          <w:szCs w:val="20"/>
          <w:color w:val="auto"/>
        </w:rPr>
      </w:pPr>
      <w:r>
        <w:rPr>
          <w:rFonts w:ascii="Times New Roman" w:cs="Times New Roman" w:eastAsia="Times New Roman" w:hAnsi="Times New Roman"/>
          <w:sz w:val="21"/>
          <w:szCs w:val="21"/>
          <w:color w:val="auto"/>
        </w:rPr>
        <w:t>including any unpaid Dividend Equivalents credited to the Restricted Stock Unit Account, will vest immediately upon the occurrence of such Acceleration Event.</w:t>
      </w:r>
    </w:p>
    <w:p>
      <w:pPr>
        <w:spacing w:after="0" w:line="139" w:lineRule="exact"/>
        <w:rPr>
          <w:sz w:val="20"/>
          <w:szCs w:val="20"/>
          <w:color w:val="auto"/>
        </w:rPr>
      </w:pPr>
    </w:p>
    <w:p>
      <w:pPr>
        <w:jc w:val="both"/>
        <w:ind w:firstLine="643"/>
        <w:spacing w:after="0" w:line="269" w:lineRule="auto"/>
        <w:rPr>
          <w:sz w:val="20"/>
          <w:szCs w:val="20"/>
          <w:color w:val="auto"/>
        </w:rPr>
      </w:pPr>
      <w:r>
        <w:rPr>
          <w:rFonts w:ascii="Times New Roman" w:cs="Times New Roman" w:eastAsia="Times New Roman" w:hAnsi="Times New Roman"/>
          <w:sz w:val="21"/>
          <w:szCs w:val="21"/>
          <w:color w:val="010000"/>
        </w:rPr>
        <w:t xml:space="preserve">3.3 </w:t>
      </w:r>
      <w:r>
        <w:rPr>
          <w:rFonts w:ascii="Times New Roman" w:cs="Times New Roman" w:eastAsia="Times New Roman" w:hAnsi="Times New Roman"/>
          <w:sz w:val="21"/>
          <w:szCs w:val="21"/>
          <w:color w:val="000000"/>
        </w:rPr>
        <w:t>Upon a termination of Participant’s Continuous Service as a result of Participant’s death or Disability, the Target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w:t>
      </w:r>
    </w:p>
    <w:p>
      <w:pPr>
        <w:spacing w:after="0" w:line="16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21"/>
          <w:szCs w:val="21"/>
          <w:color w:val="010000"/>
        </w:rPr>
        <w:t xml:space="preserve">3.4 </w:t>
      </w:r>
      <w:r>
        <w:rPr>
          <w:rFonts w:ascii="Times New Roman" w:cs="Times New Roman" w:eastAsia="Times New Roman" w:hAnsi="Times New Roman"/>
          <w:sz w:val="21"/>
          <w:szCs w:val="21"/>
          <w:color w:val="000000"/>
        </w:rPr>
        <w:t>To the extent that a Severance Agreement provides for acceleration of vesting of any or all unvested Restricted Stock</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Units on termination of Continuous Service that is more favorable to Participant than the provisions of this Agreement, such provisions are incorporated by reference in this Agreement.</w:t>
      </w:r>
    </w:p>
    <w:p>
      <w:pPr>
        <w:spacing w:after="0" w:line="152"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1"/>
          <w:szCs w:val="21"/>
          <w:color w:val="010000"/>
        </w:rPr>
        <w:t>3.5</w:t>
      </w:r>
      <w:r>
        <w:rPr>
          <w:rFonts w:ascii="Times New Roman" w:cs="Times New Roman" w:eastAsia="Times New Roman" w:hAnsi="Times New Roman"/>
          <w:sz w:val="21"/>
          <w:szCs w:val="21"/>
          <w:color w:val="auto"/>
        </w:rPr>
        <w:tab/>
        <w:t>For purposes of this Agreement, the following terms shall have the meanings set forth below:</w:t>
      </w:r>
    </w:p>
    <w:p>
      <w:pPr>
        <w:spacing w:after="0" w:line="221" w:lineRule="exact"/>
        <w:rPr>
          <w:sz w:val="20"/>
          <w:szCs w:val="20"/>
          <w:color w:val="auto"/>
        </w:rPr>
      </w:pPr>
    </w:p>
    <w:p>
      <w:pPr>
        <w:jc w:val="both"/>
        <w:ind w:firstLine="1285"/>
        <w:spacing w:after="0" w:line="260" w:lineRule="auto"/>
        <w:rPr>
          <w:sz w:val="20"/>
          <w:szCs w:val="20"/>
          <w:color w:val="auto"/>
        </w:rPr>
      </w:pPr>
      <w:r>
        <w:rPr>
          <w:rFonts w:ascii="Times New Roman" w:cs="Times New Roman" w:eastAsia="Times New Roman" w:hAnsi="Times New Roman"/>
          <w:sz w:val="21"/>
          <w:szCs w:val="21"/>
          <w:color w:val="010000"/>
        </w:rPr>
        <w:t xml:space="preserve">3.5.1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Cause</w:t>
      </w:r>
      <w:r>
        <w:rPr>
          <w:rFonts w:ascii="Times New Roman" w:cs="Times New Roman" w:eastAsia="Times New Roman" w:hAnsi="Times New Roman"/>
          <w:sz w:val="21"/>
          <w:szCs w:val="21"/>
          <w:color w:val="000000"/>
        </w:rPr>
        <w:t>” means (i) if Participant is a party to a severance plan participation agreement with the Company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its Affiliates and such agreement provides for a definition of 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spacing w:after="0" w:line="170" w:lineRule="exact"/>
        <w:rPr>
          <w:sz w:val="20"/>
          <w:szCs w:val="20"/>
          <w:color w:val="auto"/>
        </w:rPr>
      </w:pPr>
    </w:p>
    <w:p>
      <w:pPr>
        <w:jc w:val="both"/>
        <w:ind w:firstLine="1285"/>
        <w:spacing w:after="0" w:line="261" w:lineRule="auto"/>
        <w:rPr>
          <w:sz w:val="20"/>
          <w:szCs w:val="20"/>
          <w:color w:val="auto"/>
        </w:rPr>
      </w:pPr>
      <w:r>
        <w:rPr>
          <w:rFonts w:ascii="Times New Roman" w:cs="Times New Roman" w:eastAsia="Times New Roman" w:hAnsi="Times New Roman"/>
          <w:sz w:val="21"/>
          <w:szCs w:val="21"/>
          <w:color w:val="010000"/>
        </w:rPr>
        <w:t xml:space="preserve">3.5.2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Continuous Service</w:t>
      </w:r>
      <w:r>
        <w:rPr>
          <w:rFonts w:ascii="Times New Roman" w:cs="Times New Roman" w:eastAsia="Times New Roman" w:hAnsi="Times New Roman"/>
          <w:sz w:val="21"/>
          <w:szCs w:val="21"/>
          <w:color w:val="000000"/>
        </w:rPr>
        <w:t>” means that Participant’s service with the Company or an Affiliate (including, without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limitation, Diamondback and any of its subsidiaries), whether as an 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spacing w:after="0" w:line="167" w:lineRule="exact"/>
        <w:rPr>
          <w:sz w:val="20"/>
          <w:szCs w:val="20"/>
          <w:color w:val="auto"/>
        </w:rPr>
      </w:pPr>
    </w:p>
    <w:p>
      <w:pPr>
        <w:jc w:val="both"/>
        <w:ind w:firstLine="1285"/>
        <w:spacing w:after="0" w:line="274" w:lineRule="auto"/>
        <w:rPr>
          <w:sz w:val="20"/>
          <w:szCs w:val="20"/>
          <w:color w:val="auto"/>
        </w:rPr>
      </w:pPr>
      <w:r>
        <w:rPr>
          <w:rFonts w:ascii="Times New Roman" w:cs="Times New Roman" w:eastAsia="Times New Roman" w:hAnsi="Times New Roman"/>
          <w:sz w:val="21"/>
          <w:szCs w:val="21"/>
          <w:color w:val="010000"/>
        </w:rPr>
        <w:t xml:space="preserve">3.5.3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i w:val="1"/>
          <w:iCs w:val="1"/>
          <w:color w:val="000000"/>
        </w:rPr>
        <w:t>Disability</w:t>
      </w:r>
      <w:r>
        <w:rPr>
          <w:rFonts w:ascii="Times New Roman" w:cs="Times New Roman" w:eastAsia="Times New Roman" w:hAnsi="Times New Roman"/>
          <w:sz w:val="21"/>
          <w:szCs w:val="21"/>
          <w:color w:val="000000"/>
        </w:rPr>
        <w:t>” means Participant’s inability to substantially perform Participant’s duties to the Company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Affiliate by reason of a medically determinable physical or mental impairment that is expected to last for a period of six months or longer or to result in death. The Committee will determine whether Participant has a Disability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w:t>
      </w:r>
    </w:p>
    <w:p>
      <w:pPr>
        <w:sectPr>
          <w:pgSz w:w="11900" w:h="16838" w:orient="portrait"/>
          <w:cols w:equalWidth="0" w:num="1">
            <w:col w:w="11240"/>
          </w:cols>
          <w:pgMar w:left="320" w:top="1411" w:right="339" w:bottom="1440" w:gutter="0" w:footer="0" w:header="0"/>
        </w:sectPr>
      </w:pPr>
    </w:p>
    <w:bookmarkStart w:id="168" w:name="page169"/>
    <w:bookmarkEnd w:id="168"/>
    <w:p>
      <w:pPr>
        <w:jc w:val="both"/>
        <w:spacing w:after="0" w:line="281" w:lineRule="auto"/>
        <w:rPr>
          <w:sz w:val="20"/>
          <w:szCs w:val="20"/>
          <w:color w:val="auto"/>
        </w:rPr>
      </w:pPr>
      <w:r>
        <w:rPr>
          <w:rFonts w:ascii="Times New Roman" w:cs="Times New Roman" w:eastAsia="Times New Roman" w:hAnsi="Times New Roman"/>
          <w:sz w:val="21"/>
          <w:szCs w:val="21"/>
          <w:color w:val="auto"/>
        </w:rPr>
        <w:t>procedures established by the Committee, and the Committee may rely on any determination that Participant is disabled for purposes of benefits under any long-term disability plan maintained by the Company or any Affiliate in which Participant participates.</w:t>
      </w:r>
    </w:p>
    <w:p>
      <w:pPr>
        <w:spacing w:after="0" w:line="200" w:lineRule="exact"/>
        <w:rPr>
          <w:sz w:val="20"/>
          <w:szCs w:val="20"/>
          <w:color w:val="auto"/>
        </w:rPr>
      </w:pPr>
    </w:p>
    <w:p>
      <w:pPr>
        <w:spacing w:after="0" w:line="221" w:lineRule="exact"/>
        <w:rPr>
          <w:sz w:val="20"/>
          <w:szCs w:val="20"/>
          <w:color w:val="auto"/>
        </w:rPr>
      </w:pPr>
    </w:p>
    <w:p>
      <w:pPr>
        <w:jc w:val="both"/>
        <w:ind w:firstLine="650"/>
        <w:spacing w:after="0" w:line="260" w:lineRule="auto"/>
        <w:tabs>
          <w:tab w:leader="none" w:pos="1125" w:val="left"/>
        </w:tabs>
        <w:numPr>
          <w:ilvl w:val="0"/>
          <w:numId w:val="9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If the Company pays any cash dividend on its outstanding Common Stock for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 date occurs after the Date of Grant, the Committee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 w:cs="Times New Roman" w:eastAsia="Times New Roman" w:hAnsi="Times New Roman"/>
          <w:sz w:val="21"/>
          <w:szCs w:val="21"/>
          <w:b w:val="1"/>
          <w:bCs w:val="1"/>
          <w:i w:val="1"/>
          <w:iCs w:val="1"/>
          <w:color w:val="auto"/>
        </w:rPr>
        <w:t>Dividend Equivalents</w:t>
      </w:r>
      <w:r>
        <w:rPr>
          <w:rFonts w:ascii="Times New Roman" w:cs="Times New Roman" w:eastAsia="Times New Roman" w:hAnsi="Times New Roman"/>
          <w:sz w:val="21"/>
          <w:szCs w:val="21"/>
          <w:color w:val="auto"/>
        </w:rPr>
        <w:t>”). Except as otherwise provided in Section 3, Dividend Equivalents will vest and be paid to the Participant on the dividend payment date if Participant is in Continuous Service or otherwise holds Restricted Stock Units that are vested but have not been settled on the dividend payment date declared by the Company.</w:t>
      </w:r>
    </w:p>
    <w:p>
      <w:pPr>
        <w:spacing w:after="0" w:line="169" w:lineRule="exact"/>
        <w:rPr>
          <w:rFonts w:ascii="Times New Roman" w:cs="Times New Roman" w:eastAsia="Times New Roman" w:hAnsi="Times New Roman"/>
          <w:sz w:val="21"/>
          <w:szCs w:val="21"/>
          <w:b w:val="1"/>
          <w:bCs w:val="1"/>
          <w:color w:val="010000"/>
        </w:rPr>
      </w:pPr>
    </w:p>
    <w:p>
      <w:pPr>
        <w:jc w:val="both"/>
        <w:ind w:firstLine="650"/>
        <w:spacing w:after="0" w:line="258" w:lineRule="auto"/>
        <w:tabs>
          <w:tab w:leader="none" w:pos="1138" w:val="left"/>
        </w:tabs>
        <w:numPr>
          <w:ilvl w:val="0"/>
          <w:numId w:val="9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Payment/Settlement</w:t>
      </w:r>
      <w:r>
        <w:rPr>
          <w:rFonts w:ascii="Times New Roman" w:cs="Times New Roman" w:eastAsia="Times New Roman" w:hAnsi="Times New Roman"/>
          <w:sz w:val="21"/>
          <w:szCs w:val="21"/>
          <w:color w:val="auto"/>
        </w:rPr>
        <w:t>. Subject to Participant’s satisfaction of the applicable withholding requirements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6(i)(iii)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Committee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Committee’s discretion, in cash.</w:t>
      </w:r>
    </w:p>
    <w:p>
      <w:pPr>
        <w:spacing w:after="0" w:line="176" w:lineRule="exact"/>
        <w:rPr>
          <w:rFonts w:ascii="Times New Roman" w:cs="Times New Roman" w:eastAsia="Times New Roman" w:hAnsi="Times New Roman"/>
          <w:sz w:val="21"/>
          <w:szCs w:val="21"/>
          <w:b w:val="1"/>
          <w:bCs w:val="1"/>
          <w:color w:val="010000"/>
        </w:rPr>
      </w:pPr>
    </w:p>
    <w:p>
      <w:pPr>
        <w:jc w:val="both"/>
        <w:ind w:firstLine="650"/>
        <w:spacing w:after="0" w:line="264" w:lineRule="auto"/>
        <w:tabs>
          <w:tab w:leader="none" w:pos="1272" w:val="left"/>
        </w:tabs>
        <w:numPr>
          <w:ilvl w:val="0"/>
          <w:numId w:val="9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Compliance with Laws and Regulations</w:t>
      </w:r>
      <w:r>
        <w:rPr>
          <w:rFonts w:ascii="Times New Roman" w:cs="Times New Roman" w:eastAsia="Times New Roman" w:hAnsi="Times New Roman"/>
          <w:sz w:val="21"/>
          <w:szCs w:val="21"/>
          <w:color w:val="auto"/>
        </w:rPr>
        <w:t>. The issuance and transfer of shares of Common Stock 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w:t>
      </w:r>
    </w:p>
    <w:p>
      <w:pPr>
        <w:sectPr>
          <w:pgSz w:w="11900" w:h="16838" w:orient="portrait"/>
          <w:cols w:equalWidth="0" w:num="1">
            <w:col w:w="11240"/>
          </w:cols>
          <w:pgMar w:left="320" w:top="1411" w:right="339" w:bottom="1440" w:gutter="0" w:footer="0" w:header="0"/>
        </w:sectPr>
      </w:pPr>
    </w:p>
    <w:bookmarkStart w:id="169" w:name="page170"/>
    <w:bookmarkEnd w:id="169"/>
    <w:p>
      <w:pPr>
        <w:ind w:right="20"/>
        <w:spacing w:after="0" w:line="295" w:lineRule="auto"/>
        <w:rPr>
          <w:sz w:val="20"/>
          <w:szCs w:val="20"/>
          <w:color w:val="auto"/>
        </w:rPr>
      </w:pPr>
      <w:r>
        <w:rPr>
          <w:rFonts w:ascii="Times New Roman" w:cs="Times New Roman" w:eastAsia="Times New Roman" w:hAnsi="Times New Roman"/>
          <w:sz w:val="21"/>
          <w:szCs w:val="21"/>
          <w:color w:val="auto"/>
        </w:rPr>
        <w:t>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any state securities commission, foreign securities regulatory authority, or any securities exchange to effect such compliance.</w:t>
      </w:r>
    </w:p>
    <w:p>
      <w:pPr>
        <w:spacing w:after="0" w:line="131" w:lineRule="exact"/>
        <w:rPr>
          <w:sz w:val="20"/>
          <w:szCs w:val="20"/>
          <w:color w:val="auto"/>
        </w:rPr>
      </w:pPr>
    </w:p>
    <w:p>
      <w:pPr>
        <w:ind w:left="1020" w:hanging="370"/>
        <w:spacing w:after="0"/>
        <w:tabs>
          <w:tab w:leader="none" w:pos="1020" w:val="left"/>
        </w:tabs>
        <w:numPr>
          <w:ilvl w:val="0"/>
          <w:numId w:val="94"/>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010000"/>
        </w:rPr>
        <w:t xml:space="preserve">7.1 </w:t>
      </w:r>
      <w:r>
        <w:rPr>
          <w:rFonts w:ascii="Times New Roman" w:cs="Times New Roman" w:eastAsia="Times New Roman" w:hAnsi="Times New Roman"/>
          <w:sz w:val="21"/>
          <w:szCs w:val="21"/>
          <w:color w:val="000000"/>
        </w:rPr>
        <w:t>As a condition to payment under Section 5 hereof, Participant agrees that on or before the Payment/Settlement Date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65" w:lineRule="exact"/>
        <w:rPr>
          <w:sz w:val="20"/>
          <w:szCs w:val="20"/>
          <w:color w:val="auto"/>
        </w:rPr>
      </w:pPr>
    </w:p>
    <w:p>
      <w:pPr>
        <w:jc w:val="both"/>
        <w:ind w:firstLine="643"/>
        <w:spacing w:after="0" w:line="259" w:lineRule="auto"/>
        <w:rPr>
          <w:sz w:val="20"/>
          <w:szCs w:val="20"/>
          <w:color w:val="auto"/>
        </w:rPr>
      </w:pPr>
      <w:r>
        <w:rPr>
          <w:rFonts w:ascii="Times New Roman" w:cs="Times New Roman" w:eastAsia="Times New Roman" w:hAnsi="Times New Roman"/>
          <w:sz w:val="21"/>
          <w:szCs w:val="21"/>
          <w:color w:val="010000"/>
        </w:rPr>
        <w:t xml:space="preserve">7.2 </w:t>
      </w:r>
      <w:r>
        <w:rPr>
          <w:rFonts w:ascii="Times New Roman" w:cs="Times New Roman" w:eastAsia="Times New Roman" w:hAnsi="Times New Roman"/>
          <w:sz w:val="21"/>
          <w:szCs w:val="21"/>
          <w:color w:val="000000"/>
        </w:rPr>
        <w:t>Participant acknowledges that the amounts due under this Section 7 will be paid by the Company retaining such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70" w:lineRule="exact"/>
        <w:rPr>
          <w:sz w:val="20"/>
          <w:szCs w:val="20"/>
          <w:color w:val="auto"/>
        </w:rPr>
      </w:pPr>
    </w:p>
    <w:p>
      <w:pPr>
        <w:jc w:val="both"/>
        <w:ind w:firstLine="650"/>
        <w:spacing w:after="0" w:line="263" w:lineRule="auto"/>
        <w:tabs>
          <w:tab w:leader="none" w:pos="1071" w:val="left"/>
        </w:tabs>
        <w:numPr>
          <w:ilvl w:val="0"/>
          <w:numId w:val="9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Not Transferrable</w:t>
      </w:r>
      <w:r>
        <w:rPr>
          <w:rFonts w:ascii="Times New Roman" w:cs="Times New Roman" w:eastAsia="Times New Roman" w:hAnsi="Times New Roman"/>
          <w:sz w:val="21"/>
          <w:szCs w:val="21"/>
          <w:color w:val="auto"/>
        </w:rPr>
        <w:t>. Until Common Stock is issued on the applicable Payment/Settlement Date, the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66" w:lineRule="exact"/>
        <w:rPr>
          <w:rFonts w:ascii="Times New Roman" w:cs="Times New Roman" w:eastAsia="Times New Roman" w:hAnsi="Times New Roman"/>
          <w:sz w:val="21"/>
          <w:szCs w:val="21"/>
          <w:b w:val="1"/>
          <w:bCs w:val="1"/>
          <w:color w:val="010000"/>
        </w:rPr>
      </w:pPr>
    </w:p>
    <w:p>
      <w:pPr>
        <w:jc w:val="both"/>
        <w:ind w:firstLine="650"/>
        <w:spacing w:after="0" w:line="273" w:lineRule="auto"/>
        <w:tabs>
          <w:tab w:leader="none" w:pos="1044" w:val="left"/>
        </w:tabs>
        <w:numPr>
          <w:ilvl w:val="0"/>
          <w:numId w:val="9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Right to Continued Service</w:t>
      </w:r>
      <w:r>
        <w:rPr>
          <w:rFonts w:ascii="Times New Roman" w:cs="Times New Roman" w:eastAsia="Times New Roman" w:hAnsi="Times New Roman"/>
          <w:sz w:val="21"/>
          <w:szCs w:val="21"/>
          <w:color w:val="auto"/>
        </w:rPr>
        <w:t>. Nothing in this Agreement or in the Plan imposes or may be deemed to impose,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implication or otherwise, any limitation on any right of the Company or any Affiliate to terminate Participant’s Continuous Service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w:t>
      </w:r>
    </w:p>
    <w:p>
      <w:pPr>
        <w:sectPr>
          <w:pgSz w:w="11900" w:h="16838" w:orient="portrait"/>
          <w:cols w:equalWidth="0" w:num="1">
            <w:col w:w="11240"/>
          </w:cols>
          <w:pgMar w:left="320" w:top="1405" w:right="339" w:bottom="1440" w:gutter="0" w:footer="0" w:header="0"/>
        </w:sectPr>
      </w:pPr>
    </w:p>
    <w:bookmarkStart w:id="170" w:name="page171"/>
    <w:bookmarkEnd w:id="170"/>
    <w:p>
      <w:pPr>
        <w:jc w:val="both"/>
        <w:ind w:firstLine="650"/>
        <w:spacing w:after="0" w:line="259" w:lineRule="auto"/>
        <w:tabs>
          <w:tab w:leader="none" w:pos="1232"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Participant’s Representations, Warranties and Acknowledgements</w:t>
      </w:r>
      <w:r>
        <w:rPr>
          <w:rFonts w:ascii="Times New Roman" w:cs="Times New Roman" w:eastAsia="Times New Roman" w:hAnsi="Times New Roman"/>
          <w:sz w:val="21"/>
          <w:szCs w:val="21"/>
          <w:color w:val="auto"/>
        </w:rPr>
        <w:t>. Participant represents and warrants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72" w:lineRule="exact"/>
        <w:rPr>
          <w:rFonts w:ascii="Times New Roman" w:cs="Times New Roman" w:eastAsia="Times New Roman" w:hAnsi="Times New Roman"/>
          <w:sz w:val="21"/>
          <w:szCs w:val="21"/>
          <w:b w:val="1"/>
          <w:bCs w:val="1"/>
          <w:color w:val="010000"/>
        </w:rPr>
      </w:pPr>
    </w:p>
    <w:p>
      <w:pPr>
        <w:jc w:val="both"/>
        <w:ind w:firstLine="650"/>
        <w:spacing w:after="0" w:line="273" w:lineRule="auto"/>
        <w:tabs>
          <w:tab w:leader="none" w:pos="1206"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Interest in Company Assets</w:t>
      </w:r>
      <w:r>
        <w:rPr>
          <w:rFonts w:ascii="Times New Roman" w:cs="Times New Roman" w:eastAsia="Times New Roman" w:hAnsi="Times New Roman"/>
          <w:sz w:val="21"/>
          <w:szCs w:val="21"/>
          <w:color w:val="auto"/>
        </w:rPr>
        <w:t>. All amounts nominally credited to Participant’s Restricted Stock Unit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66" w:lineRule="exact"/>
        <w:rPr>
          <w:rFonts w:ascii="Times New Roman" w:cs="Times New Roman" w:eastAsia="Times New Roman" w:hAnsi="Times New Roman"/>
          <w:sz w:val="21"/>
          <w:szCs w:val="21"/>
          <w:b w:val="1"/>
          <w:bCs w:val="1"/>
          <w:color w:val="010000"/>
        </w:rPr>
      </w:pPr>
    </w:p>
    <w:p>
      <w:pPr>
        <w:jc w:val="both"/>
        <w:ind w:firstLine="650"/>
        <w:spacing w:after="0" w:line="266" w:lineRule="auto"/>
        <w:tabs>
          <w:tab w:leader="none" w:pos="1125"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Stockholder Rights before Delivery</w:t>
      </w:r>
      <w:r>
        <w:rPr>
          <w:rFonts w:ascii="Times New Roman" w:cs="Times New Roman" w:eastAsia="Times New Roman" w:hAnsi="Times New Roman"/>
          <w:sz w:val="21"/>
          <w:szCs w:val="21"/>
          <w:color w:val="auto"/>
        </w:rPr>
        <w:t>. Participant will not have any right, title, or interest in, or be entitled to 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61" w:lineRule="exact"/>
        <w:rPr>
          <w:rFonts w:ascii="Times New Roman" w:cs="Times New Roman" w:eastAsia="Times New Roman" w:hAnsi="Times New Roman"/>
          <w:sz w:val="21"/>
          <w:szCs w:val="21"/>
          <w:b w:val="1"/>
          <w:bCs w:val="1"/>
          <w:color w:val="010000"/>
        </w:rPr>
      </w:pPr>
    </w:p>
    <w:p>
      <w:pPr>
        <w:jc w:val="both"/>
        <w:ind w:firstLine="650"/>
        <w:spacing w:after="0" w:line="280" w:lineRule="auto"/>
        <w:tabs>
          <w:tab w:leader="none" w:pos="1165"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Modification</w:t>
      </w:r>
      <w:r>
        <w:rPr>
          <w:rFonts w:ascii="Times New Roman" w:cs="Times New Roman" w:eastAsia="Times New Roman" w:hAnsi="Times New Roman"/>
          <w:sz w:val="21"/>
          <w:szCs w:val="21"/>
          <w:color w:val="auto"/>
        </w:rPr>
        <w:t>. The Agreement may not be amended or otherwise modified except in writing signed by both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however, that the Company may unilaterally correct mathematical and typographical errors, and the number of Restricted Stock Units granted hereunder may be amended to reflect the correction of such errors.</w:t>
      </w:r>
    </w:p>
    <w:p>
      <w:pPr>
        <w:spacing w:after="0" w:line="145" w:lineRule="exact"/>
        <w:rPr>
          <w:rFonts w:ascii="Times New Roman" w:cs="Times New Roman" w:eastAsia="Times New Roman" w:hAnsi="Times New Roman"/>
          <w:sz w:val="21"/>
          <w:szCs w:val="21"/>
          <w:b w:val="1"/>
          <w:bCs w:val="1"/>
          <w:color w:val="010000"/>
        </w:rPr>
      </w:pPr>
    </w:p>
    <w:p>
      <w:pPr>
        <w:jc w:val="both"/>
        <w:ind w:firstLine="650"/>
        <w:spacing w:after="0" w:line="273" w:lineRule="auto"/>
        <w:tabs>
          <w:tab w:leader="none" w:pos="1165"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Any dispute regarding the interpretation of this Agreement must be submitted by Participant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to the Committee for review. The resolution of such a dispute by the Committee will be final and binding on the Company and Participant.</w:t>
      </w:r>
    </w:p>
    <w:p>
      <w:pPr>
        <w:spacing w:after="0" w:line="166" w:lineRule="exact"/>
        <w:rPr>
          <w:rFonts w:ascii="Times New Roman" w:cs="Times New Roman" w:eastAsia="Times New Roman" w:hAnsi="Times New Roman"/>
          <w:sz w:val="21"/>
          <w:szCs w:val="21"/>
          <w:b w:val="1"/>
          <w:bCs w:val="1"/>
          <w:color w:val="010000"/>
        </w:rPr>
      </w:pPr>
    </w:p>
    <w:p>
      <w:pPr>
        <w:jc w:val="both"/>
        <w:ind w:firstLine="650"/>
        <w:spacing w:after="0" w:line="266" w:lineRule="auto"/>
        <w:tabs>
          <w:tab w:leader="none" w:pos="1325"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The Plan and the Certificate are incorporated herein by reference.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61" w:lineRule="exact"/>
        <w:rPr>
          <w:rFonts w:ascii="Times New Roman" w:cs="Times New Roman" w:eastAsia="Times New Roman" w:hAnsi="Times New Roman"/>
          <w:sz w:val="21"/>
          <w:szCs w:val="21"/>
          <w:b w:val="1"/>
          <w:bCs w:val="1"/>
          <w:color w:val="010000"/>
        </w:rPr>
      </w:pPr>
    </w:p>
    <w:p>
      <w:pPr>
        <w:jc w:val="both"/>
        <w:ind w:firstLine="650"/>
        <w:spacing w:after="0" w:line="270" w:lineRule="auto"/>
        <w:tabs>
          <w:tab w:leader="none" w:pos="1125" w:val="left"/>
        </w:tabs>
        <w:numPr>
          <w:ilvl w:val="0"/>
          <w:numId w:val="9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bind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w:t>
      </w:r>
    </w:p>
    <w:p>
      <w:pPr>
        <w:sectPr>
          <w:pgSz w:w="11900" w:h="16838" w:orient="portrait"/>
          <w:cols w:equalWidth="0" w:num="1">
            <w:col w:w="11240"/>
          </w:cols>
          <w:pgMar w:left="320" w:top="1407" w:right="339" w:bottom="1440" w:gutter="0" w:footer="0" w:header="0"/>
        </w:sectPr>
      </w:pPr>
    </w:p>
    <w:bookmarkStart w:id="171" w:name="page172"/>
    <w:bookmarkEnd w:id="171"/>
    <w:p>
      <w:pPr>
        <w:jc w:val="both"/>
        <w:ind w:firstLine="650"/>
        <w:spacing w:after="0" w:line="266" w:lineRule="auto"/>
        <w:tabs>
          <w:tab w:leader="none" w:pos="1192" w:val="left"/>
        </w:tabs>
        <w:numPr>
          <w:ilvl w:val="0"/>
          <w:numId w:val="9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Notwithstanding any provision in this Agreement to the contrary, if required by Listing Standard 5608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adopted by The Nasdaq Stock Market to implement Rule 10D-1 under the Securities Exchange Act of 1934, as amended, the Sarbanes-Oxley Act of 2002 or by other applicable law or any Company policy in effect from time to time, the Award shall be conditioned on repayment or forfeiture in accordance with such applicable laws and/or Company policy. By accepting the Award, Participant consents to any such clawback, repayment or forfeiture condition.</w:t>
      </w:r>
    </w:p>
    <w:p>
      <w:pPr>
        <w:spacing w:after="0" w:line="161" w:lineRule="exact"/>
        <w:rPr>
          <w:rFonts w:ascii="Times New Roman" w:cs="Times New Roman" w:eastAsia="Times New Roman" w:hAnsi="Times New Roman"/>
          <w:sz w:val="21"/>
          <w:szCs w:val="21"/>
          <w:b w:val="1"/>
          <w:bCs w:val="1"/>
          <w:color w:val="010000"/>
        </w:rPr>
      </w:pPr>
    </w:p>
    <w:p>
      <w:pPr>
        <w:jc w:val="both"/>
        <w:ind w:firstLine="650"/>
        <w:spacing w:after="0" w:line="270" w:lineRule="auto"/>
        <w:tabs>
          <w:tab w:leader="none" w:pos="1205" w:val="left"/>
        </w:tabs>
        <w:numPr>
          <w:ilvl w:val="0"/>
          <w:numId w:val="9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will be governed by and construed in accordance with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Viper Energy, Inc. Restricted Stock Unit Award Agreement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w:t>
      </w:r>
    </w:p>
    <w:p>
      <w:pPr>
        <w:sectPr>
          <w:pgSz w:w="11900" w:h="16838" w:orient="portrait"/>
          <w:cols w:equalWidth="0" w:num="1">
            <w:col w:w="11240"/>
          </w:cols>
          <w:pgMar w:left="320" w:top="1407"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Viper Energy, Inc. 2024 Amended and Restated Long Term Incentive Plan</w:t>
      </w:r>
    </w:p>
    <w:p>
      <w:pPr>
        <w:sectPr>
          <w:pgSz w:w="11900" w:h="16838" w:orient="portrait"/>
          <w:cols w:equalWidth="0" w:num="1">
            <w:col w:w="9019"/>
          </w:cols>
          <w:pgMar w:left="1440" w:top="1005"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3"/>
        <w:spacing w:after="0" w:line="262"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THIRTEENTH AMENDMENT TO AMENDED AND RESTATED SENIOR SECURED 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CREDIT AGREEMENT AND THIRD AMENDMENT TO GUARANTY AND COLLATERAL AGREEMENT </w:t>
      </w:r>
      <w:r>
        <w:rPr>
          <w:rFonts w:ascii="Times New Roman" w:cs="Times New Roman" w:eastAsia="Times New Roman" w:hAnsi="Times New Roman"/>
          <w:sz w:val="21"/>
          <w:szCs w:val="21"/>
          <w:color w:val="auto"/>
        </w:rPr>
        <w:t>(this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November 22, 2024, is among: VIPER ENERGY PARTNERS LLC, a Delaware limited liability company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VIPER ENERGY, INC., a Delaware corporation (the “</w:t>
      </w:r>
      <w:r>
        <w:rPr>
          <w:rFonts w:ascii="Times New Roman" w:cs="Times New Roman" w:eastAsia="Times New Roman" w:hAnsi="Times New Roman"/>
          <w:sz w:val="21"/>
          <w:szCs w:val="21"/>
          <w:u w:val="single" w:color="auto"/>
          <w:color w:val="auto"/>
        </w:rPr>
        <w:t>Parent Guarantor</w:t>
      </w:r>
      <w:r>
        <w:rPr>
          <w:rFonts w:ascii="Times New Roman" w:cs="Times New Roman" w:eastAsia="Times New Roman" w:hAnsi="Times New Roman"/>
          <w:sz w:val="21"/>
          <w:szCs w:val="21"/>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 E C I T A L S</w:t>
      </w:r>
    </w:p>
    <w:p>
      <w:pPr>
        <w:spacing w:after="0" w:line="245" w:lineRule="exact"/>
        <w:rPr>
          <w:sz w:val="20"/>
          <w:szCs w:val="20"/>
          <w:color w:val="auto"/>
        </w:rPr>
      </w:pPr>
    </w:p>
    <w:p>
      <w:pPr>
        <w:jc w:val="both"/>
        <w:ind w:firstLine="650"/>
        <w:spacing w:after="0" w:line="268" w:lineRule="auto"/>
        <w:tabs>
          <w:tab w:leader="none" w:pos="112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Parent Guarantor, the Administrative Agent and the Lenders are parties to that certain Amended and Restated Senior Secured Revolving Credit Agreement, dated as of July 20, 2018 (as amended and supplemented prior to the date hereof,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pursuant to which the Lenders have made certain credit available to and on behalf of the Borrower.</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firstLine="650"/>
        <w:spacing w:after="0" w:line="265" w:lineRule="auto"/>
        <w:tabs>
          <w:tab w:leader="none" w:pos="111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hereto desire to enter into this Amendment to, among other things, (i) evidence the reaffirmation of the Borrowing Base at $1,250,000,000 in respect of the November 1, 2024 Scheduled Redetermination, (ii) evidence the increase in the Aggregate Elected Commitment Amounts from $850,000,000 to $1,250,000,000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(iii) amend the Credit Agreement as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hereof, effective as of the Amendment Effective Date (as defined below) and (iv) amend the Guaranty Agreement as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effective as of the Amendment Effective Date.</w:t>
      </w:r>
    </w:p>
    <w:p>
      <w:pPr>
        <w:spacing w:after="0" w:line="166" w:lineRule="exact"/>
        <w:rPr>
          <w:rFonts w:ascii="Times New Roman" w:cs="Times New Roman" w:eastAsia="Times New Roman" w:hAnsi="Times New Roman"/>
          <w:sz w:val="21"/>
          <w:szCs w:val="21"/>
          <w:color w:val="auto"/>
        </w:rPr>
      </w:pPr>
    </w:p>
    <w:p>
      <w:pPr>
        <w:jc w:val="both"/>
        <w:ind w:firstLine="650"/>
        <w:spacing w:after="0" w:line="269" w:lineRule="auto"/>
        <w:tabs>
          <w:tab w:leader="none" w:pos="115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requested that each of (i) The Toronto-Dominion Bank, New York Branch, (ii) Royal Bank of Canada, (iii) Morgan Stanley Bank, N.A., (iv) Mizuho Bank Ltd., and (v) U.S. Bank National Association (each, a “</w:t>
      </w:r>
      <w:r>
        <w:rPr>
          <w:rFonts w:ascii="Times New Roman" w:cs="Times New Roman" w:eastAsia="Times New Roman" w:hAnsi="Times New Roman"/>
          <w:sz w:val="21"/>
          <w:szCs w:val="21"/>
          <w:u w:val="single" w:color="auto"/>
          <w:color w:val="auto"/>
        </w:rPr>
        <w:t>New Lender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New Lenders</w:t>
      </w:r>
      <w:r>
        <w:rPr>
          <w:rFonts w:ascii="Times New Roman" w:cs="Times New Roman" w:eastAsia="Times New Roman" w:hAnsi="Times New Roman"/>
          <w:sz w:val="21"/>
          <w:szCs w:val="21"/>
          <w:color w:val="auto"/>
        </w:rPr>
        <w:t>”) become a Lender under the Credit Agreement with a Maximum Credit Amount and an Elected Commitment in the amounts as shown on Annex I to the Credit Agreement (as amended hereby).</w:t>
      </w:r>
    </w:p>
    <w:p>
      <w:pPr>
        <w:spacing w:after="0" w:line="162" w:lineRule="exact"/>
        <w:rPr>
          <w:rFonts w:ascii="Times New Roman" w:cs="Times New Roman" w:eastAsia="Times New Roman" w:hAnsi="Times New Roman"/>
          <w:sz w:val="21"/>
          <w:szCs w:val="21"/>
          <w:color w:val="auto"/>
        </w:rPr>
      </w:pPr>
    </w:p>
    <w:p>
      <w:pPr>
        <w:jc w:val="both"/>
        <w:ind w:firstLine="650"/>
        <w:spacing w:after="0" w:line="271" w:lineRule="auto"/>
        <w:tabs>
          <w:tab w:leader="none" w:pos="130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73"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Section 1. </w:t>
      </w:r>
      <w:r>
        <w:rPr>
          <w:rFonts w:ascii="Times New Roman" w:cs="Times New Roman" w:eastAsia="Times New Roman" w:hAnsi="Times New Roman"/>
          <w:sz w:val="21"/>
          <w:szCs w:val="21"/>
          <w:u w:val="single" w:color="auto"/>
          <w:color w:val="000000"/>
        </w:rPr>
        <w:t>Defined Terms</w:t>
      </w:r>
      <w:r>
        <w:rPr>
          <w:rFonts w:ascii="Times New Roman" w:cs="Times New Roman" w:eastAsia="Times New Roman" w:hAnsi="Times New Roman"/>
          <w:sz w:val="21"/>
          <w:szCs w:val="21"/>
          <w:color w:val="000000"/>
        </w:rPr>
        <w:t>. Each capitalized term used herein but not otherwise defined herein has the meaning given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such term in the Credit Agreement, as amended by this Amendment. Unless otherwise indicated, all section references in this Amendment refer to sections of the Credit Agreement.</w:t>
      </w:r>
    </w:p>
    <w:p>
      <w:pPr>
        <w:spacing w:after="0" w:line="159"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Section 2. </w:t>
      </w:r>
      <w:r>
        <w:rPr>
          <w:rFonts w:ascii="Times New Roman" w:cs="Times New Roman" w:eastAsia="Times New Roman" w:hAnsi="Times New Roman"/>
          <w:sz w:val="21"/>
          <w:szCs w:val="21"/>
          <w:u w:val="single" w:color="auto"/>
          <w:color w:val="000000"/>
        </w:rPr>
        <w:t>Amendments to Credit Agreement</w:t>
      </w:r>
      <w:r>
        <w:rPr>
          <w:rFonts w:ascii="Times New Roman" w:cs="Times New Roman" w:eastAsia="Times New Roman" w:hAnsi="Times New Roman"/>
          <w:sz w:val="21"/>
          <w:szCs w:val="21"/>
          <w:color w:val="000000"/>
        </w:rPr>
        <w:t>. In reliance on the representations, warranties, covenants and agreements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contained in this Amendment, and effective as of the Amendment Effective Date, the Credit Agreement is hereby amended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174" w:name="page175"/>
    <w:bookmarkEnd w:id="174"/>
    <w:p>
      <w:pPr>
        <w:spacing w:after="0" w:line="186"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2.1 </w:t>
      </w:r>
      <w:r>
        <w:rPr>
          <w:rFonts w:ascii="Times New Roman" w:cs="Times New Roman" w:eastAsia="Times New Roman" w:hAnsi="Times New Roman"/>
          <w:sz w:val="21"/>
          <w:szCs w:val="21"/>
          <w:u w:val="single" w:color="auto"/>
          <w:color w:val="000000"/>
        </w:rPr>
        <w:t>Cover Page Amendment</w:t>
      </w:r>
      <w:r>
        <w:rPr>
          <w:rFonts w:ascii="Times New Roman" w:cs="Times New Roman" w:eastAsia="Times New Roman" w:hAnsi="Times New Roman"/>
          <w:sz w:val="21"/>
          <w:szCs w:val="21"/>
          <w:color w:val="000000"/>
        </w:rPr>
        <w:t>. The cover page of the Credit Agreement is hereby replaced in its entirety with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Exhibit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attached hereto, and </w:t>
      </w:r>
      <w:r>
        <w:rPr>
          <w:rFonts w:ascii="Times New Roman" w:cs="Times New Roman" w:eastAsia="Times New Roman" w:hAnsi="Times New Roman"/>
          <w:sz w:val="21"/>
          <w:szCs w:val="21"/>
          <w:u w:val="single" w:color="auto"/>
          <w:color w:val="000000"/>
        </w:rPr>
        <w:t>Exhibit A</w:t>
      </w:r>
      <w:r>
        <w:rPr>
          <w:rFonts w:ascii="Times New Roman" w:cs="Times New Roman" w:eastAsia="Times New Roman" w:hAnsi="Times New Roman"/>
          <w:sz w:val="21"/>
          <w:szCs w:val="21"/>
          <w:color w:val="000000"/>
        </w:rPr>
        <w:t xml:space="preserve"> hereto shall be deemed to be attached as the cover page of the Credit Agreement.</w:t>
      </w:r>
    </w:p>
    <w:p>
      <w:pPr>
        <w:spacing w:after="0" w:line="139"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u w:val="single" w:color="auto"/>
          <w:color w:val="000000"/>
        </w:rPr>
        <w:t>Amendment to Introductory Paragraph</w:t>
      </w:r>
      <w:r>
        <w:rPr>
          <w:rFonts w:ascii="Times New Roman" w:cs="Times New Roman" w:eastAsia="Times New Roman" w:hAnsi="Times New Roman"/>
          <w:sz w:val="21"/>
          <w:szCs w:val="21"/>
          <w:color w:val="000000"/>
        </w:rPr>
        <w:t>. The introductory paragraph of the Credit Agreement is hereby amended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replacing the existing reference to “Viper Energy Partners LP, a Delaware limited partnership” with a reference to “Viper Energy, Inc., a Delaware corporation, f/k/a Viper Energy Partners LP, a Delaware limited partnership”.</w:t>
      </w:r>
    </w:p>
    <w:p>
      <w:pPr>
        <w:spacing w:after="0" w:line="152"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2.3</w:t>
      </w:r>
      <w:r>
        <w:rPr>
          <w:sz w:val="20"/>
          <w:szCs w:val="20"/>
          <w:color w:val="auto"/>
        </w:rPr>
        <w:tab/>
      </w:r>
      <w:r>
        <w:rPr>
          <w:rFonts w:ascii="Times New Roman" w:cs="Times New Roman" w:eastAsia="Times New Roman" w:hAnsi="Times New Roman"/>
          <w:sz w:val="21"/>
          <w:szCs w:val="21"/>
          <w:u w:val="single" w:color="auto"/>
          <w:color w:val="auto"/>
        </w:rPr>
        <w:t>Amendments to Section 1.02</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ind w:left="1660" w:hanging="448"/>
        <w:spacing w:after="0"/>
        <w:tabs>
          <w:tab w:leader="none" w:pos="1660"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following definitions are hereby amended and restated in their entirety to read as follows:</w:t>
      </w:r>
    </w:p>
    <w:p>
      <w:pPr>
        <w:spacing w:after="0" w:line="227" w:lineRule="exact"/>
        <w:rPr>
          <w:sz w:val="20"/>
          <w:szCs w:val="20"/>
          <w:color w:val="auto"/>
        </w:rPr>
      </w:pPr>
    </w:p>
    <w:p>
      <w:pPr>
        <w:jc w:val="both"/>
        <w:ind w:left="640" w:right="640" w:firstLine="562"/>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Elected Commitment Amounts</w:t>
      </w:r>
      <w:r>
        <w:rPr>
          <w:rFonts w:ascii="Times New Roman" w:cs="Times New Roman" w:eastAsia="Times New Roman" w:hAnsi="Times New Roman"/>
          <w:sz w:val="21"/>
          <w:szCs w:val="21"/>
          <w:color w:val="auto"/>
        </w:rPr>
        <w:t>” at any time shall equal the sum of the Elected Commitments, as the same may be increased, reduced, or terminated pursuant to Section 2.06(b). As of the Thirteenth Amendment Effective Date, the Aggregate Elected Commitments are $1,250,000,000.</w:t>
      </w:r>
    </w:p>
    <w:p>
      <w:pPr>
        <w:spacing w:after="0" w:line="178" w:lineRule="exact"/>
        <w:rPr>
          <w:sz w:val="20"/>
          <w:szCs w:val="20"/>
          <w:color w:val="auto"/>
        </w:rPr>
      </w:pPr>
    </w:p>
    <w:p>
      <w:pPr>
        <w:jc w:val="both"/>
        <w:ind w:left="640" w:right="640" w:firstLine="562"/>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means this Agreement, the First Amendment, the Second Amendment, the Third Amendment, the Fourth Amendment, the Fifth Amendment, the Sixth Amendment, the Seventh Amendment, the Eighth Amendment, the Ninth Amendment, the Tenth Amendment, the Eleventh Amendment, the Twelfth Amendment, the Thirteenth Amendment, the Notes, the Letter of Credit Agreements, the Letters of Credit and the Security Instruments and certain Existing Loan Documents as provided in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680" w:hanging="468"/>
        <w:spacing w:after="0"/>
        <w:tabs>
          <w:tab w:leader="none" w:pos="1680" w:val="left"/>
        </w:tabs>
        <w:numPr>
          <w:ilvl w:val="0"/>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following definitions are hereby added where alphabetically appropriate to read as follows:</w:t>
      </w:r>
    </w:p>
    <w:p>
      <w:pPr>
        <w:spacing w:after="0" w:line="227" w:lineRule="exact"/>
        <w:rPr>
          <w:sz w:val="20"/>
          <w:szCs w:val="20"/>
          <w:color w:val="auto"/>
        </w:rPr>
      </w:pPr>
    </w:p>
    <w:p>
      <w:pPr>
        <w:jc w:val="both"/>
        <w:ind w:left="640" w:right="640" w:firstLine="643"/>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Thirteenth Amendment</w:t>
      </w:r>
      <w:r>
        <w:rPr>
          <w:rFonts w:ascii="Times New Roman" w:cs="Times New Roman" w:eastAsia="Times New Roman" w:hAnsi="Times New Roman"/>
          <w:sz w:val="21"/>
          <w:szCs w:val="21"/>
          <w:color w:val="auto"/>
        </w:rPr>
        <w:t>” means that certain Thirteenth Amendment to Amended and Restated Senior Secured Revolving Credit Agreement, dated as of the Thirteenth Amendment Effective Date, by and among the Borrower, the Parent Guarantor, the Administrative Agent, and the Lenders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Thirteenth Amendment Effective Date</w:t>
      </w:r>
      <w:r>
        <w:rPr>
          <w:rFonts w:ascii="Times New Roman" w:cs="Times New Roman" w:eastAsia="Times New Roman" w:hAnsi="Times New Roman"/>
          <w:sz w:val="21"/>
          <w:szCs w:val="21"/>
          <w:color w:val="auto"/>
        </w:rPr>
        <w:t>” means November 22, 2024.</w:t>
      </w:r>
    </w:p>
    <w:p>
      <w:pPr>
        <w:spacing w:after="0" w:line="227" w:lineRule="exact"/>
        <w:rPr>
          <w:sz w:val="20"/>
          <w:szCs w:val="20"/>
          <w:color w:val="auto"/>
        </w:rPr>
      </w:pPr>
    </w:p>
    <w:p>
      <w:pPr>
        <w:ind w:right="20"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2.4 </w:t>
      </w:r>
      <w:r>
        <w:rPr>
          <w:rFonts w:ascii="Times New Roman" w:cs="Times New Roman" w:eastAsia="Times New Roman" w:hAnsi="Times New Roman"/>
          <w:sz w:val="21"/>
          <w:szCs w:val="21"/>
          <w:u w:val="single" w:color="auto"/>
          <w:color w:val="000000"/>
        </w:rPr>
        <w:t>Amendment to Section 8.14</w:t>
      </w:r>
      <w:r>
        <w:rPr>
          <w:rFonts w:ascii="Times New Roman" w:cs="Times New Roman" w:eastAsia="Times New Roman" w:hAnsi="Times New Roman"/>
          <w:sz w:val="21"/>
          <w:szCs w:val="21"/>
          <w:color w:val="000000"/>
        </w:rPr>
        <w:t>. Clause (b) of Section 8.14 of the Credit Agreement is hereby amended by amending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restating subclause (i) therein in its entirety to read in full as follows:</w:t>
      </w:r>
    </w:p>
    <w:p>
      <w:pPr>
        <w:spacing w:after="0" w:line="139" w:lineRule="exact"/>
        <w:rPr>
          <w:sz w:val="20"/>
          <w:szCs w:val="20"/>
          <w:color w:val="auto"/>
        </w:rPr>
      </w:pPr>
    </w:p>
    <w:p>
      <w:pPr>
        <w:jc w:val="both"/>
        <w:ind w:left="640" w:right="640" w:firstLine="10"/>
        <w:spacing w:after="0" w:line="278" w:lineRule="auto"/>
        <w:tabs>
          <w:tab w:leader="none" w:pos="9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each Restricted Subsidiary that is not a party to the Guaranty Agreement to, promptly, but in any event no later than 20 days (or such later date as the Administrative Agent may approve in its reasonable discretion) after the formation or acquisition (or other similar event) of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75" w:name="page176"/>
    <w:bookmarkEnd w:id="175"/>
    <w:p>
      <w:pPr>
        <w:ind w:left="640" w:right="640"/>
        <w:spacing w:after="0" w:line="290" w:lineRule="auto"/>
        <w:rPr>
          <w:sz w:val="20"/>
          <w:szCs w:val="20"/>
          <w:color w:val="auto"/>
        </w:rPr>
      </w:pPr>
      <w:r>
        <w:rPr>
          <w:rFonts w:ascii="Times New Roman" w:cs="Times New Roman" w:eastAsia="Times New Roman" w:hAnsi="Times New Roman"/>
          <w:sz w:val="21"/>
          <w:szCs w:val="21"/>
          <w:color w:val="auto"/>
        </w:rPr>
        <w:t>execute and deliver a supplement to the Guaranty Agreement whereby such Restricted Subsidiary will guarantee the Indebtedness,</w:t>
      </w:r>
    </w:p>
    <w:p>
      <w:pPr>
        <w:spacing w:after="0" w:line="139"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2.5</w:t>
      </w:r>
      <w:r>
        <w:rPr>
          <w:sz w:val="20"/>
          <w:szCs w:val="20"/>
          <w:color w:val="auto"/>
        </w:rPr>
        <w:tab/>
      </w:r>
      <w:r>
        <w:rPr>
          <w:rFonts w:ascii="Times New Roman" w:cs="Times New Roman" w:eastAsia="Times New Roman" w:hAnsi="Times New Roman"/>
          <w:sz w:val="21"/>
          <w:szCs w:val="21"/>
          <w:u w:val="single" w:color="auto"/>
          <w:color w:val="auto"/>
        </w:rPr>
        <w:t>Amendment to Section 12.02</w:t>
      </w:r>
      <w:r>
        <w:rPr>
          <w:rFonts w:ascii="Times New Roman" w:cs="Times New Roman" w:eastAsia="Times New Roman" w:hAnsi="Times New Roman"/>
          <w:sz w:val="21"/>
          <w:szCs w:val="21"/>
          <w:color w:val="auto"/>
        </w:rPr>
        <w:t>. Clause (b) of Section 12.02 of the Credit Agreement is hereby amended by:</w:t>
      </w:r>
    </w:p>
    <w:p>
      <w:pPr>
        <w:spacing w:after="0" w:line="241" w:lineRule="exact"/>
        <w:rPr>
          <w:sz w:val="20"/>
          <w:szCs w:val="20"/>
          <w:color w:val="auto"/>
        </w:rPr>
      </w:pPr>
    </w:p>
    <w:p>
      <w:pPr>
        <w:ind w:left="1420" w:hanging="449"/>
        <w:spacing w:after="0"/>
        <w:tabs>
          <w:tab w:leader="none" w:pos="14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deleting the word “or” at the end of clause (viii) thereof,</w:t>
      </w:r>
    </w:p>
    <w:p>
      <w:pPr>
        <w:spacing w:after="0" w:line="253" w:lineRule="exact"/>
        <w:rPr>
          <w:rFonts w:ascii="Times New Roman" w:cs="Times New Roman" w:eastAsia="Times New Roman" w:hAnsi="Times New Roman"/>
          <w:sz w:val="21"/>
          <w:szCs w:val="21"/>
          <w:color w:val="auto"/>
        </w:rPr>
      </w:pPr>
    </w:p>
    <w:p>
      <w:pPr>
        <w:ind w:left="1300" w:right="20" w:hanging="329"/>
        <w:spacing w:after="0" w:line="290" w:lineRule="auto"/>
        <w:tabs>
          <w:tab w:leader="none" w:pos="144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inserting a new clause (ix) immediately following the end of clause (viii) therein, which new clause (ix) shall read in full as follows:</w:t>
      </w:r>
    </w:p>
    <w:p>
      <w:pPr>
        <w:spacing w:after="0" w:line="166" w:lineRule="exact"/>
        <w:rPr>
          <w:rFonts w:ascii="Times New Roman" w:cs="Times New Roman" w:eastAsia="Times New Roman" w:hAnsi="Times New Roman"/>
          <w:sz w:val="21"/>
          <w:szCs w:val="21"/>
          <w:color w:val="auto"/>
        </w:rPr>
      </w:pPr>
    </w:p>
    <w:p>
      <w:pPr>
        <w:jc w:val="both"/>
        <w:ind w:left="1300" w:right="640" w:hanging="7"/>
        <w:spacing w:after="0" w:line="269" w:lineRule="auto"/>
        <w:tabs>
          <w:tab w:leader="none" w:pos="1689"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Section 2.06 in a manner that would alter or eliminate the ratable treatment of Lenders with respect to any reduction of the Aggregate Maximum Credit Amounts or Aggregate Elected Commitment Amounts without the written consent of each Lender (including, subject to the final sentence of this Section 12.02(b), any Lender that is a Defaulting Lender), or</w:t>
      </w:r>
    </w:p>
    <w:p>
      <w:pPr>
        <w:spacing w:after="0" w:line="189" w:lineRule="exact"/>
        <w:rPr>
          <w:rFonts w:ascii="Times New Roman" w:cs="Times New Roman" w:eastAsia="Times New Roman" w:hAnsi="Times New Roman"/>
          <w:sz w:val="21"/>
          <w:szCs w:val="21"/>
          <w:color w:val="auto"/>
        </w:rPr>
      </w:pPr>
    </w:p>
    <w:p>
      <w:pPr>
        <w:ind w:left="1420" w:hanging="449"/>
        <w:spacing w:after="0"/>
        <w:tabs>
          <w:tab w:leader="none" w:pos="14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renumbering existing clause (ix) as new clause (x).</w:t>
      </w:r>
    </w:p>
    <w:p>
      <w:pPr>
        <w:spacing w:after="0" w:line="254" w:lineRule="exact"/>
        <w:rPr>
          <w:sz w:val="20"/>
          <w:szCs w:val="20"/>
          <w:color w:val="auto"/>
        </w:rPr>
      </w:pPr>
    </w:p>
    <w:p>
      <w:pPr>
        <w:ind w:right="20"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2.6 </w:t>
      </w:r>
      <w:r>
        <w:rPr>
          <w:rFonts w:ascii="Times New Roman" w:cs="Times New Roman" w:eastAsia="Times New Roman" w:hAnsi="Times New Roman"/>
          <w:sz w:val="21"/>
          <w:szCs w:val="21"/>
          <w:u w:val="single" w:color="auto"/>
          <w:color w:val="000000"/>
        </w:rPr>
        <w:t>Amendment to Section 12.04</w:t>
      </w:r>
      <w:r>
        <w:rPr>
          <w:rFonts w:ascii="Times New Roman" w:cs="Times New Roman" w:eastAsia="Times New Roman" w:hAnsi="Times New Roman"/>
          <w:sz w:val="21"/>
          <w:szCs w:val="21"/>
          <w:color w:val="000000"/>
        </w:rPr>
        <w:t>. Clause (b) of Section 12.04 of the Credit Agreement is hereby amended by amending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restating clause (i) therein in its entirety to read in full as follows:</w:t>
      </w:r>
    </w:p>
    <w:p>
      <w:pPr>
        <w:spacing w:after="0" w:line="139" w:lineRule="exact"/>
        <w:rPr>
          <w:sz w:val="20"/>
          <w:szCs w:val="20"/>
          <w:color w:val="auto"/>
        </w:rPr>
      </w:pPr>
    </w:p>
    <w:p>
      <w:pPr>
        <w:jc w:val="both"/>
        <w:ind w:left="640" w:right="640" w:firstLine="10"/>
        <w:spacing w:after="0" w:line="273" w:lineRule="auto"/>
        <w:tabs>
          <w:tab w:leader="none" w:pos="105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condition set forth in Section 12.04(b)(ii),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200" w:lineRule="exact"/>
        <w:rPr>
          <w:sz w:val="20"/>
          <w:szCs w:val="20"/>
          <w:color w:val="auto"/>
        </w:rPr>
      </w:pPr>
    </w:p>
    <w:p>
      <w:pPr>
        <w:spacing w:after="0" w:line="248" w:lineRule="exact"/>
        <w:rPr>
          <w:sz w:val="20"/>
          <w:szCs w:val="20"/>
          <w:color w:val="auto"/>
        </w:rPr>
      </w:pPr>
    </w:p>
    <w:p>
      <w:pPr>
        <w:jc w:val="both"/>
        <w:ind w:firstLine="643"/>
        <w:spacing w:after="0" w:line="259" w:lineRule="auto"/>
        <w:rPr>
          <w:sz w:val="20"/>
          <w:szCs w:val="20"/>
          <w:color w:val="auto"/>
        </w:rPr>
      </w:pPr>
      <w:r>
        <w:rPr>
          <w:rFonts w:ascii="Times New Roman" w:cs="Times New Roman" w:eastAsia="Times New Roman" w:hAnsi="Times New Roman"/>
          <w:sz w:val="21"/>
          <w:szCs w:val="21"/>
          <w:color w:val="010000"/>
        </w:rPr>
        <w:t xml:space="preserve">2.7 </w:t>
      </w:r>
      <w:r>
        <w:rPr>
          <w:rFonts w:ascii="Times New Roman" w:cs="Times New Roman" w:eastAsia="Times New Roman" w:hAnsi="Times New Roman"/>
          <w:sz w:val="21"/>
          <w:szCs w:val="21"/>
          <w:u w:val="single" w:color="auto"/>
          <w:color w:val="000000"/>
        </w:rPr>
        <w:t>Amendment to Annex I</w:t>
      </w:r>
      <w:r>
        <w:rPr>
          <w:rFonts w:ascii="Times New Roman" w:cs="Times New Roman" w:eastAsia="Times New Roman" w:hAnsi="Times New Roman"/>
          <w:sz w:val="21"/>
          <w:szCs w:val="21"/>
          <w:color w:val="000000"/>
        </w:rPr>
        <w:t>. Annex I to the Credit Agreement is hereby replaced in its entirety with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Annex I</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attached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hereto, and </w:t>
      </w:r>
      <w:r>
        <w:rPr>
          <w:rFonts w:ascii="Times New Roman" w:cs="Times New Roman" w:eastAsia="Times New Roman" w:hAnsi="Times New Roman"/>
          <w:sz w:val="21"/>
          <w:szCs w:val="21"/>
          <w:u w:val="single" w:color="auto"/>
          <w:color w:val="000000"/>
        </w:rPr>
        <w:t>Annex I</w:t>
      </w:r>
      <w:r>
        <w:rPr>
          <w:rFonts w:ascii="Times New Roman" w:cs="Times New Roman" w:eastAsia="Times New Roman" w:hAnsi="Times New Roman"/>
          <w:sz w:val="21"/>
          <w:szCs w:val="21"/>
          <w:color w:val="000000"/>
        </w:rPr>
        <w:t xml:space="preserve"> attached hereto shall be deemed to be attached as Annex I to the Credit Agreement effective as of the Amendment Effective Date. After giving effect to this Amendment and any Loans made on the Amendment Effective Date, (a) each Lender (including each New Lender) that holds Loans in an aggregate amount less than its Applicable Percentage of all Loans shall advance new Loans which shall be disbursed to the Administrative Agent and used to repay Loans outstanding to each Lender who holds Loans in an aggregate amount greater than its Applicable Percentage of all Loans, (b) each Lender’s participation in each Letter of Credit, if any, shall be automatically adjusted to equal its Applicable Percentage of the aggregate amount available to be drawn under such Letter of Credit, (c) such other adjustments shall be made as the Administrative Agent shall specify so that the Revolving Credit Exposure applicable to each Lender equals its Applicable Percentage of the aggregate Revolving Credit Exposure of all Lenders and (d) each Lender hereby waives any break funding payments that would otherwise be owing to such Lender under Section 5.02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1"/>
          <w:szCs w:val="21"/>
          <w:color w:val="auto"/>
        </w:rPr>
        <w:t xml:space="preserve">Credit Agreement as a result of the Loans, repayments and adjustments described in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21"/>
          <w:szCs w:val="21"/>
          <w:color w:val="010000"/>
        </w:rPr>
        <w:t xml:space="preserve">Section 3. </w:t>
      </w:r>
      <w:r>
        <w:rPr>
          <w:rFonts w:ascii="Times New Roman" w:cs="Times New Roman" w:eastAsia="Times New Roman" w:hAnsi="Times New Roman"/>
          <w:sz w:val="21"/>
          <w:szCs w:val="21"/>
          <w:u w:val="single" w:color="auto"/>
          <w:color w:val="000000"/>
        </w:rPr>
        <w:t>Amendment to Guaranty Agreement</w:t>
      </w:r>
      <w:r>
        <w:rPr>
          <w:rFonts w:ascii="Times New Roman" w:cs="Times New Roman" w:eastAsia="Times New Roman" w:hAnsi="Times New Roman"/>
          <w:sz w:val="21"/>
          <w:szCs w:val="21"/>
          <w:color w:val="000000"/>
        </w:rPr>
        <w:t>. In reliance on the representations, warranties, covenants and agreements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contained in this Amendment, and effective as of the Amendment Effective Date, the introductory paragraph of the Guaranty Agreement is hereby amended and restated in its entirety to read as follows:</w:t>
      </w:r>
    </w:p>
    <w:p>
      <w:pPr>
        <w:spacing w:after="0" w:line="152" w:lineRule="exact"/>
        <w:rPr>
          <w:sz w:val="20"/>
          <w:szCs w:val="20"/>
          <w:color w:val="auto"/>
        </w:rPr>
      </w:pPr>
    </w:p>
    <w:p>
      <w:pPr>
        <w:jc w:val="both"/>
        <w:ind w:left="640" w:right="640" w:firstLine="643"/>
        <w:spacing w:after="0" w:line="258" w:lineRule="auto"/>
        <w:rPr>
          <w:sz w:val="20"/>
          <w:szCs w:val="20"/>
          <w:color w:val="auto"/>
        </w:rPr>
      </w:pPr>
      <w:r>
        <w:rPr>
          <w:rFonts w:ascii="Times New Roman" w:cs="Times New Roman" w:eastAsia="Times New Roman" w:hAnsi="Times New Roman"/>
          <w:sz w:val="21"/>
          <w:szCs w:val="21"/>
          <w:color w:val="auto"/>
        </w:rPr>
        <w:t>“This GUARANTY AND COLLATERAL AGREEMENT, dated as of July 8, 2014, as amended, amended and restated, supplemented or otherwise modified from time to time, is made by Viper Energy, Inc., a Delaware corporation f/k/a Viper Energy Partners LP, a Delaware limited partnership (the “</w:t>
      </w:r>
      <w:r>
        <w:rPr>
          <w:rFonts w:ascii="Times New Roman" w:cs="Times New Roman" w:eastAsia="Times New Roman" w:hAnsi="Times New Roman"/>
          <w:sz w:val="21"/>
          <w:szCs w:val="21"/>
          <w:u w:val="single" w:color="auto"/>
          <w:color w:val="auto"/>
        </w:rPr>
        <w:t>Parent Guarantor</w:t>
      </w:r>
      <w:r>
        <w:rPr>
          <w:rFonts w:ascii="Times New Roman" w:cs="Times New Roman" w:eastAsia="Times New Roman" w:hAnsi="Times New Roman"/>
          <w:sz w:val="21"/>
          <w:szCs w:val="21"/>
          <w:color w:val="auto"/>
        </w:rPr>
        <w:t>”), Viper Energy Partners LLC, a Delaware limited liability company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each of the other signatories hereto other than the Administrative Agent (the Borrower, the Parent Guarantor and each of the other signatories hereto other than the Administrative Agent, together with any other Subsidiary of the Borrower that becomes a party hereto from time to time after the date hereof, the “</w:t>
      </w:r>
      <w:r>
        <w:rPr>
          <w:rFonts w:ascii="Times New Roman" w:cs="Times New Roman" w:eastAsia="Times New Roman" w:hAnsi="Times New Roman"/>
          <w:sz w:val="21"/>
          <w:szCs w:val="21"/>
          <w:u w:val="single" w:color="auto"/>
          <w:color w:val="auto"/>
        </w:rPr>
        <w:t>Grantors</w:t>
      </w:r>
      <w:r>
        <w:rPr>
          <w:rFonts w:ascii="Times New Roman" w:cs="Times New Roman" w:eastAsia="Times New Roman" w:hAnsi="Times New Roman"/>
          <w:sz w:val="21"/>
          <w:szCs w:val="21"/>
          <w:color w:val="auto"/>
        </w:rPr>
        <w:t>”), in favor of Wells Fargo Bank, N.A., as administrative agent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for the banks and other financial institutions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from time to time parties to the Credit Agreement, dated as of even date herewith (as amended and restated by the Amended and Restated Credit Agreement dated as of July 20, 2018, and as further amended, amended and restated, supplemented or otherwise modified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the Borrower, the Parent Guarantor, the Lenders, and the Administrative Agent.”</w:t>
      </w:r>
    </w:p>
    <w:p>
      <w:pPr>
        <w:spacing w:after="0" w:line="205" w:lineRule="exact"/>
        <w:rPr>
          <w:sz w:val="20"/>
          <w:szCs w:val="20"/>
          <w:color w:val="auto"/>
        </w:rPr>
      </w:pPr>
    </w:p>
    <w:p>
      <w:pPr>
        <w:ind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Section 4. </w:t>
      </w:r>
      <w:r>
        <w:rPr>
          <w:rFonts w:ascii="Times New Roman" w:cs="Times New Roman" w:eastAsia="Times New Roman" w:hAnsi="Times New Roman"/>
          <w:sz w:val="21"/>
          <w:szCs w:val="21"/>
          <w:u w:val="single" w:color="auto"/>
          <w:color w:val="000000"/>
        </w:rPr>
        <w:t>Borrowing Base Reaffirmation, Aggregate Elected Commitment Amounts Increase and Aggregate Maximum</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Credit Amounts</w:t>
      </w:r>
      <w:r>
        <w:rPr>
          <w:rFonts w:ascii="Times New Roman" w:cs="Times New Roman" w:eastAsia="Times New Roman" w:hAnsi="Times New Roman"/>
          <w:sz w:val="21"/>
          <w:szCs w:val="21"/>
          <w:color w:val="000000"/>
        </w:rPr>
        <w:t>.</w:t>
      </w:r>
    </w:p>
    <w:p>
      <w:pPr>
        <w:spacing w:after="0" w:line="139" w:lineRule="exact"/>
        <w:rPr>
          <w:sz w:val="20"/>
          <w:szCs w:val="20"/>
          <w:color w:val="auto"/>
        </w:rPr>
      </w:pPr>
    </w:p>
    <w:p>
      <w:pPr>
        <w:jc w:val="both"/>
        <w:ind w:firstLine="650"/>
        <w:spacing w:after="0" w:line="259" w:lineRule="auto"/>
        <w:tabs>
          <w:tab w:leader="none" w:pos="1215" w:val="left"/>
        </w:tabs>
        <w:numPr>
          <w:ilvl w:val="0"/>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reliance on the covenants and agreements contained in this Amendment, and effective as of the Amendment Effective Date, the Administrative Agent and the Lenders (including the New Lenders) party hereto agree that the Borrowing Base is hereby reaffirmed at $1,250,000,000, and the Borrowing Base shall remain at $1,250,000,000 until the next Scheduled Redetermination, Interim Redetermination, or other redetermination or adjustment of the Borrowing Base hereafter, whichever occurs first pursuant to the terms of the Credit Agreement. The Borrower, the Administrative Agent and the Lenders hereby agree that the redetermination of the Borrowing Base provided for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constitute the Scheduled Redetermination scheduled for November 1, 2024 for purposes of Section 2.07(b) of the Credit Agreement.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constitutes a New Borrowing Base Notice received by the Borrower in accordance with Section 2.07(d) of the Credit Agreement. The new Borrowing Base determined pursuant to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shall be effective as of the Amendment Effective Date, notwithstanding the effective date that would otherwise be applicable to a redetermination pursuant to Section 2.07(d)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1" w:right="339" w:bottom="1440" w:gutter="0" w:footer="0" w:header="0"/>
        </w:sectPr>
      </w:pPr>
    </w:p>
    <w:bookmarkStart w:id="177" w:name="page178"/>
    <w:bookmarkEnd w:id="177"/>
    <w:p>
      <w:pPr>
        <w:jc w:val="both"/>
        <w:ind w:firstLine="650"/>
        <w:spacing w:after="0" w:line="260" w:lineRule="auto"/>
        <w:tabs>
          <w:tab w:leader="none" w:pos="1133"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Borrower and each Lender (including the New Lenders) party hereto agree that, as of the Amendment Effective Date, (i) the Aggregate Elected Commitment Amounts are hereby increased from $850,000,000 to $1,250,000,000 as requested by the Borrower, effective as of the Amendment Effective Date, with each such Lender’s Elected Commitment being as set forth on Annex I to the Credit Agreement (as amended hereby) and (ii) such increase is being effectuated pursuant to this Amendment without the need for delivery of Elected Commitment Amount Increase Agreements, any Additional Lender Agreements or any other notices or certificates that may otherwise have been required pursuant to the Credit Agreement. Notwithstanding any conditions precedent or other requirements set forth in Section 2.06(b)(ii) of the Credit Agreement, including, without limitation, the last sentence of Section 2.06(b)(ii)(D), the new Elected Commitments established pursuant to this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shall automatically become effective as of the Amendment Effective Date.</w:t>
      </w:r>
    </w:p>
    <w:p>
      <w:pPr>
        <w:spacing w:after="0" w:line="176" w:lineRule="exact"/>
        <w:rPr>
          <w:rFonts w:ascii="Times New Roman" w:cs="Times New Roman" w:eastAsia="Times New Roman" w:hAnsi="Times New Roman"/>
          <w:sz w:val="21"/>
          <w:szCs w:val="21"/>
          <w:color w:val="010000"/>
        </w:rPr>
      </w:pPr>
    </w:p>
    <w:p>
      <w:pPr>
        <w:ind w:left="1100" w:hanging="450"/>
        <w:spacing w:after="0"/>
        <w:tabs>
          <w:tab w:leader="none" w:pos="1100"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Aggregate Maximum Credit Amounts are unchanged by this Amendment and continue to be $2,000,000,000.</w:t>
      </w:r>
    </w:p>
    <w:p>
      <w:pPr>
        <w:spacing w:after="0" w:line="227" w:lineRule="exact"/>
        <w:rPr>
          <w:sz w:val="20"/>
          <w:szCs w:val="20"/>
          <w:color w:val="auto"/>
        </w:rPr>
      </w:pPr>
    </w:p>
    <w:p>
      <w:pPr>
        <w:jc w:val="both"/>
        <w:ind w:firstLine="643"/>
        <w:spacing w:after="0" w:line="257" w:lineRule="auto"/>
        <w:rPr>
          <w:sz w:val="20"/>
          <w:szCs w:val="20"/>
          <w:color w:val="auto"/>
        </w:rPr>
      </w:pPr>
      <w:r>
        <w:rPr>
          <w:rFonts w:ascii="Times New Roman" w:cs="Times New Roman" w:eastAsia="Times New Roman" w:hAnsi="Times New Roman"/>
          <w:sz w:val="21"/>
          <w:szCs w:val="21"/>
          <w:color w:val="010000"/>
        </w:rPr>
        <w:t xml:space="preserve">Section 5. </w:t>
      </w:r>
      <w:r>
        <w:rPr>
          <w:rFonts w:ascii="Times New Roman" w:cs="Times New Roman" w:eastAsia="Times New Roman" w:hAnsi="Times New Roman"/>
          <w:sz w:val="21"/>
          <w:szCs w:val="21"/>
          <w:u w:val="single" w:color="auto"/>
          <w:color w:val="000000"/>
        </w:rPr>
        <w:t>New Lenders</w:t>
      </w:r>
      <w:r>
        <w:rPr>
          <w:rFonts w:ascii="Times New Roman" w:cs="Times New Roman" w:eastAsia="Times New Roman" w:hAnsi="Times New Roman"/>
          <w:sz w:val="21"/>
          <w:szCs w:val="21"/>
          <w:color w:val="000000"/>
        </w:rPr>
        <w:t>. The New Lenders hereby join in, become a party to, and agree to comply with and be bound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terms and conditions of the Credit Agreement as amended hereby as a Lender thereunder and under each and every other Loan Document to which any Lender is required to be bound by the Credit Agreement as amended hereby, to the same extent as if such New Lender were an original signatory thereto or to an Additional Lender Agreement. Each New Lender hereby appoints and authorizes the Administrative Agent to take such action as agent on its behalf and to exercise such powers and discretion under the Credit Agreement as amended hereby as are delegated to the Administrative Agent by the terms thereof, together with such powers and discretion as are reasonably incidental thereto. Each New Lender represents and warrants that (a) it has full power and authority, and has taken all action necessary, to execute and deliver this Amendment, to perform its obligations under this Amendment, the Credit Agreement and any other applicable Loan Documents, to consummate the transactions contemplated hereby and thereby and to become a party to, and a Lender under, the Credit Agreement as amended hereby, (b) it has received a copy of the Credit Agreement and copies of the most recent financial statements delivered pursuant to Section 8.01 thereof, and such other documents and information as it has deemed appropriate to make its own credit analysis and decision to enter into this Amendment and to become a Lender on the basis of which it has made such analysis and decision independently and without reliance on the Administrative Agent or any other Lender, and (c) from and after the Amendment Effective Date, it shall be a party to and be bound by the provisions of the Credit Agreement as amended hereby and the other Loan Documents and have the rights and obligations of a Lender thereunder.</w:t>
      </w:r>
    </w:p>
    <w:p>
      <w:pPr>
        <w:spacing w:after="0" w:line="187"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Section 6. </w:t>
      </w:r>
      <w:r>
        <w:rPr>
          <w:rFonts w:ascii="Times New Roman" w:cs="Times New Roman" w:eastAsia="Times New Roman" w:hAnsi="Times New Roman"/>
          <w:sz w:val="21"/>
          <w:szCs w:val="21"/>
          <w:u w:val="single" w:color="auto"/>
          <w:color w:val="000000"/>
        </w:rPr>
        <w:t>Conditions Precedent to Amendment Effective Date</w:t>
      </w:r>
      <w:r>
        <w:rPr>
          <w:rFonts w:ascii="Times New Roman" w:cs="Times New Roman" w:eastAsia="Times New Roman" w:hAnsi="Times New Roman"/>
          <w:sz w:val="21"/>
          <w:szCs w:val="21"/>
          <w:color w:val="000000"/>
        </w:rPr>
        <w:t>. The amendments and changes set forth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Sections 2</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and </w:t>
      </w:r>
      <w:r>
        <w:rPr>
          <w:rFonts w:ascii="Times New Roman" w:cs="Times New Roman" w:eastAsia="Times New Roman" w:hAnsi="Times New Roman"/>
          <w:sz w:val="21"/>
          <w:szCs w:val="21"/>
          <w:u w:val="single" w:color="auto"/>
          <w:color w:val="000000"/>
        </w:rPr>
        <w:t>4</w:t>
      </w:r>
      <w:r>
        <w:rPr>
          <w:rFonts w:ascii="Times New Roman" w:cs="Times New Roman" w:eastAsia="Times New Roman" w:hAnsi="Times New Roman"/>
          <w:sz w:val="21"/>
          <w:szCs w:val="21"/>
          <w:color w:val="000000"/>
        </w:rPr>
        <w:t xml:space="preserve"> of this Amendment shall become effective on the date (such date, the “</w:t>
      </w:r>
      <w:r>
        <w:rPr>
          <w:rFonts w:ascii="Times New Roman" w:cs="Times New Roman" w:eastAsia="Times New Roman" w:hAnsi="Times New Roman"/>
          <w:sz w:val="21"/>
          <w:szCs w:val="21"/>
          <w:u w:val="single" w:color="auto"/>
          <w:color w:val="000000"/>
        </w:rPr>
        <w:t>Amendment Effective Date</w:t>
      </w:r>
      <w:r>
        <w:rPr>
          <w:rFonts w:ascii="Times New Roman" w:cs="Times New Roman" w:eastAsia="Times New Roman" w:hAnsi="Times New Roman"/>
          <w:sz w:val="21"/>
          <w:szCs w:val="21"/>
          <w:color w:val="000000"/>
        </w:rPr>
        <w:t>”) when each of the following conditions is satisfied (or waived in accordance with Section 12.02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1" w:right="339" w:bottom="1440" w:gutter="0" w:footer="0" w:header="0"/>
        </w:sectPr>
      </w:pPr>
    </w:p>
    <w:bookmarkStart w:id="178" w:name="page179"/>
    <w:bookmarkEnd w:id="178"/>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color w:val="000000"/>
        </w:rPr>
        <w:t>The Administrative Agent shall have received from (i) each Lender (including the New Lenders), (ii) the Parent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Guarantor, and (iii) the Borrower counterparts (in such number as may be requested by the Administrative Agent) of this Amendment signed on behalf of such Persons.</w:t>
      </w:r>
    </w:p>
    <w:p>
      <w:pPr>
        <w:spacing w:after="0" w:line="173"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color w:val="000000"/>
        </w:rPr>
        <w:t>The Administrative Agent and the Lenders shall have received all fees and other amounts due and payable on or prior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to the date hereof under the Loan Documents, including, to the extent invoiced no later than one Business Day prior to the date hereof, reimbursement or payment of all documented out-of-pocket expenses required to be reimbursed or paid by the Borrower under the Credit Agreement.</w:t>
      </w:r>
    </w:p>
    <w:p>
      <w:pPr>
        <w:spacing w:after="0" w:line="165" w:lineRule="exact"/>
        <w:rPr>
          <w:sz w:val="20"/>
          <w:szCs w:val="20"/>
          <w:color w:val="auto"/>
        </w:rPr>
      </w:pPr>
    </w:p>
    <w:p>
      <w:pPr>
        <w:jc w:val="both"/>
        <w:ind w:firstLine="643"/>
        <w:spacing w:after="0" w:line="303" w:lineRule="auto"/>
        <w:rPr>
          <w:sz w:val="20"/>
          <w:szCs w:val="20"/>
          <w:color w:val="auto"/>
        </w:rPr>
      </w:pPr>
      <w:r>
        <w:rPr>
          <w:rFonts w:ascii="Times New Roman" w:cs="Times New Roman" w:eastAsia="Times New Roman" w:hAnsi="Times New Roman"/>
          <w:sz w:val="21"/>
          <w:szCs w:val="21"/>
          <w:color w:val="010000"/>
        </w:rPr>
        <w:t xml:space="preserve">6.3 </w:t>
      </w:r>
      <w:r>
        <w:rPr>
          <w:rFonts w:ascii="Times New Roman" w:cs="Times New Roman" w:eastAsia="Times New Roman" w:hAnsi="Times New Roman"/>
          <w:sz w:val="21"/>
          <w:szCs w:val="21"/>
          <w:color w:val="000000"/>
        </w:rPr>
        <w:t>No Default shall have occurred and be continuing as of the date hereof, after giving effect to the terms of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Amendment.</w:t>
      </w:r>
    </w:p>
    <w:p>
      <w:pPr>
        <w:spacing w:after="0" w:line="127"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auto"/>
        </w:rPr>
        <w:t xml:space="preserve">The Administrative Agent is hereby authorized and directed to declare the Amendment Effective Date to have occurred when it has received documents confirming or certifying, to the satisfaction of the Administrative Agent, compliance with the conditions set forth in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or the waiver of such conditions as permitted in Section 12.02 of the Credit Agreement. Such declaration shall be final, conclusive and binding upon all parties to the Credit Agreement for all purposes.</w:t>
      </w:r>
    </w:p>
    <w:p>
      <w:pPr>
        <w:spacing w:after="0" w:line="165"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1"/>
          <w:szCs w:val="21"/>
          <w:color w:val="010000"/>
        </w:rPr>
        <w:t>Section 7.</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jc w:val="both"/>
        <w:ind w:right="20"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7.1 </w:t>
      </w:r>
      <w:r>
        <w:rPr>
          <w:rFonts w:ascii="Times New Roman" w:cs="Times New Roman" w:eastAsia="Times New Roman" w:hAnsi="Times New Roman"/>
          <w:sz w:val="21"/>
          <w:szCs w:val="21"/>
          <w:u w:val="single" w:color="auto"/>
          <w:color w:val="000000"/>
        </w:rPr>
        <w:t>Confirmation</w:t>
      </w:r>
      <w:r>
        <w:rPr>
          <w:rFonts w:ascii="Times New Roman" w:cs="Times New Roman" w:eastAsia="Times New Roman" w:hAnsi="Times New Roman"/>
          <w:sz w:val="21"/>
          <w:szCs w:val="21"/>
          <w:color w:val="000000"/>
        </w:rPr>
        <w:t>. The provisions of the Credit Agreement, as amended by this Amendment, shall remain in full force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effect following the effectiveness of this Amendment.</w:t>
      </w:r>
    </w:p>
    <w:p>
      <w:pPr>
        <w:spacing w:after="0" w:line="139"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010000"/>
        </w:rPr>
        <w:t>7.2</w:t>
      </w:r>
      <w:r>
        <w:rPr>
          <w:sz w:val="20"/>
          <w:szCs w:val="20"/>
          <w:color w:val="auto"/>
        </w:rPr>
        <w:tab/>
      </w:r>
      <w:r>
        <w:rPr>
          <w:rFonts w:ascii="Times New Roman" w:cs="Times New Roman" w:eastAsia="Times New Roman" w:hAnsi="Times New Roman"/>
          <w:sz w:val="21"/>
          <w:szCs w:val="21"/>
          <w:u w:val="single" w:color="auto"/>
          <w:color w:val="auto"/>
        </w:rPr>
        <w:t>Ratification and Affirmation; Representations and Warranties</w:t>
      </w:r>
      <w:r>
        <w:rPr>
          <w:rFonts w:ascii="Times New Roman" w:cs="Times New Roman" w:eastAsia="Times New Roman" w:hAnsi="Times New Roman"/>
          <w:sz w:val="21"/>
          <w:szCs w:val="21"/>
          <w:color w:val="auto"/>
        </w:rPr>
        <w:t>. Each of the Parent Guarantor and the Borrower hereby</w:t>
      </w:r>
    </w:p>
    <w:p>
      <w:pPr>
        <w:spacing w:after="0" w:line="37" w:lineRule="exact"/>
        <w:rPr>
          <w:sz w:val="20"/>
          <w:szCs w:val="20"/>
          <w:color w:val="auto"/>
        </w:rPr>
      </w:pPr>
    </w:p>
    <w:p>
      <w:pPr>
        <w:jc w:val="both"/>
        <w:ind w:firstLine="7"/>
        <w:spacing w:after="0" w:line="264" w:lineRule="auto"/>
        <w:tabs>
          <w:tab w:leader="none" w:pos="30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ratifies and affirms its obligations under, and acknowledges its continued liability under, each Loan Document to which it is a party and agrees that each Loan Document to which it is a party remains in full force and effect, in each case as expressly amended hereby and (b) represents and warrants to the Lenders that as of the date hereof, after giving effect to the terms of this Amendment:</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jc w:val="both"/>
        <w:ind w:left="640" w:firstLine="653"/>
        <w:spacing w:after="0" w:line="262" w:lineRule="auto"/>
        <w:tabs>
          <w:tab w:leader="none" w:pos="1739" w:val="left"/>
        </w:tabs>
        <w:numPr>
          <w:ilvl w:val="1"/>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of the representations and warranties contained in each Loan Document to which it is a party are true and correct in all material respects (or, if already qualified by materiality, Material Adverse Effect or a similar qualification, true and correct in all respects), except to the extent any such representations and warranties are expressly limited to an earlier date, in which case such representations and warranties shall be true and correct in all material respects (or, if already qualified by materiality, Material Adverse Effect or a similar qualification, true and correct in all respects) as of such specified earlier date; and</w:t>
      </w:r>
    </w:p>
    <w:p>
      <w:pPr>
        <w:spacing w:after="0" w:line="172" w:lineRule="exact"/>
        <w:rPr>
          <w:rFonts w:ascii="Times New Roman" w:cs="Times New Roman" w:eastAsia="Times New Roman" w:hAnsi="Times New Roman"/>
          <w:sz w:val="21"/>
          <w:szCs w:val="21"/>
          <w:color w:val="010000"/>
        </w:rPr>
      </w:pPr>
    </w:p>
    <w:p>
      <w:pPr>
        <w:ind w:left="1760" w:hanging="467"/>
        <w:spacing w:after="0"/>
        <w:tabs>
          <w:tab w:leader="none" w:pos="1760" w:val="left"/>
        </w:tabs>
        <w:numPr>
          <w:ilvl w:val="1"/>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Default or Event of Default has occurred and is continuing.</w:t>
      </w:r>
    </w:p>
    <w:p>
      <w:pPr>
        <w:spacing w:after="0" w:line="2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Without limiting the generality of the foregoing, the Security Instruments and all of the collateral described therein do and shall continue to secure, in accordance with the terms of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1" w:right="339" w:bottom="1440" w:gutter="0" w:footer="0" w:header="0"/>
        </w:sectPr>
      </w:pPr>
    </w:p>
    <w:bookmarkStart w:id="179" w:name="page180"/>
    <w:bookmarkEnd w:id="179"/>
    <w:p>
      <w:pPr>
        <w:jc w:val="both"/>
        <w:spacing w:after="0" w:line="269" w:lineRule="auto"/>
        <w:rPr>
          <w:sz w:val="20"/>
          <w:szCs w:val="20"/>
          <w:color w:val="auto"/>
        </w:rPr>
      </w:pPr>
      <w:r>
        <w:rPr>
          <w:rFonts w:ascii="Times New Roman" w:cs="Times New Roman" w:eastAsia="Times New Roman" w:hAnsi="Times New Roman"/>
          <w:sz w:val="21"/>
          <w:szCs w:val="21"/>
          <w:color w:val="auto"/>
        </w:rPr>
        <w:t>Instruments, the payment of all Indebtedness of the Loan Parties under the Loan Documents, in each case, as amended by this Amendment.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63"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010000"/>
        </w:rPr>
        <w:t xml:space="preserve">7.3 </w:t>
      </w:r>
      <w:r>
        <w:rPr>
          <w:rFonts w:ascii="Times New Roman" w:cs="Times New Roman" w:eastAsia="Times New Roman" w:hAnsi="Times New Roman"/>
          <w:sz w:val="21"/>
          <w:szCs w:val="21"/>
          <w:u w:val="single" w:color="auto"/>
          <w:color w:val="000000"/>
        </w:rPr>
        <w:t>Counterparts</w:t>
      </w:r>
      <w:r>
        <w:rPr>
          <w:rFonts w:ascii="Times New Roman" w:cs="Times New Roman" w:eastAsia="Times New Roman" w:hAnsi="Times New Roman"/>
          <w:sz w:val="21"/>
          <w:szCs w:val="21"/>
          <w:color w:val="000000"/>
        </w:rPr>
        <w:t>. This Amendment may be executed by one or more of the parties hereto in any number of separate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counterparts, and all of such counterparts taken together shall be deemed to constitute one and the same instrument. Delivery of this Amendment by facsimile or electronic transmission shall be effective as delivery of a manually executed counterpart hereof.</w:t>
      </w:r>
    </w:p>
    <w:p>
      <w:pPr>
        <w:spacing w:after="0" w:line="15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color w:val="010000"/>
        </w:rPr>
        <w:t>7.4</w:t>
      </w:r>
      <w:r>
        <w:rPr>
          <w:sz w:val="20"/>
          <w:szCs w:val="20"/>
          <w:color w:val="auto"/>
        </w:rPr>
        <w:tab/>
      </w:r>
      <w:r>
        <w:rPr>
          <w:rFonts w:ascii="Times New Roman" w:cs="Times New Roman" w:eastAsia="Times New Roman" w:hAnsi="Times New Roman"/>
          <w:sz w:val="21"/>
          <w:szCs w:val="21"/>
          <w:b w:val="1"/>
          <w:bCs w:val="1"/>
          <w:u w:val="single" w:color="auto"/>
          <w:color w:val="auto"/>
        </w:rPr>
        <w:t>NO ORAL AGREEMENT</w:t>
      </w:r>
      <w:r>
        <w:rPr>
          <w:rFonts w:ascii="Times New Roman" w:cs="Times New Roman" w:eastAsia="Times New Roman" w:hAnsi="Times New Roman"/>
          <w:sz w:val="21"/>
          <w:szCs w:val="21"/>
          <w:b w:val="1"/>
          <w:bCs w:val="1"/>
          <w:color w:val="auto"/>
        </w:rPr>
        <w:t>. THIS AMENDMENT, THE CREDIT AGREEMENT AND THE OTHER LOAN</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DOCUMENTS EXECUTED IN CONNECTION HEREWITH AND THEREWITH REPRESENT THE FINAL AGREEMENT BETWEEN THE PARTIES AND MAY NOT BE CONTRADICTED BY EVIDENCE OF PRIOR, CONTEMPORANEOUS, OR SUBSEQUENT UNWRITTEN ORAL AGREEMENTS OF THE PARTIES. THERE ARE NO UNWRITTEN ORAL AGREEMENTS BETWEEN THE PARTIES.</w:t>
      </w:r>
    </w:p>
    <w:p>
      <w:pPr>
        <w:spacing w:after="0" w:line="170"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7.5 </w:t>
      </w:r>
      <w:r>
        <w:rPr>
          <w:rFonts w:ascii="Times New Roman" w:cs="Times New Roman" w:eastAsia="Times New Roman" w:hAnsi="Times New Roman"/>
          <w:sz w:val="21"/>
          <w:szCs w:val="21"/>
          <w:u w:val="single" w:color="auto"/>
          <w:color w:val="000000"/>
        </w:rPr>
        <w:t>GOVERNING LAW</w:t>
      </w:r>
      <w:r>
        <w:rPr>
          <w:rFonts w:ascii="Times New Roman" w:cs="Times New Roman" w:eastAsia="Times New Roman" w:hAnsi="Times New Roman"/>
          <w:sz w:val="21"/>
          <w:szCs w:val="21"/>
          <w:color w:val="000000"/>
        </w:rPr>
        <w:t>. THIS AMENDMENT SHALL BE GOVERNED BY, AND CONSTRUED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ACCORDANCE WITH, THE LAWS OF THE STATE OF NEW YORK.</w:t>
      </w:r>
    </w:p>
    <w:p>
      <w:pPr>
        <w:spacing w:after="0" w:line="153"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010000"/>
        </w:rPr>
        <w:t xml:space="preserve">7.6 </w:t>
      </w:r>
      <w:r>
        <w:rPr>
          <w:rFonts w:ascii="Times New Roman" w:cs="Times New Roman" w:eastAsia="Times New Roman" w:hAnsi="Times New Roman"/>
          <w:sz w:val="21"/>
          <w:szCs w:val="21"/>
          <w:u w:val="single" w:color="auto"/>
          <w:color w:val="000000"/>
        </w:rPr>
        <w:t>Payment of Expenses</w:t>
      </w:r>
      <w:r>
        <w:rPr>
          <w:rFonts w:ascii="Times New Roman" w:cs="Times New Roman" w:eastAsia="Times New Roman" w:hAnsi="Times New Roman"/>
          <w:sz w:val="21"/>
          <w:szCs w:val="21"/>
          <w:color w:val="000000"/>
        </w:rPr>
        <w:t>. To the extent required pursuant to Section 12.03 of the Credit Agreement, the Borrower agrees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to pay or reimburse the Administrative Agent for all of its reasonable out-of-pocket expenses incurred in connection with this Amendment, any other documents prepared in connection herewith and the transactions contemplated hereby, including, without limitation, the reasonable fees, charges and disbursements of counsel to the Administrative Agent.</w:t>
      </w:r>
    </w:p>
    <w:p>
      <w:pPr>
        <w:spacing w:after="0" w:line="165" w:lineRule="exact"/>
        <w:rPr>
          <w:sz w:val="20"/>
          <w:szCs w:val="20"/>
          <w:color w:val="auto"/>
        </w:rPr>
      </w:pPr>
    </w:p>
    <w:p>
      <w:pPr>
        <w:jc w:val="both"/>
        <w:ind w:firstLine="643"/>
        <w:spacing w:after="0" w:line="269" w:lineRule="auto"/>
        <w:rPr>
          <w:sz w:val="20"/>
          <w:szCs w:val="20"/>
          <w:color w:val="auto"/>
        </w:rPr>
      </w:pPr>
      <w:r>
        <w:rPr>
          <w:rFonts w:ascii="Times New Roman" w:cs="Times New Roman" w:eastAsia="Times New Roman" w:hAnsi="Times New Roman"/>
          <w:sz w:val="21"/>
          <w:szCs w:val="21"/>
          <w:color w:val="010000"/>
        </w:rPr>
        <w:t xml:space="preserve">7.7 </w:t>
      </w:r>
      <w:r>
        <w:rPr>
          <w:rFonts w:ascii="Times New Roman" w:cs="Times New Roman" w:eastAsia="Times New Roman" w:hAnsi="Times New Roman"/>
          <w:sz w:val="21"/>
          <w:szCs w:val="21"/>
          <w:u w:val="single" w:color="auto"/>
          <w:color w:val="000000"/>
        </w:rPr>
        <w:t>Severability</w:t>
      </w:r>
      <w:r>
        <w:rPr>
          <w:rFonts w:ascii="Times New Roman" w:cs="Times New Roman" w:eastAsia="Times New Roman" w:hAnsi="Times New Roman"/>
          <w:sz w:val="21"/>
          <w:szCs w:val="21"/>
          <w:color w:val="000000"/>
        </w:rPr>
        <w:t>. Any provision of this Amendment that is prohibited or unenforceable in any jurisdiction shall, as to such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3"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010000"/>
        </w:rPr>
        <w:t xml:space="preserve">7.8 </w:t>
      </w:r>
      <w:r>
        <w:rPr>
          <w:rFonts w:ascii="Times New Roman" w:cs="Times New Roman" w:eastAsia="Times New Roman" w:hAnsi="Times New Roman"/>
          <w:sz w:val="21"/>
          <w:szCs w:val="21"/>
          <w:u w:val="single" w:color="auto"/>
          <w:color w:val="000000"/>
        </w:rPr>
        <w:t>Successors and Assigns</w:t>
      </w:r>
      <w:r>
        <w:rPr>
          <w:rFonts w:ascii="Times New Roman" w:cs="Times New Roman" w:eastAsia="Times New Roman" w:hAnsi="Times New Roman"/>
          <w:sz w:val="21"/>
          <w:szCs w:val="21"/>
          <w:color w:val="000000"/>
        </w:rPr>
        <w:t>. This Amendment shall be binding upon and inure to the benefit of the parties hereto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their respective successors and assigns.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1" w:right="339" w:bottom="1440" w:gutter="0" w:footer="0" w:header="0"/>
        </w:sectPr>
      </w:pPr>
    </w:p>
    <w:bookmarkStart w:id="180" w:name="page181"/>
    <w:bookmarkEnd w:id="180"/>
    <w:p>
      <w:pPr>
        <w:ind w:left="64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date first written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w:t>
      </w:r>
    </w:p>
    <w:p>
      <w:pPr>
        <w:spacing w:after="0" w:line="200" w:lineRule="exact"/>
        <w:rPr>
          <w:sz w:val="20"/>
          <w:szCs w:val="20"/>
          <w:color w:val="auto"/>
        </w:rPr>
      </w:pPr>
    </w:p>
    <w:p>
      <w:pPr>
        <w:spacing w:after="0" w:line="2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VIPER ENERGY PARTNERS LLC,</w:t>
      </w:r>
    </w:p>
    <w:p>
      <w:pPr>
        <w:spacing w:after="0" w:line="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020" w:type="dxa"/>
        <w:tblCellMar>
          <w:top w:w="0" w:type="dxa"/>
          <w:left w:w="0" w:type="dxa"/>
          <w:bottom w:w="0" w:type="dxa"/>
          <w:right w:w="0" w:type="dxa"/>
        </w:tblCellMar>
      </w:tblP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Teresa L. Dick</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Teresa L. Dick</w:t>
            </w:r>
          </w:p>
        </w:tc>
      </w:tr>
      <w:tr>
        <w:trPr>
          <w:trHeight w:val="279"/>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Executive Vice President, Chief Financial</w:t>
            </w:r>
          </w:p>
        </w:tc>
      </w:tr>
    </w:tbl>
    <w:p>
      <w:pPr>
        <w:ind w:left="5020"/>
        <w:spacing w:after="0"/>
        <w:rPr>
          <w:sz w:val="20"/>
          <w:szCs w:val="20"/>
          <w:color w:val="auto"/>
        </w:rPr>
      </w:pPr>
      <w:r>
        <w:rPr>
          <w:rFonts w:ascii="Times New Roman" w:cs="Times New Roman" w:eastAsia="Times New Roman" w:hAnsi="Times New Roman"/>
          <w:sz w:val="21"/>
          <w:szCs w:val="21"/>
          <w:color w:val="auto"/>
        </w:rPr>
        <w:t>Officer and Assistant Secretary</w:t>
      </w:r>
    </w:p>
    <w:p>
      <w:pPr>
        <w:spacing w:after="0" w:line="200" w:lineRule="exact"/>
        <w:rPr>
          <w:sz w:val="20"/>
          <w:szCs w:val="20"/>
          <w:color w:val="auto"/>
        </w:rPr>
      </w:pP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VIPER ENERGY, INC.,</w:t>
      </w:r>
    </w:p>
    <w:p>
      <w:pPr>
        <w:spacing w:after="0" w:line="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as Parent Guarantor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020" w:type="dxa"/>
        <w:tblCellMar>
          <w:top w:w="0" w:type="dxa"/>
          <w:left w:w="0" w:type="dxa"/>
          <w:bottom w:w="0" w:type="dxa"/>
          <w:right w:w="0" w:type="dxa"/>
        </w:tblCellMar>
      </w:tblP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Teresa L. Dick</w:t>
            </w:r>
          </w:p>
        </w:tc>
      </w:tr>
      <w:tr>
        <w:trPr>
          <w:trHeight w:val="34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Teresa L. Dick</w:t>
            </w:r>
          </w:p>
        </w:tc>
      </w:tr>
      <w:tr>
        <w:trPr>
          <w:trHeight w:val="279"/>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Executive Vice President, Chief Financial</w:t>
            </w:r>
          </w:p>
        </w:tc>
      </w:tr>
    </w:tbl>
    <w:p>
      <w:pPr>
        <w:ind w:left="5020"/>
        <w:spacing w:after="0"/>
        <w:rPr>
          <w:sz w:val="20"/>
          <w:szCs w:val="20"/>
          <w:color w:val="auto"/>
        </w:rPr>
      </w:pPr>
      <w:r>
        <w:rPr>
          <w:rFonts w:ascii="Times New Roman" w:cs="Times New Roman" w:eastAsia="Times New Roman" w:hAnsi="Times New Roman"/>
          <w:sz w:val="21"/>
          <w:szCs w:val="21"/>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THIRTEENTH AMENDMENT – VIPER ENERGY PARTNERS, LLC]</w:t>
      </w:r>
    </w:p>
    <w:p>
      <w:pPr>
        <w:sectPr>
          <w:pgSz w:w="11900" w:h="16838" w:orient="portrait"/>
          <w:cols w:equalWidth="0" w:num="1">
            <w:col w:w="11220"/>
          </w:cols>
          <w:pgMar w:left="320" w:top="1411" w:right="359" w:bottom="1440" w:gutter="0" w:footer="0" w:header="0"/>
        </w:sectPr>
      </w:pPr>
    </w:p>
    <w:bookmarkStart w:id="181" w:name="page182"/>
    <w:bookmarkEnd w:id="181"/>
    <w:p>
      <w:pPr>
        <w:ind w:left="4040"/>
        <w:spacing w:after="0"/>
        <w:rPr>
          <w:sz w:val="20"/>
          <w:szCs w:val="20"/>
          <w:color w:val="auto"/>
        </w:rPr>
      </w:pPr>
      <w:r>
        <w:rPr>
          <w:rFonts w:ascii="Times New Roman" w:cs="Times New Roman" w:eastAsia="Times New Roman" w:hAnsi="Times New Roman"/>
          <w:sz w:val="21"/>
          <w:szCs w:val="21"/>
          <w:color w:val="auto"/>
        </w:rPr>
        <w:t>WELLS FARGO BANK, NATIONAL</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ASSOCIATION,</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Real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2" w:name="page183"/>
    <w:bookmarkEnd w:id="182"/>
    <w:p>
      <w:pPr>
        <w:ind w:left="388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Brittany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Brittany Lehr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ectPr>
          <w:pgSz w:w="11900" w:h="16838" w:orient="portrait"/>
          <w:cols w:equalWidth="0" w:num="2">
            <w:col w:w="5000" w:space="340"/>
            <w:col w:w="367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3" w:name="page184"/>
    <w:bookmarkEnd w:id="183"/>
    <w:p>
      <w:pPr>
        <w:ind w:left="4040"/>
        <w:spacing w:after="0"/>
        <w:rPr>
          <w:sz w:val="20"/>
          <w:szCs w:val="20"/>
          <w:color w:val="auto"/>
        </w:rPr>
      </w:pPr>
      <w:r>
        <w:rPr>
          <w:rFonts w:ascii="Times New Roman" w:cs="Times New Roman" w:eastAsia="Times New Roman" w:hAnsi="Times New Roman"/>
          <w:sz w:val="21"/>
          <w:szCs w:val="21"/>
          <w:color w:val="auto"/>
        </w:rPr>
        <w:t>COMERICA BANK,</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Cassandra Lucas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4" w:name="page185"/>
    <w:bookmarkEnd w:id="184"/>
    <w:p>
      <w:pPr>
        <w:ind w:left="3880"/>
        <w:spacing w:after="0"/>
        <w:rPr>
          <w:sz w:val="20"/>
          <w:szCs w:val="20"/>
          <w:color w:val="auto"/>
        </w:rPr>
      </w:pPr>
      <w:r>
        <w:rPr>
          <w:rFonts w:ascii="Times New Roman" w:cs="Times New Roman" w:eastAsia="Times New Roman" w:hAnsi="Times New Roman"/>
          <w:sz w:val="21"/>
          <w:szCs w:val="21"/>
          <w:color w:val="auto"/>
        </w:rPr>
        <w:t>BOKF, NA, dba BANK OF OKLAHOMA,</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John Krenger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Krenger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SVP, Director</w:t>
      </w:r>
    </w:p>
    <w:p>
      <w:pPr>
        <w:spacing w:after="0" w:line="211" w:lineRule="exact"/>
        <w:rPr>
          <w:sz w:val="20"/>
          <w:szCs w:val="20"/>
          <w:color w:val="auto"/>
        </w:rPr>
      </w:pPr>
    </w:p>
    <w:p>
      <w:pPr>
        <w:sectPr>
          <w:pgSz w:w="11900" w:h="16838" w:orient="portrait"/>
          <w:cols w:equalWidth="0" w:num="2">
            <w:col w:w="5000" w:space="340"/>
            <w:col w:w="367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5" w:name="page186"/>
    <w:bookmarkEnd w:id="185"/>
    <w:p>
      <w:pPr>
        <w:ind w:left="3880"/>
        <w:spacing w:after="0"/>
        <w:rPr>
          <w:sz w:val="20"/>
          <w:szCs w:val="20"/>
          <w:color w:val="auto"/>
        </w:rPr>
      </w:pPr>
      <w:r>
        <w:rPr>
          <w:rFonts w:ascii="Times New Roman" w:cs="Times New Roman" w:eastAsia="Times New Roman" w:hAnsi="Times New Roman"/>
          <w:sz w:val="21"/>
          <w:szCs w:val="21"/>
          <w:color w:val="auto"/>
        </w:rPr>
        <w:t>CAPITAL ONE, NATIONAL ASSOCIATION,</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Jason Groll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60"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Jason Groll</w:t>
      </w:r>
    </w:p>
    <w:p>
      <w:pPr>
        <w:spacing w:after="0" w:line="37"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sectPr>
      </w:pPr>
    </w:p>
    <w:bookmarkStart w:id="186" w:name="page187"/>
    <w:bookmarkEnd w:id="186"/>
    <w:p>
      <w:pPr>
        <w:ind w:left="3880"/>
        <w:spacing w:after="0"/>
        <w:rPr>
          <w:sz w:val="20"/>
          <w:szCs w:val="20"/>
          <w:color w:val="auto"/>
        </w:rPr>
      </w:pPr>
      <w:r>
        <w:rPr>
          <w:rFonts w:ascii="Times New Roman" w:cs="Times New Roman" w:eastAsia="Times New Roman" w:hAnsi="Times New Roman"/>
          <w:sz w:val="21"/>
          <w:szCs w:val="21"/>
          <w:color w:val="auto"/>
        </w:rPr>
        <w:t>THE BANK OF NOVA SCOTIA, HOUSTON</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BRANCH, 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Sam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60"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Sam Cutler</w:t>
      </w:r>
    </w:p>
    <w:p>
      <w:pPr>
        <w:spacing w:after="0" w:line="37"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sectPr>
      </w:pPr>
    </w:p>
    <w:bookmarkStart w:id="187" w:name="page188"/>
    <w:bookmarkEnd w:id="187"/>
    <w:p>
      <w:pPr>
        <w:ind w:left="388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Umar Hassan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Umar Hassan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Authorized Officer</w:t>
      </w:r>
    </w:p>
    <w:p>
      <w:pPr>
        <w:spacing w:after="0" w:line="200" w:lineRule="exact"/>
        <w:rPr>
          <w:sz w:val="20"/>
          <w:szCs w:val="20"/>
          <w:color w:val="auto"/>
        </w:rPr>
      </w:pPr>
    </w:p>
    <w:p>
      <w:pPr>
        <w:sectPr>
          <w:pgSz w:w="11900" w:h="16838" w:orient="portrait"/>
          <w:cols w:equalWidth="0" w:num="2">
            <w:col w:w="5000" w:space="340"/>
            <w:col w:w="367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8" w:name="page189"/>
    <w:bookmarkEnd w:id="188"/>
    <w:p>
      <w:pPr>
        <w:ind w:left="3880"/>
        <w:spacing w:after="0"/>
        <w:rPr>
          <w:sz w:val="20"/>
          <w:szCs w:val="20"/>
          <w:color w:val="auto"/>
        </w:rPr>
      </w:pPr>
      <w:r>
        <w:rPr>
          <w:rFonts w:ascii="Times New Roman" w:cs="Times New Roman" w:eastAsia="Times New Roman" w:hAnsi="Times New Roman"/>
          <w:sz w:val="21"/>
          <w:szCs w:val="21"/>
          <w:color w:val="auto"/>
        </w:rPr>
        <w:t>CITIBANK, N.A.,</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60"/>
        <w:spacing w:after="0"/>
        <w:tabs>
          <w:tab w:leader="none" w:pos="220" w:val="left"/>
        </w:tabs>
        <w:rPr>
          <w:sz w:val="20"/>
          <w:szCs w:val="20"/>
          <w:color w:val="auto"/>
        </w:rPr>
      </w:pPr>
      <w:r>
        <w:rPr>
          <w:rFonts w:ascii="Times New Roman" w:cs="Times New Roman" w:eastAsia="Times New Roman" w:hAnsi="Times New Roman"/>
          <w:sz w:val="21"/>
          <w:szCs w:val="21"/>
          <w:color w:val="auto"/>
        </w:rPr>
        <w:t>By:</w:t>
        <w:tab/>
        <w:t>/s/ 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Jeff 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ectPr>
          <w:pgSz w:w="11900" w:h="16838" w:orient="portrait"/>
          <w:cols w:equalWidth="0" w:num="2">
            <w:col w:w="5000" w:space="340"/>
            <w:col w:w="367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89" w:name="page190"/>
    <w:bookmarkEnd w:id="189"/>
    <w:p>
      <w:pPr>
        <w:ind w:left="388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60"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Greg Smothers</w:t>
      </w:r>
    </w:p>
    <w:p>
      <w:pPr>
        <w:spacing w:after="0" w:line="37"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sectPr>
      </w:pPr>
    </w:p>
    <w:bookmarkStart w:id="190" w:name="page191"/>
    <w:bookmarkEnd w:id="190"/>
    <w:p>
      <w:pPr>
        <w:ind w:left="3880"/>
        <w:spacing w:after="0"/>
        <w:rPr>
          <w:sz w:val="20"/>
          <w:szCs w:val="20"/>
          <w:color w:val="auto"/>
        </w:rPr>
      </w:pPr>
      <w:r>
        <w:rPr>
          <w:rFonts w:ascii="Times New Roman" w:cs="Times New Roman" w:eastAsia="Times New Roman" w:hAnsi="Times New Roman"/>
          <w:sz w:val="21"/>
          <w:szCs w:val="21"/>
          <w:color w:val="auto"/>
        </w:rPr>
        <w:t>TRUIST BANK,</w:t>
      </w:r>
    </w:p>
    <w:p>
      <w:pPr>
        <w:spacing w:after="0" w:line="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tabs>
          <w:tab w:leader="none" w:pos="4420" w:val="left"/>
        </w:tabs>
        <w:rPr>
          <w:sz w:val="20"/>
          <w:szCs w:val="20"/>
          <w:color w:val="auto"/>
        </w:rPr>
      </w:pPr>
      <w:r>
        <w:rPr>
          <w:rFonts w:ascii="Times New Roman" w:cs="Times New Roman" w:eastAsia="Times New Roman" w:hAnsi="Times New Roman"/>
          <w:sz w:val="21"/>
          <w:szCs w:val="21"/>
          <w:color w:val="auto"/>
        </w:rPr>
        <w:t>By:</w:t>
        <w:tab/>
        <w:t>/s/ Greg Krabin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25400</wp:posOffset>
            </wp:positionV>
            <wp:extent cx="2746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60"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Greg Krabin</w:t>
      </w:r>
    </w:p>
    <w:p>
      <w:pPr>
        <w:spacing w:after="0" w:line="37"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sectPr>
      </w:pPr>
    </w:p>
    <w:bookmarkStart w:id="191" w:name="page192"/>
    <w:bookmarkEnd w:id="191"/>
    <w:p>
      <w:pPr>
        <w:ind w:left="4040"/>
        <w:spacing w:after="0"/>
        <w:rPr>
          <w:sz w:val="20"/>
          <w:szCs w:val="20"/>
          <w:color w:val="auto"/>
        </w:rPr>
      </w:pPr>
      <w:r>
        <w:rPr>
          <w:rFonts w:ascii="Times New Roman" w:cs="Times New Roman" w:eastAsia="Times New Roman" w:hAnsi="Times New Roman"/>
          <w:sz w:val="21"/>
          <w:szCs w:val="21"/>
          <w:color w:val="auto"/>
        </w:rPr>
        <w:t>GOLDMAN SACHS BANK USA,</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Andrew Vernon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Andrew Vernon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2" w:name="page193"/>
    <w:bookmarkEnd w:id="192"/>
    <w:p>
      <w:pPr>
        <w:ind w:left="4040"/>
        <w:spacing w:after="0"/>
        <w:rPr>
          <w:sz w:val="20"/>
          <w:szCs w:val="20"/>
          <w:color w:val="auto"/>
        </w:rPr>
      </w:pPr>
      <w:r>
        <w:rPr>
          <w:rFonts w:ascii="Times New Roman" w:cs="Times New Roman" w:eastAsia="Times New Roman" w:hAnsi="Times New Roman"/>
          <w:sz w:val="21"/>
          <w:szCs w:val="21"/>
          <w:color w:val="auto"/>
        </w:rPr>
        <w:t>BARCLAYS BANK PLC,</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60" w:lineRule="exact"/>
        <w:rPr>
          <w:sz w:val="20"/>
          <w:szCs w:val="20"/>
          <w:color w:val="auto"/>
        </w:rPr>
      </w:pPr>
    </w:p>
    <w:p>
      <w:pPr>
        <w:ind w:left="4600"/>
        <w:spacing w:after="0"/>
        <w:tabs>
          <w:tab w:leader="none" w:pos="55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Sydney G. Dennis</w:t>
      </w:r>
    </w:p>
    <w:p>
      <w:pPr>
        <w:spacing w:after="0" w:line="37" w:lineRule="exact"/>
        <w:rPr>
          <w:sz w:val="20"/>
          <w:szCs w:val="20"/>
          <w:color w:val="auto"/>
        </w:rPr>
      </w:pPr>
    </w:p>
    <w:p>
      <w:pPr>
        <w:ind w:left="4600"/>
        <w:spacing w:after="0"/>
        <w:tabs>
          <w:tab w:leader="none" w:pos="55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sectPr>
      </w:pPr>
    </w:p>
    <w:bookmarkStart w:id="193" w:name="page194"/>
    <w:bookmarkEnd w:id="193"/>
    <w:p>
      <w:pPr>
        <w:ind w:left="4040"/>
        <w:spacing w:after="0"/>
        <w:rPr>
          <w:sz w:val="20"/>
          <w:szCs w:val="20"/>
          <w:color w:val="auto"/>
        </w:rPr>
      </w:pPr>
      <w:r>
        <w:rPr>
          <w:rFonts w:ascii="Times New Roman" w:cs="Times New Roman" w:eastAsia="Times New Roman" w:hAnsi="Times New Roman"/>
          <w:sz w:val="21"/>
          <w:szCs w:val="21"/>
          <w:color w:val="auto"/>
        </w:rPr>
        <w:t>THE TORONTO-DOMINION BANK, NEW</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YORK BRANCH,</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Evans Swann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4" w:name="page195"/>
    <w:bookmarkEnd w:id="194"/>
    <w:p>
      <w:pPr>
        <w:ind w:left="4040"/>
        <w:spacing w:after="0"/>
        <w:rPr>
          <w:sz w:val="20"/>
          <w:szCs w:val="20"/>
          <w:color w:val="auto"/>
        </w:rPr>
      </w:pPr>
      <w:r>
        <w:rPr>
          <w:rFonts w:ascii="Times New Roman" w:cs="Times New Roman" w:eastAsia="Times New Roman" w:hAnsi="Times New Roman"/>
          <w:sz w:val="21"/>
          <w:szCs w:val="21"/>
          <w:color w:val="auto"/>
        </w:rPr>
        <w:t>ROYAL BANK OF CANADA,</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Don J. McKinnerney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Don J. McKinnerney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5" w:name="page196"/>
    <w:bookmarkEnd w:id="195"/>
    <w:p>
      <w:pPr>
        <w:ind w:left="4040"/>
        <w:spacing w:after="0"/>
        <w:rPr>
          <w:sz w:val="20"/>
          <w:szCs w:val="20"/>
          <w:color w:val="auto"/>
        </w:rPr>
      </w:pPr>
      <w:r>
        <w:rPr>
          <w:rFonts w:ascii="Times New Roman" w:cs="Times New Roman" w:eastAsia="Times New Roman" w:hAnsi="Times New Roman"/>
          <w:sz w:val="21"/>
          <w:szCs w:val="21"/>
          <w:color w:val="auto"/>
        </w:rPr>
        <w:t>MORGAN STANLEY BANK, N.A.,</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King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6" w:name="page197"/>
    <w:bookmarkEnd w:id="196"/>
    <w:p>
      <w:pPr>
        <w:ind w:left="4040"/>
        <w:spacing w:after="0"/>
        <w:rPr>
          <w:sz w:val="20"/>
          <w:szCs w:val="20"/>
          <w:color w:val="auto"/>
        </w:rPr>
      </w:pPr>
      <w:r>
        <w:rPr>
          <w:rFonts w:ascii="Times New Roman" w:cs="Times New Roman" w:eastAsia="Times New Roman" w:hAnsi="Times New Roman"/>
          <w:sz w:val="21"/>
          <w:szCs w:val="21"/>
          <w:color w:val="auto"/>
        </w:rPr>
        <w:t>MIZUHO BANK, LTD.,</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Edward Sacks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7" w:name="page198"/>
    <w:bookmarkEnd w:id="197"/>
    <w:p>
      <w:pPr>
        <w:ind w:left="4040"/>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1"/>
          <w:szCs w:val="21"/>
          <w:color w:val="auto"/>
        </w:rPr>
        <w:t>By:</w:t>
        <w:tab/>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25400</wp:posOffset>
            </wp:positionV>
            <wp:extent cx="2831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ectPr>
          <w:pgSz w:w="11900" w:h="16838" w:orient="portrait"/>
          <w:cols w:equalWidth="0" w:num="1">
            <w:col w:w="9019"/>
          </w:cols>
          <w:pgMar w:left="1440" w:top="1438" w:right="1440" w:bottom="1440" w:gutter="0" w:footer="0" w:header="0"/>
        </w:sectPr>
      </w:pP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Beth Johnson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ectPr>
          <w:pgSz w:w="11900" w:h="16838" w:orient="portrait"/>
          <w:cols w:equalWidth="0" w:num="2">
            <w:col w:w="5160" w:space="360"/>
            <w:col w:w="3499"/>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THIRTEENTH AMENDMENT – VIPER ENERGY PARTNERS, LLC]</w:t>
      </w:r>
    </w:p>
    <w:p>
      <w:pPr>
        <w:sectPr>
          <w:pgSz w:w="11900" w:h="16838" w:orient="portrait"/>
          <w:cols w:equalWidth="0" w:num="1">
            <w:col w:w="9019"/>
          </w:cols>
          <w:pgMar w:left="1440" w:top="1438" w:right="1440" w:bottom="1440" w:gutter="0" w:footer="0" w:header="0"/>
          <w:type w:val="continuous"/>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ANNEX I</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LIST OF MAXIMUM CREDIT AMOUNTS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74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rPr>
              <w:t>Name of Lender</w:t>
            </w:r>
          </w:p>
        </w:tc>
        <w:tc>
          <w:tcPr>
            <w:tcW w:w="2520" w:type="dxa"/>
            <w:vAlign w:val="bottom"/>
            <w:tcBorders>
              <w:top w:val="single" w:sz="8" w:color="auto"/>
              <w:right w:val="single" w:sz="8" w:color="auto"/>
            </w:tcBorders>
            <w:shd w:val="clear" w:color="auto" w:fill="D9D9D9"/>
          </w:tcPr>
          <w:p>
            <w:pPr>
              <w:ind w:left="760"/>
              <w:spacing w:after="0" w:line="214" w:lineRule="exact"/>
              <w:rPr>
                <w:sz w:val="20"/>
                <w:szCs w:val="20"/>
                <w:color w:val="auto"/>
              </w:rPr>
            </w:pPr>
            <w:r>
              <w:rPr>
                <w:rFonts w:ascii="Times New Roman" w:cs="Times New Roman" w:eastAsia="Times New Roman" w:hAnsi="Times New Roman"/>
                <w:sz w:val="21"/>
                <w:szCs w:val="21"/>
                <w:b w:val="1"/>
                <w:bCs w:val="1"/>
                <w:color w:val="auto"/>
              </w:rPr>
              <w:t>Applicable</w:t>
            </w:r>
          </w:p>
        </w:tc>
        <w:tc>
          <w:tcPr>
            <w:tcW w:w="2600" w:type="dxa"/>
            <w:vAlign w:val="bottom"/>
            <w:tcBorders>
              <w:top w:val="single" w:sz="8" w:color="auto"/>
              <w:right w:val="single" w:sz="8" w:color="auto"/>
            </w:tcBorders>
            <w:shd w:val="clear" w:color="auto" w:fill="D9D9D9"/>
          </w:tcPr>
          <w:p>
            <w:pPr>
              <w:jc w:val="center"/>
              <w:spacing w:after="0" w:line="214" w:lineRule="exact"/>
              <w:rPr>
                <w:sz w:val="20"/>
                <w:szCs w:val="20"/>
                <w:color w:val="auto"/>
              </w:rPr>
            </w:pPr>
            <w:r>
              <w:rPr>
                <w:rFonts w:ascii="Times New Roman" w:cs="Times New Roman" w:eastAsia="Times New Roman" w:hAnsi="Times New Roman"/>
                <w:sz w:val="21"/>
                <w:szCs w:val="21"/>
                <w:b w:val="1"/>
                <w:bCs w:val="1"/>
                <w:color w:val="auto"/>
              </w:rPr>
              <w:t>Maximum Credit</w:t>
            </w:r>
          </w:p>
        </w:tc>
        <w:tc>
          <w:tcPr>
            <w:tcW w:w="2400" w:type="dxa"/>
            <w:vAlign w:val="bottom"/>
            <w:tcBorders>
              <w:top w:val="single" w:sz="8" w:color="auto"/>
              <w:right w:val="single" w:sz="8" w:color="auto"/>
            </w:tcBorders>
            <w:shd w:val="clear" w:color="auto" w:fill="D9D9D9"/>
          </w:tcPr>
          <w:p>
            <w:pPr>
              <w:jc w:val="center"/>
              <w:spacing w:after="0" w:line="214" w:lineRule="exact"/>
              <w:rPr>
                <w:sz w:val="20"/>
                <w:szCs w:val="20"/>
                <w:color w:val="auto"/>
              </w:rPr>
            </w:pPr>
            <w:r>
              <w:rPr>
                <w:rFonts w:ascii="Times New Roman" w:cs="Times New Roman" w:eastAsia="Times New Roman" w:hAnsi="Times New Roman"/>
                <w:sz w:val="21"/>
                <w:szCs w:val="21"/>
                <w:b w:val="1"/>
                <w:bCs w:val="1"/>
                <w:color w:val="auto"/>
                <w:w w:val="99"/>
              </w:rPr>
              <w:t>Elected</w:t>
            </w:r>
          </w:p>
        </w:tc>
        <w:tc>
          <w:tcPr>
            <w:tcW w:w="0" w:type="dxa"/>
            <w:vAlign w:val="bottom"/>
          </w:tcPr>
          <w:p>
            <w:pPr>
              <w:spacing w:after="0"/>
              <w:rPr>
                <w:sz w:val="1"/>
                <w:szCs w:val="1"/>
                <w:color w:val="auto"/>
              </w:rPr>
            </w:pPr>
          </w:p>
        </w:tc>
      </w:tr>
      <w:tr>
        <w:trPr>
          <w:trHeight w:val="171"/>
        </w:trPr>
        <w:tc>
          <w:tcPr>
            <w:tcW w:w="374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520" w:type="dxa"/>
            <w:vAlign w:val="bottom"/>
            <w:tcBorders>
              <w:right w:val="single" w:sz="8" w:color="auto"/>
            </w:tcBorders>
            <w:vMerge w:val="restart"/>
            <w:shd w:val="clear" w:color="auto" w:fill="D9D9D9"/>
          </w:tcPr>
          <w:p>
            <w:pPr>
              <w:ind w:left="740"/>
              <w:spacing w:after="0"/>
              <w:rPr>
                <w:sz w:val="20"/>
                <w:szCs w:val="20"/>
                <w:color w:val="auto"/>
              </w:rPr>
            </w:pPr>
            <w:r>
              <w:rPr>
                <w:rFonts w:ascii="Times New Roman" w:cs="Times New Roman" w:eastAsia="Times New Roman" w:hAnsi="Times New Roman"/>
                <w:sz w:val="21"/>
                <w:szCs w:val="21"/>
                <w:b w:val="1"/>
                <w:bCs w:val="1"/>
                <w:color w:val="auto"/>
              </w:rPr>
              <w:t>Percentage</w:t>
            </w:r>
          </w:p>
        </w:tc>
        <w:tc>
          <w:tcPr>
            <w:tcW w:w="26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rPr>
              <w:t>Amount</w:t>
            </w:r>
          </w:p>
        </w:tc>
        <w:tc>
          <w:tcPr>
            <w:tcW w:w="2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rPr>
              <w:t>Commitment</w:t>
            </w:r>
          </w:p>
        </w:tc>
        <w:tc>
          <w:tcPr>
            <w:tcW w:w="0" w:type="dxa"/>
            <w:vAlign w:val="bottom"/>
          </w:tcPr>
          <w:p>
            <w:pPr>
              <w:spacing w:after="0"/>
              <w:rPr>
                <w:sz w:val="1"/>
                <w:szCs w:val="1"/>
                <w:color w:val="auto"/>
              </w:rPr>
            </w:pPr>
          </w:p>
        </w:tc>
      </w:tr>
      <w:tr>
        <w:trPr>
          <w:trHeight w:val="110"/>
        </w:trPr>
        <w:tc>
          <w:tcPr>
            <w:tcW w:w="37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5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60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40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w w:val="99"/>
              </w:rPr>
              <w:t>Wells Fargo Bank,</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8.560000000%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$171,200,000.00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$107,000,000.00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National Association</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PNC Bank, National</w:t>
            </w:r>
          </w:p>
        </w:tc>
        <w:tc>
          <w:tcPr>
            <w:tcW w:w="25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6.600000000%</w:t>
            </w:r>
          </w:p>
        </w:tc>
        <w:tc>
          <w:tcPr>
            <w:tcW w:w="26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$132,000,000.00</w:t>
            </w:r>
          </w:p>
        </w:tc>
        <w:tc>
          <w:tcPr>
            <w:tcW w:w="2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$82,500,000.00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Association</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Truist Bank</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6.600000000%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$132,000,000.00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$82,500,000.00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Bank of America, N.A.</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Bank of Nova Scotia,</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Houston Branch</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Barclays Bank PLC</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Capital One, National</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Association</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Citibank, N.A.</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Goldman Sachs Bank</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USA</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JPMorgan Chase Bank,</w:t>
            </w:r>
          </w:p>
        </w:tc>
        <w:tc>
          <w:tcPr>
            <w:tcW w:w="25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N.A.</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Mizuho Bank, Ltd.</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Morgan Stanley Bank,</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N.A.</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Royal Bank Of Canada</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The Toronto-Dominion</w:t>
            </w:r>
          </w:p>
        </w:tc>
        <w:tc>
          <w:tcPr>
            <w:tcW w:w="25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Bank, New York Branch</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U.S. Bank National</w:t>
            </w:r>
          </w:p>
        </w:tc>
        <w:tc>
          <w:tcPr>
            <w:tcW w:w="25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5.720000000%</w:t>
            </w:r>
          </w:p>
        </w:tc>
        <w:tc>
          <w:tcPr>
            <w:tcW w:w="26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$114,400,000.00</w:t>
            </w:r>
          </w:p>
        </w:tc>
        <w:tc>
          <w:tcPr>
            <w:tcW w:w="2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$71,500,000.00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Association</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BOKF, NA dba Bank of</w:t>
            </w:r>
          </w:p>
        </w:tc>
        <w:tc>
          <w:tcPr>
            <w:tcW w:w="25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4.800000000%</w:t>
            </w:r>
          </w:p>
        </w:tc>
        <w:tc>
          <w:tcPr>
            <w:tcW w:w="26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$96,000,000.00</w:t>
            </w:r>
          </w:p>
        </w:tc>
        <w:tc>
          <w:tcPr>
            <w:tcW w:w="2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1"/>
                <w:szCs w:val="21"/>
                <w:color w:val="auto"/>
              </w:rPr>
              <w:t>$60,000,000.00</w:t>
            </w:r>
          </w:p>
        </w:tc>
        <w:tc>
          <w:tcPr>
            <w:tcW w:w="0" w:type="dxa"/>
            <w:vAlign w:val="bottom"/>
          </w:tcPr>
          <w:p>
            <w:pPr>
              <w:spacing w:after="0"/>
              <w:rPr>
                <w:sz w:val="1"/>
                <w:szCs w:val="1"/>
                <w:color w:val="auto"/>
              </w:rPr>
            </w:pPr>
          </w:p>
        </w:tc>
      </w:tr>
      <w:tr>
        <w:trPr>
          <w:trHeight w:val="2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Oklahoma</w:t>
            </w:r>
          </w:p>
        </w:tc>
        <w:tc>
          <w:tcPr>
            <w:tcW w:w="25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Comerica Bank</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4.800000000%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$96,000,000.00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$60,000,000.00</w:t>
            </w:r>
          </w:p>
        </w:tc>
        <w:tc>
          <w:tcPr>
            <w:tcW w:w="0" w:type="dxa"/>
            <w:vAlign w:val="bottom"/>
          </w:tcPr>
          <w:p>
            <w:pPr>
              <w:spacing w:after="0"/>
              <w:rPr>
                <w:sz w:val="1"/>
                <w:szCs w:val="1"/>
                <w:color w:val="auto"/>
              </w:rPr>
            </w:pPr>
          </w:p>
        </w:tc>
      </w:tr>
      <w:tr>
        <w:trPr>
          <w:trHeight w:val="93"/>
        </w:trPr>
        <w:tc>
          <w:tcPr>
            <w:tcW w:w="374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Total</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100.000000000%</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$2,000,000,000.00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$1,250,000,000.00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07" w:right="31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1407"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ectPr>
          <w:pgSz w:w="11900" w:h="16838" w:orient="portrait"/>
          <w:cols w:equalWidth="0" w:num="1">
            <w:col w:w="9019"/>
          </w:cols>
          <w:pgMar w:left="1440" w:top="1407" w:right="1440" w:bottom="1440" w:gutter="0" w:footer="0" w:header="0"/>
          <w:type w:val="continuous"/>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SENIOR SECURED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REVOLVING CREDIT AGREEMENT</w:t>
      </w:r>
    </w:p>
    <w:p>
      <w:pPr>
        <w:spacing w:after="0" w:line="19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DATED AS OF</w:t>
      </w:r>
    </w:p>
    <w:p>
      <w:pPr>
        <w:spacing w:after="0" w:line="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JULY 20, 2018</w:t>
      </w:r>
    </w:p>
    <w:p>
      <w:pPr>
        <w:spacing w:after="0" w:line="21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AMONG</w:t>
      </w:r>
    </w:p>
    <w:p>
      <w:pPr>
        <w:spacing w:after="0" w:line="2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VIPER ENERGY PARTNERS LLC,</w:t>
      </w:r>
    </w:p>
    <w:p>
      <w:pPr>
        <w:spacing w:after="0" w:line="4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b w:val="1"/>
          <w:bCs w:val="1"/>
          <w:color w:val="auto"/>
        </w:rPr>
        <w:t>AS BORROWER,</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b w:val="1"/>
          <w:bCs w:val="1"/>
          <w:color w:val="auto"/>
        </w:rPr>
        <w:t>VIPER ENERGY, INC., F/K/A VIPER ENERGY PARTNERS LP</w:t>
      </w:r>
    </w:p>
    <w:p>
      <w:pPr>
        <w:spacing w:after="0" w:line="4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AS PARENT GUARANTOR,</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ADMINISTRATIVE AGENT,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308610</wp:posOffset>
            </wp:positionV>
            <wp:extent cx="6376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63766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WELLS FARGO SECURITIES, LLC,</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SOLE BOOK RUNNER AND JOINT LEAD ARRANGER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PNC BANK, NATIONAL ASSOCIATION AND TRUIST BANK,</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CO-SYNDICATION AGENTS</w:t>
      </w:r>
    </w:p>
    <w:p>
      <w:pPr>
        <w:spacing w:after="0" w:line="21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PNC CAPITAL MARKETS LLC AND TRUIST SECURITIES, INC.,</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JOINT LEAD ARRANGERS</w:t>
      </w:r>
    </w:p>
    <w:p>
      <w:pPr>
        <w:sectPr>
          <w:pgSz w:w="11900" w:h="16838" w:orient="portrait"/>
          <w:cols w:equalWidth="0" w:num="1">
            <w:col w:w="9019"/>
          </w:cols>
          <w:pgMar w:left="1440" w:top="1407" w:right="1440"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INSIDER TRADING POLICY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provides the standards of Diamondback Energy, Inc. (“</w:t>
      </w:r>
      <w:r>
        <w:rPr>
          <w:rFonts w:ascii="Arial" w:cs="Arial" w:eastAsia="Arial" w:hAnsi="Arial"/>
          <w:sz w:val="18"/>
          <w:szCs w:val="18"/>
          <w:b w:val="1"/>
          <w:bCs w:val="1"/>
          <w:i w:val="1"/>
          <w:iCs w:val="1"/>
          <w:color w:val="auto"/>
        </w:rPr>
        <w:t>Diamondback</w:t>
      </w:r>
      <w:r>
        <w:rPr>
          <w:rFonts w:ascii="Arial" w:cs="Arial" w:eastAsia="Arial" w:hAnsi="Arial"/>
          <w:sz w:val="18"/>
          <w:szCs w:val="18"/>
          <w:color w:val="auto"/>
        </w:rPr>
        <w:t>”), Viper Energy, Inc. (“</w:t>
      </w:r>
      <w:r>
        <w:rPr>
          <w:rFonts w:ascii="Arial" w:cs="Arial" w:eastAsia="Arial" w:hAnsi="Arial"/>
          <w:sz w:val="18"/>
          <w:szCs w:val="18"/>
          <w:b w:val="1"/>
          <w:bCs w:val="1"/>
          <w:i w:val="1"/>
          <w:iCs w:val="1"/>
          <w:color w:val="auto"/>
        </w:rPr>
        <w:t>Viper</w:t>
      </w:r>
      <w:r>
        <w:rPr>
          <w:rFonts w:ascii="Arial" w:cs="Arial" w:eastAsia="Arial" w:hAnsi="Arial"/>
          <w:sz w:val="18"/>
          <w:szCs w:val="18"/>
          <w:color w:val="auto"/>
        </w:rPr>
        <w:t>”) and their respective direct and indirect subsidiaries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trading and causing the trading of any and all securities of the Company (“</w:t>
      </w:r>
      <w:r>
        <w:rPr>
          <w:rFonts w:ascii="Arial" w:cs="Arial" w:eastAsia="Arial" w:hAnsi="Arial"/>
          <w:sz w:val="18"/>
          <w:szCs w:val="18"/>
          <w:b w:val="1"/>
          <w:bCs w:val="1"/>
          <w:i w:val="1"/>
          <w:iCs w:val="1"/>
          <w:color w:val="auto"/>
        </w:rPr>
        <w:t>Company securities</w:t>
      </w:r>
      <w:r>
        <w:rPr>
          <w:rFonts w:ascii="Arial" w:cs="Arial" w:eastAsia="Arial" w:hAnsi="Arial"/>
          <w:sz w:val="18"/>
          <w:szCs w:val="18"/>
          <w:color w:val="auto"/>
        </w:rPr>
        <w:t>”) or the securities of other companies while in possession of material nonpublic information.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Federal and state securities laws generally prohibit any person who is aware of material nonpublic information about a company from trading in securities of that company. These laws also prohibit such person from disclosing material nonpublic information to other persons who may trade on the basis of that information.</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has adopted this Policy to promote compliance with these laws and to protect employees, other persons subject to this Policy and the Company from the serious liabilities and penalties that can result from violations of these laws.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clarity, this Policy shall apply to all material nonpublic information and Company securities (whether of, or relating to, Diamondback, Viper and/or any of their respective direct and indirect subsidiaries). If there are questions about this Policy, please contact Diamondback’s Chief Legal &amp; Administrative Officer.</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Policy is in addition to the Sixth Amended and Restated Supplemental Policy Concerning Trading Securities of the Company and its Subsidiaries by Certain Designated Persons (as such policy may be further amended or amended and restated after the date hereof, the “</w:t>
      </w:r>
      <w:r>
        <w:rPr>
          <w:rFonts w:ascii="Arial" w:cs="Arial" w:eastAsia="Arial" w:hAnsi="Arial"/>
          <w:sz w:val="18"/>
          <w:szCs w:val="18"/>
          <w:b w:val="1"/>
          <w:bCs w:val="1"/>
          <w:i w:val="1"/>
          <w:iCs w:val="1"/>
          <w:color w:val="auto"/>
        </w:rPr>
        <w:t>Supplemental Trading Policy</w:t>
      </w:r>
      <w:r>
        <w:rPr>
          <w:rFonts w:ascii="Arial" w:cs="Arial" w:eastAsia="Arial" w:hAnsi="Arial"/>
          <w:sz w:val="18"/>
          <w:szCs w:val="18"/>
          <w:color w:val="auto"/>
        </w:rPr>
        <w:t>”), which applies to all “Designated Persons” (as defined in the Supplemental Trading Policy).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subject to this policy</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Policy applies to all employees, officers or directors of the Company, including those of Diamondback, Viper and/or their respective direct and indirect subsidiaries (collectively, “</w:t>
      </w:r>
      <w:r>
        <w:rPr>
          <w:rFonts w:ascii="Arial" w:cs="Arial" w:eastAsia="Arial" w:hAnsi="Arial"/>
          <w:sz w:val="18"/>
          <w:szCs w:val="18"/>
          <w:b w:val="1"/>
          <w:bCs w:val="1"/>
          <w:i w:val="1"/>
          <w:iCs w:val="1"/>
          <w:color w:val="auto"/>
        </w:rPr>
        <w:t>Covered Individuals</w:t>
      </w:r>
      <w:r>
        <w:rPr>
          <w:rFonts w:ascii="Arial" w:cs="Arial" w:eastAsia="Arial" w:hAnsi="Arial"/>
          <w:sz w:val="18"/>
          <w:szCs w:val="18"/>
          <w:color w:val="auto"/>
        </w:rPr>
        <w:t>”). Each Covered Individual is responsible for complying with the securities laws and this Policy.</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Policy also applies to family members who reside with any Covered Individual, anyone else who lives with any Covered Individual, and any other person or entity whose transactions in Company securities are directed by a Covered Individual or are subject to their influence or control (such as parents or children who consult with you before they trade in Company securities). Covered Individuals are responsible for making sure that these other persons and entities comply with this Policy.</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accordance with Section 4.3 of the Stockholders Agreement (as it may be amended or supplemented from time to time, the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September 10, 2024, by and between Diamondback and the stockholders of Diamondback party thereto, this Policy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applies to the Stephens Stockholders (as defined in the Stockholders Agreement) to the extent set forth in the Stockholders Agreement.</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addition to this Policy, Designated Persons (as defined in the Supplemental Trading Policy) are subject to the Supplemental Trading Policy that imposes additional restrictions on their trading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2025</w:t>
      </w:r>
    </w:p>
    <w:p>
      <w:pPr>
        <w:sectPr>
          <w:pgSz w:w="11900" w:h="16838" w:orient="portrait"/>
          <w:cols w:equalWidth="0" w:num="1">
            <w:col w:w="11240"/>
          </w:cols>
          <w:pgMar w:left="320" w:top="122" w:right="339" w:bottom="1440" w:gutter="0" w:footer="0" w:header="0"/>
        </w:sectPr>
      </w:pPr>
    </w:p>
    <w:bookmarkStart w:id="202" w:name="page203"/>
    <w:bookmarkEnd w:id="202"/>
    <w:p>
      <w:pPr>
        <w:spacing w:after="0" w:line="20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a Covered Individual possesses material nonpublic information regarding the Company at the time his or her employment or other services with the Company terminates, the Covered Individual remains subject to this Policy until the information has been publicly announced by the Company or is no longer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trading and disclosure restrictions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trading and disclosure restrictions apply to all persons subject to this Policy:</w:t>
      </w:r>
    </w:p>
    <w:p>
      <w:pPr>
        <w:spacing w:after="0" w:line="21" w:lineRule="exact"/>
        <w:rPr>
          <w:sz w:val="20"/>
          <w:szCs w:val="20"/>
          <w:color w:val="auto"/>
        </w:rPr>
      </w:pPr>
    </w:p>
    <w:p>
      <w:pPr>
        <w:jc w:val="both"/>
        <w:ind w:left="1300" w:hanging="650"/>
        <w:spacing w:after="0" w:line="217" w:lineRule="auto"/>
        <w:tabs>
          <w:tab w:leader="none" w:pos="1294" w:val="left"/>
        </w:tabs>
        <w:numPr>
          <w:ilvl w:val="0"/>
          <w:numId w:val="107"/>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If a Covered Individual has material nonpublic information regarding the Company, the Covered Individual must not trade or otherwise transact (including, without limitation, charitable donations or similar gifts) or advise anyone else to trade or transact in Company securities until such information has been publicly disclosed.</w:t>
      </w:r>
    </w:p>
    <w:p>
      <w:pPr>
        <w:spacing w:after="0" w:line="1" w:lineRule="exact"/>
        <w:rPr>
          <w:rFonts w:ascii="Times New Roman" w:cs="Times New Roman" w:eastAsia="Times New Roman" w:hAnsi="Times New Roman"/>
          <w:sz w:val="21"/>
          <w:szCs w:val="21"/>
          <w:b w:val="1"/>
          <w:bCs w:val="1"/>
          <w:color w:val="auto"/>
        </w:rPr>
      </w:pPr>
    </w:p>
    <w:p>
      <w:pPr>
        <w:jc w:val="both"/>
        <w:ind w:left="1300" w:hanging="650"/>
        <w:spacing w:after="0" w:line="205" w:lineRule="auto"/>
        <w:tabs>
          <w:tab w:leader="none" w:pos="1294" w:val="left"/>
        </w:tabs>
        <w:numPr>
          <w:ilvl w:val="0"/>
          <w:numId w:val="107"/>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If a Covered Individual has material nonpublic information regarding any other company that the employee obtained from or as a result of his or her employment or relationship with the Company, he or she must not trade or advise anyone else to trade in the securities of that other company until such information has been publicly disclosed.</w:t>
      </w:r>
    </w:p>
    <w:p>
      <w:pPr>
        <w:spacing w:after="0" w:line="2" w:lineRule="exact"/>
        <w:rPr>
          <w:rFonts w:ascii="Times New Roman" w:cs="Times New Roman" w:eastAsia="Times New Roman" w:hAnsi="Times New Roman"/>
          <w:sz w:val="21"/>
          <w:szCs w:val="21"/>
          <w:b w:val="1"/>
          <w:bCs w:val="1"/>
          <w:color w:val="auto"/>
        </w:rPr>
      </w:pPr>
    </w:p>
    <w:p>
      <w:pPr>
        <w:ind w:left="1300" w:hanging="650"/>
        <w:spacing w:after="0" w:line="214" w:lineRule="auto"/>
        <w:tabs>
          <w:tab w:leader="none" w:pos="1294" w:val="left"/>
        </w:tabs>
        <w:numPr>
          <w:ilvl w:val="0"/>
          <w:numId w:val="107"/>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Covered Individuals must not share material nonpublic information with people in the Company except where their jobs require them to have the information or as otherwise permitted by the next bullet.</w:t>
      </w:r>
    </w:p>
    <w:p>
      <w:pPr>
        <w:spacing w:after="0" w:line="1" w:lineRule="exact"/>
        <w:rPr>
          <w:rFonts w:ascii="Times New Roman" w:cs="Times New Roman" w:eastAsia="Times New Roman" w:hAnsi="Times New Roman"/>
          <w:sz w:val="21"/>
          <w:szCs w:val="21"/>
          <w:b w:val="1"/>
          <w:bCs w:val="1"/>
          <w:color w:val="auto"/>
        </w:rPr>
      </w:pPr>
    </w:p>
    <w:p>
      <w:pPr>
        <w:jc w:val="both"/>
        <w:ind w:left="1300" w:hanging="650"/>
        <w:spacing w:after="0" w:line="209" w:lineRule="auto"/>
        <w:tabs>
          <w:tab w:leader="none" w:pos="1294" w:val="left"/>
        </w:tabs>
        <w:numPr>
          <w:ilvl w:val="0"/>
          <w:numId w:val="107"/>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 xml:space="preserve">Covered Individuals must not disclose any nonpublic information, material or otherwise, concerning the Company to anyone inside or outside the Company except when (i) disclosure is required as part of his or her regular duties or has otherwise been duly authorized by an officer or director of the Company, (ii) the recipient has a reason to know the information for legitimate Company business purposes and disclosure is needed to enable the Company to carry out its business properly and effectively, (iii) disclosure is made to a person who owes a duty of trust or confidence to the Company that is applicable to such disclosure (such as an attorney or accountant retained by the Company in accordance with the Company’s delegation of authority) or pursuant to a confidentiality and non-disclosure agreement that has been reviewed and approved by the Company’s Legal Department and executed in accordance with the Company’s delegation of authority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(iv) disclosure is made in compliance with this Policy, the Company’s Regulation Fair Disclosure Policy (as such policy may be further amended or amended and restated after the date hereof, the “</w:t>
      </w:r>
      <w:r>
        <w:rPr>
          <w:rFonts w:ascii="Arial" w:cs="Arial" w:eastAsia="Arial" w:hAnsi="Arial"/>
          <w:sz w:val="18"/>
          <w:szCs w:val="18"/>
          <w:b w:val="1"/>
          <w:bCs w:val="1"/>
          <w:i w:val="1"/>
          <w:iCs w:val="1"/>
          <w:color w:val="auto"/>
        </w:rPr>
        <w:t>Regulation FD Policy</w:t>
      </w:r>
      <w:r>
        <w:rPr>
          <w:rFonts w:ascii="Arial" w:cs="Arial" w:eastAsia="Arial" w:hAnsi="Arial"/>
          <w:sz w:val="18"/>
          <w:szCs w:val="18"/>
          <w:color w:val="auto"/>
        </w:rPr>
        <w:t>”), applicable law and the terms of any applicable contractual obligations (such disclosure restrictions, the “</w:t>
      </w:r>
      <w:r>
        <w:rPr>
          <w:rFonts w:ascii="Arial" w:cs="Arial" w:eastAsia="Arial" w:hAnsi="Arial"/>
          <w:sz w:val="18"/>
          <w:szCs w:val="18"/>
          <w:b w:val="1"/>
          <w:bCs w:val="1"/>
          <w:i w:val="1"/>
          <w:iCs w:val="1"/>
          <w:color w:val="auto"/>
        </w:rPr>
        <w:t>General Confidentiality Obligations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covered by this Policy and prohibited transactions.</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This Policy applies to any purchase or sale of any Company securities, including common stock, common units, preferred stock, public or private debt and any other type of securities that the Company or any of its direct or indirect subsidiaries may issue.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Trading in “puts,” “calls” (options to sell or buy stock or other securities) or similar hedging transactions (e.g., “collars”) and engaging in short sales are often perceived as involving insider trading and they may focus your attention on the short-term performance of the issuer rather than its long-term objectives. Therefore, “hedging transactions,” including transactions in puts, calls and other derivative securities, as well as any short sale transaction, in each case with respect to Company securities, are strictly prohibited.</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specific transactions under Company benefit plans are not prohibited by this policy. These transactions are discussed in this Policy under the heading “Application of this Policy to Certain Transactions Under Company Benefit Plans.” In addition, trading in Company securities is not prohibited by this Policy if the trades are conducted pursuant to a prearranged trading plan that meets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564515</wp:posOffset>
            </wp:positionV>
            <wp:extent cx="71335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tabs>
          <w:tab w:leader="none" w:pos="10500" w:val="left"/>
        </w:tabs>
        <w:rPr>
          <w:sz w:val="20"/>
          <w:szCs w:val="20"/>
          <w:color w:val="auto"/>
        </w:rPr>
      </w:pPr>
      <w:r>
        <w:rPr>
          <w:rFonts w:ascii="Arial" w:cs="Arial" w:eastAsia="Arial" w:hAnsi="Arial"/>
          <w:sz w:val="18"/>
          <w:szCs w:val="18"/>
          <w:color w:val="auto"/>
        </w:rPr>
        <w:t>February 2025</w:t>
      </w:r>
      <w:r>
        <w:rPr>
          <w:sz w:val="20"/>
          <w:szCs w:val="20"/>
          <w:color w:val="auto"/>
        </w:rPr>
        <w:tab/>
      </w:r>
      <w:r>
        <w:rPr>
          <w:rFonts w:ascii="Arial" w:cs="Arial" w:eastAsia="Arial" w:hAnsi="Arial"/>
          <w:sz w:val="17"/>
          <w:szCs w:val="17"/>
          <w:color w:val="auto"/>
        </w:rPr>
        <w:t xml:space="preserve">2 | </w:t>
      </w:r>
      <w:r>
        <w:rPr>
          <w:rFonts w:ascii="Arial" w:cs="Arial" w:eastAsia="Arial" w:hAnsi="Arial"/>
          <w:sz w:val="17"/>
          <w:szCs w:val="17"/>
          <w:color w:val="808080"/>
        </w:rPr>
        <w:t>Page</w:t>
      </w:r>
    </w:p>
    <w:p>
      <w:pPr>
        <w:sectPr>
          <w:pgSz w:w="11900" w:h="16838" w:orient="portrait"/>
          <w:cols w:equalWidth="0" w:num="1">
            <w:col w:w="11240"/>
          </w:cols>
          <w:pgMar w:left="320" w:top="1440" w:right="339" w:bottom="1440" w:gutter="0" w:footer="0" w:header="0"/>
        </w:sectPr>
      </w:pPr>
    </w:p>
    <w:bookmarkStart w:id="203" w:name="page204"/>
    <w:bookmarkEnd w:id="203"/>
    <w:p>
      <w:pPr>
        <w:ind w:right="20"/>
        <w:spacing w:after="0" w:line="281" w:lineRule="auto"/>
        <w:rPr>
          <w:sz w:val="20"/>
          <w:szCs w:val="20"/>
          <w:color w:val="auto"/>
        </w:rPr>
      </w:pPr>
      <w:r>
        <w:rPr>
          <w:rFonts w:ascii="Arial" w:cs="Arial" w:eastAsia="Arial" w:hAnsi="Arial"/>
          <w:sz w:val="18"/>
          <w:szCs w:val="18"/>
          <w:color w:val="auto"/>
        </w:rPr>
        <w:t>conditions. These types of plans are discussed in this Policy under the heading “Application of this Policy to Certain Transactions Under Company Benefit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nonpublic information</w:t>
      </w:r>
    </w:p>
    <w:p>
      <w:pPr>
        <w:spacing w:after="0" w:line="24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b w:val="1"/>
          <w:bCs w:val="1"/>
          <w:i w:val="1"/>
          <w:iCs w:val="1"/>
          <w:color w:val="auto"/>
        </w:rPr>
        <w:t xml:space="preserve">Material information. </w:t>
      </w:r>
      <w:r>
        <w:rPr>
          <w:rFonts w:ascii="Arial" w:cs="Arial" w:eastAsia="Arial" w:hAnsi="Arial"/>
          <w:sz w:val="18"/>
          <w:szCs w:val="18"/>
          <w:color w:val="auto"/>
        </w:rPr>
        <w:t>Information about the Company is “material” if there is a substantial likelihood that a reasonable shareholder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would consider it important in making a decision to buy, sell or hold Company securities, or if the disclosure of the information would be expected to significantly alter the total mix of the information in the marketplace about the Company. In simple terms, material information is any type of information that could reasonably be expected to affect the market price of Company securities. Both positive and negative information may be material. Information that could be material about the Company includes, but is not limited to:</w:t>
      </w:r>
    </w:p>
    <w:p>
      <w:pPr>
        <w:spacing w:after="0" w:line="211" w:lineRule="exact"/>
        <w:rPr>
          <w:sz w:val="20"/>
          <w:szCs w:val="20"/>
          <w:color w:val="auto"/>
        </w:rPr>
      </w:pPr>
    </w:p>
    <w:p>
      <w:pPr>
        <w:ind w:left="1280" w:hanging="630"/>
        <w:spacing w:after="0"/>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financial or operational results before they are publicly released;</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significant changes in Diamondback’s or Viper’s prospects, as applicable;</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significant write-downs in assets or increases in reserves;</w:t>
      </w:r>
    </w:p>
    <w:p>
      <w:pPr>
        <w:ind w:left="1300" w:right="20" w:hanging="650"/>
        <w:spacing w:after="0" w:line="207" w:lineRule="auto"/>
        <w:tabs>
          <w:tab w:leader="none" w:pos="1294"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pending or threatened significant litigation or government agency investigations or similar proceedings, including their resolution, or insurance settlements;</w:t>
      </w:r>
    </w:p>
    <w:p>
      <w:pPr>
        <w:spacing w:after="0" w:line="1" w:lineRule="exact"/>
        <w:rPr>
          <w:rFonts w:ascii="Times New Roman" w:cs="Times New Roman" w:eastAsia="Times New Roman" w:hAnsi="Times New Roman"/>
          <w:sz w:val="21"/>
          <w:szCs w:val="21"/>
          <w:b w:val="1"/>
          <w:bCs w:val="1"/>
          <w:color w:val="auto"/>
        </w:rPr>
      </w:pP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bankruptcy or similar proceedings, significant solvency or liquidity issues or liquidity updates;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changes in earnings estimates or unusual gains or losses in major operations;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changes in executive management;</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changes in auditor or auditor notification that the issuer may no longer rely on the auditor’s report;</w:t>
      </w:r>
    </w:p>
    <w:p>
      <w:pPr>
        <w:jc w:val="both"/>
        <w:ind w:left="1300" w:hanging="650"/>
        <w:spacing w:after="0" w:line="210" w:lineRule="auto"/>
        <w:tabs>
          <w:tab w:leader="none" w:pos="1294"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events regarding Diamondback’s or Viper’s securities, as applicable (e.g., calls of securities for redemption, tender offers and consent solicitations, equity and debt repurchase plans or activities, stock splits, changes in dividend policies or changes to the rights of securityholders);</w:t>
      </w:r>
    </w:p>
    <w:p>
      <w:pPr>
        <w:spacing w:after="0" w:line="2" w:lineRule="exact"/>
        <w:rPr>
          <w:rFonts w:ascii="Times New Roman" w:cs="Times New Roman" w:eastAsia="Times New Roman" w:hAnsi="Times New Roman"/>
          <w:sz w:val="21"/>
          <w:szCs w:val="21"/>
          <w:b w:val="1"/>
          <w:bCs w:val="1"/>
          <w:color w:val="auto"/>
        </w:rPr>
      </w:pP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extraordinary borrowings;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award or loss of a significant contract;</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significant related party transactions;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changes in debt ratings;</w:t>
      </w:r>
    </w:p>
    <w:p>
      <w:pPr>
        <w:jc w:val="both"/>
        <w:ind w:left="1300" w:hanging="650"/>
        <w:spacing w:after="0" w:line="210" w:lineRule="auto"/>
        <w:tabs>
          <w:tab w:leader="none" w:pos="1294"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proposals, plans, or agreements, even when under consideration, but not yet finalized, involving mergers, acquisitions, divestitures, recapitalizations, joint ventures, strategic alliances, royalty arrangements, or purchases or sales of substantial assets;</w:t>
      </w:r>
    </w:p>
    <w:p>
      <w:pPr>
        <w:spacing w:after="0" w:line="2" w:lineRule="exact"/>
        <w:rPr>
          <w:rFonts w:ascii="Times New Roman" w:cs="Times New Roman" w:eastAsia="Times New Roman" w:hAnsi="Times New Roman"/>
          <w:sz w:val="21"/>
          <w:szCs w:val="21"/>
          <w:b w:val="1"/>
          <w:bCs w:val="1"/>
          <w:color w:val="auto"/>
        </w:rPr>
      </w:pP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public or private offerings of Diamondback’s or Viper’s securities, including both debt and equity securities;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pending operational or exploration developments or reports;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significant expansion or curtailment of operations;</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significant new discoveries; and</w:t>
      </w:r>
    </w:p>
    <w:p>
      <w:pPr>
        <w:ind w:left="1280" w:hanging="630"/>
        <w:spacing w:after="0" w:line="212"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cybersecurity-related risks and incidents, including vulnerabilities and breaches; and</w:t>
      </w:r>
    </w:p>
    <w:p>
      <w:pPr>
        <w:ind w:left="1280" w:hanging="630"/>
        <w:spacing w:after="0" w:line="216" w:lineRule="auto"/>
        <w:tabs>
          <w:tab w:leader="none" w:pos="1280" w:val="left"/>
        </w:tabs>
        <w:numPr>
          <w:ilvl w:val="0"/>
          <w:numId w:val="108"/>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other events requiring a filing on Form 8-K.</w:t>
      </w:r>
    </w:p>
    <w:p>
      <w:pPr>
        <w:spacing w:after="0" w:line="207"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b w:val="1"/>
          <w:bCs w:val="1"/>
          <w:i w:val="1"/>
          <w:iCs w:val="1"/>
          <w:color w:val="auto"/>
        </w:rPr>
        <w:t xml:space="preserve">Nonpublic information. </w:t>
      </w:r>
      <w:r>
        <w:rPr>
          <w:rFonts w:ascii="Arial" w:cs="Arial" w:eastAsia="Arial" w:hAnsi="Arial"/>
          <w:sz w:val="18"/>
          <w:szCs w:val="18"/>
          <w:color w:val="auto"/>
        </w:rPr>
        <w:t>Nonpublic information is information that is not generally available to the investing public. If a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is aware of material nonpublic information, he or she may not trade until the information has been widely disclosed to the public (for example, through a press release or a filing with the SEC) and the market has had sufficient time to absorb the information. For purposes of this Policy, information will generally be considered public after the second full trading day following the Company’s widespread public release of the information. For example, if the Company issued a press release on a Tuesday after closing of trading of the Nasdaq Stock Market, LLC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the first day that trading could occur would be on Friday.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715010</wp:posOffset>
            </wp:positionV>
            <wp:extent cx="7133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tabs>
          <w:tab w:leader="none" w:pos="10500" w:val="left"/>
        </w:tabs>
        <w:rPr>
          <w:sz w:val="20"/>
          <w:szCs w:val="20"/>
          <w:color w:val="auto"/>
        </w:rPr>
      </w:pPr>
      <w:r>
        <w:rPr>
          <w:rFonts w:ascii="Arial" w:cs="Arial" w:eastAsia="Arial" w:hAnsi="Arial"/>
          <w:sz w:val="18"/>
          <w:szCs w:val="18"/>
          <w:color w:val="auto"/>
        </w:rPr>
        <w:t>February 2025</w:t>
      </w:r>
      <w:r>
        <w:rPr>
          <w:sz w:val="20"/>
          <w:szCs w:val="20"/>
          <w:color w:val="auto"/>
        </w:rPr>
        <w:tab/>
      </w:r>
      <w:r>
        <w:rPr>
          <w:rFonts w:ascii="Arial" w:cs="Arial" w:eastAsia="Arial" w:hAnsi="Arial"/>
          <w:sz w:val="17"/>
          <w:szCs w:val="17"/>
          <w:color w:val="auto"/>
        </w:rPr>
        <w:t xml:space="preserve">3 | </w:t>
      </w:r>
      <w:r>
        <w:rPr>
          <w:rFonts w:ascii="Arial" w:cs="Arial" w:eastAsia="Arial" w:hAnsi="Arial"/>
          <w:sz w:val="17"/>
          <w:szCs w:val="17"/>
          <w:color w:val="808080"/>
        </w:rPr>
        <w:t>Page</w:t>
      </w:r>
    </w:p>
    <w:p>
      <w:pPr>
        <w:sectPr>
          <w:pgSz w:w="11900" w:h="16838" w:orient="portrait"/>
          <w:cols w:equalWidth="0" w:num="1">
            <w:col w:w="11240"/>
          </w:cols>
          <w:pgMar w:left="320" w:top="1406" w:right="339" w:bottom="1440" w:gutter="0" w:footer="0" w:header="0"/>
        </w:sectPr>
      </w:pPr>
    </w:p>
    <w:bookmarkStart w:id="204" w:name="page205"/>
    <w:bookmarkEnd w:id="204"/>
    <w:p>
      <w:pPr>
        <w:jc w:val="both"/>
        <w:spacing w:after="0" w:line="281" w:lineRule="auto"/>
        <w:rPr>
          <w:sz w:val="20"/>
          <w:szCs w:val="20"/>
          <w:color w:val="auto"/>
        </w:rPr>
      </w:pPr>
      <w:r>
        <w:rPr>
          <w:rFonts w:ascii="Arial" w:cs="Arial" w:eastAsia="Arial" w:hAnsi="Arial"/>
          <w:sz w:val="18"/>
          <w:szCs w:val="18"/>
          <w:color w:val="auto"/>
        </w:rPr>
        <w:t>If a Covered Individual is not sure whether information is material or nonpublic, consult with the Legal Department for guidance before engaging in any transaction in Company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disclosure of information</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General Confidentiality Obligations applicable to all Covered Individuals, the Company is subject to laws that govern the timing of disclosures of material information to the public and others. The Company’s Regulation FD Policy provides that only certain designated employees may discuss the Company and its business with the news media, securities analysts and investors. All inquiries from outsiders regarding material nonpublic information about the Company should be forwarded to the Chief Executive Officer, President or Vice President – Investor Relations. If an inquiry is made by an outsider over the phone, the following response will generally be appropriate:</w:t>
      </w:r>
    </w:p>
    <w:p>
      <w:pPr>
        <w:spacing w:after="0" w:line="208" w:lineRule="exact"/>
        <w:rPr>
          <w:sz w:val="20"/>
          <w:szCs w:val="20"/>
          <w:color w:val="auto"/>
        </w:rPr>
      </w:pPr>
    </w:p>
    <w:p>
      <w:pPr>
        <w:ind w:left="640" w:right="660"/>
        <w:spacing w:after="0" w:line="281" w:lineRule="auto"/>
        <w:rPr>
          <w:sz w:val="20"/>
          <w:szCs w:val="20"/>
          <w:color w:val="auto"/>
        </w:rPr>
      </w:pPr>
      <w:r>
        <w:rPr>
          <w:rFonts w:ascii="Arial" w:cs="Arial" w:eastAsia="Arial" w:hAnsi="Arial"/>
          <w:sz w:val="18"/>
          <w:szCs w:val="18"/>
          <w:color w:val="auto"/>
        </w:rPr>
        <w:t>“As to these types of matters, the appropriate individuals at the Company to contact are the Chief Executive Officer, President or VP – Investor Relations.”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provide instructions to receptionists regarding outside inquiries; (v) use code names for sensitive projects and limit disclosure of information to specific members of the project team; (vi) use passwords to restrict computer access; and (vii) do not use any Internet “chat rooms,” message boards, social networking websites or similar medium available to the public to post any unauthorized messages regarding the Company or Company’s business, financial condition, employees, or other matters related to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violating insider trading laws or this policy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consequences of violating the securities laws or this policy can be severe. They include the following:</w:t>
      </w:r>
    </w:p>
    <w:p>
      <w:pPr>
        <w:spacing w:after="0" w:line="248" w:lineRule="exact"/>
        <w:rPr>
          <w:sz w:val="20"/>
          <w:szCs w:val="20"/>
          <w:color w:val="auto"/>
        </w:rPr>
      </w:pPr>
    </w:p>
    <w:p>
      <w:pPr>
        <w:ind w:left="640"/>
        <w:spacing w:after="0" w:line="249" w:lineRule="auto"/>
        <w:rPr>
          <w:sz w:val="20"/>
          <w:szCs w:val="20"/>
          <w:color w:val="auto"/>
        </w:rPr>
      </w:pPr>
      <w:r>
        <w:rPr>
          <w:rFonts w:ascii="Arial" w:cs="Arial" w:eastAsia="Arial" w:hAnsi="Arial"/>
          <w:sz w:val="18"/>
          <w:szCs w:val="18"/>
          <w:b w:val="1"/>
          <w:bCs w:val="1"/>
          <w:i w:val="1"/>
          <w:iCs w:val="1"/>
          <w:color w:val="auto"/>
        </w:rPr>
        <w:t xml:space="preserve">Civil and criminal penalties. </w:t>
      </w:r>
      <w:r>
        <w:rPr>
          <w:rFonts w:ascii="Arial" w:cs="Arial" w:eastAsia="Arial" w:hAnsi="Arial"/>
          <w:sz w:val="18"/>
          <w:szCs w:val="18"/>
          <w:color w:val="auto"/>
        </w:rPr>
        <w:t>If you violate the insider trading laws or the laws prohibiting tipping (i.e., passing on information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anyone, including friends or family members, who transact on that information), you may be required to:</w:t>
      </w:r>
    </w:p>
    <w:p>
      <w:pPr>
        <w:spacing w:after="0" w:line="3" w:lineRule="exact"/>
        <w:rPr>
          <w:sz w:val="20"/>
          <w:szCs w:val="20"/>
          <w:color w:val="auto"/>
        </w:rPr>
      </w:pPr>
    </w:p>
    <w:p>
      <w:pPr>
        <w:ind w:left="1280" w:hanging="630"/>
        <w:spacing w:after="0"/>
        <w:tabs>
          <w:tab w:leader="none" w:pos="1280" w:val="left"/>
        </w:tabs>
        <w:numPr>
          <w:ilvl w:val="0"/>
          <w:numId w:val="109"/>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pay civil penalties up to three times the profit made or loss avoided</w:t>
      </w:r>
    </w:p>
    <w:p>
      <w:pPr>
        <w:ind w:left="1280" w:hanging="630"/>
        <w:spacing w:after="0" w:line="212" w:lineRule="auto"/>
        <w:tabs>
          <w:tab w:leader="none" w:pos="1280" w:val="left"/>
        </w:tabs>
        <w:numPr>
          <w:ilvl w:val="0"/>
          <w:numId w:val="109"/>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pay a criminal penalty of up to $5 million</w:t>
      </w:r>
    </w:p>
    <w:p>
      <w:pPr>
        <w:ind w:left="1280" w:hanging="630"/>
        <w:spacing w:after="0" w:line="216" w:lineRule="auto"/>
        <w:tabs>
          <w:tab w:leader="none" w:pos="1280" w:val="left"/>
        </w:tabs>
        <w:numPr>
          <w:ilvl w:val="0"/>
          <w:numId w:val="109"/>
        </w:numPr>
        <w:rPr>
          <w:rFonts w:ascii="Times New Roman" w:cs="Times New Roman" w:eastAsia="Times New Roman" w:hAnsi="Times New Roman"/>
          <w:sz w:val="21"/>
          <w:szCs w:val="21"/>
          <w:b w:val="1"/>
          <w:bCs w:val="1"/>
          <w:color w:val="auto"/>
        </w:rPr>
      </w:pPr>
      <w:r>
        <w:rPr>
          <w:rFonts w:ascii="Arial" w:cs="Arial" w:eastAsia="Arial" w:hAnsi="Arial"/>
          <w:sz w:val="18"/>
          <w:szCs w:val="18"/>
          <w:color w:val="auto"/>
        </w:rPr>
        <w:t>serve a jail term of up to 20 years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addition, the Company and/or the supervisors of a person who violates these laws may also be subject to civil or criminal penalties if they did not take appropriate steps to prevent illegal trading.</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be aware that the United States Securities and Exchange Commission, Nasdaq and the Financial Industry Regulatory Authority (FINRA) employ extremely sophisticated stock market surveillance techniques, and there is a very high likelihood that federal or other regulatory authorities will detect and prosecute insider trading violations involving even small dollar amounts. In addition, if the Company becomes aware of insider trading or tipping by Company personnel, the Company may inform the appropriate government authorities and take appropriate disciplinary actions. The risk of transacting on material, non-public information is simply not worth taking.</w:t>
      </w:r>
    </w:p>
    <w:p>
      <w:pPr>
        <w:spacing w:after="0" w:line="20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b w:val="1"/>
          <w:bCs w:val="1"/>
          <w:i w:val="1"/>
          <w:iCs w:val="1"/>
          <w:color w:val="auto"/>
        </w:rPr>
        <w:t xml:space="preserve">Company discipline. </w:t>
      </w:r>
      <w:r>
        <w:rPr>
          <w:rFonts w:ascii="Arial" w:cs="Arial" w:eastAsia="Arial" w:hAnsi="Arial"/>
          <w:sz w:val="18"/>
          <w:szCs w:val="18"/>
          <w:color w:val="auto"/>
        </w:rPr>
        <w:t>If an employee violates this Policy or insider trading or tipping laws, he or she may be subject to disciplinary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by the Company, up to and including termination. A violation of the Company policy is not necessarily the same as a violation of law and Company may determine that specific conduct violates Company policy, whether or not the conduct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700405</wp:posOffset>
            </wp:positionV>
            <wp:extent cx="71335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tabs>
          <w:tab w:leader="none" w:pos="10500" w:val="left"/>
        </w:tabs>
        <w:rPr>
          <w:sz w:val="20"/>
          <w:szCs w:val="20"/>
          <w:color w:val="auto"/>
        </w:rPr>
      </w:pPr>
      <w:r>
        <w:rPr>
          <w:rFonts w:ascii="Arial" w:cs="Arial" w:eastAsia="Arial" w:hAnsi="Arial"/>
          <w:sz w:val="18"/>
          <w:szCs w:val="18"/>
          <w:color w:val="auto"/>
        </w:rPr>
        <w:t>February 2025</w:t>
      </w:r>
      <w:r>
        <w:rPr>
          <w:sz w:val="20"/>
          <w:szCs w:val="20"/>
          <w:color w:val="auto"/>
        </w:rPr>
        <w:tab/>
      </w:r>
      <w:r>
        <w:rPr>
          <w:rFonts w:ascii="Arial" w:cs="Arial" w:eastAsia="Arial" w:hAnsi="Arial"/>
          <w:sz w:val="17"/>
          <w:szCs w:val="17"/>
          <w:color w:val="auto"/>
        </w:rPr>
        <w:t xml:space="preserve">4 | </w:t>
      </w:r>
      <w:r>
        <w:rPr>
          <w:rFonts w:ascii="Arial" w:cs="Arial" w:eastAsia="Arial" w:hAnsi="Arial"/>
          <w:sz w:val="17"/>
          <w:szCs w:val="17"/>
          <w:color w:val="808080"/>
        </w:rPr>
        <w:t>Page</w:t>
      </w:r>
    </w:p>
    <w:p>
      <w:pPr>
        <w:sectPr>
          <w:pgSz w:w="11900" w:h="16838" w:orient="portrait"/>
          <w:cols w:equalWidth="0" w:num="1">
            <w:col w:w="11240"/>
          </w:cols>
          <w:pgMar w:left="320" w:top="1406" w:right="339" w:bottom="1440" w:gutter="0" w:footer="0" w:header="0"/>
        </w:sectPr>
      </w:pPr>
    </w:p>
    <w:bookmarkStart w:id="205" w:name="page206"/>
    <w:bookmarkEnd w:id="205"/>
    <w:p>
      <w:pPr>
        <w:jc w:val="both"/>
        <w:ind w:left="640"/>
        <w:spacing w:after="0" w:line="259" w:lineRule="auto"/>
        <w:rPr>
          <w:sz w:val="20"/>
          <w:szCs w:val="20"/>
          <w:color w:val="auto"/>
        </w:rPr>
      </w:pPr>
      <w:r>
        <w:rPr>
          <w:rFonts w:ascii="Arial" w:cs="Arial" w:eastAsia="Arial" w:hAnsi="Arial"/>
          <w:sz w:val="18"/>
          <w:szCs w:val="18"/>
          <w:color w:val="auto"/>
        </w:rPr>
        <w:t>violates the law. The Company is not required to await the filing or conclusion of a civil or criminal action against an alleged violator before taking disciplinary action. You should also be careful to avoid discussing sensitive information in any place where others may hear this information (for instance, at lunch, on public tranportation or in elevators) as these actions could lead to tipping and/or breaches of corporate confidentiality, resulting in disciplinary actions by the Company.</w:t>
      </w:r>
    </w:p>
    <w:p>
      <w:pPr>
        <w:spacing w:after="0" w:line="17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b w:val="1"/>
          <w:bCs w:val="1"/>
          <w:i w:val="1"/>
          <w:iCs w:val="1"/>
          <w:color w:val="auto"/>
        </w:rPr>
        <w:t xml:space="preserve">Reporting of violations. </w:t>
      </w:r>
      <w:r>
        <w:rPr>
          <w:rFonts w:ascii="Arial" w:cs="Arial" w:eastAsia="Arial" w:hAnsi="Arial"/>
          <w:sz w:val="18"/>
          <w:szCs w:val="18"/>
          <w:color w:val="auto"/>
        </w:rPr>
        <w:t>Any Covered Individual who violates this policy or any federal or state laws governing insider trading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tipping, or knows of any such violation by any other employee, officer or director, must report the violation immediately to the Legal Department.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this Policy to certain transactions under company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Certain transactions in Company securities under Company benefit plans have special application or may not be prohibited by this Policy.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These are:</w:t>
      </w:r>
    </w:p>
    <w:p>
      <w:pPr>
        <w:spacing w:after="0" w:line="203"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b w:val="1"/>
          <w:bCs w:val="1"/>
          <w:i w:val="1"/>
          <w:iCs w:val="1"/>
          <w:color w:val="auto"/>
        </w:rPr>
        <w:t xml:space="preserve">Equity Plan Shares Withheld or Sold to Satisfy Tax Withholding Obligations. </w:t>
      </w:r>
      <w:r>
        <w:rPr>
          <w:rFonts w:ascii="Arial" w:cs="Arial" w:eastAsia="Arial" w:hAnsi="Arial"/>
          <w:sz w:val="18"/>
          <w:szCs w:val="18"/>
          <w:color w:val="auto"/>
        </w:rPr>
        <w:t>This Policy does not apply to a Company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withhold shares to satisfy tax withholding requirements in connection with settlements of stock awards made under the applicable Company’s long-term incentive plan. For employees other than “Section 16(b) insiders” (directors, executive officers and persons that the Company may from time to time designate because of their position with the Company and access to material nonpublic information) and Company officers, the default method of satisfying tax withholding requirements will be “sell to cover,” whereby the Company will automatically tender to and instruct a broker designated by the Company to sell shares of Company stock, that otherwise would be issued and transferred to the employee on the applicable settlement date, with a fair market value on that date that does not exceed the maximum statutory tax rates in the applicable jurisdictions (subject to the employee’s written request to withhold more than the required regular tax withholding in the applicable jurisdictions) and remit proceeds equal to the required withholding amount to the Company.</w:t>
      </w:r>
    </w:p>
    <w:p>
      <w:pPr>
        <w:spacing w:after="0" w:line="183"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This policy applies to certain elections employees may make under our 401(k) plan, including (a) an election to make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intra-plan transfer of an existing Company stock account balance out of the Company stock fund (i.e., to sell shares credited to the Company stock fund), and (b) an election to borrow money against your 401(k) plan account if the loan will result in a liquidation of some or all of your Company stock fund balance.</w:t>
      </w:r>
    </w:p>
    <w:p>
      <w:pPr>
        <w:spacing w:after="0" w:line="178"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b w:val="1"/>
          <w:bCs w:val="1"/>
          <w:i w:val="1"/>
          <w:iCs w:val="1"/>
          <w:color w:val="auto"/>
        </w:rPr>
        <w:t xml:space="preserve">Dividend or Distribution Reinvestment Plan. </w:t>
      </w:r>
      <w:r>
        <w:rPr>
          <w:rFonts w:ascii="Arial" w:cs="Arial" w:eastAsia="Arial" w:hAnsi="Arial"/>
          <w:sz w:val="18"/>
          <w:szCs w:val="18"/>
          <w:color w:val="auto"/>
        </w:rPr>
        <w:t>This Company does not currently maintain a dividend or distribution reinvestment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However, this Policy does not apply to purchases of Company stock or units, as applicable, resulting from an employee’s election made in his or her brokerage account to automatically reinvest of dividends or distributions paid on Company securities so long as the election was made when the employee was not in possession of material nonpublic information and the reinvestment of dividends or distributions is made automatically without discretion from the employee. If the employee elects to automatically reinvest dividends or distributions, or elects to revoke a previous election to automatically reinvest dividends, in either case, while in possession of material nonpublic information, this policy does apply to any purchase (or absence thereof) of Company stock or units resulting from such election.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 to this policy for trades pursuant to prearranged trading plans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restrictions in this policy do not apply to trading in Company securities if the trades occur pursuant to a prearranged trading plan that complies with the Company’s guidelines with respect to such plans and has been precleared by Diamondback’s Chief Legal &amp; Administrative Officer. An SEC rule, Rule 10b5-1(c), provides an affirmative defense from insider trading liability for trades that occur pursuant to a prearranged “trading plan” that meets certain specified conditions. A Covered Individual must 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567055</wp:posOffset>
            </wp:positionV>
            <wp:extent cx="71335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tabs>
          <w:tab w:leader="none" w:pos="10500" w:val="left"/>
        </w:tabs>
        <w:rPr>
          <w:sz w:val="20"/>
          <w:szCs w:val="20"/>
          <w:color w:val="auto"/>
        </w:rPr>
      </w:pPr>
      <w:r>
        <w:rPr>
          <w:rFonts w:ascii="Arial" w:cs="Arial" w:eastAsia="Arial" w:hAnsi="Arial"/>
          <w:sz w:val="18"/>
          <w:szCs w:val="18"/>
          <w:color w:val="auto"/>
        </w:rPr>
        <w:t>February 2025</w:t>
      </w:r>
      <w:r>
        <w:rPr>
          <w:sz w:val="20"/>
          <w:szCs w:val="20"/>
          <w:color w:val="auto"/>
        </w:rPr>
        <w:tab/>
      </w:r>
      <w:r>
        <w:rPr>
          <w:rFonts w:ascii="Arial" w:cs="Arial" w:eastAsia="Arial" w:hAnsi="Arial"/>
          <w:sz w:val="17"/>
          <w:szCs w:val="17"/>
          <w:color w:val="auto"/>
        </w:rPr>
        <w:t xml:space="preserve">5 | </w:t>
      </w:r>
      <w:r>
        <w:rPr>
          <w:rFonts w:ascii="Arial" w:cs="Arial" w:eastAsia="Arial" w:hAnsi="Arial"/>
          <w:sz w:val="17"/>
          <w:szCs w:val="17"/>
          <w:color w:val="808080"/>
        </w:rPr>
        <w:t>Page</w:t>
      </w:r>
    </w:p>
    <w:p>
      <w:pPr>
        <w:sectPr>
          <w:pgSz w:w="11900" w:h="16838" w:orient="portrait"/>
          <w:cols w:equalWidth="0" w:num="1">
            <w:col w:w="11240"/>
          </w:cols>
          <w:pgMar w:left="320" w:top="1406" w:right="339" w:bottom="1440" w:gutter="0" w:footer="0" w:header="0"/>
        </w:sectPr>
      </w:pPr>
    </w:p>
    <w:bookmarkStart w:id="206" w:name="page207"/>
    <w:bookmarkEnd w:id="206"/>
    <w:p>
      <w:pPr>
        <w:jc w:val="both"/>
        <w:spacing w:after="0" w:line="255" w:lineRule="auto"/>
        <w:rPr>
          <w:sz w:val="20"/>
          <w:szCs w:val="20"/>
          <w:color w:val="auto"/>
        </w:rPr>
      </w:pPr>
      <w:r>
        <w:rPr>
          <w:rFonts w:ascii="Arial" w:cs="Arial" w:eastAsia="Arial" w:hAnsi="Arial"/>
          <w:sz w:val="18"/>
          <w:szCs w:val="18"/>
          <w:color w:val="auto"/>
        </w:rPr>
        <w:t>into the trading plan at a time when he or she was not aware of any material nonpublic information. In addition, the establishment and operation of the trading plan, as well as any modification or termination of the plan prior to its scheduled expiration date, must (a) comply with the requirements of Rule 10b5-1(c) and the Company’s guidelines concerning such plans, and (b) be precleared by the Chief Legal &amp; Administrative Officer. In preclearing the establishment, operation, modification or termination of a trading plan, neither the Company nor the Chief Legal &amp; Administrative Officer will be responsible for determining whether the plan is in compliance with the provisions of Rule 10b5-1(c). Compliance with Rule 10b5-1(c) is solely your responsibility.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assistance</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If you have a question about this policy or whether it applies to a particular transaction, contact the Chief Legal &amp; Administrative Officer for additional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1319530</wp:posOffset>
            </wp:positionV>
            <wp:extent cx="71335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10500" w:val="left"/>
        </w:tabs>
        <w:rPr>
          <w:sz w:val="20"/>
          <w:szCs w:val="20"/>
          <w:color w:val="auto"/>
        </w:rPr>
      </w:pPr>
      <w:r>
        <w:rPr>
          <w:rFonts w:ascii="Arial" w:cs="Arial" w:eastAsia="Arial" w:hAnsi="Arial"/>
          <w:sz w:val="18"/>
          <w:szCs w:val="18"/>
          <w:color w:val="auto"/>
        </w:rPr>
        <w:t>February 2025</w:t>
      </w:r>
      <w:r>
        <w:rPr>
          <w:sz w:val="20"/>
          <w:szCs w:val="20"/>
          <w:color w:val="auto"/>
        </w:rPr>
        <w:tab/>
      </w:r>
      <w:r>
        <w:rPr>
          <w:rFonts w:ascii="Arial" w:cs="Arial" w:eastAsia="Arial" w:hAnsi="Arial"/>
          <w:sz w:val="17"/>
          <w:szCs w:val="17"/>
          <w:color w:val="auto"/>
        </w:rPr>
        <w:t xml:space="preserve">6 | </w:t>
      </w:r>
      <w:r>
        <w:rPr>
          <w:rFonts w:ascii="Arial" w:cs="Arial" w:eastAsia="Arial" w:hAnsi="Arial"/>
          <w:sz w:val="17"/>
          <w:szCs w:val="17"/>
          <w:color w:val="808080"/>
        </w:rPr>
        <w:t>Page</w:t>
      </w:r>
    </w:p>
    <w:p>
      <w:pPr>
        <w:sectPr>
          <w:pgSz w:w="11900" w:h="16838" w:orient="portrait"/>
          <w:cols w:equalWidth="0" w:num="1">
            <w:col w:w="11240"/>
          </w:cols>
          <w:pgMar w:left="320" w:top="140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DIAMONDBACK ENERGY, INC.</w:t>
      </w: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SIXTH AMENDED AND RESTATED SUPPLEMENTAL POLICY</w:t>
      </w:r>
    </w:p>
    <w:p>
      <w:pPr>
        <w:spacing w:after="0" w:line="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CONCERNING TRADING IN SECURITIES OF THE COMPANY</w:t>
      </w:r>
    </w:p>
    <w:p>
      <w:pPr>
        <w:spacing w:after="0" w:line="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AND ITS SUBSIDIARIES</w:t>
      </w:r>
    </w:p>
    <w:p>
      <w:pPr>
        <w:spacing w:after="0" w:line="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BY CERTAIN DESIGNATED PERSONS</w:t>
      </w: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(As adopted February 4, 2025)</w:t>
      </w:r>
    </w:p>
    <w:p>
      <w:pPr>
        <w:spacing w:after="0" w:line="254" w:lineRule="exact"/>
        <w:rPr>
          <w:sz w:val="20"/>
          <w:szCs w:val="20"/>
          <w:color w:val="auto"/>
        </w:rPr>
      </w:pPr>
    </w:p>
    <w:p>
      <w:pPr>
        <w:jc w:val="both"/>
        <w:ind w:left="20" w:firstLine="642"/>
        <w:spacing w:after="0" w:line="261" w:lineRule="auto"/>
        <w:rPr>
          <w:sz w:val="20"/>
          <w:szCs w:val="20"/>
          <w:color w:val="auto"/>
        </w:rPr>
      </w:pPr>
      <w:r>
        <w:rPr>
          <w:rFonts w:ascii="Times New Roman" w:cs="Times New Roman" w:eastAsia="Times New Roman" w:hAnsi="Times New Roman"/>
          <w:sz w:val="21"/>
          <w:szCs w:val="21"/>
          <w:color w:val="auto"/>
        </w:rPr>
        <w:t>This policy supplements, and is in addition to, the Insider Trading Policy of Diamondback Energy, Inc. (Nasdaq: FANG)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Viper Energy, Inc. (Nasdaq: VNOM) (“</w:t>
      </w:r>
      <w:r>
        <w:rPr>
          <w:rFonts w:ascii="Times New Roman" w:cs="Times New Roman" w:eastAsia="Times New Roman" w:hAnsi="Times New Roman"/>
          <w:sz w:val="21"/>
          <w:szCs w:val="21"/>
          <w:b w:val="1"/>
          <w:bCs w:val="1"/>
          <w:i w:val="1"/>
          <w:iCs w:val="1"/>
          <w:color w:val="auto"/>
        </w:rPr>
        <w:t>Viper</w:t>
      </w:r>
      <w:r>
        <w:rPr>
          <w:rFonts w:ascii="Times New Roman" w:cs="Times New Roman" w:eastAsia="Times New Roman" w:hAnsi="Times New Roman"/>
          <w:sz w:val="21"/>
          <w:szCs w:val="21"/>
          <w:color w:val="auto"/>
        </w:rPr>
        <w:t>,” and collectively with the Company, the “</w:t>
      </w:r>
      <w:r>
        <w:rPr>
          <w:rFonts w:ascii="Times New Roman" w:cs="Times New Roman" w:eastAsia="Times New Roman" w:hAnsi="Times New Roman"/>
          <w:sz w:val="21"/>
          <w:szCs w:val="21"/>
          <w:b w:val="1"/>
          <w:bCs w:val="1"/>
          <w:i w:val="1"/>
          <w:iCs w:val="1"/>
          <w:color w:val="auto"/>
        </w:rPr>
        <w:t>Diamondback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Publicly Traded Group</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i w:val="1"/>
          <w:iCs w:val="1"/>
          <w:color w:val="auto"/>
        </w:rPr>
        <w:t>Diamondback Publicly Traded Group Entity</w:t>
      </w:r>
      <w:r>
        <w:rPr>
          <w:rFonts w:ascii="Times New Roman" w:cs="Times New Roman" w:eastAsia="Times New Roman" w:hAnsi="Times New Roman"/>
          <w:sz w:val="21"/>
          <w:szCs w:val="21"/>
          <w:color w:val="auto"/>
        </w:rPr>
        <w:t>”) and their respective direct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indirect subsidiaries. This policy applies to certain designated persons. If you are subject to this policy, we will notify you and provide you with a copy of this policy. </w:t>
      </w:r>
      <w:r>
        <w:rPr>
          <w:rFonts w:ascii="Times New Roman" w:cs="Times New Roman" w:eastAsia="Times New Roman" w:hAnsi="Times New Roman"/>
          <w:sz w:val="21"/>
          <w:szCs w:val="21"/>
          <w:b w:val="1"/>
          <w:bCs w:val="1"/>
          <w:color w:val="auto"/>
        </w:rPr>
        <w:t>After you have read this policy, please sign the Certification that is attached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policy and return it to the Legal Department at the address indicated on the Certification. </w:t>
      </w:r>
      <w:r>
        <w:rPr>
          <w:rFonts w:ascii="Times New Roman" w:cs="Times New Roman" w:eastAsia="Times New Roman" w:hAnsi="Times New Roman"/>
          <w:sz w:val="21"/>
          <w:szCs w:val="21"/>
          <w:color w:val="auto"/>
        </w:rPr>
        <w:t>You will also be asked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recertify your compliance with this policy annually.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Persons subject to this supplemental policy</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This supplemental policy applies to:</w:t>
      </w:r>
    </w:p>
    <w:p>
      <w:pPr>
        <w:spacing w:after="0" w:line="261" w:lineRule="exact"/>
        <w:rPr>
          <w:sz w:val="20"/>
          <w:szCs w:val="20"/>
          <w:color w:val="auto"/>
        </w:rPr>
      </w:pPr>
    </w:p>
    <w:p>
      <w:pPr>
        <w:ind w:left="1380" w:hanging="650"/>
        <w:spacing w:after="0" w:line="295" w:lineRule="auto"/>
        <w:tabs>
          <w:tab w:leader="none" w:pos="1375"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director of the Company and each director of the Company’s publicly traded subsidiary, Viper (the “</w:t>
      </w:r>
      <w:r>
        <w:rPr>
          <w:rFonts w:ascii="Times New Roman" w:cs="Times New Roman" w:eastAsia="Times New Roman" w:hAnsi="Times New Roman"/>
          <w:sz w:val="21"/>
          <w:szCs w:val="21"/>
          <w:b w:val="1"/>
          <w:bCs w:val="1"/>
          <w:i w:val="1"/>
          <w:iCs w:val="1"/>
          <w:color w:val="auto"/>
        </w:rPr>
        <w:t>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Company Directors</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b w:val="1"/>
          <w:bCs w:val="1"/>
          <w:color w:val="auto"/>
        </w:rPr>
      </w:pPr>
    </w:p>
    <w:p>
      <w:pPr>
        <w:jc w:val="both"/>
        <w:ind w:left="1380" w:hanging="650"/>
        <w:spacing w:after="0" w:line="269" w:lineRule="auto"/>
        <w:tabs>
          <w:tab w:leader="none" w:pos="1375"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officer of any one or more members of the Diamondback Publicly Traded Group who has been designated as an “executive officer” (collectively with the Public Company Directors, the “</w:t>
      </w:r>
      <w:r>
        <w:rPr>
          <w:rFonts w:ascii="Times New Roman" w:cs="Times New Roman" w:eastAsia="Times New Roman" w:hAnsi="Times New Roman"/>
          <w:sz w:val="21"/>
          <w:szCs w:val="21"/>
          <w:b w:val="1"/>
          <w:bCs w:val="1"/>
          <w:i w:val="1"/>
          <w:iCs w:val="1"/>
          <w:color w:val="auto"/>
        </w:rPr>
        <w:t>Section 16 Individuals</w:t>
      </w:r>
      <w:r>
        <w:rPr>
          <w:rFonts w:ascii="Times New Roman" w:cs="Times New Roman" w:eastAsia="Times New Roman" w:hAnsi="Times New Roman"/>
          <w:sz w:val="21"/>
          <w:szCs w:val="21"/>
          <w:color w:val="auto"/>
        </w:rPr>
        <w:t>”) for purposes of the reporting requirements and trading restrictions of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and</w:t>
      </w:r>
    </w:p>
    <w:p>
      <w:pPr>
        <w:spacing w:after="0" w:line="189" w:lineRule="exact"/>
        <w:rPr>
          <w:rFonts w:ascii="Times New Roman" w:cs="Times New Roman" w:eastAsia="Times New Roman" w:hAnsi="Times New Roman"/>
          <w:sz w:val="21"/>
          <w:szCs w:val="21"/>
          <w:b w:val="1"/>
          <w:bCs w:val="1"/>
          <w:color w:val="auto"/>
        </w:rPr>
      </w:pPr>
    </w:p>
    <w:p>
      <w:pPr>
        <w:jc w:val="both"/>
        <w:ind w:left="1380" w:hanging="650"/>
        <w:spacing w:after="0" w:line="271" w:lineRule="auto"/>
        <w:tabs>
          <w:tab w:leader="none" w:pos="1375"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additional persons that any one or more members of the Diamondback Publicly Traded Group may from time to time designate as being subject to this policy because of their position with the Diamondback Publicly Traded Group or their applicable subsidiaries and their access to material nonpublic information.</w:t>
      </w:r>
    </w:p>
    <w:p>
      <w:pPr>
        <w:spacing w:after="0" w:line="200" w:lineRule="exact"/>
        <w:rPr>
          <w:sz w:val="20"/>
          <w:szCs w:val="20"/>
          <w:color w:val="auto"/>
        </w:rPr>
      </w:pPr>
    </w:p>
    <w:p>
      <w:pPr>
        <w:jc w:val="both"/>
        <w:ind w:left="20" w:right="40" w:firstLine="553"/>
        <w:spacing w:after="0" w:line="265" w:lineRule="auto"/>
        <w:rPr>
          <w:sz w:val="20"/>
          <w:szCs w:val="20"/>
          <w:color w:val="auto"/>
        </w:rPr>
      </w:pPr>
      <w:r>
        <w:rPr>
          <w:rFonts w:ascii="Times New Roman" w:cs="Times New Roman" w:eastAsia="Times New Roman" w:hAnsi="Times New Roman"/>
          <w:sz w:val="21"/>
          <w:szCs w:val="21"/>
          <w:color w:val="auto"/>
        </w:rPr>
        <w:t>In accordance with Section 4.3 of the Stockholders Agreement (as it may be amended or supplemented from time to time, the “</w:t>
      </w:r>
      <w:r>
        <w:rPr>
          <w:rFonts w:ascii="Times New Roman" w:cs="Times New Roman" w:eastAsia="Times New Roman" w:hAnsi="Times New Roman"/>
          <w:sz w:val="21"/>
          <w:szCs w:val="21"/>
          <w:b w:val="1"/>
          <w:bCs w:val="1"/>
          <w:i w:val="1"/>
          <w:iCs w:val="1"/>
          <w:color w:val="auto"/>
        </w:rPr>
        <w:t>Stockholders Agreement</w:t>
      </w:r>
      <w:r>
        <w:rPr>
          <w:rFonts w:ascii="Times New Roman" w:cs="Times New Roman" w:eastAsia="Times New Roman" w:hAnsi="Times New Roman"/>
          <w:sz w:val="21"/>
          <w:szCs w:val="21"/>
          <w:color w:val="auto"/>
        </w:rPr>
        <w:t>”), dated as of September 10, 2024, by and between the Company and the stockholders of the Company party thereto, this supplemental policy also applies to the Stephens Stockholders (as defined in the Stockholders Agreement) to the extent set forth in the Stockholders Agreement. We refer to all persons subject to this supplemental policy as “</w:t>
      </w:r>
      <w:r>
        <w:rPr>
          <w:rFonts w:ascii="Times New Roman" w:cs="Times New Roman" w:eastAsia="Times New Roman" w:hAnsi="Times New Roman"/>
          <w:sz w:val="21"/>
          <w:szCs w:val="21"/>
          <w:b w:val="1"/>
          <w:bCs w:val="1"/>
          <w:i w:val="1"/>
          <w:iCs w:val="1"/>
          <w:color w:val="auto"/>
        </w:rPr>
        <w:t>Designated Persons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454660</wp:posOffset>
            </wp:positionV>
            <wp:extent cx="7133590" cy="76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1</w:t>
            </w:r>
          </w:p>
        </w:tc>
      </w:tr>
    </w:tbl>
    <w:p>
      <w:pPr>
        <w:sectPr>
          <w:pgSz w:w="11900" w:h="16838" w:orient="portrait"/>
          <w:cols w:equalWidth="0" w:num="1">
            <w:col w:w="11160"/>
          </w:cols>
          <w:pgMar w:left="400" w:top="581" w:right="339" w:bottom="1440" w:gutter="0" w:footer="0" w:header="0"/>
        </w:sectPr>
      </w:pPr>
    </w:p>
    <w:bookmarkStart w:id="208" w:name="page209"/>
    <w:bookmarkEnd w:id="208"/>
    <w:p>
      <w:pPr>
        <w:jc w:val="both"/>
        <w:ind w:left="20" w:right="100" w:firstLine="642"/>
        <w:spacing w:after="0" w:line="265" w:lineRule="auto"/>
        <w:rPr>
          <w:sz w:val="20"/>
          <w:szCs w:val="20"/>
          <w:color w:val="auto"/>
        </w:rPr>
      </w:pPr>
      <w:r>
        <w:rPr>
          <w:rFonts w:ascii="Times New Roman" w:cs="Times New Roman" w:eastAsia="Times New Roman" w:hAnsi="Times New Roman"/>
          <w:sz w:val="21"/>
          <w:szCs w:val="21"/>
          <w:color w:val="auto"/>
        </w:rPr>
        <w:t>If you are a Designated Person, then this policy also applies to (i) your family members who reside with you, (ii) anyone else who lives with you and (iii) any other person or entity whose transactions in the securities of the Company or Viper are directed by you or are subject to your influence or control (such as parents or children who consult with you before they trade in securities of the Company or Viper). You are responsible for making sure that these other persons and entities comply with this policy, and any violation of this policy by any such person or entity will be deemed a violation of this policy by you.</w:t>
      </w:r>
    </w:p>
    <w:p>
      <w:pPr>
        <w:spacing w:after="0" w:line="193" w:lineRule="exact"/>
        <w:rPr>
          <w:sz w:val="20"/>
          <w:szCs w:val="20"/>
          <w:color w:val="auto"/>
        </w:rPr>
      </w:pPr>
    </w:p>
    <w:p>
      <w:pPr>
        <w:jc w:val="both"/>
        <w:ind w:left="20" w:right="100" w:firstLine="642"/>
        <w:spacing w:after="0" w:line="249" w:lineRule="auto"/>
        <w:rPr>
          <w:sz w:val="20"/>
          <w:szCs w:val="20"/>
          <w:color w:val="auto"/>
        </w:rPr>
      </w:pPr>
      <w:r>
        <w:rPr>
          <w:rFonts w:ascii="Times New Roman" w:cs="Times New Roman" w:eastAsia="Times New Roman" w:hAnsi="Times New Roman"/>
          <w:sz w:val="21"/>
          <w:szCs w:val="21"/>
          <w:color w:val="auto"/>
        </w:rPr>
        <w:t>If a Designated Person’s service with any Diamondback Publicly Traded Group Entity terminates and the trading window is closed or a special blackout period has been designated, such Designated Person shall continue to remain subject to the terms of this Policy until the earlier of (i) the date immediately following the date that is two full trading days following widespread public release by the Company of its quarterly operating results for the period that includes the date of your service’s termination (assuming no special blackout period has otherwise been designated), which results include quarterly operating results of its consolidated subsidiaries, including Viper, and (ii)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immediately following the date on which your service with the applicable Diamondback Publicly Traded Group Entity terminates.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Additional trading restrictions that apply to Designated Persons</w:t>
      </w:r>
    </w:p>
    <w:p>
      <w:pPr>
        <w:spacing w:after="0" w:line="84" w:lineRule="exact"/>
        <w:rPr>
          <w:sz w:val="20"/>
          <w:szCs w:val="20"/>
          <w:color w:val="auto"/>
        </w:rPr>
      </w:pPr>
    </w:p>
    <w:p>
      <w:pPr>
        <w:jc w:val="both"/>
        <w:ind w:left="20" w:right="120" w:firstLine="642"/>
        <w:spacing w:after="0" w:line="303" w:lineRule="auto"/>
        <w:rPr>
          <w:sz w:val="20"/>
          <w:szCs w:val="20"/>
          <w:color w:val="auto"/>
        </w:rPr>
      </w:pPr>
      <w:r>
        <w:rPr>
          <w:rFonts w:ascii="Times New Roman" w:cs="Times New Roman" w:eastAsia="Times New Roman" w:hAnsi="Times New Roman"/>
          <w:sz w:val="21"/>
          <w:szCs w:val="21"/>
          <w:color w:val="auto"/>
        </w:rPr>
        <w:t>If you are a Designated Person, you are subject to all of the requirements of the Insider Trading Policy with respect to each Diamondback Publicly Traded Group Entity. In addition, you are subject to the following restrictions:</w:t>
      </w:r>
    </w:p>
    <w:p>
      <w:pPr>
        <w:spacing w:after="0" w:line="176" w:lineRule="exact"/>
        <w:rPr>
          <w:sz w:val="20"/>
          <w:szCs w:val="20"/>
          <w:color w:val="auto"/>
        </w:rPr>
      </w:pPr>
    </w:p>
    <w:p>
      <w:pPr>
        <w:jc w:val="both"/>
        <w:ind w:left="1380" w:hanging="650"/>
        <w:spacing w:after="0" w:line="256" w:lineRule="auto"/>
        <w:tabs>
          <w:tab w:leader="none" w:pos="1374" w:val="left"/>
        </w:tabs>
        <w:numPr>
          <w:ilvl w:val="0"/>
          <w:numId w:val="11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1"/>
          <w:szCs w:val="21"/>
          <w:b w:val="1"/>
          <w:bCs w:val="1"/>
          <w:color w:val="auto"/>
        </w:rPr>
        <w:t xml:space="preserve">You may not trade or otherwise transact (including, without limitation, charitable donations or similar gifts) in securities of any Diamondback Publicly Traded Group Entity outside of a trading window. </w:t>
      </w:r>
      <w:r>
        <w:rPr>
          <w:rFonts w:ascii="Times New Roman" w:cs="Times New Roman" w:eastAsia="Times New Roman" w:hAnsi="Times New Roman"/>
          <w:sz w:val="21"/>
          <w:szCs w:val="21"/>
          <w:color w:val="auto"/>
        </w:rPr>
        <w:t>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purposes of this policy, a “trading window” will commence after the close of trading two full trading days following widespread public release by the Company of its quarterly operating results, which results include quarterly operating results of its consolidated subsidiaries, including Viper;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that Viper publicly releases quarterly operating results prior to the widespread public release of the Company’s consolidated quarterly operating results for the same quarter, then the trading window for Viper would commence solely with respect to its publicly traded securities after the close of trading two full trading days following widespread public release of such quarterly operating results. The trading window with respect to each Diamondback Publicly Traded Group Entity will end after the close of trading on the tenth calendar day prior to the end of the fiscal quarter of such Diamondback Publicly Traded Group Entity (or, if such tenth day is not a trading day, after the close of trading on the immediately preceding trading day). The fact that a trading window is open or closed is confidential information, and you may not disclose such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302895</wp:posOffset>
            </wp:positionV>
            <wp:extent cx="7133590" cy="76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2</w:t>
            </w:r>
          </w:p>
        </w:tc>
      </w:tr>
    </w:tbl>
    <w:p>
      <w:pPr>
        <w:sectPr>
          <w:pgSz w:w="11900" w:h="16838" w:orient="portrait"/>
          <w:cols w:equalWidth="0" w:num="1">
            <w:col w:w="11160"/>
          </w:cols>
          <w:pgMar w:left="400" w:top="1411" w:right="339" w:bottom="1440" w:gutter="0" w:footer="0" w:header="0"/>
        </w:sectPr>
      </w:pPr>
    </w:p>
    <w:bookmarkStart w:id="209" w:name="page210"/>
    <w:bookmarkEnd w:id="209"/>
    <w:p>
      <w:pPr>
        <w:ind w:left="1380" w:right="20"/>
        <w:spacing w:after="0" w:line="290" w:lineRule="auto"/>
        <w:rPr>
          <w:sz w:val="20"/>
          <w:szCs w:val="20"/>
          <w:color w:val="auto"/>
        </w:rPr>
      </w:pPr>
      <w:r>
        <w:rPr>
          <w:rFonts w:ascii="Times New Roman" w:cs="Times New Roman" w:eastAsia="Times New Roman" w:hAnsi="Times New Roman"/>
          <w:sz w:val="21"/>
          <w:szCs w:val="21"/>
          <w:color w:val="auto"/>
        </w:rPr>
        <w:t>any outside third party, except as may be otherwise required by applicable law or regulation (but you must give prior written notice to the Chief Legal &amp; Administrative Officer that you are making such a disclosure).</w:t>
      </w:r>
    </w:p>
    <w:p>
      <w:pPr>
        <w:spacing w:after="0" w:line="162" w:lineRule="exact"/>
        <w:rPr>
          <w:sz w:val="20"/>
          <w:szCs w:val="20"/>
          <w:color w:val="auto"/>
        </w:rPr>
      </w:pPr>
    </w:p>
    <w:p>
      <w:pPr>
        <w:jc w:val="both"/>
        <w:ind w:left="1380" w:hanging="650"/>
        <w:spacing w:after="0" w:line="261" w:lineRule="auto"/>
        <w:tabs>
          <w:tab w:leader="none" w:pos="1375"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Even during a trading window, you may not trade during a blackout period. </w:t>
      </w:r>
      <w:r>
        <w:rPr>
          <w:rFonts w:ascii="Times New Roman" w:cs="Times New Roman" w:eastAsia="Times New Roman" w:hAnsi="Times New Roman"/>
          <w:sz w:val="21"/>
          <w:szCs w:val="21"/>
          <w:color w:val="auto"/>
        </w:rPr>
        <w:t>You may not trade in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Diamondback Publicly Traded Group Entity during any special blackout periods that the Chief Legal &amp; Administrative Officer (or his or her written designee) may designate with respect to any Diamondback Publicly Traded Group Entity without the prior written approval of the Chief Executive Officer of the Company (or President of the Company if the Chief Executive Officer is unavailable, or the Chief Legal &amp; Administrative Officer of the Company if the Chief Executive Officer and the President are unavailable). The fact that a special blackout period has been designated is confidential information, and you may not disclose such information to any outside third party, except as may be otherwise required by applicable law or regulation (but you must give prior written notice to the Chief Legal &amp; Administrative Officer that you are making such a disclosure).</w:t>
      </w:r>
    </w:p>
    <w:p>
      <w:pPr>
        <w:spacing w:after="0" w:line="193" w:lineRule="exact"/>
        <w:rPr>
          <w:rFonts w:ascii="Times New Roman" w:cs="Times New Roman" w:eastAsia="Times New Roman" w:hAnsi="Times New Roman"/>
          <w:sz w:val="21"/>
          <w:szCs w:val="21"/>
          <w:b w:val="1"/>
          <w:bCs w:val="1"/>
          <w:color w:val="auto"/>
        </w:rPr>
      </w:pPr>
    </w:p>
    <w:p>
      <w:pPr>
        <w:jc w:val="both"/>
        <w:ind w:left="1380" w:hanging="650"/>
        <w:spacing w:after="0" w:line="258" w:lineRule="auto"/>
        <w:tabs>
          <w:tab w:leader="none" w:pos="1375"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You may not trade during a trading window without prior written approval. </w:t>
      </w:r>
      <w:r>
        <w:rPr>
          <w:rFonts w:ascii="Times New Roman" w:cs="Times New Roman" w:eastAsia="Times New Roman" w:hAnsi="Times New Roman"/>
          <w:sz w:val="21"/>
          <w:szCs w:val="21"/>
          <w:color w:val="auto"/>
        </w:rPr>
        <w:t>During a trading window,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trade in securities of any Diamondback Publicly Traded Group Entity only after obtaining the prior written approval of the Chief Legal &amp; Administrative Officer. If you wish to engage in a transaction involving the securities of any Diamondback Publicly Traded Group Entity during a trading window, you must notify the Chief Legal &amp; Administrative Officer in writing of the amount and nature of the proposed trade(s) prior to the proposed transaction. Your request for pre-trade approval constitutes your certification that you are not in possession of material nonpublic information concerning any Diamondback Publicly Traded Group Entity or any of their respective subsidiaries. You must not engage in the transaction unless and until the Chief Legal &amp; Administrative Officer provides his or her approval in writing. Any determination by the Chief Legal &amp; Administrative Officer to disapprove a proposed trade will require the concurrence of the Chief Executive Officer of the Company (or the President of the Company if the Chief Executive Officer is unavailable). The foregoing functions of the Chief Legal &amp; Administrative Officer will be undertaken by the Chief Executive Officer of the Company in the case of proposed trades by the Chief Legal &amp; Administrative Officer. Proposed trades by the Chief Executive Officer will require approval by any of (i) the Chief Legal &amp; Administrative Officer, (ii) the President of the Company or (iii) the Audit Committee of the Board of the Company. The existence of these approval procedures does not in any way obligate the Chief Legal &amp; Administrative Officer or any other person to approve any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605155</wp:posOffset>
            </wp:positionV>
            <wp:extent cx="7133590" cy="76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3</w:t>
            </w:r>
          </w:p>
        </w:tc>
      </w:tr>
    </w:tbl>
    <w:p>
      <w:pPr>
        <w:sectPr>
          <w:pgSz w:w="11900" w:h="16838" w:orient="portrait"/>
          <w:cols w:equalWidth="0" w:num="1">
            <w:col w:w="11160"/>
          </w:cols>
          <w:pgMar w:left="400" w:top="1411" w:right="339" w:bottom="1440" w:gutter="0" w:footer="0" w:header="0"/>
        </w:sectPr>
      </w:pPr>
    </w:p>
    <w:bookmarkStart w:id="210" w:name="page211"/>
    <w:bookmarkEnd w:id="210"/>
    <w:p>
      <w:pPr>
        <w:jc w:val="both"/>
        <w:ind w:left="1380" w:hanging="650"/>
        <w:spacing w:after="0" w:line="259" w:lineRule="auto"/>
        <w:tabs>
          <w:tab w:leader="none" w:pos="137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Except as permitted by the rules of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b w:val="1"/>
          <w:bCs w:val="1"/>
          <w:color w:val="auto"/>
        </w:rPr>
        <w:t xml:space="preserve">”), you may not trade in equity securities of any Diamondback Publicly Traded Group Entity during a “pension plan blackout period.” </w:t>
      </w:r>
      <w:r>
        <w:rPr>
          <w:rFonts w:ascii="Times New Roman" w:cs="Times New Roman" w:eastAsia="Times New Roman" w:hAnsi="Times New Roman"/>
          <w:sz w:val="21"/>
          <w:szCs w:val="21"/>
          <w:color w:val="auto"/>
        </w:rPr>
        <w:t>If you are an executive officer or director of any Diamondback Publicly Traded Group Entity,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may not trade or transfer during any pension fund blackout period any equity security of any Diamondback Publicly Traded Group Entity that you acquired in connection with your service as an officer or director, except to the extent such trade or transfer is permitted by SEC rules. A pension plan blackout period is generally any period of more than three consecutive business days under an individual account plan during which purchases or sales of equity securities of any Diamondback Publicly Traded Group Entity are prohibited under the plan (whether by a Diamondback Publicly Traded Group Entity or a fiduciary of the plan), excluding certain regularly scheduled blackouts and blackouts imposed solely in connection with certain corporate transactions such as mergers. Any profits made by you in violation of this proscription are recoverable by us. We will notify you (as well as plan participants, directors, officers and the SEC) in advance of any pension plan blackout period.</w:t>
      </w:r>
    </w:p>
    <w:p>
      <w:pPr>
        <w:spacing w:after="0" w:line="195" w:lineRule="exact"/>
        <w:rPr>
          <w:rFonts w:ascii="Times New Roman" w:cs="Times New Roman" w:eastAsia="Times New Roman" w:hAnsi="Times New Roman"/>
          <w:sz w:val="21"/>
          <w:szCs w:val="21"/>
          <w:color w:val="auto"/>
        </w:rPr>
      </w:pPr>
    </w:p>
    <w:p>
      <w:pPr>
        <w:jc w:val="both"/>
        <w:ind w:left="1380" w:hanging="650"/>
        <w:spacing w:after="0" w:line="262" w:lineRule="auto"/>
        <w:tabs>
          <w:tab w:leader="none" w:pos="1375"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You may not trade in puts, calls or similar hedging transactions, or engage in short sales with respect to securities of any Diamondback Publicly Traded Group Entity. </w:t>
      </w:r>
      <w:r>
        <w:rPr>
          <w:rFonts w:ascii="Times New Roman" w:cs="Times New Roman" w:eastAsia="Times New Roman" w:hAnsi="Times New Roman"/>
          <w:sz w:val="21"/>
          <w:szCs w:val="21"/>
          <w:color w:val="auto"/>
        </w:rPr>
        <w:t>Trading in “puts,” “calls” (options to sell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 stock or other securities) or similar hedging transactions (e.g., “collars”) and engaging in short sales are often perceived as involving insider trading, and they may focus your attention on the short-term performance of any Diamondback Publicly Traded Group Entity rather than its long-term objectives. In addition, Section 16(c) of the Exchange Act prohibits officers and directors from engaging in short sales. Therefore, transactions in puts, calls and other similar derivative securities with respect to securities of any Diamondback Publicly Traded Group Entity are prohibited by this policy, as are short sales of such securities.</w:t>
      </w:r>
    </w:p>
    <w:p>
      <w:pPr>
        <w:spacing w:after="0" w:line="194" w:lineRule="exact"/>
        <w:rPr>
          <w:rFonts w:ascii="Times New Roman" w:cs="Times New Roman" w:eastAsia="Times New Roman" w:hAnsi="Times New Roman"/>
          <w:sz w:val="21"/>
          <w:szCs w:val="21"/>
          <w:b w:val="1"/>
          <w:bCs w:val="1"/>
          <w:color w:val="auto"/>
        </w:rPr>
      </w:pPr>
    </w:p>
    <w:p>
      <w:pPr>
        <w:jc w:val="both"/>
        <w:ind w:left="1380" w:hanging="650"/>
        <w:spacing w:after="0" w:line="259" w:lineRule="auto"/>
        <w:tabs>
          <w:tab w:leader="none" w:pos="1375"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You may not engage in short-swing transactions in violation of Section 16(b) of the Exchange Act. </w:t>
      </w:r>
      <w:r>
        <w:rPr>
          <w:rFonts w:ascii="Times New Roman" w:cs="Times New Roman" w:eastAsia="Times New Roman" w:hAnsi="Times New Roman"/>
          <w:sz w:val="21"/>
          <w:szCs w:val="21"/>
          <w:color w:val="auto"/>
        </w:rPr>
        <w:t>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16(b) of the Exchange Act, insiders of a Diamondback Publicly Traded Group Entity will be liable for any profits they receive upon the sale and purchase, or purchase and sale, of securities of that Diamondback Publicly Traded Group Entity within a six-month period. In other words, if you are a Section 16 Individual of Diamondback and you both buy and sell securities of Diamondback (or if you are a Section 16 Individual of Viper and you both buy and sell securities of Viper) within any six-month period (which period may include, under certain circumstances, any six-month period before you become, or after you cease to be, a Section 16 Individual), you may be liable to Diamondback (or Viper, as applicable) for the excess of your sales price over your purchase price. This liability can exist regardless of the order of the transactions and is known as a “short-swing profit.”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469265</wp:posOffset>
            </wp:positionV>
            <wp:extent cx="7133590" cy="76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4</w:t>
            </w:r>
          </w:p>
        </w:tc>
      </w:tr>
    </w:tbl>
    <w:p>
      <w:pPr>
        <w:sectPr>
          <w:pgSz w:w="11900" w:h="16838" w:orient="portrait"/>
          <w:cols w:equalWidth="0" w:num="1">
            <w:col w:w="11160"/>
          </w:cols>
          <w:pgMar w:left="400" w:top="1405" w:right="339" w:bottom="1440" w:gutter="0" w:footer="0" w:header="0"/>
        </w:sectPr>
      </w:pPr>
    </w:p>
    <w:bookmarkStart w:id="211" w:name="page212"/>
    <w:bookmarkEnd w:id="211"/>
    <w:p>
      <w:pPr>
        <w:jc w:val="both"/>
        <w:ind w:left="1380"/>
        <w:spacing w:after="0" w:line="262" w:lineRule="auto"/>
        <w:rPr>
          <w:sz w:val="20"/>
          <w:szCs w:val="20"/>
          <w:color w:val="auto"/>
        </w:rPr>
      </w:pPr>
      <w:r>
        <w:rPr>
          <w:rFonts w:ascii="Times New Roman" w:cs="Times New Roman" w:eastAsia="Times New Roman" w:hAnsi="Times New Roman"/>
          <w:sz w:val="21"/>
          <w:szCs w:val="21"/>
          <w:color w:val="auto"/>
        </w:rPr>
        <w:t>liability does not depend on whether you have inside information when you make one of the trades. The liability simply depends on whether the transactions occur within six months of each other. No Designated Person may engage in a transaction that gives rise to liability to disgorge profits under Section 16(b) of the Exchange Act. If you engage in such a transaction, you must promptly notify the applicable Diamondback Publicly Traded Group Entity of the transaction and pay to that entity the profits for which you are liable under Section 16(b) of the Exchange Act.</w:t>
      </w:r>
    </w:p>
    <w:p>
      <w:pPr>
        <w:spacing w:after="0" w:line="195" w:lineRule="exact"/>
        <w:rPr>
          <w:sz w:val="20"/>
          <w:szCs w:val="20"/>
          <w:color w:val="auto"/>
        </w:rPr>
      </w:pPr>
    </w:p>
    <w:p>
      <w:pPr>
        <w:jc w:val="both"/>
        <w:ind w:left="1380" w:hanging="650"/>
        <w:spacing w:after="0" w:line="260" w:lineRule="auto"/>
        <w:tabs>
          <w:tab w:leader="none" w:pos="1375"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You may not hold securities of any Diamondback Publicly Traded Group Entity in a margin account, and you may not pledge these securities as collateral for any other loan. </w:t>
      </w:r>
      <w:r>
        <w:rPr>
          <w:rFonts w:ascii="Times New Roman" w:cs="Times New Roman" w:eastAsia="Times New Roman" w:hAnsi="Times New Roman"/>
          <w:sz w:val="21"/>
          <w:szCs w:val="21"/>
          <w:color w:val="auto"/>
        </w:rPr>
        <w:t>Because a broker is permitted to sell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in a margin account if the customer fails to meet a margin call, the securities can be sold at a time when the customer is aware of material nonpublic information about the Company, Viper and/or their respective subsidiaries. Also, a foreclosure sale under any other loan could also occur at a time when you (as the borrower) have material, nonpublic information about the securities pledged as collateral for the loan. Therefore, you may not hold securities of any Diamondback Publicly Traded Group Entity in a margin account or pledge such securities as collateral for a loan.</w:t>
      </w:r>
    </w:p>
    <w:p>
      <w:pPr>
        <w:spacing w:after="0" w:line="210" w:lineRule="exact"/>
        <w:rPr>
          <w:rFonts w:ascii="Times New Roman" w:cs="Times New Roman" w:eastAsia="Times New Roman" w:hAnsi="Times New Roman"/>
          <w:sz w:val="21"/>
          <w:szCs w:val="21"/>
          <w:b w:val="1"/>
          <w:bCs w:val="1"/>
          <w:color w:val="auto"/>
        </w:rPr>
      </w:pPr>
    </w:p>
    <w:p>
      <w:pPr>
        <w:jc w:val="both"/>
        <w:ind w:left="1380" w:hanging="650"/>
        <w:spacing w:after="0" w:line="266" w:lineRule="auto"/>
        <w:tabs>
          <w:tab w:leader="none" w:pos="1375"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Designated Persons who are independent directors on the board of only one Diamondback Publicly Traded Group Entity may not own, beneficially or otherwise, any securities of any other Diamondback Publicly Traded Group Entity. </w:t>
      </w:r>
      <w:r>
        <w:rPr>
          <w:rFonts w:ascii="Times New Roman" w:cs="Times New Roman" w:eastAsia="Times New Roman" w:hAnsi="Times New Roman"/>
          <w:sz w:val="21"/>
          <w:szCs w:val="21"/>
          <w:color w:val="auto"/>
        </w:rPr>
        <w:t>For example, if you are an independent director of Viper, you may not own any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Company.</w:t>
      </w:r>
    </w:p>
    <w:p>
      <w:pPr>
        <w:spacing w:after="0" w:line="188" w:lineRule="exact"/>
        <w:rPr>
          <w:rFonts w:ascii="Times New Roman" w:cs="Times New Roman" w:eastAsia="Times New Roman" w:hAnsi="Times New Roman"/>
          <w:sz w:val="21"/>
          <w:szCs w:val="21"/>
          <w:b w:val="1"/>
          <w:bCs w:val="1"/>
          <w:color w:val="auto"/>
        </w:rPr>
      </w:pPr>
    </w:p>
    <w:p>
      <w:pPr>
        <w:jc w:val="both"/>
        <w:ind w:left="1380" w:hanging="650"/>
        <w:spacing w:after="0" w:line="266" w:lineRule="auto"/>
        <w:tabs>
          <w:tab w:leader="none" w:pos="1375"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Designated Persons who are Section 16 Individuals must file a Form 144 under Rule 144 with the SEC in connection with any sale of the securities of the Company and/or Viper, as applicable</w:t>
      </w:r>
      <w:r>
        <w:rPr>
          <w:rFonts w:ascii="Times New Roman" w:cs="Times New Roman" w:eastAsia="Times New Roman" w:hAnsi="Times New Roman"/>
          <w:sz w:val="21"/>
          <w:szCs w:val="21"/>
          <w:color w:val="auto"/>
        </w:rPr>
        <w:t>. The Form 144 must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electronically filed with the SEC concurrently with either the placing with a broker of an order to execute a sale of securities in reliance upon Rule 144 or the execution directly with a market maker of such a sale. Most brokers will either assist with or make this filing on behalf of the individual.</w:t>
      </w:r>
    </w:p>
    <w:p>
      <w:pPr>
        <w:spacing w:after="0" w:line="188" w:lineRule="exact"/>
        <w:rPr>
          <w:rFonts w:ascii="Times New Roman" w:cs="Times New Roman" w:eastAsia="Times New Roman" w:hAnsi="Times New Roman"/>
          <w:sz w:val="21"/>
          <w:szCs w:val="21"/>
          <w:b w:val="1"/>
          <w:bCs w:val="1"/>
          <w:color w:val="auto"/>
        </w:rPr>
      </w:pPr>
    </w:p>
    <w:p>
      <w:pPr>
        <w:jc w:val="both"/>
        <w:ind w:left="1380" w:hanging="650"/>
        <w:spacing w:after="0" w:line="261" w:lineRule="auto"/>
        <w:tabs>
          <w:tab w:leader="none" w:pos="1375"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Designated Persons who are Section 16 Individuals are subject to the reporting requirements under Section 16(a) of the Exchange Act. </w:t>
      </w:r>
      <w:r>
        <w:rPr>
          <w:rFonts w:ascii="Times New Roman" w:cs="Times New Roman" w:eastAsia="Times New Roman" w:hAnsi="Times New Roman"/>
          <w:sz w:val="21"/>
          <w:szCs w:val="21"/>
          <w:color w:val="auto"/>
        </w:rPr>
        <w:t>Under these requirements, all Section 16 Individuals must report any changes in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 ownership” of the securities of the Company and/or Viper, as applicable, by filing a Form 4 with the SEC no later than the second business day following the day on which the transaction occurs (which reporting requirements may continue to apply, under certain circumstances, during the six-month period after such person ceased to be a Section 16 Individual). The reporting requirements under Section 16(a) of the Exchange Act apply to most acquisitions and dispositions of such securities, including sales, purchases, gifts,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306705</wp:posOffset>
            </wp:positionV>
            <wp:extent cx="7133590" cy="76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5</w:t>
            </w:r>
          </w:p>
        </w:tc>
      </w:tr>
    </w:tbl>
    <w:p>
      <w:pPr>
        <w:sectPr>
          <w:pgSz w:w="11900" w:h="16838" w:orient="portrait"/>
          <w:cols w:equalWidth="0" w:num="1">
            <w:col w:w="11160"/>
          </w:cols>
          <w:pgMar w:left="400" w:top="1411" w:right="339" w:bottom="1440" w:gutter="0" w:footer="0" w:header="0"/>
        </w:sectPr>
      </w:pPr>
    </w:p>
    <w:bookmarkStart w:id="212" w:name="page213"/>
    <w:bookmarkEnd w:id="212"/>
    <w:p>
      <w:pPr>
        <w:jc w:val="both"/>
        <w:ind w:left="1380"/>
        <w:spacing w:after="0" w:line="259" w:lineRule="auto"/>
        <w:rPr>
          <w:sz w:val="20"/>
          <w:szCs w:val="20"/>
          <w:color w:val="auto"/>
        </w:rPr>
      </w:pPr>
      <w:r>
        <w:rPr>
          <w:rFonts w:ascii="Times New Roman" w:cs="Times New Roman" w:eastAsia="Times New Roman" w:hAnsi="Times New Roman"/>
          <w:sz w:val="21"/>
          <w:szCs w:val="21"/>
          <w:color w:val="auto"/>
        </w:rPr>
        <w:t>distributions from partnerships, grants of stock awards, certain vesting of stock unit awards and exercises of stock options. These reporting requirements apply to acquisitions and dispositions of securities of the Company and/or Viper, as applicable, that are “beneficially owned” by such Section 16 Individuals. For purposes of these reporting requirements, a person is deemed to beneficially own any security from which the person can derive a direct or indirect pecuniary benefit. A person is considered the direct owner of all equity securities held in the person’s own name or held jointly with others. A person also is considered the indirect owner of any securities from which such person obtains benefits substantially equivalent to those of ownership. Thus, equity securities of the Company and/or Viper, as applicable, beneficially owned through partnerships, corporations, trusts, estates and family members may be subject to reporting. Generally, a person is presumed to be the beneficial owner of securities held by his or her spouse and certain family members sharing his or her household.</w:t>
      </w:r>
    </w:p>
    <w:p>
      <w:pPr>
        <w:spacing w:after="0" w:line="206" w:lineRule="exact"/>
        <w:rPr>
          <w:sz w:val="20"/>
          <w:szCs w:val="20"/>
          <w:color w:val="auto"/>
        </w:rPr>
      </w:pPr>
    </w:p>
    <w:p>
      <w:pPr>
        <w:ind w:left="1380" w:right="20" w:hanging="650"/>
        <w:spacing w:after="0" w:line="290" w:lineRule="auto"/>
        <w:tabs>
          <w:tab w:leader="none" w:pos="1375"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facilitate compliance with the reporting requirements under Section 16(a) of the Exchange Act, the Company and Viper require all Designated Persons who are Section 16 Individuals to comply with all of the following:</w:t>
      </w:r>
    </w:p>
    <w:p>
      <w:pPr>
        <w:spacing w:after="0" w:line="166" w:lineRule="exact"/>
        <w:rPr>
          <w:rFonts w:ascii="Times New Roman" w:cs="Times New Roman" w:eastAsia="Times New Roman" w:hAnsi="Times New Roman"/>
          <w:sz w:val="21"/>
          <w:szCs w:val="21"/>
          <w:b w:val="1"/>
          <w:bCs w:val="1"/>
          <w:color w:val="auto"/>
        </w:rPr>
      </w:pPr>
    </w:p>
    <w:p>
      <w:pPr>
        <w:ind w:left="2020" w:hanging="643"/>
        <w:spacing w:after="0" w:line="265" w:lineRule="auto"/>
        <w:tabs>
          <w:tab w:leader="none" w:pos="1723"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pre-notification to the legal department of the Diamondback Publicly Traded Group of all proposed transactions (including gifts, option exercises or other non-market transactions) in the securities of the Company and/or Viper, as applicable.</w:t>
      </w:r>
    </w:p>
    <w:p>
      <w:pPr>
        <w:ind w:left="2020" w:hanging="643"/>
        <w:spacing w:after="0" w:line="252" w:lineRule="auto"/>
        <w:tabs>
          <w:tab w:leader="none" w:pos="1764"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Encourage and request all brokers handling transactions to provide immediate communication to the legal department of the Diamondback Publicly Traded Group regarding those transactions; and</w:t>
      </w:r>
    </w:p>
    <w:p>
      <w:pPr>
        <w:spacing w:after="0" w:line="1" w:lineRule="exact"/>
        <w:rPr>
          <w:rFonts w:ascii="Times New Roman" w:cs="Times New Roman" w:eastAsia="Times New Roman" w:hAnsi="Times New Roman"/>
          <w:sz w:val="21"/>
          <w:szCs w:val="21"/>
          <w:color w:val="auto"/>
        </w:rPr>
      </w:pPr>
    </w:p>
    <w:p>
      <w:pPr>
        <w:ind w:left="2020" w:hanging="643"/>
        <w:spacing w:after="0" w:line="266" w:lineRule="auto"/>
        <w:tabs>
          <w:tab w:leader="none" w:pos="167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a power-of-attorney to authorize specifically designated representatives of the Company and/or Viper, as applicable, to sign Forms 3, 4 and 5 reports on their behalf.</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Exceptions to this Policy</w:t>
      </w:r>
    </w:p>
    <w:p>
      <w:pPr>
        <w:spacing w:after="0" w:line="271" w:lineRule="exact"/>
        <w:rPr>
          <w:sz w:val="20"/>
          <w:szCs w:val="20"/>
          <w:color w:val="auto"/>
        </w:rPr>
      </w:pPr>
    </w:p>
    <w:p>
      <w:pPr>
        <w:jc w:val="both"/>
        <w:ind w:left="20" w:right="60" w:firstLine="642"/>
        <w:spacing w:after="0" w:line="261" w:lineRule="auto"/>
        <w:rPr>
          <w:sz w:val="20"/>
          <w:szCs w:val="20"/>
          <w:color w:val="auto"/>
        </w:rPr>
      </w:pPr>
      <w:r>
        <w:rPr>
          <w:rFonts w:ascii="Times New Roman" w:cs="Times New Roman" w:eastAsia="Times New Roman" w:hAnsi="Times New Roman"/>
          <w:sz w:val="21"/>
          <w:szCs w:val="21"/>
          <w:color w:val="auto"/>
        </w:rPr>
        <w:t>The trading restrictions in this supplemental policy do not apply to those transactions under the benefit plans of any Diamondback Publicly Traded Group Entity that are not subject to the Insider Trading Policy of the applicable Diamondback Publicly Traded Group Entity. Those transactions are discussed in that policy under the heading discussing exceptions to such policy for certain transactions under the Company’s benefit plans or Viper’s benefit plans, as the case may be. The trading restrictions in this supplemental policy also do not apply to trades pursuant to an approved pre-arranged trading plan provided that you enter into the plan during an open trading window and the plan otherwise meets the conditions for such plans set forth in the applicable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457200</wp:posOffset>
            </wp:positionV>
            <wp:extent cx="7133590" cy="768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6</w:t>
            </w:r>
          </w:p>
        </w:tc>
      </w:tr>
    </w:tbl>
    <w:p>
      <w:pPr>
        <w:sectPr>
          <w:pgSz w:w="11900" w:h="16838" w:orient="portrait"/>
          <w:cols w:equalWidth="0" w:num="1">
            <w:col w:w="11160"/>
          </w:cols>
          <w:pgMar w:left="400" w:top="1411" w:right="339" w:bottom="1440" w:gutter="0" w:footer="0" w:header="0"/>
        </w:sectPr>
      </w:pPr>
    </w:p>
    <w:bookmarkStart w:id="213" w:name="page214"/>
    <w:bookmarkEnd w:id="213"/>
    <w:p>
      <w:pPr>
        <w:jc w:val="both"/>
        <w:ind w:left="20" w:right="20" w:firstLine="642"/>
        <w:spacing w:after="0" w:line="269" w:lineRule="auto"/>
        <w:rPr>
          <w:sz w:val="20"/>
          <w:szCs w:val="20"/>
          <w:color w:val="auto"/>
        </w:rPr>
      </w:pPr>
      <w:r>
        <w:rPr>
          <w:rFonts w:ascii="Times New Roman" w:cs="Times New Roman" w:eastAsia="Times New Roman" w:hAnsi="Times New Roman"/>
          <w:sz w:val="21"/>
          <w:szCs w:val="21"/>
          <w:color w:val="auto"/>
        </w:rPr>
        <w:t>In addition, specific exceptions to this policy may be made when the person requesting approval does not possess material non-public information, personal circumstances warrant the exception and the exception would not otherwise contravene the law or the purposes of this policy. Any request for an exception should be directed in writing to the Chief Legal &amp; Administrative Officer.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Information about this Policy</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If you have any questions about this policy, you should contact the Chief Legal &amp;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340360</wp:posOffset>
            </wp:positionV>
            <wp:extent cx="7133590" cy="76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1335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808080"/>
              </w:rPr>
              <w:t>FEBRUARY 2025</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808080"/>
              </w:rPr>
              <w:t>7</w:t>
            </w:r>
          </w:p>
        </w:tc>
      </w:tr>
    </w:tbl>
    <w:p>
      <w:pPr>
        <w:sectPr>
          <w:pgSz w:w="11900" w:h="16838" w:orient="portrait"/>
          <w:cols w:equalWidth="0" w:num="1">
            <w:col w:w="11080"/>
          </w:cols>
          <w:pgMar w:left="400" w:top="1411" w:right="419"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8" w:lineRule="exact"/>
        <w:rPr>
          <w:sz w:val="20"/>
          <w:szCs w:val="20"/>
          <w:color w:val="auto"/>
        </w:rPr>
      </w:pPr>
    </w:p>
    <w:p>
      <w:pPr>
        <w:ind w:firstLine="642"/>
        <w:spacing w:after="0" w:line="303" w:lineRule="auto"/>
        <w:rPr>
          <w:sz w:val="20"/>
          <w:szCs w:val="20"/>
          <w:color w:val="auto"/>
        </w:rPr>
      </w:pPr>
      <w:r>
        <w:rPr>
          <w:rFonts w:ascii="Times New Roman" w:cs="Times New Roman" w:eastAsia="Times New Roman" w:hAnsi="Times New Roman"/>
          <w:sz w:val="21"/>
          <w:szCs w:val="21"/>
          <w:color w:val="auto"/>
        </w:rPr>
        <w:t>I hereby acknowledge receipt of the Diamondback Energy, Inc. Sixth Amended and Restated Supplemental Policy Concerning Trading in Company Securities by Certain Designated Persons and agree to abide by its terms and conditions.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-152400</wp:posOffset>
            </wp:positionV>
            <wp:extent cx="35623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-152400</wp:posOffset>
            </wp:positionV>
            <wp:extent cx="3562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-152400</wp:posOffset>
            </wp:positionV>
            <wp:extent cx="35623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Return this Certification to Matt Zmigrosky at Diamondback Energy, Inc.</w:t>
      </w:r>
    </w:p>
    <w:p>
      <w:pPr>
        <w:sectPr>
          <w:pgSz w:w="11900" w:h="16838" w:orient="portrait"/>
          <w:cols w:equalWidth="0" w:num="1">
            <w:col w:w="11020"/>
          </w:cols>
          <w:pgMar w:left="420" w:top="1407" w:right="45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8140" w:type="dxa"/>
            <w:vAlign w:val="bottom"/>
            <w:gridSpan w:val="2"/>
          </w:tcPr>
          <w:p>
            <w:pPr>
              <w:ind w:left="72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214"/>
        </w:trPr>
        <w:tc>
          <w:tcPr>
            <w:tcW w:w="3100" w:type="dxa"/>
            <w:vAlign w:val="bottom"/>
          </w:tcPr>
          <w:p>
            <w:pPr>
              <w:spacing w:after="0"/>
              <w:rPr>
                <w:sz w:val="18"/>
                <w:szCs w:val="18"/>
                <w:color w:val="auto"/>
              </w:rPr>
            </w:pPr>
          </w:p>
        </w:tc>
        <w:tc>
          <w:tcPr>
            <w:tcW w:w="81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7"/>
              </w:rPr>
              <w:t>Viper Energy, Inc.</w:t>
            </w:r>
          </w:p>
        </w:tc>
      </w:tr>
      <w:tr>
        <w:trPr>
          <w:trHeight w:val="237"/>
        </w:trPr>
        <w:tc>
          <w:tcPr>
            <w:tcW w:w="3100" w:type="dxa"/>
            <w:vAlign w:val="bottom"/>
          </w:tcPr>
          <w:p>
            <w:pPr>
              <w:spacing w:after="0"/>
              <w:rPr>
                <w:sz w:val="20"/>
                <w:szCs w:val="20"/>
                <w:color w:val="auto"/>
              </w:rPr>
            </w:pPr>
          </w:p>
        </w:tc>
        <w:tc>
          <w:tcPr>
            <w:tcW w:w="81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Significant Subsidiaries of Registrant</w:t>
            </w:r>
          </w:p>
        </w:tc>
      </w:tr>
      <w:tr>
        <w:trPr>
          <w:trHeight w:val="120"/>
        </w:trPr>
        <w:tc>
          <w:tcPr>
            <w:tcW w:w="3100" w:type="dxa"/>
            <w:vAlign w:val="bottom"/>
          </w:tcPr>
          <w:p>
            <w:pPr>
              <w:spacing w:after="0"/>
              <w:rPr>
                <w:sz w:val="10"/>
                <w:szCs w:val="10"/>
                <w:color w:val="auto"/>
              </w:rPr>
            </w:pPr>
          </w:p>
        </w:tc>
        <w:tc>
          <w:tcPr>
            <w:tcW w:w="8140" w:type="dxa"/>
            <w:vAlign w:val="bottom"/>
            <w:gridSpan w:val="2"/>
          </w:tcPr>
          <w:p>
            <w:pPr>
              <w:spacing w:after="0"/>
              <w:rPr>
                <w:sz w:val="10"/>
                <w:szCs w:val="10"/>
                <w:color w:val="auto"/>
              </w:rPr>
            </w:pPr>
          </w:p>
        </w:tc>
      </w:tr>
      <w:tr>
        <w:trPr>
          <w:trHeight w:val="221"/>
        </w:trPr>
        <w:tc>
          <w:tcPr>
            <w:tcW w:w="3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100" w:type="dxa"/>
            <w:vAlign w:val="bottom"/>
            <w:tcBorders>
              <w:top w:val="single" w:sz="8" w:color="auto"/>
              <w:bottom w:val="single" w:sz="8" w:color="auto"/>
            </w:tcBorders>
          </w:tcPr>
          <w:p>
            <w:pPr>
              <w:jc w:val="center"/>
              <w:ind w:left="5351"/>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40" w:type="dxa"/>
            <w:vAlign w:val="bottom"/>
          </w:tcPr>
          <w:p>
            <w:pPr>
              <w:spacing w:after="0"/>
              <w:rPr>
                <w:sz w:val="19"/>
                <w:szCs w:val="19"/>
                <w:color w:val="auto"/>
              </w:rPr>
            </w:pPr>
          </w:p>
        </w:tc>
      </w:tr>
      <w:tr>
        <w:trPr>
          <w:trHeight w:val="22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Viper Energy Partners LLC</w:t>
            </w:r>
          </w:p>
        </w:tc>
        <w:tc>
          <w:tcPr>
            <w:tcW w:w="8100" w:type="dxa"/>
            <w:vAlign w:val="bottom"/>
            <w:shd w:val="clear" w:color="auto" w:fill="CCEEFF"/>
          </w:tcPr>
          <w:p>
            <w:pPr>
              <w:jc w:val="center"/>
              <w:ind w:left="5371"/>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19"/>
                <w:szCs w:val="19"/>
                <w:color w:val="auto"/>
              </w:rPr>
            </w:pPr>
          </w:p>
        </w:tc>
      </w:t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 Snake Royalty LLC</w:t>
            </w:r>
          </w:p>
        </w:tc>
        <w:tc>
          <w:tcPr>
            <w:tcW w:w="8100" w:type="dxa"/>
            <w:vAlign w:val="bottom"/>
          </w:tcPr>
          <w:p>
            <w:pPr>
              <w:jc w:val="center"/>
              <w:ind w:left="5351"/>
              <w:spacing w:after="0"/>
              <w:rPr>
                <w:sz w:val="20"/>
                <w:szCs w:val="20"/>
                <w:color w:val="auto"/>
              </w:rPr>
            </w:pPr>
            <w:r>
              <w:rPr>
                <w:rFonts w:ascii="Times New Roman" w:cs="Times New Roman" w:eastAsia="Times New Roman" w:hAnsi="Times New Roman"/>
                <w:sz w:val="18"/>
                <w:szCs w:val="18"/>
                <w:color w:val="auto"/>
                <w:w w:val="97"/>
              </w:rPr>
              <w:t>Texas</w:t>
            </w:r>
          </w:p>
        </w:tc>
        <w:tc>
          <w:tcPr>
            <w:tcW w:w="40" w:type="dxa"/>
            <w:vAlign w:val="bottom"/>
          </w:tcPr>
          <w:p>
            <w:pPr>
              <w:spacing w:after="0"/>
              <w:rPr>
                <w:sz w:val="20"/>
                <w:szCs w:val="20"/>
                <w:color w:val="auto"/>
              </w:rPr>
            </w:pPr>
          </w:p>
        </w:tc>
      </w:tr>
    </w:tbl>
    <w:p>
      <w:pPr>
        <w:sectPr>
          <w:pgSz w:w="11900" w:h="16838" w:orient="portrait"/>
          <w:cols w:equalWidth="0" w:num="1">
            <w:col w:w="11240"/>
          </w:cols>
          <w:pgMar w:left="320" w:top="880"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issued our reports dated February 26, 2025, with respect to the consolidated financial statements and internal control over financial reporting included in the Annual Report of Viper Energy, Inc. on Form 10-K for the year ended December 31, 2024. We consent to the incorporation by reference of said reports in the Registration Statements of Viper Energy, Inc. on Forms S-3 (File Nos. 333-282039 and 333-277668) and Form S-8 (File No. 333-196971).</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2025</w:t>
      </w:r>
    </w:p>
    <w:p>
      <w:pPr>
        <w:sectPr>
          <w:pgSz w:w="11900" w:h="16838" w:orient="portrait"/>
          <w:cols w:equalWidth="0" w:num="1">
            <w:col w:w="11240"/>
          </w:cols>
          <w:pgMar w:left="320" w:top="881"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RYDER SCOTT COMPANY, L.P.</w:t>
      </w:r>
    </w:p>
    <w:p>
      <w:pPr>
        <w:spacing w:after="0" w:line="288"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We have issued our summary report dated January 13, 2025 on the audit of estimated quantities of proved reserves, future production and income attributable to certain royalty interests of Viper Energy, Inc. (the “Company”), as of December 31, 2024. As independent oil and gas consultants, we hereby consent to the inclusion of our report and the information contained therein and information from our prior reserve reports referenced in this Annual Report on Form 10-K of the Company (this “Annual Report”) and to all references to our firm in this Annual Report. We hereby also consent to the incorporation by reference of such reports and the information contained therein in the Registration Statements of the Company on Form S-3 ASR (File Nos. 333-282039 and 333-277668) and Form S-8, as amended by Post-Effective Amendment No. 1 and Post-Effective Amendment No.2 (File No. 333-196971).</w:t>
      </w:r>
    </w:p>
    <w:p>
      <w:pPr>
        <w:spacing w:after="0" w:line="10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16510</wp:posOffset>
            </wp:positionV>
            <wp:extent cx="30099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3009900" cy="8255"/>
                    </a:xfrm>
                    <a:prstGeom prst="rect">
                      <a:avLst/>
                    </a:prstGeom>
                    <a:noFill/>
                  </pic:spPr>
                </pic:pic>
              </a:graphicData>
            </a:graphic>
          </wp:anchor>
        </w:drawing>
      </w:r>
    </w:p>
    <w:p>
      <w:pPr>
        <w:spacing w:after="0" w:line="5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TBPELS Firm Registration No. F-1580</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934"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101" w:lineRule="exact"/>
        <w:rPr>
          <w:sz w:val="20"/>
          <w:szCs w:val="20"/>
          <w:color w:val="auto"/>
        </w:rPr>
      </w:pPr>
    </w:p>
    <w:p>
      <w:pPr>
        <w:ind w:left="360" w:hanging="313"/>
        <w:spacing w:after="0"/>
        <w:tabs>
          <w:tab w:leader="none" w:pos="3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Viper Energy, Inc. (the “registrant”).</w:t>
      </w:r>
    </w:p>
    <w:p>
      <w:pPr>
        <w:spacing w:after="0" w:line="87" w:lineRule="exact"/>
        <w:rPr>
          <w:rFonts w:ascii="Times New Roman" w:cs="Times New Roman" w:eastAsia="Times New Roman" w:hAnsi="Times New Roman"/>
          <w:sz w:val="18"/>
          <w:szCs w:val="18"/>
          <w:color w:val="auto"/>
        </w:rPr>
      </w:pPr>
    </w:p>
    <w:p>
      <w:pPr>
        <w:jc w:val="both"/>
        <w:ind w:left="440" w:hanging="393"/>
        <w:spacing w:after="0" w:line="263" w:lineRule="auto"/>
        <w:tabs>
          <w:tab w:leader="none" w:pos="41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440" w:hanging="393"/>
        <w:spacing w:after="0" w:line="278" w:lineRule="auto"/>
        <w:tabs>
          <w:tab w:leader="none" w:pos="4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jc w:val="both"/>
        <w:ind w:left="440" w:hanging="393"/>
        <w:spacing w:after="0" w:line="263" w:lineRule="auto"/>
        <w:tabs>
          <w:tab w:leader="none" w:pos="4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2"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ind w:left="900" w:hanging="411"/>
        <w:spacing w:after="0" w:line="278" w:lineRule="auto"/>
        <w:tabs>
          <w:tab w:leader="none" w:pos="8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440" w:hanging="393"/>
        <w:spacing w:after="0" w:line="278" w:lineRule="auto"/>
        <w:tabs>
          <w:tab w:leader="none" w:pos="4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00" w:hanging="411"/>
        <w:spacing w:after="0" w:line="278" w:lineRule="auto"/>
        <w:tabs>
          <w:tab w:leader="none" w:pos="89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8"/>
          <w:szCs w:val="18"/>
          <w:color w:val="auto"/>
        </w:rPr>
      </w:pPr>
    </w:p>
    <w:p>
      <w:pPr>
        <w:ind w:left="900" w:hanging="411"/>
        <w:spacing w:after="0" w:line="278" w:lineRule="auto"/>
        <w:tabs>
          <w:tab w:leader="none" w:pos="89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3"/>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1"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101" w:lineRule="exact"/>
        <w:rPr>
          <w:sz w:val="20"/>
          <w:szCs w:val="20"/>
          <w:color w:val="auto"/>
        </w:rPr>
      </w:pPr>
    </w:p>
    <w:p>
      <w:pPr>
        <w:ind w:left="360" w:hanging="313"/>
        <w:spacing w:after="0"/>
        <w:tabs>
          <w:tab w:leader="none" w:pos="3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Viper Energy, Inc. (the “registrant”).</w:t>
      </w:r>
    </w:p>
    <w:p>
      <w:pPr>
        <w:spacing w:after="0" w:line="87" w:lineRule="exact"/>
        <w:rPr>
          <w:rFonts w:ascii="Times New Roman" w:cs="Times New Roman" w:eastAsia="Times New Roman" w:hAnsi="Times New Roman"/>
          <w:sz w:val="18"/>
          <w:szCs w:val="18"/>
          <w:color w:val="auto"/>
        </w:rPr>
      </w:pPr>
    </w:p>
    <w:p>
      <w:pPr>
        <w:jc w:val="both"/>
        <w:ind w:left="440" w:hanging="393"/>
        <w:spacing w:after="0" w:line="263" w:lineRule="auto"/>
        <w:tabs>
          <w:tab w:leader="none" w:pos="4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440" w:hanging="393"/>
        <w:spacing w:after="0" w:line="278" w:lineRule="auto"/>
        <w:tabs>
          <w:tab w:leader="none" w:pos="42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jc w:val="both"/>
        <w:ind w:left="440" w:hanging="393"/>
        <w:spacing w:after="0" w:line="263" w:lineRule="auto"/>
        <w:tabs>
          <w:tab w:leader="none" w:pos="4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2"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ind w:left="900" w:hanging="411"/>
        <w:spacing w:after="0" w:line="278" w:lineRule="auto"/>
        <w:tabs>
          <w:tab w:leader="none" w:pos="8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8"/>
          <w:szCs w:val="18"/>
          <w:color w:val="auto"/>
        </w:rPr>
      </w:pPr>
    </w:p>
    <w:p>
      <w:pPr>
        <w:jc w:val="both"/>
        <w:ind w:left="900" w:hanging="411"/>
        <w:spacing w:after="0" w:line="263" w:lineRule="auto"/>
        <w:tabs>
          <w:tab w:leader="none" w:pos="8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440" w:hanging="393"/>
        <w:spacing w:after="0" w:line="278" w:lineRule="auto"/>
        <w:tabs>
          <w:tab w:leader="none" w:pos="40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00" w:hanging="411"/>
        <w:spacing w:after="0" w:line="278" w:lineRule="auto"/>
        <w:tabs>
          <w:tab w:leader="none" w:pos="8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8"/>
          <w:szCs w:val="18"/>
          <w:color w:val="auto"/>
        </w:rPr>
      </w:pPr>
    </w:p>
    <w:p>
      <w:pPr>
        <w:ind w:left="900" w:hanging="411"/>
        <w:spacing w:after="0" w:line="278" w:lineRule="auto"/>
        <w:tabs>
          <w:tab w:leader="none" w:pos="89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0"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2" w:lineRule="exact"/>
        <w:rPr>
          <w:sz w:val="20"/>
          <w:szCs w:val="20"/>
          <w:color w:val="auto"/>
        </w:rPr>
      </w:pPr>
    </w:p>
    <w:p>
      <w:pPr>
        <w:jc w:val="both"/>
        <w:ind w:firstLine="442"/>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 78o(d));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3"/>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8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26,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6"/>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0"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Estimated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Future Reserves and Income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Attributable to Certain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282"/>
        </w:trPr>
        <w:tc>
          <w:tcPr>
            <w:tcW w:w="5500" w:type="dxa"/>
            <w:vAlign w:val="bottom"/>
            <w:gridSpan w:val="2"/>
          </w:tcPr>
          <w:p>
            <w:pPr>
              <w:jc w:val="center"/>
              <w:ind w:right="380"/>
              <w:spacing w:after="0"/>
              <w:rPr>
                <w:sz w:val="20"/>
                <w:szCs w:val="20"/>
                <w:color w:val="auto"/>
              </w:rPr>
            </w:pPr>
            <w:r>
              <w:rPr>
                <w:rFonts w:ascii="Arial" w:cs="Arial" w:eastAsia="Arial" w:hAnsi="Arial"/>
                <w:sz w:val="21"/>
                <w:szCs w:val="21"/>
                <w:color w:val="auto"/>
              </w:rPr>
              <w:t>/s/ Marsha E. Wellmann</w:t>
            </w:r>
          </w:p>
        </w:tc>
        <w:tc>
          <w:tcPr>
            <w:tcW w:w="4920" w:type="dxa"/>
            <w:vAlign w:val="bottom"/>
          </w:tcPr>
          <w:p>
            <w:pPr>
              <w:jc w:val="center"/>
              <w:spacing w:after="0"/>
              <w:rPr>
                <w:sz w:val="20"/>
                <w:szCs w:val="20"/>
                <w:color w:val="auto"/>
              </w:rPr>
            </w:pPr>
            <w:r>
              <w:rPr>
                <w:rFonts w:ascii="Arial" w:cs="Arial" w:eastAsia="Arial" w:hAnsi="Arial"/>
                <w:sz w:val="21"/>
                <w:szCs w:val="21"/>
                <w:color w:val="auto"/>
              </w:rPr>
              <w:t xml:space="preserve">/s/ </w:t>
            </w:r>
            <w:r>
              <w:rPr>
                <w:rFonts w:ascii="Arial" w:cs="Arial" w:eastAsia="Arial" w:hAnsi="Arial"/>
                <w:sz w:val="19"/>
                <w:szCs w:val="19"/>
                <w:color w:val="auto"/>
              </w:rPr>
              <w:t>Raza Rizvi</w:t>
            </w:r>
          </w:p>
        </w:tc>
      </w:tr>
      <w:tr>
        <w:trPr>
          <w:trHeight w:val="26"/>
        </w:trPr>
        <w:tc>
          <w:tcPr>
            <w:tcW w:w="5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6"/>
        </w:trPr>
        <w:tc>
          <w:tcPr>
            <w:tcW w:w="5500" w:type="dxa"/>
            <w:vAlign w:val="bottom"/>
            <w:gridSpan w:val="2"/>
          </w:tcPr>
          <w:p>
            <w:pPr>
              <w:jc w:val="center"/>
              <w:ind w:right="380"/>
              <w:spacing w:after="0"/>
              <w:rPr>
                <w:sz w:val="20"/>
                <w:szCs w:val="20"/>
                <w:color w:val="auto"/>
              </w:rPr>
            </w:pPr>
            <w:r>
              <w:rPr>
                <w:rFonts w:ascii="Arial" w:cs="Arial" w:eastAsia="Arial" w:hAnsi="Arial"/>
                <w:sz w:val="20"/>
                <w:szCs w:val="20"/>
                <w:color w:val="auto"/>
                <w:w w:val="97"/>
              </w:rPr>
              <w:t>Marsha E. Wellmann, P.E.</w:t>
            </w:r>
          </w:p>
        </w:tc>
        <w:tc>
          <w:tcPr>
            <w:tcW w:w="4920" w:type="dxa"/>
            <w:vAlign w:val="bottom"/>
          </w:tcPr>
          <w:p>
            <w:pPr>
              <w:jc w:val="center"/>
              <w:spacing w:after="0"/>
              <w:rPr>
                <w:sz w:val="20"/>
                <w:szCs w:val="20"/>
                <w:color w:val="auto"/>
              </w:rPr>
            </w:pPr>
            <w:r>
              <w:rPr>
                <w:rFonts w:ascii="Arial" w:cs="Arial" w:eastAsia="Arial" w:hAnsi="Arial"/>
                <w:sz w:val="20"/>
                <w:szCs w:val="20"/>
                <w:color w:val="auto"/>
                <w:w w:val="98"/>
              </w:rPr>
              <w:t>Raza Rizvi</w:t>
            </w:r>
          </w:p>
        </w:tc>
      </w:tr>
      <w:tr>
        <w:trPr>
          <w:trHeight w:val="295"/>
        </w:trPr>
        <w:tc>
          <w:tcPr>
            <w:tcW w:w="5500" w:type="dxa"/>
            <w:vAlign w:val="bottom"/>
            <w:gridSpan w:val="2"/>
          </w:tcPr>
          <w:p>
            <w:pPr>
              <w:jc w:val="center"/>
              <w:ind w:right="400"/>
              <w:spacing w:after="0"/>
              <w:rPr>
                <w:sz w:val="20"/>
                <w:szCs w:val="20"/>
                <w:color w:val="auto"/>
              </w:rPr>
            </w:pPr>
            <w:r>
              <w:rPr>
                <w:rFonts w:ascii="Arial" w:cs="Arial" w:eastAsia="Arial" w:hAnsi="Arial"/>
                <w:sz w:val="20"/>
                <w:szCs w:val="20"/>
                <w:color w:val="auto"/>
                <w:w w:val="97"/>
              </w:rPr>
              <w:t>TBPELS License No. 116149</w:t>
            </w:r>
          </w:p>
        </w:tc>
        <w:tc>
          <w:tcPr>
            <w:tcW w:w="4920" w:type="dxa"/>
            <w:vAlign w:val="bottom"/>
          </w:tcPr>
          <w:p>
            <w:pPr>
              <w:jc w:val="center"/>
              <w:spacing w:after="0"/>
              <w:rPr>
                <w:sz w:val="20"/>
                <w:szCs w:val="20"/>
                <w:color w:val="auto"/>
              </w:rPr>
            </w:pPr>
            <w:r>
              <w:rPr>
                <w:rFonts w:ascii="Arial" w:cs="Arial" w:eastAsia="Arial" w:hAnsi="Arial"/>
                <w:sz w:val="20"/>
                <w:szCs w:val="20"/>
                <w:color w:val="auto"/>
                <w:w w:val="98"/>
              </w:rPr>
              <w:t>Senior Petroleum Engineer</w:t>
            </w:r>
          </w:p>
        </w:tc>
      </w:tr>
    </w:tbl>
    <w:p>
      <w:pPr>
        <w:spacing w:after="0" w:line="37"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Senior Vice President</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[SEAL]</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RYDER SCOTT COMPANY, L.P.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680" w:right="339"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1007110</wp:posOffset>
            </wp:positionV>
            <wp:extent cx="2091690" cy="509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209169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TBPELS REGISTERED ENGINEERING FIRM F-1580</w:t>
      </w:r>
    </w:p>
    <w:p>
      <w:pPr>
        <w:spacing w:after="0" w:line="51" w:lineRule="exact"/>
        <w:rPr>
          <w:sz w:val="20"/>
          <w:szCs w:val="20"/>
          <w:color w:val="auto"/>
        </w:rPr>
      </w:pPr>
    </w:p>
    <w:p>
      <w:pPr>
        <w:ind w:left="20"/>
        <w:spacing w:after="0"/>
        <w:tabs>
          <w:tab w:leader="none" w:pos="4640" w:val="left"/>
          <w:tab w:leader="none" w:pos="9440" w:val="left"/>
        </w:tabs>
        <w:rPr>
          <w:sz w:val="20"/>
          <w:szCs w:val="20"/>
          <w:color w:val="auto"/>
        </w:rPr>
      </w:pPr>
      <w:r>
        <w:rPr>
          <w:rFonts w:ascii="Arial" w:cs="Arial" w:eastAsia="Arial" w:hAnsi="Arial"/>
          <w:sz w:val="13"/>
          <w:szCs w:val="13"/>
          <w:color w:val="auto"/>
        </w:rPr>
        <w:t>1100 LOUISIANA SUITE 4600</w:t>
      </w:r>
      <w:r>
        <w:rPr>
          <w:sz w:val="20"/>
          <w:szCs w:val="20"/>
          <w:color w:val="auto"/>
        </w:rPr>
        <w:tab/>
      </w:r>
      <w:r>
        <w:rPr>
          <w:rFonts w:ascii="Arial" w:cs="Arial" w:eastAsia="Arial" w:hAnsi="Arial"/>
          <w:sz w:val="13"/>
          <w:szCs w:val="13"/>
          <w:color w:val="auto"/>
        </w:rPr>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January 13,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Viper Energy,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 Diamondback Energy,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500 West Texas, Suite 1210</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52"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2024,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2025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2024. The properties in which Viper owns an interest and reviewed by Ryder Scott are located in the states of New Mexico and Texas.</w:t>
      </w:r>
    </w:p>
    <w:p>
      <w:pPr>
        <w:spacing w:after="0" w:line="211"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20"/>
          <w:szCs w:val="20"/>
          <w:color w:val="auto"/>
        </w:rPr>
        <w:t>The properties reviewed by Ryder Scott represent 100 percent of Viper’s total net proved liquid hydrocarbon and gas reserves as of December 31, 2024.</w:t>
      </w:r>
    </w:p>
    <w:p>
      <w:pPr>
        <w:spacing w:after="0" w:line="173" w:lineRule="exact"/>
        <w:rPr>
          <w:sz w:val="20"/>
          <w:szCs w:val="20"/>
          <w:color w:val="auto"/>
        </w:rPr>
      </w:pPr>
    </w:p>
    <w:p>
      <w:pPr>
        <w:jc w:val="both"/>
        <w:ind w:firstLine="285"/>
        <w:spacing w:after="0" w:line="251" w:lineRule="auto"/>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tabs>
          <w:tab w:leader="none" w:pos="100" w:val="left"/>
          <w:tab w:leader="none" w:pos="120" w:val="left"/>
        </w:tabs>
        <w:rPr>
          <w:sz w:val="20"/>
          <w:szCs w:val="20"/>
          <w:color w:val="auto"/>
        </w:rPr>
      </w:pPr>
      <w:r>
        <w:rPr>
          <w:rFonts w:ascii="Calibri" w:cs="Calibri" w:eastAsia="Calibri" w:hAnsi="Calibri"/>
          <w:sz w:val="13"/>
          <w:szCs w:val="13"/>
          <w:color w:val="auto"/>
        </w:rPr>
        <w:t>SUITE 2800, 350 7TH AVENUE, S.W.</w:t>
        <w:tab/>
        <w:t>CALGARY, ALBERTA T2P 3N9</w:t>
        <w:tab/>
        <w:t>TEL (403) 262-2799</w:t>
      </w:r>
    </w:p>
    <w:p>
      <w:pPr>
        <w:spacing w:after="0" w:line="2" w:lineRule="exact"/>
        <w:rPr>
          <w:sz w:val="20"/>
          <w:szCs w:val="20"/>
          <w:color w:val="auto"/>
        </w:rPr>
      </w:pPr>
    </w:p>
    <w:p>
      <w:pPr>
        <w:jc w:val="center"/>
        <w:ind w:right="-119"/>
        <w:spacing w:after="0"/>
        <w:tabs>
          <w:tab w:leader="none" w:pos="100" w:val="left"/>
          <w:tab w:leader="none" w:pos="100" w:val="left"/>
        </w:tabs>
        <w:rPr>
          <w:sz w:val="20"/>
          <w:szCs w:val="20"/>
          <w:color w:val="auto"/>
        </w:rPr>
      </w:pPr>
      <w:r>
        <w:rPr>
          <w:rFonts w:ascii="Calibri" w:cs="Calibri" w:eastAsia="Calibri" w:hAnsi="Calibri"/>
          <w:sz w:val="13"/>
          <w:szCs w:val="13"/>
          <w:color w:val="auto"/>
        </w:rPr>
        <w:t>633 17TH STREET, SUITE 1700</w:t>
        <w:tab/>
        <w:t>DENVER, COLORADO 80202</w:t>
        <w:tab/>
        <w:t>TEL (303) 339-8110</w:t>
      </w:r>
    </w:p>
    <w:p>
      <w:pPr>
        <w:sectPr>
          <w:pgSz w:w="11900" w:h="16838" w:orient="portrait"/>
          <w:cols w:equalWidth="0" w:num="1">
            <w:col w:w="11240"/>
          </w:cols>
          <w:pgMar w:left="320" w:top="1440" w:right="3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spacing w:after="0" w:line="217"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20"/>
          <w:szCs w:val="20"/>
          <w:color w:val="auto"/>
        </w:rPr>
        <w:t>The estimated reserves and future net income amounts presented in this report are related to hydrocarbon prices. Diamondback has informed us that in the preparation of their reserves and income projections, as of December 31, 2024,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17" w:lineRule="auto"/>
        <w:rPr>
          <w:sz w:val="20"/>
          <w:szCs w:val="20"/>
          <w:color w:val="auto"/>
        </w:rPr>
      </w:pPr>
      <w:r>
        <w:rPr>
          <w:rFonts w:ascii="Arial" w:cs="Arial" w:eastAsia="Arial" w:hAnsi="Arial"/>
          <w:sz w:val="20"/>
          <w:szCs w:val="20"/>
          <w:color w:val="auto"/>
        </w:rPr>
        <w:t>Estimated Net Reserves and Income Data</w:t>
      </w:r>
    </w:p>
    <w:p>
      <w:pPr>
        <w:jc w:val="center"/>
        <w:spacing w:after="0" w:line="198"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color w:val="auto"/>
        </w:rPr>
        <w:t>Viper Energy,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10160</wp:posOffset>
            </wp:positionV>
            <wp:extent cx="46164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4616450" cy="8255"/>
                    </a:xfrm>
                    <a:prstGeom prst="rect">
                      <a:avLst/>
                    </a:prstGeom>
                    <a:noFill/>
                  </pic:spPr>
                </pic:pic>
              </a:graphicData>
            </a:graphic>
          </wp:anchor>
        </w:drawing>
      </w: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Proved</w:t>
            </w: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color w:val="auto"/>
                <w:w w:val="99"/>
              </w:rPr>
              <w:t>Developed</w:t>
            </w:r>
          </w:p>
        </w:tc>
        <w:tc>
          <w:tcPr>
            <w:tcW w:w="1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Pr>
          <w:p>
            <w:pPr>
              <w:jc w:val="right"/>
              <w:ind w:right="63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1"/>
        </w:trPr>
        <w:tc>
          <w:tcPr>
            <w:tcW w:w="3440" w:type="dxa"/>
            <w:vAlign w:val="bottom"/>
            <w:gridSpan w:val="5"/>
            <w:vMerge w:val="restart"/>
          </w:tcPr>
          <w:p>
            <w:pPr>
              <w:ind w:left="60"/>
              <w:spacing w:after="0"/>
              <w:rPr>
                <w:sz w:val="20"/>
                <w:szCs w:val="20"/>
                <w:color w:val="auto"/>
              </w:rPr>
            </w:pPr>
            <w:r>
              <w:rPr>
                <w:rFonts w:ascii="Arial" w:cs="Arial" w:eastAsia="Arial" w:hAnsi="Arial"/>
                <w:sz w:val="18"/>
                <w:szCs w:val="18"/>
                <w:b w:val="1"/>
                <w:bCs w:val="1"/>
                <w:i w:val="1"/>
                <w:iCs w:val="1"/>
                <w:color w:val="auto"/>
              </w:rPr>
              <w:t>Audited by Ryder Scott</w:t>
            </w:r>
          </w:p>
        </w:tc>
        <w:tc>
          <w:tcPr>
            <w:tcW w:w="2260" w:type="dxa"/>
            <w:vAlign w:val="bottom"/>
            <w:gridSpan w:val="3"/>
          </w:tcPr>
          <w:p>
            <w:pPr>
              <w:ind w:left="420"/>
              <w:spacing w:after="0"/>
              <w:rPr>
                <w:sz w:val="20"/>
                <w:szCs w:val="20"/>
                <w:color w:val="auto"/>
              </w:rPr>
            </w:pPr>
            <w:r>
              <w:rPr>
                <w:rFonts w:ascii="Arial" w:cs="Arial" w:eastAsia="Arial" w:hAnsi="Arial"/>
                <w:sz w:val="18"/>
                <w:szCs w:val="18"/>
                <w:color w:val="auto"/>
              </w:rPr>
              <w:t>Producing</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Undeveloped</w:t>
            </w:r>
          </w:p>
        </w:tc>
        <w:tc>
          <w:tcPr>
            <w:tcW w:w="100" w:type="dxa"/>
            <w:vAlign w:val="bottom"/>
          </w:tcPr>
          <w:p>
            <w:pPr>
              <w:spacing w:after="0"/>
              <w:rPr>
                <w:sz w:val="19"/>
                <w:szCs w:val="19"/>
                <w:color w:val="auto"/>
              </w:rPr>
            </w:pPr>
          </w:p>
        </w:tc>
        <w:tc>
          <w:tcPr>
            <w:tcW w:w="1820" w:type="dxa"/>
            <w:vAlign w:val="bottom"/>
          </w:tcPr>
          <w:p>
            <w:pPr>
              <w:jc w:val="right"/>
              <w:ind w:right="591"/>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67"/>
        </w:trPr>
        <w:tc>
          <w:tcPr>
            <w:tcW w:w="3440" w:type="dxa"/>
            <w:vAlign w:val="bottom"/>
            <w:gridSpan w:val="5"/>
            <w:vMerge w:val="continue"/>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440" w:type="dxa"/>
            <w:vAlign w:val="bottom"/>
            <w:gridSpan w:val="5"/>
          </w:tcPr>
          <w:p>
            <w:pPr>
              <w:ind w:left="60"/>
              <w:spacing w:after="0"/>
              <w:rPr>
                <w:sz w:val="20"/>
                <w:szCs w:val="20"/>
                <w:color w:val="auto"/>
              </w:rPr>
            </w:pPr>
            <w:r>
              <w:rPr>
                <w:rFonts w:ascii="Arial" w:cs="Arial" w:eastAsia="Arial" w:hAnsi="Arial"/>
                <w:sz w:val="18"/>
                <w:szCs w:val="18"/>
                <w:b w:val="1"/>
                <w:bCs w:val="1"/>
                <w:i w:val="1"/>
                <w:iCs w:val="1"/>
                <w:color w:val="auto"/>
              </w:rPr>
              <w:t>Net Reserves</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tcPr>
          <w:p>
            <w:pPr>
              <w:spacing w:after="0"/>
              <w:rPr>
                <w:sz w:val="22"/>
                <w:szCs w:val="22"/>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Oil/Condensate – MBBLS</w:t>
            </w:r>
          </w:p>
        </w:tc>
        <w:tc>
          <w:tcPr>
            <w:tcW w:w="1640" w:type="dxa"/>
            <w:vAlign w:val="bottom"/>
          </w:tcPr>
          <w:p>
            <w:pPr>
              <w:jc w:val="right"/>
              <w:spacing w:after="0"/>
              <w:rPr>
                <w:sz w:val="20"/>
                <w:szCs w:val="20"/>
                <w:color w:val="auto"/>
              </w:rPr>
            </w:pPr>
            <w:r>
              <w:rPr>
                <w:rFonts w:ascii="Arial" w:cs="Arial" w:eastAsia="Arial" w:hAnsi="Arial"/>
                <w:sz w:val="18"/>
                <w:szCs w:val="18"/>
                <w:color w:val="auto"/>
              </w:rPr>
              <w:t>76,020</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17,543</w:t>
            </w:r>
          </w:p>
        </w:tc>
        <w:tc>
          <w:tcPr>
            <w:tcW w:w="34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93,563</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Plant Products – MBBLS</w:t>
            </w:r>
          </w:p>
        </w:tc>
        <w:tc>
          <w:tcPr>
            <w:tcW w:w="1640" w:type="dxa"/>
            <w:vAlign w:val="bottom"/>
          </w:tcPr>
          <w:p>
            <w:pPr>
              <w:jc w:val="right"/>
              <w:spacing w:after="0"/>
              <w:rPr>
                <w:sz w:val="20"/>
                <w:szCs w:val="20"/>
                <w:color w:val="auto"/>
              </w:rPr>
            </w:pPr>
            <w:r>
              <w:rPr>
                <w:rFonts w:ascii="Arial" w:cs="Arial" w:eastAsia="Arial" w:hAnsi="Arial"/>
                <w:sz w:val="18"/>
                <w:szCs w:val="18"/>
                <w:color w:val="auto"/>
              </w:rPr>
              <w:t>45,633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7,907</w:t>
            </w:r>
          </w:p>
        </w:tc>
        <w:tc>
          <w:tcPr>
            <w:tcW w:w="3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53,540</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Gas – MMCF</w:t>
            </w:r>
          </w:p>
        </w:tc>
        <w:tc>
          <w:tcPr>
            <w:tcW w:w="1640" w:type="dxa"/>
            <w:vAlign w:val="bottom"/>
          </w:tcPr>
          <w:p>
            <w:pPr>
              <w:jc w:val="right"/>
              <w:spacing w:after="0"/>
              <w:rPr>
                <w:sz w:val="20"/>
                <w:szCs w:val="20"/>
                <w:color w:val="auto"/>
              </w:rPr>
            </w:pPr>
            <w:r>
              <w:rPr>
                <w:rFonts w:ascii="Arial" w:cs="Arial" w:eastAsia="Arial" w:hAnsi="Arial"/>
                <w:sz w:val="18"/>
                <w:szCs w:val="18"/>
                <w:color w:val="auto"/>
              </w:rPr>
              <w:t>253,271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39,353</w:t>
            </w:r>
          </w:p>
        </w:tc>
        <w:tc>
          <w:tcPr>
            <w:tcW w:w="3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292,624</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MBOE</w:t>
            </w:r>
          </w:p>
        </w:tc>
        <w:tc>
          <w:tcPr>
            <w:tcW w:w="1640" w:type="dxa"/>
            <w:vAlign w:val="bottom"/>
          </w:tcPr>
          <w:p>
            <w:pPr>
              <w:jc w:val="right"/>
              <w:spacing w:after="0"/>
              <w:rPr>
                <w:sz w:val="20"/>
                <w:szCs w:val="20"/>
                <w:color w:val="auto"/>
              </w:rPr>
            </w:pPr>
            <w:r>
              <w:rPr>
                <w:rFonts w:ascii="Arial" w:cs="Arial" w:eastAsia="Arial" w:hAnsi="Arial"/>
                <w:sz w:val="18"/>
                <w:szCs w:val="18"/>
                <w:color w:val="auto"/>
              </w:rPr>
              <w:t>163,865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32,008</w:t>
            </w:r>
          </w:p>
        </w:tc>
        <w:tc>
          <w:tcPr>
            <w:tcW w:w="3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195,873</w:t>
            </w:r>
          </w:p>
        </w:tc>
        <w:tc>
          <w:tcPr>
            <w:tcW w:w="0" w:type="dxa"/>
            <w:vAlign w:val="bottom"/>
          </w:tcPr>
          <w:p>
            <w:pPr>
              <w:spacing w:after="0"/>
              <w:rPr>
                <w:sz w:val="1"/>
                <w:szCs w:val="1"/>
                <w:color w:val="auto"/>
              </w:rPr>
            </w:pPr>
          </w:p>
        </w:tc>
      </w:tr>
      <w:tr>
        <w:trPr>
          <w:trHeight w:val="399"/>
        </w:trPr>
        <w:tc>
          <w:tcPr>
            <w:tcW w:w="34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tcPr>
          <w:p>
            <w:pPr>
              <w:spacing w:after="0"/>
              <w:rPr>
                <w:sz w:val="21"/>
                <w:szCs w:val="21"/>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Future Gross 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$6,441,558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$1,457,357</w:t>
            </w:r>
          </w:p>
        </w:tc>
        <w:tc>
          <w:tcPr>
            <w:tcW w:w="3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$7,898,915</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Deductions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125,283</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29,147</w:t>
            </w:r>
          </w:p>
        </w:tc>
        <w:tc>
          <w:tcPr>
            <w:tcW w:w="340" w:type="dxa"/>
            <w:vAlign w:val="bottom"/>
          </w:tcPr>
          <w:p>
            <w:pPr>
              <w:spacing w:after="0"/>
              <w:rPr>
                <w:sz w:val="20"/>
                <w:szCs w:val="20"/>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154,430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Future Net Income (FNI)</w:t>
            </w:r>
          </w:p>
        </w:tc>
        <w:tc>
          <w:tcPr>
            <w:tcW w:w="1640" w:type="dxa"/>
            <w:vAlign w:val="bottom"/>
          </w:tcPr>
          <w:p>
            <w:pPr>
              <w:jc w:val="right"/>
              <w:spacing w:after="0"/>
              <w:rPr>
                <w:sz w:val="20"/>
                <w:szCs w:val="20"/>
                <w:color w:val="auto"/>
              </w:rPr>
            </w:pPr>
            <w:r>
              <w:rPr>
                <w:rFonts w:ascii="Arial" w:cs="Arial" w:eastAsia="Arial" w:hAnsi="Arial"/>
                <w:sz w:val="18"/>
                <w:szCs w:val="18"/>
                <w:color w:val="auto"/>
              </w:rPr>
              <w:t>$6,316,275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$1,428,210</w:t>
            </w:r>
          </w:p>
        </w:tc>
        <w:tc>
          <w:tcPr>
            <w:tcW w:w="3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$7,744,485</w:t>
            </w:r>
          </w:p>
        </w:tc>
        <w:tc>
          <w:tcPr>
            <w:tcW w:w="0" w:type="dxa"/>
            <w:vAlign w:val="bottom"/>
          </w:tcPr>
          <w:p>
            <w:pPr>
              <w:spacing w:after="0"/>
              <w:rPr>
                <w:sz w:val="1"/>
                <w:szCs w:val="1"/>
                <w:color w:val="auto"/>
              </w:rPr>
            </w:pPr>
          </w:p>
        </w:tc>
      </w:tr>
      <w:tr>
        <w:trPr>
          <w:trHeight w:val="490"/>
        </w:trPr>
        <w:tc>
          <w:tcPr>
            <w:tcW w:w="60" w:type="dxa"/>
            <w:vAlign w:val="bottom"/>
          </w:tcPr>
          <w:p>
            <w:pPr>
              <w:spacing w:after="0"/>
              <w:rPr>
                <w:sz w:val="24"/>
                <w:szCs w:val="24"/>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Discounted FNI @ 10%</w:t>
            </w:r>
          </w:p>
        </w:tc>
        <w:tc>
          <w:tcPr>
            <w:tcW w:w="1640" w:type="dxa"/>
            <w:vAlign w:val="bottom"/>
          </w:tcPr>
          <w:p>
            <w:pPr>
              <w:jc w:val="right"/>
              <w:spacing w:after="0"/>
              <w:rPr>
                <w:sz w:val="20"/>
                <w:szCs w:val="20"/>
                <w:color w:val="auto"/>
              </w:rPr>
            </w:pPr>
            <w:r>
              <w:rPr>
                <w:rFonts w:ascii="Arial" w:cs="Arial" w:eastAsia="Arial" w:hAnsi="Arial"/>
                <w:sz w:val="18"/>
                <w:szCs w:val="18"/>
                <w:color w:val="auto"/>
              </w:rPr>
              <w:t>$2,935,566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$ 748,954</w:t>
            </w:r>
          </w:p>
        </w:tc>
        <w:tc>
          <w:tcPr>
            <w:tcW w:w="34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$3,684,520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spacing w:after="0" w:line="21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2" w:lineRule="exact"/>
        <w:rPr>
          <w:sz w:val="20"/>
          <w:szCs w:val="20"/>
          <w:color w:val="auto"/>
        </w:rPr>
      </w:pPr>
    </w:p>
    <w:p>
      <w:pPr>
        <w:jc w:val="both"/>
        <w:ind w:firstLine="643"/>
        <w:spacing w:after="0" w:line="258"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196"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w:t>
      </w:r>
    </w:p>
    <w:p>
      <w:pPr>
        <w:spacing w:after="0" w:line="186"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spacing w:after="0" w:line="21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97"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regulation by governmental agencies or geopolitical or economic risks. Therefore, the proved reserves included in this report are estimates only and should not be construed as being exact quantities. They may or may not be actually recovered, and if recovered, the revenues therefrom, and the actual costs related thereto, could be more or less than the estimated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52"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1"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18"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1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26" w:name="page227"/>
    <w:bookmarkEnd w:id="226"/>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historical production and pressure data available through December, 2024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w:t>
      </w:r>
    </w:p>
    <w:p>
      <w:pPr>
        <w:spacing w:after="0" w:line="217"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20"/>
          <w:szCs w:val="20"/>
          <w:color w:val="auto"/>
        </w:rPr>
        <w:t>The reserves prepared by Diamondback attributable to the undeveloped status category that we reviewed were estimated by analogy.</w:t>
      </w:r>
    </w:p>
    <w:p>
      <w:pPr>
        <w:spacing w:after="0" w:line="173"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20"/>
          <w:szCs w:val="20"/>
          <w:color w:val="auto"/>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223"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9"/>
          <w:szCs w:val="19"/>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spacing w:after="0" w:line="19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1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The initial SEC hydrocarbon benchmark prices in effect on December 31, 2024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27" w:name="page228"/>
    <w:bookmarkEnd w:id="227"/>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firstLine="643"/>
        <w:spacing w:after="0" w:line="256" w:lineRule="auto"/>
        <w:rPr>
          <w:sz w:val="20"/>
          <w:szCs w:val="20"/>
          <w:color w:val="auto"/>
        </w:rPr>
      </w:pPr>
      <w:r>
        <w:rPr>
          <w:rFonts w:ascii="Arial" w:cs="Arial" w:eastAsia="Arial" w:hAnsi="Arial"/>
          <w:sz w:val="20"/>
          <w:szCs w:val="20"/>
          <w:color w:val="auto"/>
        </w:rPr>
        <w:t>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w:t>
      </w:r>
    </w:p>
    <w:p>
      <w:pPr>
        <w:spacing w:after="0" w:line="210" w:lineRule="exact"/>
        <w:rPr>
          <w:sz w:val="20"/>
          <w:szCs w:val="20"/>
          <w:color w:val="auto"/>
        </w:rPr>
      </w:pPr>
    </w:p>
    <w:p>
      <w:pPr>
        <w:jc w:val="both"/>
        <w:ind w:right="20" w:firstLine="643"/>
        <w:spacing w:after="0" w:line="251" w:lineRule="auto"/>
        <w:rPr>
          <w:sz w:val="20"/>
          <w:szCs w:val="20"/>
          <w:color w:val="auto"/>
        </w:rPr>
      </w:pPr>
      <w:r>
        <w:rPr>
          <w:rFonts w:ascii="Arial" w:cs="Arial" w:eastAsia="Arial" w:hAnsi="Arial"/>
          <w:sz w:val="20"/>
          <w:szCs w:val="20"/>
          <w:color w:val="auto"/>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760" w:type="dxa"/>
            <w:vAlign w:val="bottom"/>
            <w:tcBorders>
              <w:top w:val="single" w:sz="8" w:color="auto"/>
              <w:left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spacing w:after="0"/>
              <w:rPr>
                <w:sz w:val="22"/>
                <w:szCs w:val="22"/>
                <w:color w:val="auto"/>
              </w:rPr>
            </w:pPr>
          </w:p>
        </w:tc>
        <w:tc>
          <w:tcPr>
            <w:tcW w:w="2560" w:type="dxa"/>
            <w:vAlign w:val="bottom"/>
            <w:tcBorders>
              <w:top w:val="single" w:sz="8" w:color="auto"/>
              <w:right w:val="single" w:sz="8" w:color="auto"/>
            </w:tcBorders>
          </w:tcPr>
          <w:p>
            <w:pPr>
              <w:spacing w:after="0"/>
              <w:rPr>
                <w:sz w:val="22"/>
                <w:szCs w:val="22"/>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Average</w:t>
            </w:r>
          </w:p>
        </w:tc>
        <w:tc>
          <w:tcPr>
            <w:tcW w:w="19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760" w:type="dxa"/>
            <w:vAlign w:val="bottom"/>
            <w:tcBorders>
              <w:left w:val="single" w:sz="8" w:color="auto"/>
              <w:right w:val="single" w:sz="8" w:color="auto"/>
            </w:tcBorders>
            <w:vMerge w:val="restart"/>
          </w:tcPr>
          <w:p>
            <w:pPr>
              <w:jc w:val="center"/>
              <w:ind w:right="1002"/>
              <w:spacing w:after="0"/>
              <w:rPr>
                <w:sz w:val="20"/>
                <w:szCs w:val="20"/>
                <w:color w:val="auto"/>
              </w:rPr>
            </w:pPr>
            <w:r>
              <w:rPr>
                <w:rFonts w:ascii="Arial" w:cs="Arial" w:eastAsia="Arial" w:hAnsi="Arial"/>
                <w:sz w:val="20"/>
                <w:szCs w:val="20"/>
                <w:color w:val="auto"/>
                <w:w w:val="99"/>
              </w:rPr>
              <w:t>Geographic Area</w:t>
            </w:r>
          </w:p>
        </w:tc>
        <w:tc>
          <w:tcPr>
            <w:tcW w:w="194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Product</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Price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Benchmark</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Average Realized</w:t>
            </w:r>
          </w:p>
        </w:tc>
        <w:tc>
          <w:tcPr>
            <w:tcW w:w="0" w:type="dxa"/>
            <w:vAlign w:val="bottom"/>
          </w:tcPr>
          <w:p>
            <w:pPr>
              <w:spacing w:after="0"/>
              <w:rPr>
                <w:sz w:val="1"/>
                <w:szCs w:val="1"/>
                <w:color w:val="auto"/>
              </w:rPr>
            </w:pPr>
          </w:p>
        </w:tc>
      </w:tr>
      <w:tr>
        <w:trPr>
          <w:trHeight w:val="269"/>
        </w:trPr>
        <w:tc>
          <w:tcPr>
            <w:tcW w:w="276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940" w:type="dxa"/>
            <w:vAlign w:val="bottom"/>
            <w:tcBorders>
              <w:bottom w:val="single" w:sz="8" w:color="auto"/>
              <w:right w:val="single" w:sz="8" w:color="auto"/>
            </w:tcBorders>
            <w:vMerge w:val="continue"/>
          </w:tcPr>
          <w:p>
            <w:pPr>
              <w:spacing w:after="0"/>
              <w:rPr>
                <w:sz w:val="23"/>
                <w:szCs w:val="23"/>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Reference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63"/>
        </w:trPr>
        <w:tc>
          <w:tcPr>
            <w:tcW w:w="2760" w:type="dxa"/>
            <w:vAlign w:val="bottom"/>
            <w:tcBorders>
              <w:left w:val="single" w:sz="8" w:color="auto"/>
              <w:right w:val="single" w:sz="8" w:color="auto"/>
            </w:tcBorders>
          </w:tcPr>
          <w:p>
            <w:pPr>
              <w:jc w:val="center"/>
              <w:ind w:right="1002"/>
              <w:spacing w:after="0"/>
              <w:rPr>
                <w:sz w:val="20"/>
                <w:szCs w:val="20"/>
                <w:color w:val="auto"/>
              </w:rPr>
            </w:pPr>
            <w:r>
              <w:rPr>
                <w:rFonts w:ascii="Arial" w:cs="Arial" w:eastAsia="Arial" w:hAnsi="Arial"/>
                <w:sz w:val="20"/>
                <w:szCs w:val="20"/>
                <w:color w:val="auto"/>
                <w:w w:val="98"/>
              </w:rPr>
              <w:t>North America</w:t>
            </w:r>
          </w:p>
        </w:tc>
        <w:tc>
          <w:tcPr>
            <w:tcW w:w="19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76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Oil/Condensate</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$75.48/Bbl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$75.61/Bbl</w:t>
            </w:r>
          </w:p>
        </w:tc>
        <w:tc>
          <w:tcPr>
            <w:tcW w:w="0" w:type="dxa"/>
            <w:vAlign w:val="bottom"/>
          </w:tcPr>
          <w:p>
            <w:pPr>
              <w:spacing w:after="0"/>
              <w:rPr>
                <w:sz w:val="1"/>
                <w:szCs w:val="1"/>
                <w:color w:val="auto"/>
              </w:rPr>
            </w:pPr>
          </w:p>
        </w:tc>
      </w:tr>
      <w:tr>
        <w:trPr>
          <w:trHeight w:val="32"/>
        </w:trPr>
        <w:tc>
          <w:tcPr>
            <w:tcW w:w="2760" w:type="dxa"/>
            <w:vAlign w:val="bottom"/>
            <w:tcBorders>
              <w:left w:val="single" w:sz="8" w:color="auto"/>
              <w:right w:val="single" w:sz="8" w:color="auto"/>
            </w:tcBorders>
            <w:vMerge w:val="restart"/>
          </w:tcPr>
          <w:p>
            <w:pPr>
              <w:ind w:left="300"/>
              <w:spacing w:after="0"/>
              <w:rPr>
                <w:sz w:val="20"/>
                <w:szCs w:val="20"/>
                <w:color w:val="auto"/>
              </w:rPr>
            </w:pPr>
            <w:r>
              <w:rPr>
                <w:rFonts w:ascii="Arial" w:cs="Arial" w:eastAsia="Arial" w:hAnsi="Arial"/>
                <w:sz w:val="20"/>
                <w:szCs w:val="20"/>
                <w:color w:val="auto"/>
              </w:rPr>
              <w:t>United States</w:t>
            </w:r>
          </w:p>
        </w:tc>
        <w:tc>
          <w:tcPr>
            <w:tcW w:w="19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760" w:type="dxa"/>
            <w:vAlign w:val="bottom"/>
            <w:tcBorders>
              <w:left w:val="single" w:sz="8" w:color="auto"/>
              <w:right w:val="single" w:sz="8" w:color="auto"/>
            </w:tcBorders>
            <w:vMerge w:val="continue"/>
          </w:tcPr>
          <w:p>
            <w:pPr>
              <w:spacing w:after="0"/>
              <w:rPr>
                <w:sz w:val="22"/>
                <w:szCs w:val="22"/>
                <w:color w:val="auto"/>
              </w:rPr>
            </w:pPr>
          </w:p>
        </w:tc>
        <w:tc>
          <w:tcPr>
            <w:tcW w:w="19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NGLs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$75.48/Bbl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$20.62/Bbl</w:t>
            </w:r>
          </w:p>
        </w:tc>
        <w:tc>
          <w:tcPr>
            <w:tcW w:w="0" w:type="dxa"/>
            <w:vAlign w:val="bottom"/>
          </w:tcPr>
          <w:p>
            <w:pPr>
              <w:spacing w:after="0"/>
              <w:rPr>
                <w:sz w:val="1"/>
                <w:szCs w:val="1"/>
                <w:color w:val="auto"/>
              </w:rPr>
            </w:pPr>
          </w:p>
        </w:tc>
      </w:tr>
      <w:tr>
        <w:trPr>
          <w:trHeight w:val="32"/>
        </w:trPr>
        <w:tc>
          <w:tcPr>
            <w:tcW w:w="2760" w:type="dxa"/>
            <w:vAlign w:val="bottom"/>
            <w:tcBorders>
              <w:left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76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$2.13/MMBTU</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$0.493/Mcf</w:t>
            </w:r>
          </w:p>
        </w:tc>
        <w:tc>
          <w:tcPr>
            <w:tcW w:w="0" w:type="dxa"/>
            <w:vAlign w:val="bottom"/>
          </w:tcPr>
          <w:p>
            <w:pPr>
              <w:spacing w:after="0"/>
              <w:rPr>
                <w:sz w:val="1"/>
                <w:szCs w:val="1"/>
                <w:color w:val="auto"/>
              </w:rPr>
            </w:pPr>
          </w:p>
        </w:tc>
      </w:tr>
      <w:tr>
        <w:trPr>
          <w:trHeight w:val="32"/>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both"/>
        <w:ind w:right="40" w:firstLine="643"/>
        <w:spacing w:after="0" w:line="280"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Diamondback’s individual property evaluations.</w:t>
      </w:r>
    </w:p>
    <w:p>
      <w:pPr>
        <w:spacing w:after="0" w:line="173" w:lineRule="exact"/>
        <w:rPr>
          <w:sz w:val="20"/>
          <w:szCs w:val="20"/>
          <w:color w:val="auto"/>
        </w:rPr>
      </w:pPr>
    </w:p>
    <w:p>
      <w:pPr>
        <w:jc w:val="both"/>
        <w:ind w:right="20" w:firstLine="643"/>
        <w:spacing w:after="0" w:line="280"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173" w:lineRule="exact"/>
        <w:rPr>
          <w:sz w:val="20"/>
          <w:szCs w:val="20"/>
          <w:color w:val="auto"/>
        </w:rPr>
      </w:pPr>
    </w:p>
    <w:p>
      <w:pPr>
        <w:jc w:val="both"/>
        <w:ind w:right="20" w:firstLine="643"/>
        <w:spacing w:after="0" w:line="265" w:lineRule="auto"/>
        <w:rPr>
          <w:sz w:val="20"/>
          <w:szCs w:val="20"/>
          <w:color w:val="auto"/>
        </w:rPr>
      </w:pPr>
      <w:r>
        <w:rPr>
          <w:rFonts w:ascii="Arial" w:cs="Arial" w:eastAsia="Arial" w:hAnsi="Arial"/>
          <w:sz w:val="20"/>
          <w:szCs w:val="20"/>
          <w:color w:val="auto"/>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spacing w:after="0" w:line="189" w:lineRule="exact"/>
        <w:rPr>
          <w:sz w:val="20"/>
          <w:szCs w:val="20"/>
          <w:color w:val="auto"/>
        </w:rPr>
      </w:pPr>
    </w:p>
    <w:p>
      <w:pPr>
        <w:jc w:val="both"/>
        <w:ind w:right="20" w:firstLine="643"/>
        <w:spacing w:after="0" w:line="249" w:lineRule="auto"/>
        <w:rPr>
          <w:sz w:val="20"/>
          <w:szCs w:val="20"/>
          <w:color w:val="auto"/>
        </w:rPr>
      </w:pPr>
      <w:r>
        <w:rPr>
          <w:rFonts w:ascii="Arial" w:cs="Arial" w:eastAsia="Arial" w:hAnsi="Arial"/>
          <w:sz w:val="20"/>
          <w:szCs w:val="20"/>
          <w:color w:val="auto"/>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60"/>
          </w:cols>
          <w:pgMar w:left="320" w:top="118" w:right="31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9"/>
          <w:szCs w:val="19"/>
          <w:color w:val="auto"/>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spacing w:after="0" w:line="170"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20"/>
          <w:szCs w:val="20"/>
          <w:color w:val="auto"/>
        </w:rPr>
        <w:t>The proved undeveloped reserves for the properties reviewed by us have been incorporated herein in accordance with Diamondback’s plans to develop these reserves as of December 31, 2024.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2024, such changes were, in accordance with rules adopted by the SEC, omitted from consideration in making this evaluation.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spacing w:after="0" w:line="19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1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9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and policies may cause volumes of proved reserves actually recovered and amounts of proved income actually received to differ significantly from the estimated quantities.</w:t>
      </w:r>
    </w:p>
    <w:p>
      <w:pPr>
        <w:spacing w:after="0" w:line="186"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spacing w:after="0" w:line="21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197"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52"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w:t>
      </w:r>
    </w:p>
    <w:p>
      <w:pPr>
        <w:spacing w:after="0" w:line="207"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20"/>
          <w:szCs w:val="20"/>
          <w:color w:val="auto"/>
        </w:rPr>
        <w:t>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is our opinion that on an aggregate basis the data presented herein for the properties that we reviewed fairly reflects the estimated net reserves, future production and discounted future net income owned by Viper.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3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04"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10"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04"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20"/>
          <w:szCs w:val="20"/>
          <w:color w:val="auto"/>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189" w:lineRule="exact"/>
        <w:rPr>
          <w:sz w:val="20"/>
          <w:szCs w:val="20"/>
          <w:color w:val="auto"/>
        </w:rPr>
      </w:pPr>
    </w:p>
    <w:p>
      <w:pPr>
        <w:jc w:val="both"/>
        <w:ind w:right="20" w:firstLine="643"/>
        <w:spacing w:after="0" w:line="256" w:lineRule="auto"/>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39" w:lineRule="exact"/>
        <w:rPr>
          <w:sz w:val="20"/>
          <w:szCs w:val="20"/>
          <w:color w:val="auto"/>
        </w:rPr>
      </w:pPr>
    </w:p>
    <w:p>
      <w:pPr>
        <w:jc w:val="both"/>
        <w:ind w:firstLine="643"/>
        <w:spacing w:after="0" w:line="258"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Diamondback.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Viper Energy,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2025</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2024 annual report on Form 10-K of Diamondback. Our written consent for such use is included as a separate exhibit to the filings made with the SEC by Diamondback.</w:t>
      </w:r>
    </w:p>
    <w:p>
      <w:pPr>
        <w:spacing w:after="0" w:line="217" w:lineRule="exact"/>
        <w:rPr>
          <w:sz w:val="20"/>
          <w:szCs w:val="20"/>
          <w:color w:val="auto"/>
        </w:rPr>
      </w:pPr>
    </w:p>
    <w:p>
      <w:pPr>
        <w:jc w:val="both"/>
        <w:ind w:firstLine="643"/>
        <w:spacing w:after="0" w:line="258" w:lineRule="auto"/>
        <w:rPr>
          <w:sz w:val="20"/>
          <w:szCs w:val="20"/>
          <w:color w:val="auto"/>
        </w:rPr>
      </w:pPr>
      <w:r>
        <w:rPr>
          <w:rFonts w:ascii="Arial" w:cs="Arial" w:eastAsia="Arial" w:hAnsi="Arial"/>
          <w:sz w:val="20"/>
          <w:szCs w:val="20"/>
          <w:color w:val="auto"/>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spacing w:after="0" w:line="209" w:lineRule="exact"/>
        <w:rPr>
          <w:sz w:val="20"/>
          <w:szCs w:val="20"/>
          <w:color w:val="auto"/>
        </w:rPr>
      </w:pPr>
    </w:p>
    <w:p>
      <w:pPr>
        <w:jc w:val="both"/>
        <w:ind w:right="20" w:firstLine="304"/>
        <w:spacing w:after="0" w:line="26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4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Very truly yours,</w:t>
      </w:r>
    </w:p>
    <w:p>
      <w:pPr>
        <w:spacing w:after="0" w:line="277"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4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9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Marsha E. Wellmann</w:t>
      </w:r>
    </w:p>
    <w:p>
      <w:pPr>
        <w:spacing w:after="0" w:line="332"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Marsha E. Wellmann, P.E.</w:t>
      </w:r>
    </w:p>
    <w:p>
      <w:pPr>
        <w:spacing w:after="0" w:line="6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License No. 116149</w:t>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Vice President</w:t>
      </w:r>
    </w:p>
    <w:p>
      <w:pPr>
        <w:spacing w:after="0" w:line="28"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200" w:lineRule="exact"/>
        <w:rPr>
          <w:sz w:val="20"/>
          <w:szCs w:val="20"/>
          <w:color w:val="auto"/>
        </w:rPr>
      </w:pPr>
    </w:p>
    <w:p>
      <w:pPr>
        <w:spacing w:after="0" w:line="34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Raza Rizvi</w:t>
      </w:r>
    </w:p>
    <w:p>
      <w:pPr>
        <w:spacing w:after="0" w:line="31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Raza Rizvi</w:t>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MEW-RR (HGA)/pl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32" w:name="page233"/>
    <w:bookmarkEnd w:id="232"/>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t>
      </w:r>
      <w:r>
        <w:rPr>
          <w:rFonts w:ascii="Arial" w:cs="Arial" w:eastAsia="Arial" w:hAnsi="Arial"/>
          <w:sz w:val="20"/>
          <w:szCs w:val="20"/>
          <w:u w:val="single" w:color="auto"/>
          <w:color w:val="auto"/>
        </w:rPr>
        <w:t>www.ryderscott.com/Company/Employees</w:t>
      </w:r>
      <w:r>
        <w:rPr>
          <w:rFonts w:ascii="Arial" w:cs="Arial" w:eastAsia="Arial" w:hAnsi="Arial"/>
          <w:sz w:val="20"/>
          <w:szCs w:val="20"/>
          <w:color w:val="auto"/>
        </w:rPr>
        <w: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2024 continuing education hours, Ms. Wellmann attended 29 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39"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2"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1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00"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PETROLEUM RESERVES DEFINITIONS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52"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2" w:lineRule="exact"/>
        <w:rPr>
          <w:sz w:val="20"/>
          <w:szCs w:val="20"/>
          <w:color w:val="auto"/>
        </w:rPr>
      </w:pPr>
    </w:p>
    <w:p>
      <w:pPr>
        <w:ind w:left="880" w:hanging="230"/>
        <w:spacing w:after="0"/>
        <w:tabs>
          <w:tab w:leader="none" w:pos="880" w:val="left"/>
        </w:tabs>
        <w:numPr>
          <w:ilvl w:val="0"/>
          <w:numId w:val="11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38" w:lineRule="exact"/>
        <w:rPr>
          <w:rFonts w:ascii="Arial" w:cs="Arial" w:eastAsia="Arial" w:hAnsi="Arial"/>
          <w:sz w:val="20"/>
          <w:szCs w:val="20"/>
          <w:i w:val="1"/>
          <w:iCs w:val="1"/>
          <w:color w:val="auto"/>
        </w:rPr>
      </w:pPr>
    </w:p>
    <w:p>
      <w:pPr>
        <w:ind w:left="1600" w:hanging="307"/>
        <w:spacing w:after="0"/>
        <w:tabs>
          <w:tab w:leader="none" w:pos="1600" w:val="left"/>
        </w:tabs>
        <w:numPr>
          <w:ilvl w:val="1"/>
          <w:numId w:val="11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35" w:name="page236"/>
    <w:bookmarkEnd w:id="235"/>
    <w:p>
      <w:pPr>
        <w:spacing w:after="0"/>
        <w:rPr>
          <w:sz w:val="20"/>
          <w:szCs w:val="20"/>
          <w:color w:val="auto"/>
        </w:rPr>
      </w:pPr>
      <w:r>
        <w:rPr>
          <w:rFonts w:ascii="Arial" w:cs="Arial" w:eastAsia="Arial" w:hAnsi="Arial"/>
          <w:sz w:val="20"/>
          <w:szCs w:val="20"/>
          <w:color w:val="auto"/>
        </w:rPr>
        <w:t>PETROLEUM RESERVES DEFINITIONS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00" w:hanging="7"/>
        <w:spacing w:after="0" w:line="307" w:lineRule="auto"/>
        <w:tabs>
          <w:tab w:leader="none" w:pos="1620" w:val="left"/>
        </w:tabs>
        <w:numPr>
          <w:ilvl w:val="1"/>
          <w:numId w:val="119"/>
        </w:numPr>
        <w:rPr>
          <w:rFonts w:ascii="Arial" w:cs="Arial" w:eastAsia="Arial" w:hAnsi="Arial"/>
          <w:sz w:val="19"/>
          <w:szCs w:val="19"/>
          <w:i w:val="1"/>
          <w:iCs w:val="1"/>
          <w:color w:val="auto"/>
        </w:rPr>
      </w:pPr>
      <w:r>
        <w:rPr>
          <w:rFonts w:ascii="Arial" w:cs="Arial" w:eastAsia="Arial" w:hAnsi="Arial"/>
          <w:sz w:val="19"/>
          <w:szCs w:val="19"/>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50" w:lineRule="exact"/>
        <w:rPr>
          <w:rFonts w:ascii="Arial" w:cs="Arial" w:eastAsia="Arial" w:hAnsi="Arial"/>
          <w:sz w:val="19"/>
          <w:szCs w:val="19"/>
          <w:i w:val="1"/>
          <w:iCs w:val="1"/>
          <w:color w:val="auto"/>
        </w:rPr>
      </w:pPr>
    </w:p>
    <w:p>
      <w:pPr>
        <w:jc w:val="both"/>
        <w:ind w:left="640" w:firstLine="10"/>
        <w:spacing w:after="0" w:line="265" w:lineRule="auto"/>
        <w:tabs>
          <w:tab w:leader="none" w:pos="916" w:val="left"/>
        </w:tabs>
        <w:numPr>
          <w:ilvl w:val="0"/>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88" w:lineRule="exact"/>
        <w:rPr>
          <w:rFonts w:ascii="Arial" w:cs="Arial" w:eastAsia="Arial" w:hAnsi="Arial"/>
          <w:sz w:val="20"/>
          <w:szCs w:val="20"/>
          <w:i w:val="1"/>
          <w:iCs w:val="1"/>
          <w:color w:val="auto"/>
        </w:rPr>
      </w:pPr>
    </w:p>
    <w:p>
      <w:pPr>
        <w:jc w:val="both"/>
        <w:ind w:left="640" w:firstLine="10"/>
        <w:spacing w:after="0" w:line="256" w:lineRule="auto"/>
        <w:tabs>
          <w:tab w:leader="none" w:pos="977" w:val="left"/>
        </w:tabs>
        <w:numPr>
          <w:ilvl w:val="0"/>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40" w:right="20" w:firstLine="10"/>
        <w:spacing w:after="0" w:line="266" w:lineRule="auto"/>
        <w:tabs>
          <w:tab w:leader="none" w:pos="987" w:val="left"/>
        </w:tabs>
        <w:numPr>
          <w:ilvl w:val="0"/>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9" w:lineRule="exact"/>
        <w:rPr>
          <w:rFonts w:ascii="Arial" w:cs="Arial" w:eastAsia="Arial" w:hAnsi="Arial"/>
          <w:sz w:val="20"/>
          <w:szCs w:val="20"/>
          <w:i w:val="1"/>
          <w:iCs w:val="1"/>
          <w:color w:val="auto"/>
        </w:rPr>
      </w:pPr>
    </w:p>
    <w:p>
      <w:pPr>
        <w:jc w:val="both"/>
        <w:ind w:left="1300" w:hanging="7"/>
        <w:spacing w:after="0" w:line="256" w:lineRule="auto"/>
        <w:tabs>
          <w:tab w:leader="none" w:pos="1633" w:val="left"/>
        </w:tabs>
        <w:numPr>
          <w:ilvl w:val="1"/>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97" w:lineRule="exact"/>
        <w:rPr>
          <w:rFonts w:ascii="Arial" w:cs="Arial" w:eastAsia="Arial" w:hAnsi="Arial"/>
          <w:sz w:val="20"/>
          <w:szCs w:val="20"/>
          <w:i w:val="1"/>
          <w:iCs w:val="1"/>
          <w:color w:val="auto"/>
        </w:rPr>
      </w:pPr>
    </w:p>
    <w:p>
      <w:pPr>
        <w:ind w:left="1300" w:hanging="7"/>
        <w:spacing w:after="0" w:line="280" w:lineRule="auto"/>
        <w:tabs>
          <w:tab w:leader="none" w:pos="1627" w:val="left"/>
        </w:tabs>
        <w:numPr>
          <w:ilvl w:val="1"/>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3" w:lineRule="exact"/>
        <w:rPr>
          <w:rFonts w:ascii="Arial" w:cs="Arial" w:eastAsia="Arial" w:hAnsi="Arial"/>
          <w:sz w:val="20"/>
          <w:szCs w:val="20"/>
          <w:i w:val="1"/>
          <w:iCs w:val="1"/>
          <w:color w:val="auto"/>
        </w:rPr>
      </w:pPr>
    </w:p>
    <w:p>
      <w:pPr>
        <w:jc w:val="both"/>
        <w:ind w:left="640" w:firstLine="10"/>
        <w:spacing w:after="0" w:line="255" w:lineRule="auto"/>
        <w:tabs>
          <w:tab w:leader="none" w:pos="968" w:val="left"/>
        </w:tabs>
        <w:numPr>
          <w:ilvl w:val="0"/>
          <w:numId w:val="120"/>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36" w:name="page237"/>
    <w:bookmarkEnd w:id="236"/>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49"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40"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§210.4-10(a)(6) defines developed oil and gas reserves as follows: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52" w:lineRule="exact"/>
        <w:rPr>
          <w:sz w:val="20"/>
          <w:szCs w:val="20"/>
          <w:color w:val="auto"/>
        </w:rPr>
      </w:pPr>
    </w:p>
    <w:p>
      <w:pPr>
        <w:ind w:left="1300" w:hanging="7"/>
        <w:spacing w:after="0" w:line="266" w:lineRule="auto"/>
        <w:tabs>
          <w:tab w:leader="none" w:pos="1562" w:val="left"/>
        </w:tabs>
        <w:numPr>
          <w:ilvl w:val="0"/>
          <w:numId w:val="121"/>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9" w:lineRule="exact"/>
        <w:rPr>
          <w:rFonts w:ascii="Arial" w:cs="Arial" w:eastAsia="Arial" w:hAnsi="Arial"/>
          <w:sz w:val="20"/>
          <w:szCs w:val="20"/>
          <w:i w:val="1"/>
          <w:iCs w:val="1"/>
          <w:color w:val="auto"/>
        </w:rPr>
      </w:pPr>
    </w:p>
    <w:p>
      <w:pPr>
        <w:ind w:left="1300" w:hanging="7"/>
        <w:spacing w:after="0" w:line="280" w:lineRule="auto"/>
        <w:tabs>
          <w:tab w:leader="none" w:pos="1577" w:val="left"/>
        </w:tabs>
        <w:numPr>
          <w:ilvl w:val="0"/>
          <w:numId w:val="121"/>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4" w:lineRule="exact"/>
        <w:rPr>
          <w:sz w:val="20"/>
          <w:szCs w:val="20"/>
          <w:color w:val="auto"/>
        </w:rPr>
      </w:pPr>
    </w:p>
    <w:p>
      <w:pPr>
        <w:ind w:firstLine="643"/>
        <w:spacing w:after="0" w:line="26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37" w:name="page238"/>
    <w:bookmarkEnd w:id="237"/>
    <w:p>
      <w:pPr>
        <w:ind w:right="5080"/>
        <w:spacing w:after="0" w:line="280"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9" w:lineRule="exact"/>
        <w:rPr>
          <w:sz w:val="20"/>
          <w:szCs w:val="20"/>
          <w:color w:val="auto"/>
        </w:rPr>
      </w:pPr>
    </w:p>
    <w:p>
      <w:pPr>
        <w:ind w:left="64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Shut-in Reserves are expected to be recovered from:</w:t>
      </w:r>
    </w:p>
    <w:p>
      <w:pPr>
        <w:spacing w:after="0" w:line="10" w:lineRule="exact"/>
        <w:rPr>
          <w:sz w:val="20"/>
          <w:szCs w:val="20"/>
          <w:color w:val="auto"/>
        </w:rPr>
      </w:pPr>
    </w:p>
    <w:p>
      <w:pPr>
        <w:ind w:left="1420" w:hanging="449"/>
        <w:spacing w:after="0"/>
        <w:tabs>
          <w:tab w:leader="none" w:pos="1420" w:val="left"/>
        </w:tabs>
        <w:numPr>
          <w:ilvl w:val="0"/>
          <w:numId w:val="122"/>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spacing w:after="0" w:line="11" w:lineRule="exact"/>
        <w:rPr>
          <w:rFonts w:ascii="Arial" w:cs="Arial" w:eastAsia="Arial" w:hAnsi="Arial"/>
          <w:sz w:val="20"/>
          <w:szCs w:val="20"/>
          <w:i w:val="1"/>
          <w:iCs w:val="1"/>
          <w:color w:val="auto"/>
        </w:rPr>
      </w:pPr>
    </w:p>
    <w:p>
      <w:pPr>
        <w:ind w:left="1420" w:hanging="449"/>
        <w:spacing w:after="0"/>
        <w:tabs>
          <w:tab w:leader="none" w:pos="1420" w:val="left"/>
        </w:tabs>
        <w:numPr>
          <w:ilvl w:val="0"/>
          <w:numId w:val="122"/>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20" w:hanging="449"/>
        <w:spacing w:after="0"/>
        <w:tabs>
          <w:tab w:leader="none" w:pos="1420" w:val="left"/>
        </w:tabs>
        <w:numPr>
          <w:ilvl w:val="0"/>
          <w:numId w:val="122"/>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16" w:lineRule="exact"/>
        <w:rPr>
          <w:sz w:val="20"/>
          <w:szCs w:val="20"/>
          <w:color w:val="auto"/>
        </w:rPr>
      </w:pPr>
    </w:p>
    <w:p>
      <w:pPr>
        <w:ind w:left="640"/>
        <w:spacing w:after="0" w:line="261"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05" w:lineRule="exact"/>
        <w:rPr>
          <w:sz w:val="20"/>
          <w:szCs w:val="20"/>
          <w:color w:val="auto"/>
        </w:rPr>
      </w:pPr>
    </w:p>
    <w:p>
      <w:pPr>
        <w:ind w:left="640" w:right="20"/>
        <w:spacing w:after="0" w:line="266"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1" w:lineRule="exact"/>
        <w:rPr>
          <w:sz w:val="20"/>
          <w:szCs w:val="20"/>
          <w:color w:val="auto"/>
        </w:rPr>
      </w:pPr>
    </w:p>
    <w:p>
      <w:pPr>
        <w:ind w:firstLine="643"/>
        <w:spacing w:after="0" w:line="280"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73" w:lineRule="exact"/>
        <w:rPr>
          <w:sz w:val="20"/>
          <w:szCs w:val="20"/>
          <w:color w:val="auto"/>
        </w:rPr>
      </w:pPr>
    </w:p>
    <w:p>
      <w:pPr>
        <w:ind w:left="640" w:right="20"/>
        <w:spacing w:after="0" w:line="280"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86" w:lineRule="exact"/>
        <w:rPr>
          <w:sz w:val="20"/>
          <w:szCs w:val="20"/>
          <w:color w:val="auto"/>
        </w:rPr>
      </w:pPr>
    </w:p>
    <w:p>
      <w:pPr>
        <w:jc w:val="both"/>
        <w:ind w:left="1300" w:hanging="7"/>
        <w:spacing w:after="0" w:line="258" w:lineRule="auto"/>
        <w:tabs>
          <w:tab w:leader="none" w:pos="1695" w:val="left"/>
        </w:tabs>
        <w:numPr>
          <w:ilvl w:val="0"/>
          <w:numId w:val="123"/>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5" w:lineRule="exact"/>
        <w:rPr>
          <w:rFonts w:ascii="Arial" w:cs="Arial" w:eastAsia="Arial" w:hAnsi="Arial"/>
          <w:sz w:val="20"/>
          <w:szCs w:val="20"/>
          <w:i w:val="1"/>
          <w:iCs w:val="1"/>
          <w:color w:val="auto"/>
        </w:rPr>
      </w:pPr>
    </w:p>
    <w:p>
      <w:pPr>
        <w:jc w:val="both"/>
        <w:ind w:left="1300" w:hanging="7"/>
        <w:spacing w:after="0" w:line="265" w:lineRule="auto"/>
        <w:tabs>
          <w:tab w:leader="none" w:pos="1602" w:val="left"/>
        </w:tabs>
        <w:numPr>
          <w:ilvl w:val="0"/>
          <w:numId w:val="123"/>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88" w:lineRule="exact"/>
        <w:rPr>
          <w:rFonts w:ascii="Arial" w:cs="Arial" w:eastAsia="Arial" w:hAnsi="Arial"/>
          <w:sz w:val="20"/>
          <w:szCs w:val="20"/>
          <w:i w:val="1"/>
          <w:iCs w:val="1"/>
          <w:color w:val="auto"/>
        </w:rPr>
      </w:pPr>
    </w:p>
    <w:p>
      <w:pPr>
        <w:jc w:val="both"/>
        <w:ind w:left="1300" w:hanging="7"/>
        <w:spacing w:after="0" w:line="256" w:lineRule="auto"/>
        <w:tabs>
          <w:tab w:leader="none" w:pos="1623" w:val="left"/>
        </w:tabs>
        <w:numPr>
          <w:ilvl w:val="0"/>
          <w:numId w:val="123"/>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RYDER SCOTT COMPANY PETROLEUM CONSULTANTS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lowerRoman"/>
      <w:start w:val="2"/>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lowerRoman"/>
      <w:start w:val="2"/>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8"/>
    </w:lvl>
  </w:abstractNum>
  <w:abstractNum w:abstractNumId="18">
    <w:nsid w:val="799D0247"/>
    <w:multiLevelType w:val="hybridMultilevel"/>
    <w:lvl w:ilvl="0">
      <w:lvlJc w:val="left"/>
      <w:lvlText w:val="(%1)"/>
      <w:numFmt w:val="lowerRoman"/>
      <w:start w:val="2"/>
    </w:lvl>
  </w:abstractNum>
  <w:abstractNum w:abstractNumId="19">
    <w:nsid w:val="6B94764"/>
    <w:multiLevelType w:val="hybridMultilevel"/>
    <w:lvl w:ilvl="0">
      <w:lvlJc w:val="left"/>
      <w:lvlText w:val="(%1)"/>
      <w:numFmt w:val="decimal"/>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1."/>
      <w:numFmt w:val="decimal"/>
      <w:start w:val="8"/>
    </w:lvl>
  </w:abstractNum>
  <w:abstractNum w:abstractNumId="26">
    <w:nsid w:val="7BD3EE7B"/>
    <w:multiLevelType w:val="hybridMultilevel"/>
    <w:lvl w:ilvl="0">
      <w:lvlJc w:val="left"/>
      <w:lvlText w:val="(%1)"/>
      <w:numFmt w:val="lowerRoman"/>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
      <w:numFmt w:val="bullet"/>
      <w:start w:val="1"/>
    </w:lvl>
    <w:lvl w:ilvl="1">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1."/>
      <w:numFmt w:val="decimal"/>
      <w:start w:val="2"/>
    </w:lvl>
  </w:abstractNum>
  <w:abstractNum w:abstractNumId="32">
    <w:nsid w:val="A0382C5"/>
    <w:multiLevelType w:val="hybridMultilevel"/>
    <w:lvl w:ilvl="0">
      <w:lvlJc w:val="left"/>
      <w:lvlText w:val="%1."/>
      <w:numFmt w:val="decimal"/>
      <w:start w:val="4"/>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1)"/>
      <w:numFmt w:val="lowerRoman"/>
      <w:start w:val="2"/>
    </w:lvl>
  </w:abstractNum>
  <w:abstractNum w:abstractNumId="37">
    <w:nsid w:val="4962813B"/>
    <w:multiLevelType w:val="hybridMultilevel"/>
    <w:lvl w:ilvl="0">
      <w:lvlJc w:val="left"/>
      <w:lvlText w:val="%1."/>
      <w:numFmt w:val="decimal"/>
      <w:start w:val="13"/>
    </w:lvl>
  </w:abstractNum>
  <w:abstractNum w:abstractNumId="38">
    <w:nsid w:val="60B6DF70"/>
    <w:multiLevelType w:val="hybridMultilevel"/>
    <w:lvl w:ilvl="0">
      <w:lvlJc w:val="left"/>
      <w:lvlText w:val="%1."/>
      <w:numFmt w:val="decimal"/>
      <w:start w:val="15"/>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0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1)"/>
      <w:numFmt w:val="lowerLetter"/>
      <w:start w:val="2"/>
    </w:lvl>
  </w:abstractNum>
  <w:abstractNum w:abstractNumId="51">
    <w:nsid w:val="4C04A8AF"/>
    <w:multiLevelType w:val="hybridMultilevel"/>
    <w:lvl w:ilvl="0">
      <w:lvlJc w:val="left"/>
      <w:lvlText w:val="(%1)"/>
      <w:numFmt w:val="lowerLetter"/>
      <w:start w:val="3"/>
    </w:lvl>
  </w:abstractNum>
  <w:abstractNum w:abstractNumId="52">
    <w:nsid w:val="1716703B"/>
    <w:multiLevelType w:val="hybridMultilevel"/>
    <w:lvl w:ilvl="0">
      <w:lvlJc w:val="left"/>
      <w:lvlText w:val="(%1)"/>
      <w:numFmt w:val="lowerLetter"/>
      <w:start w:val="6"/>
    </w:lvl>
  </w:abstractNum>
  <w:abstractNum w:abstractNumId="53">
    <w:nsid w:val="14E17E33"/>
    <w:multiLevelType w:val="hybridMultilevel"/>
    <w:lvl w:ilvl="0">
      <w:lvlJc w:val="left"/>
      <w:lvlText w:val="(%1)"/>
      <w:numFmt w:val="lowerLetter"/>
      <w:start w:val="7"/>
    </w:lvl>
  </w:abstractNum>
  <w:abstractNum w:abstractNumId="54">
    <w:nsid w:val="3222E7CD"/>
    <w:multiLevelType w:val="hybridMultilevel"/>
    <w:lvl w:ilvl="0">
      <w:lvlJc w:val="left"/>
      <w:lvlText w:val="(%1)"/>
      <w:numFmt w:val="lowerLetter"/>
      <w:start w:val="1"/>
    </w:lvl>
  </w:abstractNum>
  <w:abstractNum w:abstractNumId="55">
    <w:nsid w:val="74DE0EE3"/>
    <w:multiLevelType w:val="hybridMultilevel"/>
    <w:lvl w:ilvl="0">
      <w:lvlJc w:val="left"/>
      <w:lvlText w:val="(%1)"/>
      <w:numFmt w:val="lowerLetter"/>
      <w:start w:val="2"/>
    </w:lvl>
    <w:lvl w:ilvl="1">
      <w:lvlJc w:val="left"/>
      <w:lvlText w:val="(%2)"/>
      <w:numFmt w:val="lowerRoman"/>
      <w:start w:val="1"/>
    </w:lvl>
  </w:abstractNum>
  <w:abstractNum w:abstractNumId="56">
    <w:nsid w:val="68EBC550"/>
    <w:multiLevelType w:val="hybridMultilevel"/>
    <w:lvl w:ilvl="0">
      <w:lvlJc w:val="left"/>
      <w:lvlText w:val="(%1)"/>
      <w:numFmt w:val="lowerLetter"/>
      <w:start w:val="3"/>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lowerLetter"/>
      <w:start w:val="1"/>
    </w:lvl>
    <w:lvl w:ilvl="1">
      <w:lvlJc w:val="left"/>
      <w:lvlText w:val="(%2)"/>
      <w:numFmt w:val="lowerLetter"/>
      <w:start w:val="7"/>
    </w:lvl>
  </w:abstractNum>
  <w:abstractNum w:abstractNumId="59">
    <w:nsid w:val="4A2AC315"/>
    <w:multiLevelType w:val="hybridMultilevel"/>
    <w:lvl w:ilvl="0">
      <w:lvlJc w:val="left"/>
      <w:lvlText w:val="(%1)"/>
      <w:numFmt w:val="lowerLetter"/>
      <w:start w:val="35"/>
    </w:lvl>
    <w:lvl w:ilvl="1">
      <w:lvlJc w:val="left"/>
      <w:lvlText w:val="(%2)"/>
      <w:numFmt w:val="lowerLetter"/>
      <w:start w:val="10"/>
    </w:lvl>
  </w:abstractNum>
  <w:abstractNum w:abstractNumId="60">
    <w:nsid w:val="39EE015C"/>
    <w:multiLevelType w:val="hybridMultilevel"/>
    <w:lvl w:ilvl="0">
      <w:lvlJc w:val="left"/>
      <w:lvlText w:val="(%1)"/>
      <w:numFmt w:val="lowerLetter"/>
      <w:start w:val="13"/>
    </w:lvl>
  </w:abstractNum>
  <w:abstractNum w:abstractNumId="61">
    <w:nsid w:val="57FC4FBB"/>
    <w:multiLevelType w:val="hybridMultilevel"/>
    <w:lvl w:ilvl="0">
      <w:lvlJc w:val="left"/>
      <w:lvlText w:val="%1"/>
      <w:numFmt w:val="lowerLetter"/>
      <w:start w:val="1"/>
    </w:lvl>
    <w:lvl w:ilvl="1">
      <w:lvlJc w:val="left"/>
      <w:lvlText w:val="(%2)"/>
      <w:numFmt w:val="lowerLetter"/>
      <w:start w:val="16"/>
    </w:lvl>
  </w:abstractNum>
  <w:abstractNum w:abstractNumId="62">
    <w:nsid w:val="CC1016F"/>
    <w:multiLevelType w:val="hybridMultilevel"/>
    <w:lvl w:ilvl="0">
      <w:lvlJc w:val="left"/>
      <w:lvlText w:val="(%1)"/>
      <w:numFmt w:val="lowerLetter"/>
      <w:start w:val="9"/>
    </w:lvl>
    <w:lvl w:ilvl="1">
      <w:lvlJc w:val="left"/>
      <w:lvlText w:val="%2"/>
      <w:numFmt w:val="lowerLetter"/>
      <w:start w:val="1"/>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lowerLetter"/>
      <w:start w:val="2"/>
    </w:lvl>
  </w:abstractNum>
  <w:abstractNum w:abstractNumId="66">
    <w:nsid w:val="7F01579B"/>
    <w:multiLevelType w:val="hybridMultilevel"/>
    <w:lvl w:ilvl="0">
      <w:lvlJc w:val="left"/>
      <w:lvlText w:val="(%1)"/>
      <w:numFmt w:val="lowerLetter"/>
      <w:start w:val="4"/>
    </w:lvl>
  </w:abstractNum>
  <w:abstractNum w:abstractNumId="67">
    <w:nsid w:val="49DA307D"/>
    <w:multiLevelType w:val="hybridMultilevel"/>
    <w:lvl w:ilvl="0">
      <w:lvlJc w:val="left"/>
      <w:lvlText w:val="(%1)"/>
      <w:numFmt w:val="lowerLetter"/>
      <w:start w:val="5"/>
    </w:lvl>
  </w:abstractNum>
  <w:abstractNum w:abstractNumId="68">
    <w:nsid w:val="7055A5F5"/>
    <w:multiLevelType w:val="hybridMultilevel"/>
    <w:lvl w:ilvl="0">
      <w:lvlJc w:val="left"/>
      <w:lvlText w:val="(%1)"/>
      <w:numFmt w:val="lowerLetter"/>
      <w:start w:val="1"/>
    </w:lvl>
  </w:abstractNum>
  <w:abstractNum w:abstractNumId="69">
    <w:nsid w:val="5FB8370B"/>
    <w:multiLevelType w:val="hybridMultilevel"/>
    <w:lvl w:ilvl="0">
      <w:lvlJc w:val="left"/>
      <w:lvlText w:val="(%1)"/>
      <w:numFmt w:val="lowerLetter"/>
      <w:start w:val="3"/>
    </w:lvl>
  </w:abstractNum>
  <w:abstractNum w:abstractNumId="70">
    <w:nsid w:val="50801EE1"/>
    <w:multiLevelType w:val="hybridMultilevel"/>
    <w:lvl w:ilvl="0">
      <w:lvlJc w:val="left"/>
      <w:lvlText w:val="(%1)"/>
      <w:numFmt w:val="lowerLetter"/>
      <w:start w:val="1"/>
    </w:lvl>
  </w:abstractNum>
  <w:abstractNum w:abstractNumId="71">
    <w:nsid w:val="488AC1A"/>
    <w:multiLevelType w:val="hybridMultilevel"/>
    <w:lvl w:ilvl="0">
      <w:lvlJc w:val="left"/>
      <w:lvlText w:val="(%1)"/>
      <w:numFmt w:val="lowerLetter"/>
      <w:start w:val="2"/>
    </w:lvl>
  </w:abstractNum>
  <w:abstractNum w:abstractNumId="72">
    <w:nsid w:val="5FB8011C"/>
    <w:multiLevelType w:val="hybridMultilevel"/>
    <w:lvl w:ilvl="0">
      <w:lvlJc w:val="left"/>
      <w:lvlText w:val="(%1)"/>
      <w:numFmt w:val="lowerLetter"/>
      <w:start w:val="1"/>
    </w:lvl>
  </w:abstractNum>
  <w:abstractNum w:abstractNumId="73">
    <w:nsid w:val="6AA78F7F"/>
    <w:multiLevelType w:val="hybridMultilevel"/>
    <w:lvl w:ilvl="0">
      <w:lvlJc w:val="left"/>
      <w:lvlText w:val="(%1)"/>
      <w:numFmt w:val="lowerLetter"/>
      <w:start w:val="1"/>
    </w:lvl>
    <w:lvl w:ilvl="1">
      <w:lvlJc w:val="left"/>
      <w:lvlText w:val="(%2)"/>
      <w:numFmt w:val="lowerRoman"/>
      <w:start w:val="1"/>
    </w:lvl>
  </w:abstractNum>
  <w:abstractNum w:abstractNumId="74">
    <w:nsid w:val="7672BD23"/>
    <w:multiLevelType w:val="hybridMultilevel"/>
    <w:lvl w:ilvl="0">
      <w:lvlJc w:val="left"/>
      <w:lvlText w:val="(%1)"/>
      <w:numFmt w:val="lowerLetter"/>
      <w:start w:val="2"/>
    </w:lvl>
    <w:lvl w:ilvl="1">
      <w:lvlJc w:val="left"/>
      <w:lvlText w:val="(%2)"/>
      <w:numFmt w:val="lowerRoman"/>
      <w:start w:val="1"/>
    </w:lvl>
  </w:abstractNum>
  <w:abstractNum w:abstractNumId="75">
    <w:nsid w:val="6FC75AF8"/>
    <w:multiLevelType w:val="hybridMultilevel"/>
    <w:lvl w:ilvl="0">
      <w:lvlJc w:val="left"/>
      <w:lvlText w:val="%1"/>
      <w:numFmt w:val="lowerLetter"/>
      <w:start w:val="1"/>
    </w:lvl>
    <w:lvl w:ilvl="1">
      <w:lvlJc w:val="left"/>
      <w:lvlText w:val="(%2)"/>
      <w:numFmt w:val="lowerRoman"/>
      <w:start w:val="2"/>
    </w:lvl>
  </w:abstractNum>
  <w:abstractNum w:abstractNumId="76">
    <w:nsid w:val="6A5F7029"/>
    <w:multiLevelType w:val="hybridMultilevel"/>
    <w:lvl w:ilvl="0">
      <w:lvlJc w:val="left"/>
      <w:lvlText w:val="(%1)"/>
      <w:numFmt w:val="lowerLetter"/>
      <w:start w:val="6"/>
    </w:lvl>
    <w:lvl w:ilvl="1">
      <w:lvlJc w:val="left"/>
      <w:lvlText w:val="%2"/>
      <w:numFmt w:val="lowerRoman"/>
      <w:start w:val="1"/>
    </w:lvl>
  </w:abstractNum>
  <w:abstractNum w:abstractNumId="77">
    <w:nsid w:val="7D5E18F8"/>
    <w:multiLevelType w:val="hybridMultilevel"/>
    <w:lvl w:ilvl="0">
      <w:lvlJc w:val="left"/>
      <w:lvlText w:val="(%1)"/>
      <w:numFmt w:val="lowerLetter"/>
      <w:start w:val="1"/>
    </w:lvl>
  </w:abstractNum>
  <w:abstractNum w:abstractNumId="78">
    <w:nsid w:val="5F3534A4"/>
    <w:multiLevelType w:val="hybridMultilevel"/>
    <w:lvl w:ilvl="0">
      <w:lvlJc w:val="left"/>
      <w:lvlText w:val="(%1)"/>
      <w:numFmt w:val="lowerLetter"/>
      <w:start w:val="2"/>
    </w:lvl>
  </w:abstractNum>
  <w:abstractNum w:abstractNumId="79">
    <w:nsid w:val="73A1821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0">
    <w:nsid w:val="7DE67713"/>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decimal"/>
      <w:start w:val="1"/>
    </w:lvl>
  </w:abstractNum>
  <w:abstractNum w:abstractNumId="83">
    <w:nsid w:val="14FCE74E"/>
    <w:multiLevelType w:val="hybridMultilevel"/>
    <w:lvl w:ilvl="0">
      <w:lvlJc w:val="left"/>
      <w:lvlText w:val="%1."/>
      <w:numFmt w:val="decimal"/>
      <w:start w:val="3"/>
    </w:lvl>
  </w:abstractNum>
  <w:abstractNum w:abstractNumId="84">
    <w:nsid w:val="6A3DD3E8"/>
    <w:multiLevelType w:val="hybridMultilevel"/>
    <w:lvl w:ilvl="0">
      <w:lvlJc w:val="left"/>
      <w:lvlText w:val="%1."/>
      <w:numFmt w:val="decimal"/>
      <w:start w:val="4"/>
    </w:lvl>
  </w:abstractNum>
  <w:abstractNum w:abstractNumId="85">
    <w:nsid w:val="71C91298"/>
    <w:multiLevelType w:val="hybridMultilevel"/>
    <w:lvl w:ilvl="0">
      <w:lvlJc w:val="left"/>
      <w:lvlText w:val="%1."/>
      <w:numFmt w:val="decimal"/>
      <w:start w:val="5"/>
    </w:lvl>
  </w:abstractNum>
  <w:abstractNum w:abstractNumId="86">
    <w:nsid w:val="9DAF632"/>
    <w:multiLevelType w:val="hybridMultilevel"/>
    <w:lvl w:ilvl="0">
      <w:lvlJc w:val="left"/>
      <w:lvlText w:val="%1."/>
      <w:numFmt w:val="decimal"/>
      <w:start w:val="8"/>
    </w:lvl>
  </w:abstractNum>
  <w:abstractNum w:abstractNumId="87">
    <w:nsid w:val="53299938"/>
    <w:multiLevelType w:val="hybridMultilevel"/>
    <w:lvl w:ilvl="0">
      <w:lvlJc w:val="left"/>
      <w:lvlText w:val="%1."/>
      <w:numFmt w:val="decimal"/>
      <w:start w:val="12"/>
    </w:lvl>
  </w:abstractNum>
  <w:abstractNum w:abstractNumId="88">
    <w:nsid w:val="1FBFE8E0"/>
    <w:multiLevelType w:val="hybridMultilevel"/>
    <w:lvl w:ilvl="0">
      <w:lvlJc w:val="left"/>
      <w:lvlText w:val="1"/>
      <w:numFmt w:val="bullet"/>
      <w:start w:val="1"/>
    </w:lvl>
  </w:abstractNum>
  <w:abstractNum w:abstractNumId="89">
    <w:nsid w:val="5092CA79"/>
    <w:multiLevelType w:val="hybridMultilevel"/>
    <w:lvl w:ilvl="0">
      <w:lvlJc w:val="left"/>
      <w:lvlText w:val="(%1)"/>
      <w:numFmt w:val="lowerLetter"/>
      <w:start w:val="1"/>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1."/>
      <w:numFmt w:val="decimal"/>
      <w:start w:val="3"/>
    </w:lvl>
  </w:abstractNum>
  <w:abstractNum w:abstractNumId="92">
    <w:nsid w:val="288F1A34"/>
    <w:multiLevelType w:val="hybridMultilevel"/>
    <w:lvl w:ilvl="0">
      <w:lvlJc w:val="left"/>
      <w:lvlText w:val="%1."/>
      <w:numFmt w:val="decimal"/>
      <w:start w:val="4"/>
    </w:lvl>
  </w:abstractNum>
  <w:abstractNum w:abstractNumId="93">
    <w:nsid w:val="2A155DBC"/>
    <w:multiLevelType w:val="hybridMultilevel"/>
    <w:lvl w:ilvl="0">
      <w:lvlJc w:val="left"/>
      <w:lvlText w:val="%1."/>
      <w:numFmt w:val="decimal"/>
      <w:start w:val="7"/>
    </w:lvl>
  </w:abstractNum>
  <w:abstractNum w:abstractNumId="94">
    <w:nsid w:val="1D9F6E5F"/>
    <w:multiLevelType w:val="hybridMultilevel"/>
    <w:lvl w:ilvl="0">
      <w:lvlJc w:val="left"/>
      <w:lvlText w:val="%1."/>
      <w:numFmt w:val="decimal"/>
      <w:start w:val="8"/>
    </w:lvl>
  </w:abstractNum>
  <w:abstractNum w:abstractNumId="95">
    <w:nsid w:val="97E1B4E"/>
    <w:multiLevelType w:val="hybridMultilevel"/>
    <w:lvl w:ilvl="0">
      <w:lvlJc w:val="left"/>
      <w:lvlText w:val="%1."/>
      <w:numFmt w:val="decimal"/>
      <w:start w:val="10"/>
    </w:lvl>
  </w:abstractNum>
  <w:abstractNum w:abstractNumId="96">
    <w:nsid w:val="51088277"/>
    <w:multiLevelType w:val="hybridMultilevel"/>
    <w:lvl w:ilvl="0">
      <w:lvlJc w:val="left"/>
      <w:lvlText w:val="%1."/>
      <w:numFmt w:val="decimal"/>
      <w:start w:val="17"/>
    </w:lvl>
  </w:abstractNum>
  <w:abstractNum w:abstractNumId="97">
    <w:nsid w:val="1CA0C5FA"/>
    <w:multiLevelType w:val="hybridMultilevel"/>
    <w:lvl w:ilvl="0">
      <w:lvlJc w:val="left"/>
      <w:lvlText w:val="%1."/>
      <w:numFmt w:val="upperLetter"/>
      <w:start w:val="1"/>
    </w:lvl>
  </w:abstractNum>
  <w:abstractNum w:abstractNumId="98">
    <w:nsid w:val="53584BCB"/>
    <w:multiLevelType w:val="hybridMultilevel"/>
    <w:lvl w:ilvl="0">
      <w:lvlJc w:val="left"/>
      <w:lvlText w:val="(%1)"/>
      <w:numFmt w:val="lowerLetter"/>
      <w:start w:val="1"/>
    </w:lvl>
  </w:abstractNum>
  <w:abstractNum w:abstractNumId="99">
    <w:nsid w:val="415E286C"/>
    <w:multiLevelType w:val="hybridMultilevel"/>
    <w:lvl w:ilvl="0">
      <w:lvlJc w:val="left"/>
      <w:lvlText w:val="(%1)"/>
      <w:numFmt w:val="lowerLetter"/>
      <w:start w:val="2"/>
    </w:lvl>
  </w:abstractNum>
  <w:abstractNum w:abstractNumId="100">
    <w:nsid w:val="7C58FD05"/>
    <w:multiLevelType w:val="hybridMultilevel"/>
    <w:lvl w:ilvl="0">
      <w:lvlJc w:val="left"/>
      <w:lvlText w:val="(%1)"/>
      <w:numFmt w:val="lowerRoman"/>
      <w:start w:val="1"/>
    </w:lvl>
  </w:abstractNum>
  <w:abstractNum w:abstractNumId="101">
    <w:nsid w:val="23D86AAC"/>
    <w:multiLevelType w:val="hybridMultilevel"/>
    <w:lvl w:ilvl="0">
      <w:lvlJc w:val="left"/>
      <w:lvlText w:val="(%1)"/>
      <w:numFmt w:val="lowerLetter"/>
      <w:start w:val="1"/>
    </w:lvl>
    <w:lvl w:ilvl="1">
      <w:lvlJc w:val="left"/>
      <w:lvlText w:val="(%2)"/>
      <w:numFmt w:val="lowerRoman"/>
      <w:start w:val="9"/>
    </w:lvl>
  </w:abstractNum>
  <w:abstractNum w:abstractNumId="102">
    <w:nsid w:val="45E6D486"/>
    <w:multiLevelType w:val="hybridMultilevel"/>
    <w:lvl w:ilvl="0">
      <w:lvlJc w:val="left"/>
      <w:lvlText w:val="(%1)"/>
      <w:numFmt w:val="lowerRoman"/>
      <w:start w:val="1"/>
    </w:lvl>
  </w:abstractNum>
  <w:abstractNum w:abstractNumId="103">
    <w:nsid w:val="5C10FE21"/>
    <w:multiLevelType w:val="hybridMultilevel"/>
    <w:lvl w:ilvl="0">
      <w:lvlJc w:val="left"/>
      <w:lvlText w:val="(%1)"/>
      <w:numFmt w:val="lowerLetter"/>
      <w:start w:val="1"/>
    </w:lvl>
  </w:abstractNum>
  <w:abstractNum w:abstractNumId="104">
    <w:nsid w:val="E7FFA2B"/>
    <w:multiLevelType w:val="hybridMultilevel"/>
    <w:lvl w:ilvl="0">
      <w:lvlJc w:val="left"/>
      <w:lvlText w:val="(%1)"/>
      <w:numFmt w:val="lowerLetter"/>
      <w:start w:val="2"/>
    </w:lvl>
  </w:abstractNum>
  <w:abstractNum w:abstractNumId="105">
    <w:nsid w:val="3C5991AA"/>
    <w:multiLevelType w:val="hybridMultilevel"/>
    <w:lvl w:ilvl="0">
      <w:lvlJc w:val="left"/>
      <w:lvlText w:val="(%1)"/>
      <w:numFmt w:val="lowerLetter"/>
      <w:start w:val="1"/>
    </w:lvl>
    <w:lvl w:ilvl="1">
      <w:lvlJc w:val="left"/>
      <w:lvlText w:val="(%2)"/>
      <w:numFmt w:val="lowerRoman"/>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lvl w:ilvl="1">
      <w:lvlJc w:val="left"/>
      <w:lvlText w:val="•"/>
      <w:numFmt w:val="bullet"/>
      <w:start w:val="1"/>
    </w:lvl>
  </w:abstractNum>
  <w:abstractNum w:abstractNumId="115">
    <w:nsid w:val="6AA7B75C"/>
    <w:multiLevelType w:val="hybridMultilevel"/>
    <w:lvl w:ilvl="0">
      <w:lvlJc w:val="left"/>
      <w:lvlText w:val="%1."/>
      <w:numFmt w:val="decimal"/>
      <w:start w:val="1"/>
    </w:lvl>
    <w:lvl w:ilvl="1">
      <w:lvlJc w:val="left"/>
      <w:lvlText w:val="(%2)"/>
      <w:numFmt w:val="lowerLetter"/>
      <w:start w:val="1"/>
    </w:lvl>
  </w:abstractNum>
  <w:abstractNum w:abstractNumId="116">
    <w:nsid w:val="1DF029D3"/>
    <w:multiLevelType w:val="hybridMultilevel"/>
    <w:lvl w:ilvl="0">
      <w:lvlJc w:val="left"/>
      <w:lvlText w:val="%1."/>
      <w:numFmt w:val="decimal"/>
      <w:start w:val="1"/>
    </w:lvl>
    <w:lvl w:ilvl="1">
      <w:lvlJc w:val="left"/>
      <w:lvlText w:val="(%2)"/>
      <w:numFmt w:val="lowerLetter"/>
      <w:start w:val="1"/>
    </w:lvl>
  </w:abstractNum>
  <w:abstractNum w:abstractNumId="117">
    <w:nsid w:val="5675FF36"/>
    <w:multiLevelType w:val="hybridMultilevel"/>
    <w:lvl w:ilvl="0">
      <w:lvlJc w:val="left"/>
      <w:lvlText w:val="(%1)"/>
      <w:numFmt w:val="lowerRoman"/>
      <w:start w:val="1"/>
    </w:lvl>
    <w:lvl w:ilvl="1">
      <w:lvlJc w:val="left"/>
      <w:lvlText w:val="(%2)"/>
      <w:numFmt w:val="upperLetter"/>
      <w:start w:val="1"/>
    </w:lvl>
  </w:abstractNum>
  <w:abstractNum w:abstractNumId="118">
    <w:nsid w:val="3DD15094"/>
    <w:multiLevelType w:val="hybridMultilevel"/>
    <w:lvl w:ilvl="0">
      <w:lvlJc w:val="left"/>
      <w:lvlText w:val="%1"/>
      <w:numFmt w:val="lowerRoman"/>
      <w:start w:val="1"/>
    </w:lvl>
    <w:lvl w:ilvl="1">
      <w:lvlJc w:val="left"/>
      <w:lvlText w:val="(%2)"/>
      <w:numFmt w:val="upperLetter"/>
      <w:start w:val="2"/>
    </w:lvl>
  </w:abstractNum>
  <w:abstractNum w:abstractNumId="119">
    <w:nsid w:val="3DB012B3"/>
    <w:multiLevelType w:val="hybridMultilevel"/>
    <w:lvl w:ilvl="0">
      <w:lvlJc w:val="left"/>
      <w:lvlText w:val="(%1)"/>
      <w:numFmt w:val="lowerRoman"/>
      <w:start w:val="2"/>
    </w:lvl>
    <w:lvl w:ilvl="1">
      <w:lvlJc w:val="left"/>
      <w:lvlText w:val="(%2)"/>
      <w:numFmt w:val="upperLetter"/>
      <w:start w:val="1"/>
    </w:lvl>
  </w:abstractNum>
  <w:abstractNum w:abstractNumId="120">
    <w:nsid w:val="2708C9AF"/>
    <w:multiLevelType w:val="hybridMultilevel"/>
    <w:lvl w:ilvl="0">
      <w:lvlJc w:val="left"/>
      <w:lvlText w:val="(%1)"/>
      <w:numFmt w:val="lowerRoman"/>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57" Type="http://schemas.openxmlformats.org/officeDocument/2006/relationships/hyperlink" Target="https://www.sec.gov/ix?doc=/Archives/edgar/data/1602065/000160206524000010/vnom-20231231.htm#if89f74db576643c0b32ebd3444e95d68_49" TargetMode="External"/><Relationship Id="rId125" Type="http://schemas.openxmlformats.org/officeDocument/2006/relationships/hyperlink" Target="https://www.sec.gov/Archives/edgar/data/1602065/000160206524000067/viperex21-twrxpurchaseands.htm" TargetMode="External"/><Relationship Id="rId126" Type="http://schemas.openxmlformats.org/officeDocument/2006/relationships/hyperlink" Target="https://www.sec.gov/Archives/edgar/data/1602065/000160206525000003/viperex21-dropdownpsa.htm" TargetMode="External"/><Relationship Id="rId127" Type="http://schemas.openxmlformats.org/officeDocument/2006/relationships/hyperlink" Target="https://www.sec.gov/Archives/edgar/data/1602065/000160206523000080/viperex992-11x223.htm" TargetMode="External"/><Relationship Id="rId128" Type="http://schemas.openxmlformats.org/officeDocument/2006/relationships/hyperlink" Target="https://www.sec.gov/Archives/edgar/data/1602065/000160206523000080/viperex993-11x223.htm" TargetMode="External"/><Relationship Id="rId129" Type="http://schemas.openxmlformats.org/officeDocument/2006/relationships/hyperlink" Target="https://www.sec.gov/Archives/edgar/data/1602065/000160206524000088/viperex31-amendedandrestat.htm" TargetMode="External"/><Relationship Id="rId130" Type="http://schemas.openxmlformats.org/officeDocument/2006/relationships/hyperlink" Target="https://www.sec.gov/Archives/edgar/data/1602065/000160206524000084/q32024viper10-qxex37.htm" TargetMode="External"/><Relationship Id="rId131" Type="http://schemas.openxmlformats.org/officeDocument/2006/relationships/hyperlink" Target="https://www.sec.gov/Archives/edgar/data/1602065/000110465923116606/tm2330431d1_ex10-3.htm" TargetMode="External"/><Relationship Id="rId132" Type="http://schemas.openxmlformats.org/officeDocument/2006/relationships/hyperlink" Target="https://www.sec.gov/Archives/edgar/data/1602065/000160206524000076/exhibit43-viperxtwrivxregi.htm" TargetMode="External"/><Relationship Id="rId133" Type="http://schemas.openxmlformats.org/officeDocument/2006/relationships/hyperlink" Target="https://www.sec.gov/Archives/edgar/data/1602065/000160206524000076/exhibit41-viperxtwrxoption.htm" TargetMode="External"/><Relationship Id="rId134" Type="http://schemas.openxmlformats.org/officeDocument/2006/relationships/hyperlink" Target="https://www.sec.gov/Archives/edgar/data/1602065/000160206524000076/exhibit42-viperenergyllcx2.htm" TargetMode="External"/><Relationship Id="rId135" Type="http://schemas.openxmlformats.org/officeDocument/2006/relationships/hyperlink" Target="https://www.sec.gov/Archives/edgar/data/1602065/000160206523000097/viperex102-11x17x23.htm" TargetMode="External"/><Relationship Id="rId136" Type="http://schemas.openxmlformats.org/officeDocument/2006/relationships/hyperlink" Target="https://www.sec.gov/Archives/edgar/data/1602065/000110465919054635/tm19193893_ex4-1.htm" TargetMode="External"/><Relationship Id="rId137" Type="http://schemas.openxmlformats.org/officeDocument/2006/relationships/hyperlink" Target="https://www.sec.gov/Archives/edgar/data/1602065/000160206523000076/viperex41-10x25x23.htm" TargetMode="External"/><Relationship Id="rId140" Type="http://schemas.openxmlformats.org/officeDocument/2006/relationships/hyperlink" Target="https://www.sec.gov/Archives/edgar/data/1602065/000160206523000097/viperex103-11x17x23.htm" TargetMode="External"/><Relationship Id="rId141" Type="http://schemas.openxmlformats.org/officeDocument/2006/relationships/hyperlink" Target="https://www.sec.gov/Archives/edgar/data/1602065/000160206524000084/q32024viper10-qxex45.htm" TargetMode="External"/><Relationship Id="rId142" Type="http://schemas.openxmlformats.org/officeDocument/2006/relationships/hyperlink" Target="https://www.sec.gov/Archives/edgar/data/1602065/000160206524000084/q32024viper10-qxex46.htm" TargetMode="External"/><Relationship Id="rId143" Type="http://schemas.openxmlformats.org/officeDocument/2006/relationships/hyperlink" Target="https://www.sec.gov/Archives/edgar/data/1602065/000160206523000080/viperex101-11x223.htm" TargetMode="External"/><Relationship Id="rId144" Type="http://schemas.openxmlformats.org/officeDocument/2006/relationships/hyperlink" Target="https://www.sec.gov/Archives/edgar/data/1602065/000160206518000027/viperex101-7x26x18.htm" TargetMode="External"/><Relationship Id="rId145" Type="http://schemas.openxmlformats.org/officeDocument/2006/relationships/hyperlink" Target="https://www.sec.gov/Archives/edgar/data/1602065/000110465923116606/tm2330431d1_ex10-5.htm" TargetMode="External"/><Relationship Id="rId146" Type="http://schemas.openxmlformats.org/officeDocument/2006/relationships/hyperlink" Target="https://www.sec.gov/Archives/edgar/data/1602065/000160206524000010/viper202310-kxex104x2x22x24.htm" TargetMode="External"/><Relationship Id="rId147" Type="http://schemas.openxmlformats.org/officeDocument/2006/relationships/hyperlink" Target="https://www.sec.gov/ix?doc=/Archives/edgar/data/1602065/000119312524113976/d796418ddef14a.htm#toc796418_111" TargetMode="External"/><Relationship Id="rId148" Type="http://schemas.openxmlformats.org/officeDocument/2006/relationships/hyperlink" Target="https://www.sec.gov/Archives/edgar/data/1602065/000160206524000010/viper202310-kxex105x2x22x24.htm" TargetMode="External"/><Relationship Id="rId149" Type="http://schemas.openxmlformats.org/officeDocument/2006/relationships/hyperlink" Target="https://www.sec.gov/Archives/edgar/data/1602065/000110465923116606/tm2330431d1_ex10-2.htm" TargetMode="External"/><Relationship Id="rId150" Type="http://schemas.openxmlformats.org/officeDocument/2006/relationships/hyperlink" Target="https://www.sec.gov/Archives/edgar/data/1602065/000160206524000010/viper202310-kxex107x2x22x24.htm" TargetMode="External"/><Relationship Id="rId151" Type="http://schemas.openxmlformats.org/officeDocument/2006/relationships/hyperlink" Target="https://www.sec.gov/Archives/edgar/data/1602065/000160206524000010/viper202310-kxex108x2x22x24.htm" TargetMode="External"/><Relationship Id="rId152" Type="http://schemas.openxmlformats.org/officeDocument/2006/relationships/hyperlink" Target="https://www.sec.gov/Archives/edgar/data/1602065/000160206520000009/viper201910-kxex108.htm" TargetMode="External"/><Relationship Id="rId153" Type="http://schemas.openxmlformats.org/officeDocument/2006/relationships/hyperlink" Target="https://www.sec.gov/Archives/edgar/data/1602065/000160206519000040/viperex101-9x30x19.htm" TargetMode="External"/><Relationship Id="rId154" Type="http://schemas.openxmlformats.org/officeDocument/2006/relationships/hyperlink" Target="https://www.sec.gov/Archives/edgar/data/1602065/000160206519000042/viperex101-10x10x19.htm" TargetMode="External"/><Relationship Id="rId157" Type="http://schemas.openxmlformats.org/officeDocument/2006/relationships/hyperlink" Target="https://www.sec.gov/Archives/edgar/data/1602065/000160206519000051/viperex101-12519.htm" TargetMode="External"/><Relationship Id="rId158" Type="http://schemas.openxmlformats.org/officeDocument/2006/relationships/hyperlink" Target="https://www.sec.gov/Archives/edgar/data/1602065/000160206520000024/viperex101-51520.htm" TargetMode="External"/><Relationship Id="rId159" Type="http://schemas.openxmlformats.org/officeDocument/2006/relationships/hyperlink" Target="https://www.sec.gov/Archives/edgar/data/1602065/000160206520000056/viperex101-11x12x20.htm" TargetMode="External"/><Relationship Id="rId160" Type="http://schemas.openxmlformats.org/officeDocument/2006/relationships/hyperlink" Target="https://www.sec.gov/Archives/edgar/data/1602065/000160206521000022/viperex101-6x2x21.htm" TargetMode="External"/><Relationship Id="rId161" Type="http://schemas.openxmlformats.org/officeDocument/2006/relationships/hyperlink" Target="https://www.sec.gov/Archives/edgar/data/1602065/000160206521000061/viperex101-11x19x21.htm" TargetMode="External"/><Relationship Id="rId162" Type="http://schemas.openxmlformats.org/officeDocument/2006/relationships/hyperlink" Target="https://www.sec.gov/Archives/edgar/data/1602065/000160206523000007/viperex1018-2x23x23.htm" TargetMode="External"/><Relationship Id="rId163" Type="http://schemas.openxmlformats.org/officeDocument/2006/relationships/hyperlink" Target="https://www.sec.gov/Archives/edgar/data/1602065/000160206523000024/viperex101-6x6x22.htm" TargetMode="External"/><Relationship Id="rId164" Type="http://schemas.openxmlformats.org/officeDocument/2006/relationships/hyperlink" Target="https://www.sec.gov/Archives/edgar/data/1602065/000160206523000059/viperex101-9x28x23.htm" TargetMode="External"/><Relationship Id="rId165" Type="http://schemas.openxmlformats.org/officeDocument/2006/relationships/hyperlink" Target="https://www.sec.gov/Archives/edgar/data/1602065/000160206523000056/viperex101-9x7x23.htm" TargetMode="External"/><Relationship Id="rId166" Type="http://schemas.openxmlformats.org/officeDocument/2006/relationships/hyperlink" Target="https://www.sec.gov/Archives/edgar/data/1602065/000160206523000059/viperex102-9x28x23.htm" TargetMode="External"/><Relationship Id="rId167" Type="http://schemas.openxmlformats.org/officeDocument/2006/relationships/hyperlink" Target="https://www.sec.gov/Archives/edgar/data/1602065/000110465919054635/tm19193893_ex10-2.htm" TargetMode="External"/><Relationship Id="rId168" Type="http://schemas.openxmlformats.org/officeDocument/2006/relationships/hyperlink" Target="https://www.sec.gov/Archives/edgar/data/1602065/000160206523000076/viperex101-10x25x23.htm" TargetMode="External"/><Relationship Id="rId171" Type="http://schemas.openxmlformats.org/officeDocument/2006/relationships/hyperlink" Target="https://www.sec.gov/Archives/edgar/data/1602065/000160206524000010/viper202310-kxex971x2x22x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2025-02-26T15:26:52Z</dcterms:created>
  <dcterms:modified xsi:type="dcterms:W3CDTF">2025-02-26T15:26:52Z</dcterms:modified>
</cp:coreProperties>
</file>